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footer1.xml" ContentType="application/vnd.openxmlformats-officedocument.wordprocessingml.footer+xml"/>
  <Default Extension="png" ContentType="image/png"/>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footer12.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13.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oter14.xml" ContentType="application/vnd.openxmlformats-officedocument.wordprocessingml.footer+xml"/>
  <Override PartName="/word/header51.xml" ContentType="application/vnd.openxmlformats-officedocument.wordprocessingml.header+xml"/>
  <Override PartName="/word/footer15.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footer16.xml" ContentType="application/vnd.openxmlformats-officedocument.wordprocessingml.footer+xml"/>
  <Override PartName="/word/header61.xml" ContentType="application/vnd.openxmlformats-officedocument.wordprocessingml.header+xml"/>
  <Override PartName="/word/footer17.xml" ContentType="application/vnd.openxmlformats-officedocument.wordprocessingml.footer+xml"/>
  <Override PartName="/word/header62.xml" ContentType="application/vnd.openxmlformats-officedocument.wordprocessingml.header+xml"/>
  <Override PartName="/word/header63.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4"/>
          <w:szCs w:val="24"/>
        </w:rPr>
      </w:pPr>
    </w:p>
    <w:p>
      <w:pPr>
        <w:spacing w:line="540" w:lineRule="exact" w:before="0"/>
        <w:ind w:left="1779" w:right="1782" w:firstLine="0"/>
        <w:jc w:val="center"/>
        <w:rPr>
          <w:rFonts w:ascii="宋体" w:hAnsi="宋体" w:cs="宋体" w:eastAsia="宋体" w:hint="default"/>
          <w:sz w:val="44"/>
          <w:szCs w:val="44"/>
        </w:rPr>
      </w:pPr>
      <w:r>
        <w:rPr>
          <w:rFonts w:ascii="宋体" w:hAnsi="宋体" w:cs="宋体" w:eastAsia="宋体" w:hint="default"/>
          <w:b/>
          <w:bCs/>
          <w:color w:val="FF0000"/>
          <w:sz w:val="44"/>
          <w:szCs w:val="44"/>
        </w:rPr>
        <w:t>中国联合网络通信股份有限公司</w:t>
      </w:r>
      <w:r>
        <w:rPr>
          <w:rFonts w:ascii="宋体" w:hAnsi="宋体" w:cs="宋体" w:eastAsia="宋体" w:hint="default"/>
          <w:sz w:val="44"/>
          <w:szCs w:val="44"/>
        </w:rPr>
      </w:r>
    </w:p>
    <w:p>
      <w:pPr>
        <w:spacing w:before="221"/>
        <w:ind w:left="1779" w:right="1781" w:firstLine="0"/>
        <w:jc w:val="center"/>
        <w:rPr>
          <w:rFonts w:ascii="Arial" w:hAnsi="Arial" w:cs="Arial" w:eastAsia="Arial" w:hint="default"/>
          <w:sz w:val="32"/>
          <w:szCs w:val="32"/>
        </w:rPr>
      </w:pPr>
      <w:r>
        <w:rPr>
          <w:rFonts w:ascii="Arial"/>
          <w:b/>
          <w:color w:val="FF0000"/>
          <w:sz w:val="32"/>
        </w:rPr>
        <w:t>600050</w:t>
      </w:r>
      <w:r>
        <w:rPr>
          <w:rFonts w:ascii="Arial"/>
          <w:sz w:val="32"/>
        </w:rPr>
      </w:r>
    </w:p>
    <w:p>
      <w:pPr>
        <w:spacing w:line="240" w:lineRule="auto" w:before="0"/>
        <w:rPr>
          <w:rFonts w:ascii="Arial" w:hAnsi="Arial" w:cs="Arial" w:eastAsia="Arial" w:hint="default"/>
          <w:b/>
          <w:bCs/>
          <w:sz w:val="32"/>
          <w:szCs w:val="32"/>
        </w:rPr>
      </w:pPr>
    </w:p>
    <w:p>
      <w:pPr>
        <w:spacing w:line="240" w:lineRule="auto" w:before="6"/>
        <w:rPr>
          <w:rFonts w:ascii="Arial" w:hAnsi="Arial" w:cs="Arial" w:eastAsia="Arial" w:hint="default"/>
          <w:b/>
          <w:bCs/>
          <w:sz w:val="29"/>
          <w:szCs w:val="29"/>
        </w:rPr>
      </w:pPr>
    </w:p>
    <w:p>
      <w:pPr>
        <w:spacing w:before="0"/>
        <w:ind w:left="1779" w:right="1782" w:firstLine="0"/>
        <w:jc w:val="center"/>
        <w:rPr>
          <w:rFonts w:ascii="宋体" w:hAnsi="宋体" w:cs="宋体" w:eastAsia="宋体" w:hint="default"/>
          <w:sz w:val="44"/>
          <w:szCs w:val="44"/>
        </w:rPr>
      </w:pPr>
      <w:r>
        <w:rPr>
          <w:rFonts w:ascii="Arial" w:hAnsi="Arial" w:cs="Arial" w:eastAsia="Arial" w:hint="default"/>
          <w:b/>
          <w:bCs/>
          <w:color w:val="FF0000"/>
          <w:sz w:val="44"/>
          <w:szCs w:val="44"/>
        </w:rPr>
        <w:t>2012</w:t>
      </w:r>
      <w:r>
        <w:rPr>
          <w:rFonts w:ascii="Arial" w:hAnsi="Arial" w:cs="Arial" w:eastAsia="Arial" w:hint="default"/>
          <w:b/>
          <w:bCs/>
          <w:color w:val="FF0000"/>
          <w:spacing w:val="-16"/>
          <w:sz w:val="44"/>
          <w:szCs w:val="44"/>
        </w:rPr>
        <w:t> </w:t>
      </w:r>
      <w:r>
        <w:rPr>
          <w:rFonts w:ascii="宋体" w:hAnsi="宋体" w:cs="宋体" w:eastAsia="宋体" w:hint="default"/>
          <w:b/>
          <w:bCs/>
          <w:color w:val="FF0000"/>
          <w:sz w:val="44"/>
          <w:szCs w:val="44"/>
        </w:rPr>
        <w:t>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8"/>
          <w:szCs w:val="28"/>
        </w:rPr>
      </w:pPr>
    </w:p>
    <w:p>
      <w:pPr>
        <w:spacing w:line="3730" w:lineRule="exact"/>
        <w:ind w:left="1470"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4337180" cy="236896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4337180" cy="2368962"/>
                    </a:xfrm>
                    <a:prstGeom prst="rect">
                      <a:avLst/>
                    </a:prstGeom>
                  </pic:spPr>
                </pic:pic>
              </a:graphicData>
            </a:graphic>
          </wp:inline>
        </w:drawing>
      </w:r>
      <w:r>
        <w:rPr>
          <w:rFonts w:ascii="宋体" w:hAnsi="宋体" w:cs="宋体" w:eastAsia="宋体" w:hint="default"/>
          <w:position w:val="-74"/>
          <w:sz w:val="20"/>
          <w:szCs w:val="20"/>
        </w:rPr>
      </w:r>
    </w:p>
    <w:p>
      <w:pPr>
        <w:spacing w:after="0" w:line="3730" w:lineRule="exact"/>
        <w:rPr>
          <w:rFonts w:ascii="宋体" w:hAnsi="宋体" w:cs="宋体" w:eastAsia="宋体" w:hint="default"/>
          <w:sz w:val="20"/>
          <w:szCs w:val="20"/>
        </w:rPr>
        <w:sectPr>
          <w:headerReference w:type="default" r:id="rId5"/>
          <w:type w:val="continuous"/>
          <w:pgSz w:w="11910" w:h="16840"/>
          <w:pgMar w:header="876" w:top="1100" w:bottom="280" w:left="1380" w:right="740"/>
        </w:sectPr>
      </w:pPr>
    </w:p>
    <w:p>
      <w:pPr>
        <w:spacing w:line="240" w:lineRule="auto" w:before="0"/>
        <w:rPr>
          <w:rFonts w:ascii="宋体" w:hAnsi="宋体" w:cs="宋体" w:eastAsia="宋体" w:hint="default"/>
          <w:b/>
          <w:bCs/>
          <w:sz w:val="20"/>
          <w:szCs w:val="20"/>
        </w:rPr>
      </w:pPr>
    </w:p>
    <w:p>
      <w:pPr>
        <w:pStyle w:val="Heading2"/>
        <w:spacing w:line="240" w:lineRule="auto" w:before="149"/>
        <w:ind w:left="4310" w:right="4375"/>
        <w:jc w:val="center"/>
        <w:rPr>
          <w:rFonts w:ascii="宋体" w:hAnsi="宋体" w:cs="宋体" w:eastAsia="宋体" w:hint="default"/>
        </w:rPr>
      </w:pPr>
      <w:r>
        <w:rPr>
          <w:rFonts w:ascii="宋体" w:hAnsi="宋体" w:cs="宋体" w:eastAsia="宋体" w:hint="default"/>
        </w:rPr>
        <w:t>重要提示</w:t>
      </w:r>
    </w:p>
    <w:p>
      <w:pPr>
        <w:spacing w:line="240" w:lineRule="auto" w:before="4"/>
        <w:rPr>
          <w:rFonts w:ascii="宋体" w:hAnsi="宋体" w:cs="宋体" w:eastAsia="宋体" w:hint="default"/>
          <w:sz w:val="35"/>
          <w:szCs w:val="35"/>
        </w:rPr>
      </w:pPr>
    </w:p>
    <w:p>
      <w:pPr>
        <w:pStyle w:val="BodyText"/>
        <w:spacing w:line="261" w:lineRule="auto"/>
        <w:ind w:left="569" w:right="220" w:hanging="423"/>
        <w:jc w:val="left"/>
      </w:pPr>
      <w:r>
        <w:rPr/>
        <w:t>一、公司董事会、监事会及董事、监事、高级管理人员保证年度报告内容的真实、准确、完整，不</w:t>
      </w:r>
      <w:r>
        <w:rPr>
          <w:w w:val="99"/>
        </w:rPr>
        <w:t> </w:t>
      </w:r>
      <w:r>
        <w:rPr/>
        <w:t>存在虚假记载、误导性陈述或重大遗漏，并承担个别和连带的法律责任。</w:t>
      </w:r>
    </w:p>
    <w:p>
      <w:pPr>
        <w:pStyle w:val="BodyText"/>
        <w:spacing w:line="624" w:lineRule="exact" w:before="74"/>
        <w:ind w:left="146" w:right="220"/>
        <w:jc w:val="left"/>
      </w:pPr>
      <w:r>
        <w:rPr/>
        <w:t>二、公司全体董事出席董事会会议。</w:t>
      </w:r>
      <w:r>
        <w:rPr>
          <w:w w:val="99"/>
        </w:rPr>
        <w:t> </w:t>
      </w:r>
      <w:r>
        <w:rPr/>
        <w:t>三、普华永道中天会计师事务所有限公司为本公司出具了标准无保留意见的审计报告。</w:t>
      </w:r>
      <w:r>
        <w:rPr>
          <w:w w:val="99"/>
        </w:rPr>
        <w:t> </w:t>
      </w:r>
      <w:r>
        <w:rPr>
          <w:spacing w:val="-2"/>
          <w:w w:val="95"/>
        </w:rPr>
        <w:t>四、公司负责人常小兵、主管会计工作负责人张健及会计机构负责人（会计主管人员）李张挺声明：</w:t>
      </w:r>
      <w:r>
        <w:rPr>
          <w:spacing w:val="-2"/>
        </w:rPr>
      </w:r>
    </w:p>
    <w:p>
      <w:pPr>
        <w:pStyle w:val="BodyText"/>
        <w:spacing w:line="218" w:lineRule="exact"/>
        <w:ind w:left="569" w:right="220"/>
        <w:jc w:val="left"/>
      </w:pPr>
      <w:r>
        <w:rPr/>
        <w:t>保证年度报告中财务报告的真实、准确、完整。</w:t>
      </w:r>
    </w:p>
    <w:p>
      <w:pPr>
        <w:spacing w:line="240" w:lineRule="auto" w:before="9"/>
        <w:rPr>
          <w:rFonts w:ascii="宋体" w:hAnsi="宋体" w:cs="宋体" w:eastAsia="宋体" w:hint="default"/>
          <w:sz w:val="25"/>
          <w:szCs w:val="25"/>
        </w:rPr>
      </w:pPr>
    </w:p>
    <w:p>
      <w:pPr>
        <w:pStyle w:val="BodyText"/>
        <w:spacing w:line="256" w:lineRule="auto"/>
        <w:ind w:left="569" w:right="209" w:hanging="423"/>
        <w:jc w:val="both"/>
      </w:pPr>
      <w:r>
        <w:rPr/>
        <w:t>五、经公司董事会审议的报告期利润分配预案如下：本公司通过联通</w:t>
      </w:r>
      <w:r>
        <w:rPr>
          <w:spacing w:val="-59"/>
        </w:rPr>
        <w:t> </w:t>
      </w:r>
      <w:r>
        <w:rPr>
          <w:rFonts w:ascii="Arial" w:hAnsi="Arial" w:cs="Arial" w:eastAsia="Arial" w:hint="default"/>
        </w:rPr>
        <w:t>BVI</w:t>
      </w:r>
      <w:r>
        <w:rPr>
          <w:rFonts w:ascii="Arial" w:hAnsi="Arial" w:cs="Arial" w:eastAsia="Arial" w:hint="default"/>
          <w:spacing w:val="-10"/>
        </w:rPr>
        <w:t> </w:t>
      </w:r>
      <w:r>
        <w:rPr/>
        <w:t>公司持有中国联合网络通</w:t>
      </w:r>
      <w:r>
        <w:rPr>
          <w:w w:val="99"/>
        </w:rPr>
        <w:t> </w:t>
      </w:r>
      <w:r>
        <w:rPr/>
        <w:t>信（香港）股份有限公司（以下称“联通红筹公司”）的股权。按本公司章程规定，应将自联</w:t>
      </w:r>
      <w:r>
        <w:rPr>
          <w:w w:val="99"/>
        </w:rPr>
        <w:t> </w:t>
      </w:r>
      <w:r>
        <w:rPr/>
        <w:t>通红筹公司分红所得现金在扣除公司日常现金开支、税费及法律法规规定应当提取的各项基金</w:t>
      </w:r>
      <w:r>
        <w:rPr>
          <w:w w:val="99"/>
        </w:rPr>
        <w:t> </w:t>
      </w:r>
      <w:r>
        <w:rPr/>
        <w:t>后，以现金方式全额分配给股东。由于联通红筹公司董事会已经于</w:t>
      </w:r>
      <w:r>
        <w:rPr>
          <w:spacing w:val="-63"/>
        </w:rPr>
        <w:t> </w:t>
      </w:r>
      <w:r>
        <w:rPr>
          <w:rFonts w:ascii="Arial" w:hAnsi="Arial" w:cs="Arial" w:eastAsia="Arial" w:hint="default"/>
        </w:rPr>
        <w:t>2013</w:t>
      </w:r>
      <w:r>
        <w:rPr>
          <w:rFonts w:ascii="Arial" w:hAnsi="Arial" w:cs="Arial" w:eastAsia="Arial" w:hint="default"/>
          <w:spacing w:val="-16"/>
        </w:rPr>
        <w:t> </w:t>
      </w:r>
      <w:r>
        <w:rPr/>
        <w:t>年</w:t>
      </w:r>
      <w:r>
        <w:rPr>
          <w:spacing w:val="-65"/>
        </w:rPr>
        <w:t> </w:t>
      </w:r>
      <w:r>
        <w:rPr>
          <w:rFonts w:ascii="Arial" w:hAnsi="Arial" w:cs="Arial" w:eastAsia="Arial" w:hint="default"/>
        </w:rPr>
        <w:t>3</w:t>
      </w:r>
      <w:r>
        <w:rPr>
          <w:rFonts w:ascii="Arial" w:hAnsi="Arial" w:cs="Arial" w:eastAsia="Arial" w:hint="default"/>
          <w:spacing w:val="-16"/>
        </w:rPr>
        <w:t> </w:t>
      </w:r>
      <w:r>
        <w:rPr/>
        <w:t>月</w:t>
      </w:r>
      <w:r>
        <w:rPr>
          <w:spacing w:val="-65"/>
        </w:rPr>
        <w:t> </w:t>
      </w:r>
      <w:r>
        <w:rPr>
          <w:rFonts w:ascii="Arial" w:hAnsi="Arial" w:cs="Arial" w:eastAsia="Arial" w:hint="default"/>
        </w:rPr>
        <w:t>21</w:t>
      </w:r>
      <w:r>
        <w:rPr>
          <w:rFonts w:ascii="Arial" w:hAnsi="Arial" w:cs="Arial" w:eastAsia="Arial" w:hint="default"/>
          <w:spacing w:val="-16"/>
        </w:rPr>
        <w:t> </w:t>
      </w:r>
      <w:r>
        <w:rPr/>
        <w:t>日提议派发</w:t>
      </w:r>
    </w:p>
    <w:p>
      <w:pPr>
        <w:pStyle w:val="BodyText"/>
        <w:spacing w:line="295" w:lineRule="exact"/>
        <w:ind w:left="569" w:right="0"/>
        <w:jc w:val="left"/>
      </w:pPr>
      <w:r>
        <w:rPr>
          <w:rFonts w:ascii="Arial" w:hAnsi="Arial" w:cs="Arial" w:eastAsia="Arial" w:hint="default"/>
        </w:rPr>
        <w:t>2012</w:t>
      </w:r>
      <w:r>
        <w:rPr>
          <w:rFonts w:ascii="Arial" w:hAnsi="Arial" w:cs="Arial" w:eastAsia="Arial" w:hint="default"/>
          <w:spacing w:val="7"/>
        </w:rPr>
        <w:t> </w:t>
      </w:r>
      <w:r>
        <w:rPr/>
        <w:t>年度股利，每股派发股利</w:t>
      </w:r>
      <w:r>
        <w:rPr>
          <w:spacing w:val="-41"/>
        </w:rPr>
        <w:t> </w:t>
      </w:r>
      <w:r>
        <w:rPr>
          <w:rFonts w:ascii="Arial" w:hAnsi="Arial" w:cs="Arial" w:eastAsia="Arial" w:hint="default"/>
        </w:rPr>
        <w:t>0.12</w:t>
      </w:r>
      <w:r>
        <w:rPr>
          <w:rFonts w:ascii="Arial" w:hAnsi="Arial" w:cs="Arial" w:eastAsia="Arial" w:hint="default"/>
          <w:spacing w:val="7"/>
        </w:rPr>
        <w:t> </w:t>
      </w:r>
      <w:r>
        <w:rPr/>
        <w:t>元。该股利预计将于</w:t>
      </w:r>
      <w:r>
        <w:rPr>
          <w:spacing w:val="-41"/>
        </w:rPr>
        <w:t> </w:t>
      </w:r>
      <w:r>
        <w:rPr>
          <w:rFonts w:ascii="Arial" w:hAnsi="Arial" w:cs="Arial" w:eastAsia="Arial" w:hint="default"/>
        </w:rPr>
        <w:t>2013</w:t>
      </w:r>
      <w:r>
        <w:rPr>
          <w:rFonts w:ascii="Arial" w:hAnsi="Arial" w:cs="Arial" w:eastAsia="Arial" w:hint="default"/>
          <w:spacing w:val="7"/>
        </w:rPr>
        <w:t> </w:t>
      </w:r>
      <w:r>
        <w:rPr/>
        <w:t>年</w:t>
      </w:r>
      <w:r>
        <w:rPr>
          <w:spacing w:val="-42"/>
        </w:rPr>
        <w:t> </w:t>
      </w:r>
      <w:r>
        <w:rPr>
          <w:rFonts w:ascii="Arial" w:hAnsi="Arial" w:cs="Arial" w:eastAsia="Arial" w:hint="default"/>
        </w:rPr>
        <w:t>5</w:t>
      </w:r>
      <w:r>
        <w:rPr>
          <w:rFonts w:ascii="Arial" w:hAnsi="Arial" w:cs="Arial" w:eastAsia="Arial" w:hint="default"/>
          <w:spacing w:val="6"/>
        </w:rPr>
        <w:t> </w:t>
      </w:r>
      <w:r>
        <w:rPr/>
        <w:t>月经联通红筹公司股东大</w:t>
      </w:r>
    </w:p>
    <w:p>
      <w:pPr>
        <w:pStyle w:val="BodyText"/>
        <w:spacing w:line="240" w:lineRule="auto" w:before="8"/>
        <w:ind w:left="569" w:right="220"/>
        <w:jc w:val="left"/>
      </w:pPr>
      <w:r>
        <w:rPr/>
        <w:t>会批准后收到。因此本公司董事会提议据此派发</w:t>
      </w:r>
      <w:r>
        <w:rPr>
          <w:spacing w:val="-59"/>
        </w:rPr>
        <w:t> </w:t>
      </w:r>
      <w:r>
        <w:rPr>
          <w:rFonts w:ascii="Arial" w:hAnsi="Arial" w:cs="Arial" w:eastAsia="Arial" w:hint="default"/>
        </w:rPr>
        <w:t>2012</w:t>
      </w:r>
      <w:r>
        <w:rPr>
          <w:rFonts w:ascii="Arial" w:hAnsi="Arial" w:cs="Arial" w:eastAsia="Arial" w:hint="default"/>
          <w:spacing w:val="-12"/>
        </w:rPr>
        <w:t> </w:t>
      </w:r>
      <w:r>
        <w:rPr/>
        <w:t>年度的股利。</w:t>
      </w:r>
    </w:p>
    <w:p>
      <w:pPr>
        <w:spacing w:line="240" w:lineRule="auto" w:before="6"/>
        <w:rPr>
          <w:rFonts w:ascii="宋体" w:hAnsi="宋体" w:cs="宋体" w:eastAsia="宋体" w:hint="default"/>
          <w:sz w:val="24"/>
          <w:szCs w:val="24"/>
        </w:rPr>
      </w:pPr>
    </w:p>
    <w:p>
      <w:pPr>
        <w:pStyle w:val="BodyText"/>
        <w:spacing w:line="240" w:lineRule="auto"/>
        <w:ind w:left="569" w:right="0"/>
        <w:jc w:val="left"/>
        <w:rPr>
          <w:rFonts w:ascii="Arial" w:hAnsi="Arial" w:cs="Arial" w:eastAsia="Arial" w:hint="default"/>
        </w:rPr>
      </w:pPr>
      <w:r>
        <w:rPr>
          <w:w w:val="99"/>
        </w:rPr>
        <w:t>根据联通红筹公司</w:t>
      </w:r>
      <w:r>
        <w:rPr>
          <w:spacing w:val="-71"/>
        </w:rPr>
        <w:t> </w:t>
      </w:r>
      <w:r>
        <w:rPr>
          <w:rFonts w:ascii="Arial" w:hAnsi="Arial" w:cs="Arial" w:eastAsia="Arial" w:hint="default"/>
          <w:w w:val="99"/>
        </w:rPr>
        <w:t>2012</w:t>
      </w:r>
      <w:r>
        <w:rPr>
          <w:rFonts w:ascii="Arial" w:hAnsi="Arial" w:cs="Arial" w:eastAsia="Arial" w:hint="default"/>
          <w:spacing w:val="-22"/>
        </w:rPr>
        <w:t> </w:t>
      </w:r>
      <w:r>
        <w:rPr>
          <w:w w:val="99"/>
        </w:rPr>
        <w:t>年度每股派发股利的建议</w:t>
      </w:r>
      <w:r>
        <w:rPr>
          <w:spacing w:val="-109"/>
          <w:w w:val="99"/>
        </w:rPr>
        <w:t>，</w:t>
      </w:r>
      <w:r>
        <w:rPr>
          <w:w w:val="99"/>
        </w:rPr>
        <w:t>本公司按持股比例计算应收现金股利约</w:t>
      </w:r>
      <w:r>
        <w:rPr>
          <w:spacing w:val="-70"/>
        </w:rPr>
        <w:t> </w:t>
      </w:r>
      <w:r>
        <w:rPr>
          <w:rFonts w:ascii="Arial" w:hAnsi="Arial" w:cs="Arial" w:eastAsia="Arial" w:hint="default"/>
          <w:w w:val="99"/>
        </w:rPr>
        <w:t>9.58</w:t>
      </w:r>
      <w:r>
        <w:rPr>
          <w:rFonts w:ascii="Arial" w:hAnsi="Arial" w:cs="Arial" w:eastAsia="Arial" w:hint="default"/>
        </w:rPr>
      </w:r>
    </w:p>
    <w:p>
      <w:pPr>
        <w:pStyle w:val="BodyText"/>
        <w:spacing w:line="240" w:lineRule="auto" w:before="8"/>
        <w:ind w:left="569" w:right="0"/>
        <w:jc w:val="left"/>
        <w:rPr>
          <w:rFonts w:ascii="Arial" w:hAnsi="Arial" w:cs="Arial" w:eastAsia="Arial" w:hint="default"/>
        </w:rPr>
      </w:pPr>
      <w:r>
        <w:rPr/>
        <w:t>亿元。扣除本公司日常开支和预提的 </w:t>
      </w:r>
      <w:r>
        <w:rPr>
          <w:rFonts w:ascii="Arial" w:hAnsi="Arial" w:cs="Arial" w:eastAsia="Arial" w:hint="default"/>
        </w:rPr>
        <w:t>2013 </w:t>
      </w:r>
      <w:r>
        <w:rPr/>
        <w:t>年度法定公积金后，可供股东分配的利润为约</w:t>
      </w:r>
      <w:r>
        <w:rPr>
          <w:spacing w:val="-68"/>
        </w:rPr>
        <w:t> </w:t>
      </w:r>
      <w:r>
        <w:rPr>
          <w:rFonts w:ascii="Arial" w:hAnsi="Arial" w:cs="Arial" w:eastAsia="Arial" w:hint="default"/>
        </w:rPr>
        <w:t>8.46</w:t>
      </w:r>
    </w:p>
    <w:p>
      <w:pPr>
        <w:pStyle w:val="BodyText"/>
        <w:spacing w:line="240" w:lineRule="auto" w:before="9"/>
        <w:ind w:left="569" w:right="0"/>
        <w:jc w:val="left"/>
        <w:rPr>
          <w:rFonts w:ascii="Arial" w:hAnsi="Arial" w:cs="Arial" w:eastAsia="Arial" w:hint="default"/>
        </w:rPr>
      </w:pPr>
      <w:r>
        <w:rPr/>
        <w:t>亿元。以本公司</w:t>
      </w:r>
      <w:r>
        <w:rPr>
          <w:spacing w:val="-51"/>
        </w:rPr>
        <w:t> </w:t>
      </w:r>
      <w:r>
        <w:rPr>
          <w:rFonts w:ascii="Arial" w:hAnsi="Arial" w:cs="Arial" w:eastAsia="Arial" w:hint="default"/>
        </w:rPr>
        <w:t>2012</w:t>
      </w:r>
      <w:r>
        <w:rPr>
          <w:rFonts w:ascii="Arial" w:hAnsi="Arial" w:cs="Arial" w:eastAsia="Arial" w:hint="default"/>
          <w:spacing w:val="-1"/>
        </w:rPr>
        <w:t> </w:t>
      </w:r>
      <w:r>
        <w:rPr/>
        <w:t>年</w:t>
      </w:r>
      <w:r>
        <w:rPr>
          <w:spacing w:val="-51"/>
        </w:rPr>
        <w:t> </w:t>
      </w:r>
      <w:r>
        <w:rPr>
          <w:rFonts w:ascii="Arial" w:hAnsi="Arial" w:cs="Arial" w:eastAsia="Arial" w:hint="default"/>
        </w:rPr>
        <w:t>12</w:t>
      </w:r>
      <w:r>
        <w:rPr>
          <w:rFonts w:ascii="Arial" w:hAnsi="Arial" w:cs="Arial" w:eastAsia="Arial" w:hint="default"/>
          <w:spacing w:val="-2"/>
        </w:rPr>
        <w:t> </w:t>
      </w:r>
      <w:r>
        <w:rPr/>
        <w:t>月</w:t>
      </w:r>
      <w:r>
        <w:rPr>
          <w:spacing w:val="-51"/>
        </w:rPr>
        <w:t> </w:t>
      </w:r>
      <w:r>
        <w:rPr>
          <w:rFonts w:ascii="Arial" w:hAnsi="Arial" w:cs="Arial" w:eastAsia="Arial" w:hint="default"/>
        </w:rPr>
        <w:t>31</w:t>
      </w:r>
      <w:r>
        <w:rPr>
          <w:rFonts w:ascii="Arial" w:hAnsi="Arial" w:cs="Arial" w:eastAsia="Arial" w:hint="default"/>
          <w:spacing w:val="-1"/>
        </w:rPr>
        <w:t> </w:t>
      </w:r>
      <w:r>
        <w:rPr/>
        <w:t>日总股本</w:t>
      </w:r>
      <w:r>
        <w:rPr>
          <w:spacing w:val="-51"/>
        </w:rPr>
        <w:t> </w:t>
      </w:r>
      <w:r>
        <w:rPr>
          <w:rFonts w:ascii="Arial" w:hAnsi="Arial" w:cs="Arial" w:eastAsia="Arial" w:hint="default"/>
        </w:rPr>
        <w:t>211.97</w:t>
      </w:r>
      <w:r>
        <w:rPr>
          <w:rFonts w:ascii="Arial" w:hAnsi="Arial" w:cs="Arial" w:eastAsia="Arial" w:hint="default"/>
          <w:spacing w:val="-2"/>
        </w:rPr>
        <w:t> </w:t>
      </w:r>
      <w:r>
        <w:rPr/>
        <w:t>亿股计算，每</w:t>
      </w:r>
      <w:r>
        <w:rPr>
          <w:spacing w:val="-51"/>
        </w:rPr>
        <w:t> </w:t>
      </w:r>
      <w:r>
        <w:rPr>
          <w:rFonts w:ascii="Arial" w:hAnsi="Arial" w:cs="Arial" w:eastAsia="Arial" w:hint="default"/>
        </w:rPr>
        <w:t>10</w:t>
      </w:r>
      <w:r>
        <w:rPr>
          <w:rFonts w:ascii="Arial" w:hAnsi="Arial" w:cs="Arial" w:eastAsia="Arial" w:hint="default"/>
          <w:spacing w:val="-1"/>
        </w:rPr>
        <w:t> </w:t>
      </w:r>
      <w:r>
        <w:rPr/>
        <w:t>股可派发现金股利</w:t>
      </w:r>
      <w:r>
        <w:rPr>
          <w:spacing w:val="-51"/>
        </w:rPr>
        <w:t> </w:t>
      </w:r>
      <w:r>
        <w:rPr>
          <w:rFonts w:ascii="Arial" w:hAnsi="Arial" w:cs="Arial" w:eastAsia="Arial" w:hint="default"/>
        </w:rPr>
        <w:t>0.399</w:t>
      </w:r>
    </w:p>
    <w:p>
      <w:pPr>
        <w:pStyle w:val="BodyText"/>
        <w:spacing w:line="520" w:lineRule="auto" w:before="8"/>
        <w:ind w:left="569" w:right="5517"/>
        <w:jc w:val="left"/>
      </w:pPr>
      <w:r>
        <w:rPr/>
        <w:t>元（含税）。</w:t>
      </w:r>
      <w:r>
        <w:rPr>
          <w:w w:val="99"/>
        </w:rPr>
        <w:t> </w:t>
      </w:r>
      <w:r>
        <w:rPr/>
        <w:t>此方案尚需提交本公司股东大会审议。</w:t>
      </w:r>
    </w:p>
    <w:p>
      <w:pPr>
        <w:pStyle w:val="BodyText"/>
        <w:spacing w:line="247" w:lineRule="auto" w:before="78"/>
        <w:ind w:left="569" w:right="208" w:hanging="423"/>
        <w:jc w:val="left"/>
      </w:pPr>
      <w:r>
        <w:rPr/>
        <w:t>六、本公司 </w:t>
      </w:r>
      <w:r>
        <w:rPr>
          <w:rFonts w:ascii="Arial" w:hAnsi="Arial" w:cs="Arial" w:eastAsia="Arial" w:hint="default"/>
        </w:rPr>
        <w:t>2012</w:t>
      </w:r>
      <w:r>
        <w:rPr>
          <w:rFonts w:ascii="Arial" w:hAnsi="Arial" w:cs="Arial" w:eastAsia="Arial" w:hint="default"/>
          <w:spacing w:val="11"/>
        </w:rPr>
        <w:t> </w:t>
      </w:r>
      <w:r>
        <w:rPr/>
        <w:t>年年度报告中所涉及的发展战略、未来经营计划等前瞻性陈述不构成公司对投资</w:t>
      </w:r>
      <w:r>
        <w:rPr>
          <w:w w:val="99"/>
        </w:rPr>
        <w:t> </w:t>
      </w:r>
      <w:r>
        <w:rPr/>
        <w:t>者的实质承诺，敬请投资者注意投资风险。</w:t>
      </w:r>
    </w:p>
    <w:p>
      <w:pPr>
        <w:spacing w:line="240" w:lineRule="auto" w:before="2"/>
        <w:rPr>
          <w:rFonts w:ascii="宋体" w:hAnsi="宋体" w:cs="宋体" w:eastAsia="宋体" w:hint="default"/>
          <w:sz w:val="25"/>
          <w:szCs w:val="25"/>
        </w:rPr>
      </w:pPr>
    </w:p>
    <w:p>
      <w:pPr>
        <w:pStyle w:val="BodyText"/>
        <w:spacing w:line="259" w:lineRule="auto"/>
        <w:ind w:left="588" w:right="3740" w:hanging="442"/>
        <w:jc w:val="left"/>
      </w:pPr>
      <w:r>
        <w:rPr/>
        <w:t>七、是否存在被控股股东及其关联方非经营性占用资金情况？</w:t>
      </w:r>
      <w:r>
        <w:rPr>
          <w:w w:val="99"/>
        </w:rPr>
        <w:t> </w:t>
      </w:r>
      <w:r>
        <w:rPr/>
        <w:t>否</w:t>
      </w:r>
    </w:p>
    <w:p>
      <w:pPr>
        <w:spacing w:line="240" w:lineRule="auto" w:before="4"/>
        <w:rPr>
          <w:rFonts w:ascii="宋体" w:hAnsi="宋体" w:cs="宋体" w:eastAsia="宋体" w:hint="default"/>
          <w:sz w:val="24"/>
          <w:szCs w:val="24"/>
        </w:rPr>
      </w:pPr>
    </w:p>
    <w:p>
      <w:pPr>
        <w:pStyle w:val="BodyText"/>
        <w:spacing w:line="259" w:lineRule="auto"/>
        <w:ind w:left="588" w:right="4400" w:hanging="442"/>
        <w:jc w:val="left"/>
      </w:pPr>
      <w:r>
        <w:rPr/>
        <w:t>八、是否存在违反规定决策程序对外提供担保的情况？</w:t>
      </w:r>
      <w:r>
        <w:rPr>
          <w:w w:val="99"/>
        </w:rPr>
        <w:t> </w:t>
      </w:r>
      <w:r>
        <w:rPr/>
        <w:t>否</w:t>
      </w:r>
    </w:p>
    <w:p>
      <w:pPr>
        <w:spacing w:after="0" w:line="259" w:lineRule="auto"/>
        <w:jc w:val="left"/>
        <w:sectPr>
          <w:pgSz w:w="11910" w:h="16840"/>
          <w:pgMar w:header="876" w:footer="0" w:top="1100" w:bottom="280" w:left="1380" w:right="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6"/>
        <w:ind w:left="0" w:right="3"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1262" w:val="left" w:leader="none"/>
              <w:tab w:pos="9627" w:val="right" w:leader="dot"/>
            </w:tabs>
            <w:spacing w:line="281" w:lineRule="exact" w:before="31"/>
            <w:ind w:right="0"/>
            <w:jc w:val="left"/>
            <w:rPr>
              <w:rFonts w:ascii="Arial" w:hAnsi="Arial" w:cs="Arial" w:eastAsia="Arial" w:hint="default"/>
              <w:b w:val="0"/>
              <w:bCs w:val="0"/>
            </w:rPr>
          </w:pPr>
          <w:hyperlink w:history="true" w:anchor="_TOC_250010">
            <w:r>
              <w:rPr>
                <w:w w:val="95"/>
              </w:rPr>
              <w:t>第一节</w:t>
              <w:tab/>
            </w:r>
            <w:r>
              <w:rPr/>
              <w:t>释义及重大风险提示</w:t>
            </w:r>
            <w:r>
              <w:rPr>
                <w:rFonts w:ascii="Arial" w:hAnsi="Arial" w:cs="Arial" w:eastAsia="Arial" w:hint="default"/>
                <w:b w:val="0"/>
                <w:bCs w:val="0"/>
              </w:rPr>
              <w:tab/>
              <w:t>2</w:t>
            </w:r>
          </w:hyperlink>
        </w:p>
        <w:p>
          <w:pPr>
            <w:pStyle w:val="TOC1"/>
            <w:tabs>
              <w:tab w:pos="1262" w:val="left" w:leader="none"/>
              <w:tab w:pos="9627" w:val="right" w:leader="dot"/>
            </w:tabs>
            <w:spacing w:line="272" w:lineRule="exact"/>
            <w:ind w:right="0"/>
            <w:jc w:val="left"/>
            <w:rPr>
              <w:rFonts w:ascii="Arial" w:hAnsi="Arial" w:cs="Arial" w:eastAsia="Arial" w:hint="default"/>
              <w:b w:val="0"/>
              <w:bCs w:val="0"/>
            </w:rPr>
          </w:pPr>
          <w:hyperlink w:history="true" w:anchor="_TOC_250009">
            <w:r>
              <w:rPr>
                <w:w w:val="95"/>
              </w:rPr>
              <w:t>第二节</w:t>
              <w:tab/>
            </w:r>
            <w:r>
              <w:rPr/>
              <w:t>公司简介</w:t>
            </w:r>
            <w:r>
              <w:rPr>
                <w:rFonts w:ascii="Arial" w:hAnsi="Arial" w:cs="Arial" w:eastAsia="Arial" w:hint="default"/>
                <w:b w:val="0"/>
                <w:bCs w:val="0"/>
              </w:rPr>
              <w:tab/>
              <w:t>3</w:t>
            </w:r>
          </w:hyperlink>
        </w:p>
        <w:p>
          <w:pPr>
            <w:pStyle w:val="TOC1"/>
            <w:tabs>
              <w:tab w:pos="1262" w:val="left" w:leader="none"/>
              <w:tab w:pos="9627" w:val="right" w:leader="dot"/>
            </w:tabs>
            <w:spacing w:line="272" w:lineRule="exact"/>
            <w:ind w:right="0"/>
            <w:jc w:val="left"/>
            <w:rPr>
              <w:rFonts w:ascii="Arial" w:hAnsi="Arial" w:cs="Arial" w:eastAsia="Arial" w:hint="default"/>
              <w:b w:val="0"/>
              <w:bCs w:val="0"/>
            </w:rPr>
          </w:pPr>
          <w:hyperlink w:history="true" w:anchor="_TOC_250008">
            <w:r>
              <w:rPr>
                <w:w w:val="95"/>
              </w:rPr>
              <w:t>第三节</w:t>
              <w:tab/>
            </w:r>
            <w:r>
              <w:rPr/>
              <w:t>会计数据和财务指标摘要</w:t>
            </w:r>
            <w:r>
              <w:rPr>
                <w:rFonts w:ascii="Arial" w:hAnsi="Arial" w:cs="Arial" w:eastAsia="Arial" w:hint="default"/>
                <w:b w:val="0"/>
                <w:bCs w:val="0"/>
              </w:rPr>
              <w:tab/>
              <w:t>6</w:t>
            </w:r>
          </w:hyperlink>
        </w:p>
        <w:p>
          <w:pPr>
            <w:pStyle w:val="TOC1"/>
            <w:tabs>
              <w:tab w:pos="1262" w:val="left" w:leader="none"/>
              <w:tab w:pos="9627" w:val="right" w:leader="dot"/>
            </w:tabs>
            <w:spacing w:line="272" w:lineRule="exact"/>
            <w:ind w:right="0"/>
            <w:jc w:val="left"/>
            <w:rPr>
              <w:rFonts w:ascii="Arial" w:hAnsi="Arial" w:cs="Arial" w:eastAsia="Arial" w:hint="default"/>
              <w:b w:val="0"/>
              <w:bCs w:val="0"/>
            </w:rPr>
          </w:pPr>
          <w:hyperlink w:history="true" w:anchor="_TOC_250007">
            <w:r>
              <w:rPr>
                <w:w w:val="95"/>
              </w:rPr>
              <w:t>第四节</w:t>
              <w:tab/>
            </w:r>
            <w:r>
              <w:rPr/>
              <w:t>董事会报告</w:t>
            </w:r>
            <w:r>
              <w:rPr>
                <w:rFonts w:ascii="Arial" w:hAnsi="Arial" w:cs="Arial" w:eastAsia="Arial" w:hint="default"/>
                <w:b w:val="0"/>
                <w:bCs w:val="0"/>
              </w:rPr>
              <w:tab/>
              <w:t>7</w:t>
            </w:r>
          </w:hyperlink>
        </w:p>
        <w:p>
          <w:pPr>
            <w:pStyle w:val="TOC2"/>
            <w:tabs>
              <w:tab w:pos="1262" w:val="left" w:leader="none"/>
              <w:tab w:pos="9625" w:val="right" w:leader="dot"/>
            </w:tabs>
            <w:spacing w:line="273" w:lineRule="exact"/>
            <w:ind w:right="0"/>
            <w:jc w:val="left"/>
            <w:rPr>
              <w:rFonts w:ascii="Arial" w:hAnsi="Arial" w:cs="Arial" w:eastAsia="Arial" w:hint="default"/>
              <w:b w:val="0"/>
              <w:bCs w:val="0"/>
              <w:i w:val="0"/>
              <w:sz w:val="21"/>
              <w:szCs w:val="21"/>
            </w:rPr>
          </w:pPr>
          <w:hyperlink w:history="true" w:anchor="_TOC_250006">
            <w:r>
              <w:rPr>
                <w:i w:val="0"/>
                <w:w w:val="95"/>
                <w:sz w:val="21"/>
                <w:szCs w:val="21"/>
              </w:rPr>
              <w:t>第五节</w:t>
              <w:tab/>
            </w:r>
            <w:r>
              <w:rPr>
                <w:i w:val="0"/>
                <w:sz w:val="21"/>
                <w:szCs w:val="21"/>
              </w:rPr>
              <w:t>重要事项</w:t>
            </w:r>
            <w:r>
              <w:rPr>
                <w:rFonts w:ascii="Arial" w:hAnsi="Arial" w:cs="Arial" w:eastAsia="Arial" w:hint="default"/>
                <w:b w:val="0"/>
                <w:bCs w:val="0"/>
                <w:i w:val="0"/>
                <w:sz w:val="21"/>
                <w:szCs w:val="21"/>
              </w:rPr>
              <w:tab/>
              <w:t>23</w:t>
            </w:r>
          </w:hyperlink>
        </w:p>
        <w:p>
          <w:pPr>
            <w:pStyle w:val="TOC1"/>
            <w:tabs>
              <w:tab w:pos="1262" w:val="left" w:leader="none"/>
              <w:tab w:pos="9625" w:val="right" w:leader="dot"/>
            </w:tabs>
            <w:spacing w:line="273" w:lineRule="exact"/>
            <w:ind w:right="0"/>
            <w:jc w:val="left"/>
            <w:rPr>
              <w:rFonts w:ascii="Arial" w:hAnsi="Arial" w:cs="Arial" w:eastAsia="Arial" w:hint="default"/>
              <w:b w:val="0"/>
              <w:bCs w:val="0"/>
            </w:rPr>
          </w:pPr>
          <w:hyperlink w:history="true" w:anchor="_TOC_250005">
            <w:r>
              <w:rPr>
                <w:w w:val="95"/>
              </w:rPr>
              <w:t>第六节</w:t>
              <w:tab/>
            </w:r>
            <w:r>
              <w:rPr/>
              <w:t>股份变动及股东情况</w:t>
            </w:r>
            <w:r>
              <w:rPr>
                <w:rFonts w:ascii="Arial" w:hAnsi="Arial" w:cs="Arial" w:eastAsia="Arial" w:hint="default"/>
                <w:b w:val="0"/>
                <w:bCs w:val="0"/>
              </w:rPr>
              <w:tab/>
              <w:t>27</w:t>
            </w:r>
          </w:hyperlink>
        </w:p>
        <w:p>
          <w:pPr>
            <w:pStyle w:val="TOC1"/>
            <w:tabs>
              <w:tab w:pos="1262" w:val="left" w:leader="none"/>
              <w:tab w:pos="9625" w:val="right" w:leader="dot"/>
            </w:tabs>
            <w:spacing w:line="272" w:lineRule="exact"/>
            <w:ind w:right="0"/>
            <w:jc w:val="left"/>
            <w:rPr>
              <w:rFonts w:ascii="Arial" w:hAnsi="Arial" w:cs="Arial" w:eastAsia="Arial" w:hint="default"/>
              <w:b w:val="0"/>
              <w:bCs w:val="0"/>
            </w:rPr>
          </w:pPr>
          <w:hyperlink w:history="true" w:anchor="_TOC_250004">
            <w:r>
              <w:rPr>
                <w:w w:val="95"/>
              </w:rPr>
              <w:t>第七节</w:t>
              <w:tab/>
            </w:r>
            <w:r>
              <w:rPr/>
              <w:t>董事、监事、高级管理人员和员工情况</w:t>
            </w:r>
            <w:r>
              <w:rPr>
                <w:rFonts w:ascii="Arial" w:hAnsi="Arial" w:cs="Arial" w:eastAsia="Arial" w:hint="default"/>
                <w:b w:val="0"/>
                <w:bCs w:val="0"/>
              </w:rPr>
              <w:tab/>
              <w:t>31</w:t>
            </w:r>
          </w:hyperlink>
        </w:p>
        <w:p>
          <w:pPr>
            <w:pStyle w:val="TOC2"/>
            <w:tabs>
              <w:tab w:pos="1262" w:val="left" w:leader="none"/>
              <w:tab w:pos="9625" w:val="right" w:leader="dot"/>
            </w:tabs>
            <w:spacing w:line="272" w:lineRule="exact"/>
            <w:ind w:right="0"/>
            <w:jc w:val="left"/>
            <w:rPr>
              <w:rFonts w:ascii="Arial" w:hAnsi="Arial" w:cs="Arial" w:eastAsia="Arial" w:hint="default"/>
              <w:b w:val="0"/>
              <w:bCs w:val="0"/>
              <w:i w:val="0"/>
              <w:sz w:val="21"/>
              <w:szCs w:val="21"/>
            </w:rPr>
          </w:pPr>
          <w:hyperlink w:history="true" w:anchor="_TOC_250003">
            <w:r>
              <w:rPr>
                <w:i w:val="0"/>
                <w:w w:val="95"/>
                <w:sz w:val="21"/>
                <w:szCs w:val="21"/>
              </w:rPr>
              <w:t>第八节</w:t>
              <w:tab/>
            </w:r>
            <w:r>
              <w:rPr>
                <w:i w:val="0"/>
                <w:sz w:val="21"/>
                <w:szCs w:val="21"/>
              </w:rPr>
              <w:t>公司治理</w:t>
            </w:r>
            <w:r>
              <w:rPr>
                <w:rFonts w:ascii="Arial" w:hAnsi="Arial" w:cs="Arial" w:eastAsia="Arial" w:hint="default"/>
                <w:b w:val="0"/>
                <w:bCs w:val="0"/>
                <w:i w:val="0"/>
                <w:sz w:val="21"/>
                <w:szCs w:val="21"/>
              </w:rPr>
              <w:tab/>
              <w:t>40</w:t>
            </w:r>
          </w:hyperlink>
        </w:p>
        <w:p>
          <w:pPr>
            <w:pStyle w:val="TOC2"/>
            <w:tabs>
              <w:tab w:pos="1262" w:val="left" w:leader="none"/>
              <w:tab w:pos="9625" w:val="right" w:leader="dot"/>
            </w:tabs>
            <w:spacing w:line="272" w:lineRule="exact"/>
            <w:ind w:right="0"/>
            <w:jc w:val="left"/>
            <w:rPr>
              <w:rFonts w:ascii="Arial" w:hAnsi="Arial" w:cs="Arial" w:eastAsia="Arial" w:hint="default"/>
              <w:b w:val="0"/>
              <w:bCs w:val="0"/>
              <w:i w:val="0"/>
              <w:sz w:val="21"/>
              <w:szCs w:val="21"/>
            </w:rPr>
          </w:pPr>
          <w:hyperlink w:history="true" w:anchor="_TOC_250002">
            <w:r>
              <w:rPr>
                <w:i w:val="0"/>
                <w:w w:val="95"/>
                <w:sz w:val="21"/>
                <w:szCs w:val="21"/>
              </w:rPr>
              <w:t>第九节</w:t>
              <w:tab/>
            </w:r>
            <w:r>
              <w:rPr>
                <w:i w:val="0"/>
                <w:sz w:val="21"/>
                <w:szCs w:val="21"/>
              </w:rPr>
              <w:t>内部控制</w:t>
            </w:r>
            <w:r>
              <w:rPr>
                <w:rFonts w:ascii="Arial" w:hAnsi="Arial" w:cs="Arial" w:eastAsia="Arial" w:hint="default"/>
                <w:b w:val="0"/>
                <w:bCs w:val="0"/>
                <w:i w:val="0"/>
                <w:sz w:val="21"/>
                <w:szCs w:val="21"/>
              </w:rPr>
              <w:tab/>
              <w:t>48</w:t>
            </w:r>
          </w:hyperlink>
        </w:p>
        <w:p>
          <w:pPr>
            <w:pStyle w:val="TOC2"/>
            <w:tabs>
              <w:tab w:pos="1262" w:val="left" w:leader="none"/>
              <w:tab w:pos="9625" w:val="right" w:leader="dot"/>
            </w:tabs>
            <w:spacing w:line="272" w:lineRule="exact"/>
            <w:ind w:right="0"/>
            <w:jc w:val="left"/>
            <w:rPr>
              <w:rFonts w:ascii="Arial" w:hAnsi="Arial" w:cs="Arial" w:eastAsia="Arial" w:hint="default"/>
              <w:b w:val="0"/>
              <w:bCs w:val="0"/>
              <w:i w:val="0"/>
              <w:sz w:val="21"/>
              <w:szCs w:val="21"/>
            </w:rPr>
          </w:pPr>
          <w:hyperlink w:history="true" w:anchor="_TOC_250001">
            <w:r>
              <w:rPr>
                <w:i w:val="0"/>
                <w:w w:val="95"/>
                <w:sz w:val="21"/>
                <w:szCs w:val="21"/>
              </w:rPr>
              <w:t>第十节</w:t>
              <w:tab/>
            </w:r>
            <w:r>
              <w:rPr>
                <w:i w:val="0"/>
                <w:sz w:val="21"/>
                <w:szCs w:val="21"/>
              </w:rPr>
              <w:t>财务报告</w:t>
            </w:r>
            <w:r>
              <w:rPr>
                <w:rFonts w:ascii="Arial" w:hAnsi="Arial" w:cs="Arial" w:eastAsia="Arial" w:hint="default"/>
                <w:b w:val="0"/>
                <w:bCs w:val="0"/>
                <w:i w:val="0"/>
                <w:sz w:val="21"/>
                <w:szCs w:val="21"/>
              </w:rPr>
              <w:tab/>
              <w:t>51</w:t>
            </w:r>
          </w:hyperlink>
        </w:p>
        <w:p>
          <w:pPr>
            <w:pStyle w:val="TOC2"/>
            <w:tabs>
              <w:tab w:pos="1262" w:val="left" w:leader="none"/>
              <w:tab w:pos="9625" w:val="right" w:leader="dot"/>
            </w:tabs>
            <w:spacing w:line="281" w:lineRule="exact"/>
            <w:ind w:right="0"/>
            <w:jc w:val="left"/>
            <w:rPr>
              <w:rFonts w:ascii="Arial" w:hAnsi="Arial" w:cs="Arial" w:eastAsia="Arial" w:hint="default"/>
              <w:b w:val="0"/>
              <w:bCs w:val="0"/>
              <w:i w:val="0"/>
              <w:sz w:val="21"/>
              <w:szCs w:val="21"/>
            </w:rPr>
          </w:pPr>
          <w:hyperlink w:history="true" w:anchor="_TOC_250000">
            <w:r>
              <w:rPr>
                <w:i w:val="0"/>
                <w:w w:val="95"/>
                <w:sz w:val="21"/>
                <w:szCs w:val="21"/>
              </w:rPr>
              <w:t>第十一节</w:t>
              <w:tab/>
            </w:r>
            <w:r>
              <w:rPr>
                <w:i w:val="0"/>
                <w:sz w:val="21"/>
                <w:szCs w:val="21"/>
              </w:rPr>
              <w:t>备查文件目录</w:t>
            </w:r>
            <w:r>
              <w:rPr>
                <w:rFonts w:ascii="Arial" w:hAnsi="Arial" w:cs="Arial" w:eastAsia="Arial" w:hint="default"/>
                <w:b w:val="0"/>
                <w:bCs w:val="0"/>
                <w:i w:val="0"/>
                <w:sz w:val="21"/>
                <w:szCs w:val="21"/>
              </w:rPr>
              <w:tab/>
              <w:t>171</w:t>
            </w:r>
          </w:hyperlink>
        </w:p>
      </w:sdtContent>
    </w:sdt>
    <w:p>
      <w:pPr>
        <w:spacing w:after="0" w:line="281" w:lineRule="exact"/>
        <w:jc w:val="left"/>
        <w:rPr>
          <w:rFonts w:ascii="Arial" w:hAnsi="Arial" w:cs="Arial" w:eastAsia="Arial" w:hint="default"/>
          <w:sz w:val="21"/>
          <w:szCs w:val="21"/>
        </w:rPr>
        <w:sectPr>
          <w:headerReference w:type="default" r:id="rId7"/>
          <w:pgSz w:w="11910" w:h="16840"/>
          <w:pgMar w:header="567" w:footer="0" w:top="800" w:bottom="280" w:left="1380" w:right="740"/>
        </w:sectPr>
      </w:pPr>
    </w:p>
    <w:p>
      <w:pPr>
        <w:pStyle w:val="Heading1"/>
        <w:tabs>
          <w:tab w:pos="4253" w:val="left" w:leader="none"/>
        </w:tabs>
        <w:spacing w:line="240" w:lineRule="auto" w:before="317"/>
        <w:ind w:left="2999" w:right="0"/>
        <w:jc w:val="left"/>
        <w:rPr>
          <w:b w:val="0"/>
          <w:bCs w:val="0"/>
        </w:rPr>
      </w:pPr>
      <w:bookmarkStart w:name="_TOC_250010" w:id="1"/>
      <w:r>
        <w:rPr>
          <w:w w:val="95"/>
        </w:rPr>
        <w:t>第一节</w:t>
        <w:tab/>
      </w:r>
      <w:r>
        <w:rPr/>
        <w:t>释义及重大风险提示</w:t>
      </w:r>
      <w:bookmarkEnd w:id="1"/>
      <w:r>
        <w:rPr>
          <w:b w:val="0"/>
          <w:bCs w:val="0"/>
        </w:rPr>
      </w:r>
    </w:p>
    <w:p>
      <w:pPr>
        <w:pStyle w:val="Heading3"/>
        <w:spacing w:line="240" w:lineRule="auto" w:before="260"/>
        <w:ind w:right="0"/>
        <w:jc w:val="left"/>
        <w:rPr>
          <w:b w:val="0"/>
          <w:bCs w:val="0"/>
        </w:rPr>
      </w:pPr>
      <w:r>
        <w:rPr/>
        <w:t>一、释义</w:t>
      </w:r>
      <w:r>
        <w:rPr>
          <w:b w:val="0"/>
          <w:bCs w:val="0"/>
        </w:rPr>
      </w:r>
    </w:p>
    <w:p>
      <w:pPr>
        <w:pStyle w:val="BodyText"/>
        <w:spacing w:line="240" w:lineRule="auto" w:before="249"/>
        <w:ind w:left="596" w:right="0"/>
        <w:jc w:val="left"/>
      </w:pPr>
      <w:r>
        <w:rPr/>
        <w:t>在本报告书中，除非文义另有所指，下列词语具有如下含义：</w:t>
      </w:r>
    </w:p>
    <w:p>
      <w:pPr>
        <w:spacing w:line="240" w:lineRule="auto" w:before="12"/>
        <w:rPr>
          <w:rFonts w:ascii="宋体" w:hAnsi="宋体" w:cs="宋体" w:eastAsia="宋体" w:hint="default"/>
          <w:sz w:val="21"/>
          <w:szCs w:val="21"/>
        </w:rPr>
      </w:pPr>
    </w:p>
    <w:tbl>
      <w:tblPr>
        <w:tblW w:w="0" w:type="auto"/>
        <w:jc w:val="left"/>
        <w:tblInd w:w="634" w:type="dxa"/>
        <w:tblLayout w:type="fixed"/>
        <w:tblCellMar>
          <w:top w:w="0" w:type="dxa"/>
          <w:left w:w="0" w:type="dxa"/>
          <w:bottom w:w="0" w:type="dxa"/>
          <w:right w:w="0" w:type="dxa"/>
        </w:tblCellMar>
        <w:tblLook w:val="01E0"/>
      </w:tblPr>
      <w:tblGrid>
        <w:gridCol w:w="1773"/>
        <w:gridCol w:w="702"/>
        <w:gridCol w:w="6570"/>
      </w:tblGrid>
      <w:tr>
        <w:trPr>
          <w:trHeight w:val="300" w:hRule="exact"/>
        </w:trPr>
        <w:tc>
          <w:tcPr>
            <w:tcW w:w="9045" w:type="dxa"/>
            <w:gridSpan w:val="3"/>
            <w:tcBorders>
              <w:top w:val="single" w:sz="6" w:space="0" w:color="111111"/>
              <w:left w:val="single" w:sz="6" w:space="0" w:color="111111"/>
              <w:bottom w:val="single" w:sz="6" w:space="0" w:color="111111"/>
              <w:right w:val="single" w:sz="6" w:space="0" w:color="111111"/>
            </w:tcBorders>
          </w:tcPr>
          <w:p>
            <w:pPr>
              <w:pStyle w:val="TableParagraph"/>
              <w:spacing w:line="252" w:lineRule="exact"/>
              <w:ind w:left="99" w:right="0"/>
              <w:jc w:val="left"/>
              <w:rPr>
                <w:rFonts w:ascii="宋体" w:hAnsi="宋体" w:cs="宋体" w:eastAsia="宋体" w:hint="default"/>
                <w:sz w:val="22"/>
                <w:szCs w:val="22"/>
              </w:rPr>
            </w:pPr>
            <w:r>
              <w:rPr>
                <w:rFonts w:ascii="宋体" w:hAnsi="宋体" w:cs="宋体" w:eastAsia="宋体" w:hint="default"/>
                <w:sz w:val="22"/>
                <w:szCs w:val="22"/>
              </w:rPr>
              <w:t>常用词语释义</w:t>
            </w:r>
          </w:p>
        </w:tc>
      </w:tr>
      <w:tr>
        <w:trPr>
          <w:trHeight w:val="300" w:hRule="exact"/>
        </w:trPr>
        <w:tc>
          <w:tcPr>
            <w:tcW w:w="1773" w:type="dxa"/>
            <w:tcBorders>
              <w:top w:val="single" w:sz="6" w:space="0" w:color="111111"/>
              <w:left w:val="single" w:sz="6" w:space="0" w:color="111111"/>
              <w:bottom w:val="single" w:sz="6" w:space="0" w:color="111111"/>
              <w:right w:val="single" w:sz="6" w:space="0" w:color="111111"/>
            </w:tcBorders>
          </w:tcPr>
          <w:p>
            <w:pPr>
              <w:pStyle w:val="TableParagraph"/>
              <w:spacing w:line="253" w:lineRule="exact"/>
              <w:ind w:left="99" w:right="0"/>
              <w:jc w:val="left"/>
              <w:rPr>
                <w:rFonts w:ascii="宋体" w:hAnsi="宋体" w:cs="宋体" w:eastAsia="宋体" w:hint="default"/>
                <w:sz w:val="22"/>
                <w:szCs w:val="22"/>
              </w:rPr>
            </w:pPr>
            <w:r>
              <w:rPr>
                <w:rFonts w:ascii="宋体" w:hAnsi="宋体" w:cs="宋体" w:eastAsia="宋体" w:hint="default"/>
                <w:sz w:val="22"/>
                <w:szCs w:val="22"/>
              </w:rPr>
              <w:t>中国证监会</w:t>
            </w:r>
          </w:p>
        </w:tc>
        <w:tc>
          <w:tcPr>
            <w:tcW w:w="702" w:type="dxa"/>
            <w:tcBorders>
              <w:top w:val="single" w:sz="6" w:space="0" w:color="111111"/>
              <w:left w:val="single" w:sz="6" w:space="0" w:color="111111"/>
              <w:bottom w:val="single" w:sz="6" w:space="0" w:color="111111"/>
              <w:right w:val="single" w:sz="6" w:space="0" w:color="111111"/>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w w:val="99"/>
                <w:sz w:val="22"/>
                <w:szCs w:val="22"/>
              </w:rPr>
              <w:t>指</w:t>
            </w:r>
            <w:r>
              <w:rPr>
                <w:rFonts w:ascii="宋体" w:hAnsi="宋体" w:cs="宋体" w:eastAsia="宋体" w:hint="default"/>
                <w:sz w:val="22"/>
                <w:szCs w:val="22"/>
              </w:rPr>
            </w:r>
          </w:p>
        </w:tc>
        <w:tc>
          <w:tcPr>
            <w:tcW w:w="6570" w:type="dxa"/>
            <w:tcBorders>
              <w:top w:val="single" w:sz="6" w:space="0" w:color="111111"/>
              <w:left w:val="single" w:sz="6" w:space="0" w:color="111111"/>
              <w:bottom w:val="single" w:sz="6" w:space="0" w:color="111111"/>
              <w:right w:val="single" w:sz="6" w:space="0" w:color="111111"/>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中国证券监督管理委员会</w:t>
            </w:r>
          </w:p>
        </w:tc>
      </w:tr>
      <w:tr>
        <w:trPr>
          <w:trHeight w:val="302" w:hRule="exact"/>
        </w:trPr>
        <w:tc>
          <w:tcPr>
            <w:tcW w:w="1773" w:type="dxa"/>
            <w:tcBorders>
              <w:top w:val="single" w:sz="6" w:space="0" w:color="111111"/>
              <w:left w:val="single" w:sz="6" w:space="0" w:color="111111"/>
              <w:bottom w:val="single" w:sz="6" w:space="0" w:color="111111"/>
              <w:right w:val="single" w:sz="6" w:space="0" w:color="111111"/>
            </w:tcBorders>
          </w:tcPr>
          <w:p>
            <w:pPr>
              <w:pStyle w:val="TableParagraph"/>
              <w:spacing w:line="253" w:lineRule="exact"/>
              <w:ind w:left="99" w:right="0"/>
              <w:jc w:val="left"/>
              <w:rPr>
                <w:rFonts w:ascii="宋体" w:hAnsi="宋体" w:cs="宋体" w:eastAsia="宋体" w:hint="default"/>
                <w:sz w:val="22"/>
                <w:szCs w:val="22"/>
              </w:rPr>
            </w:pPr>
            <w:r>
              <w:rPr>
                <w:rFonts w:ascii="宋体" w:hAnsi="宋体" w:cs="宋体" w:eastAsia="宋体" w:hint="default"/>
                <w:sz w:val="22"/>
                <w:szCs w:val="22"/>
              </w:rPr>
              <w:t>上交所</w:t>
            </w:r>
          </w:p>
        </w:tc>
        <w:tc>
          <w:tcPr>
            <w:tcW w:w="702" w:type="dxa"/>
            <w:tcBorders>
              <w:top w:val="single" w:sz="6" w:space="0" w:color="111111"/>
              <w:left w:val="single" w:sz="6" w:space="0" w:color="111111"/>
              <w:bottom w:val="single" w:sz="6" w:space="0" w:color="111111"/>
              <w:right w:val="single" w:sz="6" w:space="0" w:color="111111"/>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w w:val="99"/>
                <w:sz w:val="22"/>
                <w:szCs w:val="22"/>
              </w:rPr>
              <w:t>指</w:t>
            </w:r>
            <w:r>
              <w:rPr>
                <w:rFonts w:ascii="宋体" w:hAnsi="宋体" w:cs="宋体" w:eastAsia="宋体" w:hint="default"/>
                <w:sz w:val="22"/>
                <w:szCs w:val="22"/>
              </w:rPr>
            </w:r>
          </w:p>
        </w:tc>
        <w:tc>
          <w:tcPr>
            <w:tcW w:w="6570" w:type="dxa"/>
            <w:tcBorders>
              <w:top w:val="single" w:sz="6" w:space="0" w:color="111111"/>
              <w:left w:val="single" w:sz="6" w:space="0" w:color="111111"/>
              <w:bottom w:val="single" w:sz="6" w:space="0" w:color="111111"/>
              <w:right w:val="single" w:sz="6" w:space="0" w:color="111111"/>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上海证券交易所</w:t>
            </w:r>
          </w:p>
        </w:tc>
      </w:tr>
      <w:tr>
        <w:trPr>
          <w:trHeight w:val="300" w:hRule="exact"/>
        </w:trPr>
        <w:tc>
          <w:tcPr>
            <w:tcW w:w="1773" w:type="dxa"/>
            <w:tcBorders>
              <w:top w:val="single" w:sz="6" w:space="0" w:color="111111"/>
              <w:left w:val="single" w:sz="6" w:space="0" w:color="111111"/>
              <w:bottom w:val="single" w:sz="6" w:space="0" w:color="111111"/>
              <w:right w:val="single" w:sz="6" w:space="0" w:color="111111"/>
            </w:tcBorders>
          </w:tcPr>
          <w:p>
            <w:pPr>
              <w:pStyle w:val="TableParagraph"/>
              <w:spacing w:line="252" w:lineRule="exact"/>
              <w:ind w:left="99" w:right="0"/>
              <w:jc w:val="left"/>
              <w:rPr>
                <w:rFonts w:ascii="宋体" w:hAnsi="宋体" w:cs="宋体" w:eastAsia="宋体" w:hint="default"/>
                <w:sz w:val="22"/>
                <w:szCs w:val="22"/>
              </w:rPr>
            </w:pPr>
            <w:r>
              <w:rPr>
                <w:rFonts w:ascii="宋体" w:hAnsi="宋体" w:cs="宋体" w:eastAsia="宋体" w:hint="default"/>
                <w:sz w:val="22"/>
                <w:szCs w:val="22"/>
              </w:rPr>
              <w:t>国资委</w:t>
            </w:r>
          </w:p>
        </w:tc>
        <w:tc>
          <w:tcPr>
            <w:tcW w:w="702" w:type="dxa"/>
            <w:tcBorders>
              <w:top w:val="single" w:sz="6" w:space="0" w:color="111111"/>
              <w:left w:val="single" w:sz="6" w:space="0" w:color="111111"/>
              <w:bottom w:val="single" w:sz="6" w:space="0" w:color="111111"/>
              <w:right w:val="single" w:sz="6" w:space="0" w:color="111111"/>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w w:val="99"/>
                <w:sz w:val="22"/>
                <w:szCs w:val="22"/>
              </w:rPr>
              <w:t>指</w:t>
            </w:r>
            <w:r>
              <w:rPr>
                <w:rFonts w:ascii="宋体" w:hAnsi="宋体" w:cs="宋体" w:eastAsia="宋体" w:hint="default"/>
                <w:sz w:val="22"/>
                <w:szCs w:val="22"/>
              </w:rPr>
            </w:r>
          </w:p>
        </w:tc>
        <w:tc>
          <w:tcPr>
            <w:tcW w:w="6570" w:type="dxa"/>
            <w:tcBorders>
              <w:top w:val="single" w:sz="6" w:space="0" w:color="111111"/>
              <w:left w:val="single" w:sz="6" w:space="0" w:color="111111"/>
              <w:bottom w:val="single" w:sz="6" w:space="0" w:color="111111"/>
              <w:right w:val="single" w:sz="6" w:space="0" w:color="111111"/>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国务院国有资产监督管理委员会</w:t>
            </w:r>
          </w:p>
        </w:tc>
      </w:tr>
      <w:tr>
        <w:trPr>
          <w:trHeight w:val="300" w:hRule="exact"/>
        </w:trPr>
        <w:tc>
          <w:tcPr>
            <w:tcW w:w="1773" w:type="dxa"/>
            <w:tcBorders>
              <w:top w:val="single" w:sz="6" w:space="0" w:color="111111"/>
              <w:left w:val="single" w:sz="6" w:space="0" w:color="111111"/>
              <w:bottom w:val="single" w:sz="6" w:space="0" w:color="111111"/>
              <w:right w:val="single" w:sz="6" w:space="0" w:color="111111"/>
            </w:tcBorders>
          </w:tcPr>
          <w:p>
            <w:pPr>
              <w:pStyle w:val="TableParagraph"/>
              <w:spacing w:line="252" w:lineRule="exact"/>
              <w:ind w:left="99" w:right="0"/>
              <w:jc w:val="left"/>
              <w:rPr>
                <w:rFonts w:ascii="宋体" w:hAnsi="宋体" w:cs="宋体" w:eastAsia="宋体" w:hint="default"/>
                <w:sz w:val="22"/>
                <w:szCs w:val="22"/>
              </w:rPr>
            </w:pPr>
            <w:r>
              <w:rPr>
                <w:rFonts w:ascii="宋体" w:hAnsi="宋体" w:cs="宋体" w:eastAsia="宋体" w:hint="default"/>
                <w:sz w:val="22"/>
                <w:szCs w:val="22"/>
              </w:rPr>
              <w:t>公司、本公司</w:t>
            </w:r>
          </w:p>
        </w:tc>
        <w:tc>
          <w:tcPr>
            <w:tcW w:w="702" w:type="dxa"/>
            <w:tcBorders>
              <w:top w:val="single" w:sz="6" w:space="0" w:color="111111"/>
              <w:left w:val="single" w:sz="6" w:space="0" w:color="111111"/>
              <w:bottom w:val="single" w:sz="6" w:space="0" w:color="111111"/>
              <w:right w:val="single" w:sz="6" w:space="0" w:color="111111"/>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w w:val="99"/>
                <w:sz w:val="22"/>
                <w:szCs w:val="22"/>
              </w:rPr>
              <w:t>指</w:t>
            </w:r>
            <w:r>
              <w:rPr>
                <w:rFonts w:ascii="宋体" w:hAnsi="宋体" w:cs="宋体" w:eastAsia="宋体" w:hint="default"/>
                <w:sz w:val="22"/>
                <w:szCs w:val="22"/>
              </w:rPr>
            </w:r>
          </w:p>
        </w:tc>
        <w:tc>
          <w:tcPr>
            <w:tcW w:w="6570" w:type="dxa"/>
            <w:tcBorders>
              <w:top w:val="single" w:sz="6" w:space="0" w:color="111111"/>
              <w:left w:val="single" w:sz="6" w:space="0" w:color="111111"/>
              <w:bottom w:val="single" w:sz="6" w:space="0" w:color="111111"/>
              <w:right w:val="single" w:sz="6" w:space="0" w:color="111111"/>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中国联合网络通信股份有限公司</w:t>
            </w:r>
          </w:p>
        </w:tc>
      </w:tr>
      <w:tr>
        <w:trPr>
          <w:trHeight w:val="300" w:hRule="exact"/>
        </w:trPr>
        <w:tc>
          <w:tcPr>
            <w:tcW w:w="1773" w:type="dxa"/>
            <w:tcBorders>
              <w:top w:val="single" w:sz="6" w:space="0" w:color="111111"/>
              <w:left w:val="single" w:sz="6" w:space="0" w:color="111111"/>
              <w:bottom w:val="single" w:sz="6" w:space="0" w:color="111111"/>
              <w:right w:val="single" w:sz="6" w:space="0" w:color="111111"/>
            </w:tcBorders>
          </w:tcPr>
          <w:p>
            <w:pPr>
              <w:pStyle w:val="TableParagraph"/>
              <w:spacing w:line="253" w:lineRule="exact"/>
              <w:ind w:left="99" w:right="0"/>
              <w:jc w:val="left"/>
              <w:rPr>
                <w:rFonts w:ascii="宋体" w:hAnsi="宋体" w:cs="宋体" w:eastAsia="宋体" w:hint="default"/>
                <w:sz w:val="22"/>
                <w:szCs w:val="22"/>
              </w:rPr>
            </w:pPr>
            <w:r>
              <w:rPr>
                <w:rFonts w:ascii="宋体" w:hAnsi="宋体" w:cs="宋体" w:eastAsia="宋体" w:hint="default"/>
                <w:sz w:val="22"/>
                <w:szCs w:val="22"/>
              </w:rPr>
              <w:t>本集团</w:t>
            </w:r>
          </w:p>
        </w:tc>
        <w:tc>
          <w:tcPr>
            <w:tcW w:w="702" w:type="dxa"/>
            <w:tcBorders>
              <w:top w:val="single" w:sz="6" w:space="0" w:color="111111"/>
              <w:left w:val="single" w:sz="6" w:space="0" w:color="111111"/>
              <w:bottom w:val="single" w:sz="6" w:space="0" w:color="111111"/>
              <w:right w:val="single" w:sz="6" w:space="0" w:color="111111"/>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w w:val="99"/>
                <w:sz w:val="22"/>
                <w:szCs w:val="22"/>
              </w:rPr>
              <w:t>指</w:t>
            </w:r>
            <w:r>
              <w:rPr>
                <w:rFonts w:ascii="宋体" w:hAnsi="宋体" w:cs="宋体" w:eastAsia="宋体" w:hint="default"/>
                <w:sz w:val="22"/>
                <w:szCs w:val="22"/>
              </w:rPr>
            </w:r>
          </w:p>
        </w:tc>
        <w:tc>
          <w:tcPr>
            <w:tcW w:w="6570" w:type="dxa"/>
            <w:tcBorders>
              <w:top w:val="single" w:sz="6" w:space="0" w:color="111111"/>
              <w:left w:val="single" w:sz="6" w:space="0" w:color="111111"/>
              <w:bottom w:val="single" w:sz="6" w:space="0" w:color="111111"/>
              <w:right w:val="single" w:sz="6" w:space="0" w:color="111111"/>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本公司及所属全部子公司合称</w:t>
            </w:r>
          </w:p>
        </w:tc>
      </w:tr>
      <w:tr>
        <w:trPr>
          <w:trHeight w:val="301" w:hRule="exact"/>
        </w:trPr>
        <w:tc>
          <w:tcPr>
            <w:tcW w:w="1773" w:type="dxa"/>
            <w:tcBorders>
              <w:top w:val="single" w:sz="6" w:space="0" w:color="111111"/>
              <w:left w:val="single" w:sz="6" w:space="0" w:color="111111"/>
              <w:bottom w:val="single" w:sz="6" w:space="0" w:color="111111"/>
              <w:right w:val="single" w:sz="6" w:space="0" w:color="111111"/>
            </w:tcBorders>
          </w:tcPr>
          <w:p>
            <w:pPr>
              <w:pStyle w:val="TableParagraph"/>
              <w:spacing w:line="253" w:lineRule="exact"/>
              <w:ind w:left="99"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702" w:type="dxa"/>
            <w:tcBorders>
              <w:top w:val="single" w:sz="6" w:space="0" w:color="111111"/>
              <w:left w:val="single" w:sz="6" w:space="0" w:color="111111"/>
              <w:bottom w:val="single" w:sz="6" w:space="0" w:color="111111"/>
              <w:right w:val="single" w:sz="6" w:space="0" w:color="111111"/>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w w:val="99"/>
                <w:sz w:val="22"/>
                <w:szCs w:val="22"/>
              </w:rPr>
              <w:t>指</w:t>
            </w:r>
            <w:r>
              <w:rPr>
                <w:rFonts w:ascii="宋体" w:hAnsi="宋体" w:cs="宋体" w:eastAsia="宋体" w:hint="default"/>
                <w:sz w:val="22"/>
                <w:szCs w:val="22"/>
              </w:rPr>
            </w:r>
          </w:p>
        </w:tc>
        <w:tc>
          <w:tcPr>
            <w:tcW w:w="6570" w:type="dxa"/>
            <w:tcBorders>
              <w:top w:val="single" w:sz="6" w:space="0" w:color="111111"/>
              <w:left w:val="single" w:sz="6" w:space="0" w:color="111111"/>
              <w:bottom w:val="single" w:sz="6" w:space="0" w:color="111111"/>
              <w:right w:val="single" w:sz="6" w:space="0" w:color="111111"/>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中国联合网络通信集团有限公司</w:t>
            </w:r>
          </w:p>
        </w:tc>
      </w:tr>
      <w:tr>
        <w:trPr>
          <w:trHeight w:val="586" w:hRule="exact"/>
        </w:trPr>
        <w:tc>
          <w:tcPr>
            <w:tcW w:w="177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6"/>
              <w:ind w:left="99" w:right="0"/>
              <w:jc w:val="left"/>
              <w:rPr>
                <w:rFonts w:ascii="宋体" w:hAnsi="宋体" w:cs="宋体" w:eastAsia="宋体" w:hint="default"/>
                <w:sz w:val="22"/>
                <w:szCs w:val="22"/>
              </w:rPr>
            </w:pPr>
            <w:r>
              <w:rPr>
                <w:rFonts w:ascii="宋体" w:hAnsi="宋体" w:cs="宋体" w:eastAsia="宋体" w:hint="default"/>
                <w:sz w:val="22"/>
                <w:szCs w:val="22"/>
              </w:rPr>
              <w:t>联通红筹公司</w:t>
            </w:r>
          </w:p>
        </w:tc>
        <w:tc>
          <w:tcPr>
            <w:tcW w:w="70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6"/>
              <w:ind w:right="0"/>
              <w:jc w:val="center"/>
              <w:rPr>
                <w:rFonts w:ascii="宋体" w:hAnsi="宋体" w:cs="宋体" w:eastAsia="宋体" w:hint="default"/>
                <w:sz w:val="22"/>
                <w:szCs w:val="22"/>
              </w:rPr>
            </w:pPr>
            <w:r>
              <w:rPr>
                <w:rFonts w:ascii="宋体" w:hAnsi="宋体" w:cs="宋体" w:eastAsia="宋体" w:hint="default"/>
                <w:w w:val="99"/>
                <w:sz w:val="22"/>
                <w:szCs w:val="22"/>
              </w:rPr>
              <w:t>指</w:t>
            </w:r>
            <w:r>
              <w:rPr>
                <w:rFonts w:ascii="宋体" w:hAnsi="宋体" w:cs="宋体" w:eastAsia="宋体" w:hint="default"/>
                <w:sz w:val="22"/>
                <w:szCs w:val="22"/>
              </w:rPr>
            </w:r>
          </w:p>
        </w:tc>
        <w:tc>
          <w:tcPr>
            <w:tcW w:w="6570" w:type="dxa"/>
            <w:tcBorders>
              <w:top w:val="single" w:sz="6" w:space="0" w:color="111111"/>
              <w:left w:val="single" w:sz="6" w:space="0" w:color="111111"/>
              <w:bottom w:val="single" w:sz="6" w:space="0" w:color="111111"/>
              <w:right w:val="single" w:sz="6" w:space="0" w:color="111111"/>
            </w:tcBorders>
          </w:tcPr>
          <w:p>
            <w:pPr>
              <w:pStyle w:val="TableParagraph"/>
              <w:spacing w:line="251" w:lineRule="exact"/>
              <w:ind w:left="100" w:right="0"/>
              <w:jc w:val="left"/>
              <w:rPr>
                <w:rFonts w:ascii="宋体" w:hAnsi="宋体" w:cs="宋体" w:eastAsia="宋体" w:hint="default"/>
                <w:sz w:val="22"/>
                <w:szCs w:val="22"/>
              </w:rPr>
            </w:pPr>
            <w:r>
              <w:rPr>
                <w:rFonts w:ascii="宋体" w:hAnsi="宋体" w:cs="宋体" w:eastAsia="宋体" w:hint="default"/>
                <w:sz w:val="22"/>
                <w:szCs w:val="22"/>
              </w:rPr>
              <w:t>中国联合网络通信（香港）股份有限公司，在香港注册成立的有限</w:t>
            </w:r>
          </w:p>
          <w:p>
            <w:pPr>
              <w:pStyle w:val="TableParagraph"/>
              <w:spacing w:line="287" w:lineRule="exact"/>
              <w:ind w:left="326" w:right="0"/>
              <w:jc w:val="left"/>
              <w:rPr>
                <w:rFonts w:ascii="宋体" w:hAnsi="宋体" w:cs="宋体" w:eastAsia="宋体" w:hint="default"/>
                <w:sz w:val="22"/>
                <w:szCs w:val="22"/>
              </w:rPr>
            </w:pPr>
            <w:r>
              <w:rPr>
                <w:rFonts w:ascii="宋体" w:hAnsi="宋体" w:cs="宋体" w:eastAsia="宋体" w:hint="default"/>
                <w:sz w:val="22"/>
                <w:szCs w:val="22"/>
              </w:rPr>
              <w:t>公司，其股票在香港和纽约证券交易所上市</w:t>
            </w:r>
          </w:p>
        </w:tc>
      </w:tr>
      <w:tr>
        <w:trPr>
          <w:trHeight w:val="300" w:hRule="exact"/>
        </w:trPr>
        <w:tc>
          <w:tcPr>
            <w:tcW w:w="1773" w:type="dxa"/>
            <w:tcBorders>
              <w:top w:val="single" w:sz="6" w:space="0" w:color="111111"/>
              <w:left w:val="single" w:sz="6" w:space="0" w:color="111111"/>
              <w:bottom w:val="single" w:sz="6" w:space="0" w:color="111111"/>
              <w:right w:val="single" w:sz="6" w:space="0" w:color="111111"/>
            </w:tcBorders>
          </w:tcPr>
          <w:p>
            <w:pPr>
              <w:pStyle w:val="TableParagraph"/>
              <w:spacing w:line="252" w:lineRule="exact"/>
              <w:ind w:left="99" w:right="0"/>
              <w:jc w:val="left"/>
              <w:rPr>
                <w:rFonts w:ascii="宋体" w:hAnsi="宋体" w:cs="宋体" w:eastAsia="宋体" w:hint="default"/>
                <w:sz w:val="22"/>
                <w:szCs w:val="22"/>
              </w:rPr>
            </w:pPr>
            <w:r>
              <w:rPr>
                <w:rFonts w:ascii="宋体" w:hAnsi="宋体" w:cs="宋体" w:eastAsia="宋体" w:hint="default"/>
                <w:sz w:val="22"/>
                <w:szCs w:val="22"/>
              </w:rPr>
              <w:t>网通红筹公司</w:t>
            </w:r>
          </w:p>
        </w:tc>
        <w:tc>
          <w:tcPr>
            <w:tcW w:w="702" w:type="dxa"/>
            <w:tcBorders>
              <w:top w:val="single" w:sz="6" w:space="0" w:color="111111"/>
              <w:left w:val="single" w:sz="6" w:space="0" w:color="111111"/>
              <w:bottom w:val="single" w:sz="6" w:space="0" w:color="111111"/>
              <w:right w:val="single" w:sz="6" w:space="0" w:color="111111"/>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w w:val="99"/>
                <w:sz w:val="22"/>
                <w:szCs w:val="22"/>
              </w:rPr>
              <w:t>指</w:t>
            </w:r>
            <w:r>
              <w:rPr>
                <w:rFonts w:ascii="宋体" w:hAnsi="宋体" w:cs="宋体" w:eastAsia="宋体" w:hint="default"/>
                <w:sz w:val="22"/>
                <w:szCs w:val="22"/>
              </w:rPr>
            </w:r>
          </w:p>
        </w:tc>
        <w:tc>
          <w:tcPr>
            <w:tcW w:w="6570" w:type="dxa"/>
            <w:tcBorders>
              <w:top w:val="single" w:sz="6" w:space="0" w:color="111111"/>
              <w:left w:val="single" w:sz="6" w:space="0" w:color="111111"/>
              <w:bottom w:val="single" w:sz="6" w:space="0" w:color="111111"/>
              <w:right w:val="single" w:sz="6" w:space="0" w:color="111111"/>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中国网通集团（香港）有限公司</w:t>
            </w:r>
          </w:p>
        </w:tc>
      </w:tr>
      <w:tr>
        <w:trPr>
          <w:trHeight w:val="300" w:hRule="exact"/>
        </w:trPr>
        <w:tc>
          <w:tcPr>
            <w:tcW w:w="1773" w:type="dxa"/>
            <w:tcBorders>
              <w:top w:val="single" w:sz="6" w:space="0" w:color="111111"/>
              <w:left w:val="single" w:sz="6" w:space="0" w:color="111111"/>
              <w:bottom w:val="single" w:sz="6" w:space="0" w:color="111111"/>
              <w:right w:val="single" w:sz="6" w:space="0" w:color="111111"/>
            </w:tcBorders>
          </w:tcPr>
          <w:p>
            <w:pPr>
              <w:pStyle w:val="TableParagraph"/>
              <w:spacing w:line="253" w:lineRule="exact"/>
              <w:ind w:left="99" w:right="0"/>
              <w:jc w:val="left"/>
              <w:rPr>
                <w:rFonts w:ascii="宋体" w:hAnsi="宋体" w:cs="宋体" w:eastAsia="宋体" w:hint="default"/>
                <w:sz w:val="22"/>
                <w:szCs w:val="22"/>
              </w:rPr>
            </w:pPr>
            <w:r>
              <w:rPr>
                <w:rFonts w:ascii="宋体" w:hAnsi="宋体" w:cs="宋体" w:eastAsia="宋体" w:hint="default"/>
                <w:sz w:val="22"/>
                <w:szCs w:val="22"/>
              </w:rPr>
              <w:t>联通运营公司</w:t>
            </w:r>
          </w:p>
        </w:tc>
        <w:tc>
          <w:tcPr>
            <w:tcW w:w="702" w:type="dxa"/>
            <w:tcBorders>
              <w:top w:val="single" w:sz="6" w:space="0" w:color="111111"/>
              <w:left w:val="single" w:sz="6" w:space="0" w:color="111111"/>
              <w:bottom w:val="single" w:sz="6" w:space="0" w:color="111111"/>
              <w:right w:val="single" w:sz="6" w:space="0" w:color="111111"/>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w w:val="99"/>
                <w:sz w:val="22"/>
                <w:szCs w:val="22"/>
              </w:rPr>
              <w:t>指</w:t>
            </w:r>
            <w:r>
              <w:rPr>
                <w:rFonts w:ascii="宋体" w:hAnsi="宋体" w:cs="宋体" w:eastAsia="宋体" w:hint="default"/>
                <w:sz w:val="22"/>
                <w:szCs w:val="22"/>
              </w:rPr>
            </w:r>
          </w:p>
        </w:tc>
        <w:tc>
          <w:tcPr>
            <w:tcW w:w="6570" w:type="dxa"/>
            <w:tcBorders>
              <w:top w:val="single" w:sz="6" w:space="0" w:color="111111"/>
              <w:left w:val="single" w:sz="6" w:space="0" w:color="111111"/>
              <w:bottom w:val="single" w:sz="6" w:space="0" w:color="111111"/>
              <w:right w:val="single" w:sz="6" w:space="0" w:color="111111"/>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中国联合网络通信有限公司</w:t>
            </w:r>
          </w:p>
        </w:tc>
      </w:tr>
      <w:tr>
        <w:trPr>
          <w:trHeight w:val="301" w:hRule="exact"/>
        </w:trPr>
        <w:tc>
          <w:tcPr>
            <w:tcW w:w="1773" w:type="dxa"/>
            <w:tcBorders>
              <w:top w:val="single" w:sz="6" w:space="0" w:color="111111"/>
              <w:left w:val="single" w:sz="6" w:space="0" w:color="111111"/>
              <w:bottom w:val="single" w:sz="6" w:space="0" w:color="111111"/>
              <w:right w:val="single" w:sz="6" w:space="0" w:color="111111"/>
            </w:tcBorders>
          </w:tcPr>
          <w:p>
            <w:pPr>
              <w:pStyle w:val="TableParagraph"/>
              <w:spacing w:line="253" w:lineRule="exact"/>
              <w:ind w:left="99" w:right="0"/>
              <w:jc w:val="left"/>
              <w:rPr>
                <w:rFonts w:ascii="宋体" w:hAnsi="宋体" w:cs="宋体" w:eastAsia="宋体" w:hint="default"/>
                <w:sz w:val="22"/>
                <w:szCs w:val="22"/>
              </w:rPr>
            </w:pPr>
            <w:r>
              <w:rPr>
                <w:rFonts w:ascii="宋体" w:hAnsi="宋体" w:cs="宋体" w:eastAsia="宋体" w:hint="default"/>
                <w:sz w:val="22"/>
                <w:szCs w:val="22"/>
              </w:rPr>
              <w:t>联通新时空</w:t>
            </w:r>
          </w:p>
        </w:tc>
        <w:tc>
          <w:tcPr>
            <w:tcW w:w="702" w:type="dxa"/>
            <w:tcBorders>
              <w:top w:val="single" w:sz="6" w:space="0" w:color="111111"/>
              <w:left w:val="single" w:sz="6" w:space="0" w:color="111111"/>
              <w:bottom w:val="single" w:sz="6" w:space="0" w:color="111111"/>
              <w:right w:val="single" w:sz="6" w:space="0" w:color="111111"/>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w w:val="99"/>
                <w:sz w:val="22"/>
                <w:szCs w:val="22"/>
              </w:rPr>
              <w:t>指</w:t>
            </w:r>
            <w:r>
              <w:rPr>
                <w:rFonts w:ascii="宋体" w:hAnsi="宋体" w:cs="宋体" w:eastAsia="宋体" w:hint="default"/>
                <w:sz w:val="22"/>
                <w:szCs w:val="22"/>
              </w:rPr>
            </w:r>
          </w:p>
        </w:tc>
        <w:tc>
          <w:tcPr>
            <w:tcW w:w="6570" w:type="dxa"/>
            <w:tcBorders>
              <w:top w:val="single" w:sz="6" w:space="0" w:color="111111"/>
              <w:left w:val="single" w:sz="6" w:space="0" w:color="111111"/>
              <w:bottom w:val="single" w:sz="6" w:space="0" w:color="111111"/>
              <w:right w:val="single" w:sz="6" w:space="0" w:color="111111"/>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联通新时空通信有限公司</w:t>
            </w:r>
          </w:p>
        </w:tc>
      </w:tr>
      <w:tr>
        <w:trPr>
          <w:trHeight w:val="586" w:hRule="exact"/>
        </w:trPr>
        <w:tc>
          <w:tcPr>
            <w:tcW w:w="177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6"/>
              <w:ind w:left="99" w:right="0"/>
              <w:jc w:val="left"/>
              <w:rPr>
                <w:rFonts w:ascii="宋体" w:hAnsi="宋体" w:cs="宋体" w:eastAsia="宋体" w:hint="default"/>
                <w:sz w:val="22"/>
                <w:szCs w:val="22"/>
              </w:rPr>
            </w:pPr>
            <w:r>
              <w:rPr>
                <w:rFonts w:ascii="宋体" w:hAnsi="宋体" w:cs="宋体" w:eastAsia="宋体" w:hint="default"/>
                <w:sz w:val="22"/>
                <w:szCs w:val="22"/>
              </w:rPr>
              <w:t>联通</w:t>
            </w:r>
            <w:r>
              <w:rPr>
                <w:rFonts w:ascii="宋体" w:hAnsi="宋体" w:cs="宋体" w:eastAsia="宋体" w:hint="default"/>
                <w:spacing w:val="-57"/>
                <w:sz w:val="22"/>
                <w:szCs w:val="22"/>
              </w:rPr>
              <w:t> </w:t>
            </w:r>
            <w:r>
              <w:rPr>
                <w:rFonts w:ascii="Arial" w:hAnsi="Arial" w:cs="Arial" w:eastAsia="Arial" w:hint="default"/>
                <w:sz w:val="22"/>
                <w:szCs w:val="22"/>
              </w:rPr>
              <w:t>BVI</w:t>
            </w:r>
            <w:r>
              <w:rPr>
                <w:rFonts w:ascii="Arial" w:hAnsi="Arial" w:cs="Arial" w:eastAsia="Arial" w:hint="default"/>
                <w:spacing w:val="-8"/>
                <w:sz w:val="22"/>
                <w:szCs w:val="22"/>
              </w:rPr>
              <w:t> </w:t>
            </w:r>
            <w:r>
              <w:rPr>
                <w:rFonts w:ascii="宋体" w:hAnsi="宋体" w:cs="宋体" w:eastAsia="宋体" w:hint="default"/>
                <w:sz w:val="22"/>
                <w:szCs w:val="22"/>
              </w:rPr>
              <w:t>公司</w:t>
            </w:r>
          </w:p>
        </w:tc>
        <w:tc>
          <w:tcPr>
            <w:tcW w:w="70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6"/>
              <w:ind w:right="0"/>
              <w:jc w:val="center"/>
              <w:rPr>
                <w:rFonts w:ascii="宋体" w:hAnsi="宋体" w:cs="宋体" w:eastAsia="宋体" w:hint="default"/>
                <w:sz w:val="22"/>
                <w:szCs w:val="22"/>
              </w:rPr>
            </w:pPr>
            <w:r>
              <w:rPr>
                <w:rFonts w:ascii="宋体" w:hAnsi="宋体" w:cs="宋体" w:eastAsia="宋体" w:hint="default"/>
                <w:w w:val="99"/>
                <w:sz w:val="22"/>
                <w:szCs w:val="22"/>
              </w:rPr>
              <w:t>指</w:t>
            </w:r>
            <w:r>
              <w:rPr>
                <w:rFonts w:ascii="宋体" w:hAnsi="宋体" w:cs="宋体" w:eastAsia="宋体" w:hint="default"/>
                <w:sz w:val="22"/>
                <w:szCs w:val="22"/>
              </w:rPr>
            </w:r>
          </w:p>
        </w:tc>
        <w:tc>
          <w:tcPr>
            <w:tcW w:w="6570" w:type="dxa"/>
            <w:tcBorders>
              <w:top w:val="single" w:sz="6" w:space="0" w:color="111111"/>
              <w:left w:val="single" w:sz="6" w:space="0" w:color="111111"/>
              <w:bottom w:val="single" w:sz="6" w:space="0" w:color="111111"/>
              <w:right w:val="single" w:sz="6" w:space="0" w:color="111111"/>
            </w:tcBorders>
          </w:tcPr>
          <w:p>
            <w:pPr>
              <w:pStyle w:val="TableParagraph"/>
              <w:spacing w:line="258" w:lineRule="exact"/>
              <w:ind w:left="100" w:right="0"/>
              <w:jc w:val="left"/>
              <w:rPr>
                <w:rFonts w:ascii="宋体" w:hAnsi="宋体" w:cs="宋体" w:eastAsia="宋体" w:hint="default"/>
                <w:sz w:val="22"/>
                <w:szCs w:val="22"/>
              </w:rPr>
            </w:pPr>
            <w:r>
              <w:rPr>
                <w:rFonts w:ascii="宋体" w:hAnsi="宋体" w:cs="宋体" w:eastAsia="宋体" w:hint="default"/>
                <w:sz w:val="22"/>
                <w:szCs w:val="22"/>
              </w:rPr>
              <w:t>中国联通</w:t>
            </w:r>
            <w:r>
              <w:rPr>
                <w:rFonts w:ascii="Arial" w:hAnsi="Arial" w:cs="Arial" w:eastAsia="Arial" w:hint="default"/>
                <w:sz w:val="22"/>
                <w:szCs w:val="22"/>
              </w:rPr>
              <w:t>(BVI)</w:t>
            </w:r>
            <w:r>
              <w:rPr>
                <w:rFonts w:ascii="宋体" w:hAnsi="宋体" w:cs="宋体" w:eastAsia="宋体" w:hint="default"/>
                <w:sz w:val="22"/>
                <w:szCs w:val="22"/>
              </w:rPr>
              <w:t>有限公司</w:t>
            </w:r>
            <w:r>
              <w:rPr>
                <w:rFonts w:ascii="Arial" w:hAnsi="Arial" w:cs="Arial" w:eastAsia="Arial" w:hint="default"/>
                <w:sz w:val="22"/>
                <w:szCs w:val="22"/>
              </w:rPr>
              <w:t>(China  Unicom  (BVI) Limited)</w:t>
            </w:r>
            <w:r>
              <w:rPr>
                <w:rFonts w:ascii="宋体" w:hAnsi="宋体" w:cs="宋体" w:eastAsia="宋体" w:hint="default"/>
                <w:sz w:val="22"/>
                <w:szCs w:val="22"/>
              </w:rPr>
              <w:t>，一家按照</w:t>
            </w:r>
          </w:p>
          <w:p>
            <w:pPr>
              <w:pStyle w:val="TableParagraph"/>
              <w:spacing w:line="279" w:lineRule="exact"/>
              <w:ind w:left="308" w:right="0"/>
              <w:jc w:val="left"/>
              <w:rPr>
                <w:rFonts w:ascii="宋体" w:hAnsi="宋体" w:cs="宋体" w:eastAsia="宋体" w:hint="default"/>
                <w:sz w:val="22"/>
                <w:szCs w:val="22"/>
              </w:rPr>
            </w:pPr>
            <w:r>
              <w:rPr>
                <w:rFonts w:ascii="宋体" w:hAnsi="宋体" w:cs="宋体" w:eastAsia="宋体" w:hint="default"/>
                <w:sz w:val="22"/>
                <w:szCs w:val="22"/>
              </w:rPr>
              <w:t>英属维尔京群岛法律注册成立的有限公司</w:t>
            </w:r>
          </w:p>
        </w:tc>
      </w:tr>
      <w:tr>
        <w:trPr>
          <w:trHeight w:val="1156" w:hRule="exact"/>
        </w:trPr>
        <w:tc>
          <w:tcPr>
            <w:tcW w:w="177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99" w:right="0"/>
              <w:jc w:val="left"/>
              <w:rPr>
                <w:rFonts w:ascii="Arial" w:hAnsi="Arial" w:cs="Arial" w:eastAsia="Arial" w:hint="default"/>
                <w:sz w:val="22"/>
                <w:szCs w:val="22"/>
              </w:rPr>
            </w:pPr>
            <w:r>
              <w:rPr>
                <w:rFonts w:ascii="Arial" w:hAnsi="Arial" w:cs="Arial" w:eastAsia="Arial" w:hint="default"/>
                <w:sz w:val="22"/>
                <w:szCs w:val="22"/>
              </w:rPr>
              <w:t>GSM</w:t>
            </w:r>
            <w:r>
              <w:rPr>
                <w:rFonts w:ascii="宋体" w:hAnsi="宋体" w:cs="宋体" w:eastAsia="宋体" w:hint="default"/>
                <w:sz w:val="22"/>
                <w:szCs w:val="22"/>
              </w:rPr>
              <w:t>、</w:t>
            </w:r>
            <w:r>
              <w:rPr>
                <w:rFonts w:ascii="Arial" w:hAnsi="Arial" w:cs="Arial" w:eastAsia="Arial" w:hint="default"/>
                <w:sz w:val="22"/>
                <w:szCs w:val="22"/>
              </w:rPr>
              <w:t>2G</w:t>
            </w:r>
          </w:p>
        </w:tc>
        <w:tc>
          <w:tcPr>
            <w:tcW w:w="70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w w:val="99"/>
                <w:sz w:val="22"/>
                <w:szCs w:val="22"/>
              </w:rPr>
              <w:t>指</w:t>
            </w:r>
            <w:r>
              <w:rPr>
                <w:rFonts w:ascii="宋体" w:hAnsi="宋体" w:cs="宋体" w:eastAsia="宋体" w:hint="default"/>
                <w:sz w:val="22"/>
                <w:szCs w:val="22"/>
              </w:rPr>
            </w:r>
          </w:p>
        </w:tc>
        <w:tc>
          <w:tcPr>
            <w:tcW w:w="6570" w:type="dxa"/>
            <w:tcBorders>
              <w:top w:val="single" w:sz="6" w:space="0" w:color="111111"/>
              <w:left w:val="single" w:sz="6" w:space="0" w:color="111111"/>
              <w:bottom w:val="single" w:sz="6" w:space="0" w:color="111111"/>
              <w:right w:val="single" w:sz="6" w:space="0" w:color="111111"/>
            </w:tcBorders>
          </w:tcPr>
          <w:p>
            <w:pPr>
              <w:pStyle w:val="TableParagraph"/>
              <w:spacing w:line="258" w:lineRule="exact"/>
              <w:ind w:left="308" w:right="-8" w:hanging="208"/>
              <w:jc w:val="left"/>
              <w:rPr>
                <w:rFonts w:ascii="宋体" w:hAnsi="宋体" w:cs="宋体" w:eastAsia="宋体" w:hint="default"/>
                <w:sz w:val="22"/>
                <w:szCs w:val="22"/>
              </w:rPr>
            </w:pPr>
            <w:r>
              <w:rPr>
                <w:rFonts w:ascii="Arial" w:hAnsi="Arial" w:cs="Arial" w:eastAsia="Arial" w:hint="default"/>
                <w:sz w:val="22"/>
                <w:szCs w:val="22"/>
              </w:rPr>
              <w:t>Global system for mobile</w:t>
            </w:r>
            <w:r>
              <w:rPr>
                <w:rFonts w:ascii="Arial" w:hAnsi="Arial" w:cs="Arial" w:eastAsia="Arial" w:hint="default"/>
                <w:spacing w:val="-41"/>
                <w:sz w:val="22"/>
                <w:szCs w:val="22"/>
              </w:rPr>
              <w:t> </w:t>
            </w:r>
            <w:r>
              <w:rPr>
                <w:rFonts w:ascii="Arial" w:hAnsi="Arial" w:cs="Arial" w:eastAsia="Arial" w:hint="default"/>
                <w:sz w:val="22"/>
                <w:szCs w:val="22"/>
              </w:rPr>
              <w:t>communications</w:t>
            </w:r>
            <w:r>
              <w:rPr>
                <w:rFonts w:ascii="宋体" w:hAnsi="宋体" w:cs="宋体" w:eastAsia="宋体" w:hint="default"/>
                <w:sz w:val="22"/>
                <w:szCs w:val="22"/>
              </w:rPr>
              <w:t>，即全球移动通信系统，</w:t>
            </w:r>
          </w:p>
          <w:p>
            <w:pPr>
              <w:pStyle w:val="TableParagraph"/>
              <w:spacing w:line="230" w:lineRule="auto" w:before="1"/>
              <w:ind w:left="308" w:right="97"/>
              <w:jc w:val="both"/>
              <w:rPr>
                <w:rFonts w:ascii="宋体" w:hAnsi="宋体" w:cs="宋体" w:eastAsia="宋体" w:hint="default"/>
                <w:sz w:val="22"/>
                <w:szCs w:val="22"/>
              </w:rPr>
            </w:pPr>
            <w:r>
              <w:rPr>
                <w:rFonts w:ascii="宋体" w:hAnsi="宋体" w:cs="宋体" w:eastAsia="宋体" w:hint="default"/>
                <w:w w:val="95"/>
                <w:sz w:val="22"/>
                <w:szCs w:val="22"/>
              </w:rPr>
              <w:t>基于数字传输和蜂窝移动网络结构，采用时分接入技术，被称为 </w:t>
            </w:r>
            <w:r>
              <w:rPr>
                <w:rFonts w:ascii="宋体" w:hAnsi="宋体" w:cs="宋体" w:eastAsia="宋体" w:hint="default"/>
                <w:spacing w:val="76"/>
                <w:w w:val="95"/>
                <w:sz w:val="22"/>
                <w:szCs w:val="22"/>
              </w:rPr>
              <w:t> </w:t>
            </w:r>
            <w:r>
              <w:rPr>
                <w:rFonts w:ascii="宋体" w:hAnsi="宋体" w:cs="宋体" w:eastAsia="宋体" w:hint="default"/>
                <w:spacing w:val="76"/>
                <w:w w:val="95"/>
                <w:sz w:val="22"/>
                <w:szCs w:val="22"/>
              </w:rPr>
            </w:r>
            <w:r>
              <w:rPr>
                <w:rFonts w:ascii="Arial" w:hAnsi="Arial" w:cs="Arial" w:eastAsia="Arial" w:hint="default"/>
                <w:sz w:val="22"/>
                <w:szCs w:val="22"/>
              </w:rPr>
              <w:t>2G</w:t>
            </w:r>
            <w:r>
              <w:rPr>
                <w:rFonts w:ascii="Arial" w:hAnsi="Arial" w:cs="Arial" w:eastAsia="Arial" w:hint="default"/>
                <w:spacing w:val="-5"/>
                <w:sz w:val="22"/>
                <w:szCs w:val="22"/>
              </w:rPr>
              <w:t> </w:t>
            </w:r>
            <w:r>
              <w:rPr>
                <w:rFonts w:ascii="宋体" w:hAnsi="宋体" w:cs="宋体" w:eastAsia="宋体" w:hint="default"/>
                <w:sz w:val="22"/>
                <w:szCs w:val="22"/>
              </w:rPr>
              <w:t>无线标准。主要部署在</w:t>
            </w:r>
            <w:r>
              <w:rPr>
                <w:rFonts w:ascii="宋体" w:hAnsi="宋体" w:cs="宋体" w:eastAsia="宋体" w:hint="default"/>
                <w:spacing w:val="-52"/>
                <w:sz w:val="22"/>
                <w:szCs w:val="22"/>
              </w:rPr>
              <w:t> </w:t>
            </w:r>
            <w:r>
              <w:rPr>
                <w:rFonts w:ascii="Arial" w:hAnsi="Arial" w:cs="Arial" w:eastAsia="Arial" w:hint="default"/>
                <w:sz w:val="22"/>
                <w:szCs w:val="22"/>
              </w:rPr>
              <w:t>900MHz</w:t>
            </w:r>
            <w:r>
              <w:rPr>
                <w:rFonts w:ascii="宋体" w:hAnsi="宋体" w:cs="宋体" w:eastAsia="宋体" w:hint="default"/>
                <w:sz w:val="22"/>
                <w:szCs w:val="22"/>
              </w:rPr>
              <w:t>、</w:t>
            </w:r>
            <w:r>
              <w:rPr>
                <w:rFonts w:ascii="Arial" w:hAnsi="Arial" w:cs="Arial" w:eastAsia="Arial" w:hint="default"/>
                <w:sz w:val="22"/>
                <w:szCs w:val="22"/>
              </w:rPr>
              <w:t>1800MHz</w:t>
            </w:r>
            <w:r>
              <w:rPr>
                <w:rFonts w:ascii="Arial" w:hAnsi="Arial" w:cs="Arial" w:eastAsia="Arial" w:hint="default"/>
                <w:spacing w:val="-4"/>
                <w:sz w:val="22"/>
                <w:szCs w:val="22"/>
              </w:rPr>
              <w:t> </w:t>
            </w:r>
            <w:r>
              <w:rPr>
                <w:rFonts w:ascii="宋体" w:hAnsi="宋体" w:cs="宋体" w:eastAsia="宋体" w:hint="default"/>
                <w:sz w:val="22"/>
                <w:szCs w:val="22"/>
              </w:rPr>
              <w:t>和</w:t>
            </w:r>
            <w:r>
              <w:rPr>
                <w:rFonts w:ascii="宋体" w:hAnsi="宋体" w:cs="宋体" w:eastAsia="宋体" w:hint="default"/>
                <w:spacing w:val="-54"/>
                <w:sz w:val="22"/>
                <w:szCs w:val="22"/>
              </w:rPr>
              <w:t> </w:t>
            </w:r>
            <w:r>
              <w:rPr>
                <w:rFonts w:ascii="Arial" w:hAnsi="Arial" w:cs="Arial" w:eastAsia="Arial" w:hint="default"/>
                <w:sz w:val="22"/>
                <w:szCs w:val="22"/>
              </w:rPr>
              <w:t>1900MHz</w:t>
            </w:r>
            <w:r>
              <w:rPr>
                <w:rFonts w:ascii="Arial" w:hAnsi="Arial" w:cs="Arial" w:eastAsia="Arial" w:hint="default"/>
                <w:spacing w:val="-4"/>
                <w:sz w:val="22"/>
                <w:szCs w:val="22"/>
              </w:rPr>
              <w:t> </w:t>
            </w:r>
            <w:r>
              <w:rPr>
                <w:rFonts w:ascii="宋体" w:hAnsi="宋体" w:cs="宋体" w:eastAsia="宋体" w:hint="default"/>
                <w:sz w:val="22"/>
                <w:szCs w:val="22"/>
              </w:rPr>
              <w:t>等</w:t>
            </w:r>
            <w:r>
              <w:rPr>
                <w:rFonts w:ascii="宋体" w:hAnsi="宋体" w:cs="宋体" w:eastAsia="宋体" w:hint="default"/>
                <w:w w:val="99"/>
                <w:sz w:val="22"/>
                <w:szCs w:val="22"/>
              </w:rPr>
              <w:t> </w:t>
            </w:r>
            <w:r>
              <w:rPr>
                <w:rFonts w:ascii="宋体" w:hAnsi="宋体" w:cs="宋体" w:eastAsia="宋体" w:hint="default"/>
                <w:sz w:val="22"/>
                <w:szCs w:val="22"/>
              </w:rPr>
              <w:t>频率上，已经在全球实现漫游。</w:t>
            </w:r>
          </w:p>
        </w:tc>
      </w:tr>
      <w:tr>
        <w:trPr>
          <w:trHeight w:val="1157" w:hRule="exact"/>
        </w:trPr>
        <w:tc>
          <w:tcPr>
            <w:tcW w:w="177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99" w:right="0"/>
              <w:jc w:val="left"/>
              <w:rPr>
                <w:rFonts w:ascii="Arial" w:hAnsi="Arial" w:cs="Arial" w:eastAsia="Arial" w:hint="default"/>
                <w:sz w:val="22"/>
                <w:szCs w:val="22"/>
              </w:rPr>
            </w:pPr>
            <w:r>
              <w:rPr>
                <w:rFonts w:ascii="Arial" w:hAnsi="Arial" w:cs="Arial" w:eastAsia="Arial" w:hint="default"/>
                <w:sz w:val="22"/>
                <w:szCs w:val="22"/>
              </w:rPr>
              <w:t>WCDMA</w:t>
            </w:r>
            <w:r>
              <w:rPr>
                <w:rFonts w:ascii="宋体" w:hAnsi="宋体" w:cs="宋体" w:eastAsia="宋体" w:hint="default"/>
                <w:sz w:val="22"/>
                <w:szCs w:val="22"/>
              </w:rPr>
              <w:t>、</w:t>
            </w:r>
            <w:r>
              <w:rPr>
                <w:rFonts w:ascii="Arial" w:hAnsi="Arial" w:cs="Arial" w:eastAsia="Arial" w:hint="default"/>
                <w:sz w:val="22"/>
                <w:szCs w:val="22"/>
              </w:rPr>
              <w:t>3G</w:t>
            </w:r>
          </w:p>
        </w:tc>
        <w:tc>
          <w:tcPr>
            <w:tcW w:w="70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w w:val="99"/>
                <w:sz w:val="22"/>
                <w:szCs w:val="22"/>
              </w:rPr>
              <w:t>指</w:t>
            </w:r>
            <w:r>
              <w:rPr>
                <w:rFonts w:ascii="宋体" w:hAnsi="宋体" w:cs="宋体" w:eastAsia="宋体" w:hint="default"/>
                <w:sz w:val="22"/>
                <w:szCs w:val="22"/>
              </w:rPr>
            </w:r>
          </w:p>
        </w:tc>
        <w:tc>
          <w:tcPr>
            <w:tcW w:w="6570" w:type="dxa"/>
            <w:tcBorders>
              <w:top w:val="single" w:sz="6" w:space="0" w:color="111111"/>
              <w:left w:val="single" w:sz="6" w:space="0" w:color="111111"/>
              <w:bottom w:val="single" w:sz="6" w:space="0" w:color="111111"/>
              <w:right w:val="single" w:sz="6" w:space="0" w:color="111111"/>
            </w:tcBorders>
          </w:tcPr>
          <w:p>
            <w:pPr>
              <w:pStyle w:val="TableParagraph"/>
              <w:spacing w:line="259" w:lineRule="exact"/>
              <w:ind w:left="326" w:right="0" w:hanging="226"/>
              <w:jc w:val="left"/>
              <w:rPr>
                <w:rFonts w:ascii="宋体" w:hAnsi="宋体" w:cs="宋体" w:eastAsia="宋体" w:hint="default"/>
                <w:sz w:val="22"/>
                <w:szCs w:val="22"/>
              </w:rPr>
            </w:pPr>
            <w:r>
              <w:rPr>
                <w:rFonts w:ascii="Arial" w:hAnsi="Arial" w:cs="Arial" w:eastAsia="Arial" w:hint="default"/>
                <w:sz w:val="22"/>
                <w:szCs w:val="22"/>
              </w:rPr>
              <w:t>Wideband Code Division Multiple</w:t>
            </w:r>
            <w:r>
              <w:rPr>
                <w:rFonts w:ascii="Arial" w:hAnsi="Arial" w:cs="Arial" w:eastAsia="Arial" w:hint="default"/>
                <w:spacing w:val="-14"/>
                <w:sz w:val="22"/>
                <w:szCs w:val="22"/>
              </w:rPr>
              <w:t> </w:t>
            </w:r>
            <w:r>
              <w:rPr>
                <w:rFonts w:ascii="Arial" w:hAnsi="Arial" w:cs="Arial" w:eastAsia="Arial" w:hint="default"/>
                <w:sz w:val="22"/>
                <w:szCs w:val="22"/>
              </w:rPr>
              <w:t>Access</w:t>
            </w:r>
            <w:r>
              <w:rPr>
                <w:rFonts w:ascii="宋体" w:hAnsi="宋体" w:cs="宋体" w:eastAsia="宋体" w:hint="default"/>
                <w:sz w:val="22"/>
                <w:szCs w:val="22"/>
              </w:rPr>
              <w:t>，即宽带码分多址技术，</w:t>
            </w:r>
          </w:p>
          <w:p>
            <w:pPr>
              <w:pStyle w:val="TableParagraph"/>
              <w:spacing w:line="286" w:lineRule="exact" w:before="18"/>
              <w:ind w:left="326" w:right="97"/>
              <w:jc w:val="both"/>
              <w:rPr>
                <w:rFonts w:ascii="宋体" w:hAnsi="宋体" w:cs="宋体" w:eastAsia="宋体" w:hint="default"/>
                <w:sz w:val="22"/>
                <w:szCs w:val="22"/>
              </w:rPr>
            </w:pPr>
            <w:r>
              <w:rPr>
                <w:rFonts w:ascii="宋体" w:hAnsi="宋体" w:cs="宋体" w:eastAsia="宋体" w:hint="default"/>
                <w:sz w:val="22"/>
                <w:szCs w:val="22"/>
              </w:rPr>
              <w:t>在</w:t>
            </w:r>
            <w:r>
              <w:rPr>
                <w:rFonts w:ascii="宋体" w:hAnsi="宋体" w:cs="宋体" w:eastAsia="宋体" w:hint="default"/>
                <w:spacing w:val="-56"/>
                <w:sz w:val="22"/>
                <w:szCs w:val="22"/>
              </w:rPr>
              <w:t> </w:t>
            </w:r>
            <w:r>
              <w:rPr>
                <w:rFonts w:ascii="Arial" w:hAnsi="Arial" w:cs="Arial" w:eastAsia="Arial" w:hint="default"/>
                <w:sz w:val="22"/>
                <w:szCs w:val="22"/>
              </w:rPr>
              <w:t>5MHz</w:t>
            </w:r>
            <w:r>
              <w:rPr>
                <w:rFonts w:ascii="Arial" w:hAnsi="Arial" w:cs="Arial" w:eastAsia="Arial" w:hint="default"/>
                <w:spacing w:val="-7"/>
                <w:sz w:val="22"/>
                <w:szCs w:val="22"/>
              </w:rPr>
              <w:t> </w:t>
            </w:r>
            <w:r>
              <w:rPr>
                <w:rFonts w:ascii="宋体" w:hAnsi="宋体" w:cs="宋体" w:eastAsia="宋体" w:hint="default"/>
                <w:spacing w:val="-4"/>
                <w:sz w:val="22"/>
                <w:szCs w:val="22"/>
              </w:rPr>
              <w:t>带宽频谱上传输语音和数据，是与</w:t>
            </w:r>
            <w:r>
              <w:rPr>
                <w:rFonts w:ascii="宋体" w:hAnsi="宋体" w:cs="宋体" w:eastAsia="宋体" w:hint="default"/>
                <w:spacing w:val="-54"/>
                <w:sz w:val="22"/>
                <w:szCs w:val="22"/>
              </w:rPr>
              <w:t> </w:t>
            </w:r>
            <w:r>
              <w:rPr>
                <w:rFonts w:ascii="Arial" w:hAnsi="Arial" w:cs="Arial" w:eastAsia="Arial" w:hint="default"/>
                <w:sz w:val="22"/>
                <w:szCs w:val="22"/>
              </w:rPr>
              <w:t>EV-DO\TD-SCDMA</w:t>
            </w:r>
            <w:r>
              <w:rPr>
                <w:rFonts w:ascii="Arial" w:hAnsi="Arial" w:cs="Arial" w:eastAsia="Arial" w:hint="default"/>
                <w:w w:val="99"/>
                <w:sz w:val="22"/>
                <w:szCs w:val="22"/>
              </w:rPr>
              <w:t> </w:t>
            </w:r>
            <w:r>
              <w:rPr>
                <w:rFonts w:ascii="宋体" w:hAnsi="宋体" w:cs="宋体" w:eastAsia="宋体" w:hint="default"/>
                <w:sz w:val="22"/>
                <w:szCs w:val="22"/>
              </w:rPr>
              <w:t>并列的</w:t>
            </w:r>
            <w:r>
              <w:rPr>
                <w:rFonts w:ascii="宋体" w:hAnsi="宋体" w:cs="宋体" w:eastAsia="宋体" w:hint="default"/>
                <w:spacing w:val="-48"/>
                <w:sz w:val="22"/>
                <w:szCs w:val="22"/>
              </w:rPr>
              <w:t> </w:t>
            </w:r>
            <w:r>
              <w:rPr>
                <w:rFonts w:ascii="Arial" w:hAnsi="Arial" w:cs="Arial" w:eastAsia="Arial" w:hint="default"/>
                <w:sz w:val="22"/>
                <w:szCs w:val="22"/>
              </w:rPr>
              <w:t>3G</w:t>
            </w:r>
            <w:r>
              <w:rPr>
                <w:rFonts w:ascii="Arial" w:hAnsi="Arial" w:cs="Arial" w:eastAsia="Arial" w:hint="default"/>
                <w:spacing w:val="2"/>
                <w:sz w:val="22"/>
                <w:szCs w:val="22"/>
              </w:rPr>
              <w:t> </w:t>
            </w:r>
            <w:r>
              <w:rPr>
                <w:rFonts w:ascii="宋体" w:hAnsi="宋体" w:cs="宋体" w:eastAsia="宋体" w:hint="default"/>
                <w:sz w:val="22"/>
                <w:szCs w:val="22"/>
              </w:rPr>
              <w:t>无线标准，不同的</w:t>
            </w:r>
            <w:r>
              <w:rPr>
                <w:rFonts w:ascii="宋体" w:hAnsi="宋体" w:cs="宋体" w:eastAsia="宋体" w:hint="default"/>
                <w:spacing w:val="-47"/>
                <w:sz w:val="22"/>
                <w:szCs w:val="22"/>
              </w:rPr>
              <w:t> </w:t>
            </w:r>
            <w:r>
              <w:rPr>
                <w:rFonts w:ascii="Arial" w:hAnsi="Arial" w:cs="Arial" w:eastAsia="Arial" w:hint="default"/>
                <w:sz w:val="22"/>
                <w:szCs w:val="22"/>
              </w:rPr>
              <w:t>3GPP</w:t>
            </w:r>
            <w:r>
              <w:rPr>
                <w:rFonts w:ascii="Arial" w:hAnsi="Arial" w:cs="Arial" w:eastAsia="Arial" w:hint="default"/>
                <w:spacing w:val="2"/>
                <w:sz w:val="22"/>
                <w:szCs w:val="22"/>
              </w:rPr>
              <w:t> </w:t>
            </w:r>
            <w:r>
              <w:rPr>
                <w:rFonts w:ascii="宋体" w:hAnsi="宋体" w:cs="宋体" w:eastAsia="宋体" w:hint="default"/>
                <w:sz w:val="22"/>
                <w:szCs w:val="22"/>
              </w:rPr>
              <w:t>版本可以达到</w:t>
            </w:r>
            <w:r>
              <w:rPr>
                <w:rFonts w:ascii="宋体" w:hAnsi="宋体" w:cs="宋体" w:eastAsia="宋体" w:hint="default"/>
                <w:spacing w:val="-47"/>
                <w:sz w:val="22"/>
                <w:szCs w:val="22"/>
              </w:rPr>
              <w:t> </w:t>
            </w:r>
            <w:r>
              <w:rPr>
                <w:rFonts w:ascii="Arial" w:hAnsi="Arial" w:cs="Arial" w:eastAsia="Arial" w:hint="default"/>
                <w:sz w:val="22"/>
                <w:szCs w:val="22"/>
              </w:rPr>
              <w:t>14.4Mbps</w:t>
            </w:r>
            <w:r>
              <w:rPr>
                <w:rFonts w:ascii="宋体" w:hAnsi="宋体" w:cs="宋体" w:eastAsia="宋体" w:hint="default"/>
                <w:sz w:val="22"/>
                <w:szCs w:val="22"/>
              </w:rPr>
              <w:t>、</w:t>
            </w:r>
            <w:r>
              <w:rPr>
                <w:rFonts w:ascii="宋体" w:hAnsi="宋体" w:cs="宋体" w:eastAsia="宋体" w:hint="default"/>
                <w:w w:val="99"/>
                <w:sz w:val="22"/>
                <w:szCs w:val="22"/>
              </w:rPr>
              <w:t> </w:t>
            </w:r>
            <w:r>
              <w:rPr>
                <w:rFonts w:ascii="Arial" w:hAnsi="Arial" w:cs="Arial" w:eastAsia="Arial" w:hint="default"/>
                <w:sz w:val="22"/>
                <w:szCs w:val="22"/>
              </w:rPr>
              <w:t>21Mbps</w:t>
            </w:r>
            <w:r>
              <w:rPr>
                <w:rFonts w:ascii="Arial" w:hAnsi="Arial" w:cs="Arial" w:eastAsia="Arial" w:hint="default"/>
                <w:spacing w:val="-10"/>
                <w:sz w:val="22"/>
                <w:szCs w:val="22"/>
              </w:rPr>
              <w:t> </w:t>
            </w:r>
            <w:r>
              <w:rPr>
                <w:rFonts w:ascii="宋体" w:hAnsi="宋体" w:cs="宋体" w:eastAsia="宋体" w:hint="default"/>
                <w:sz w:val="22"/>
                <w:szCs w:val="22"/>
              </w:rPr>
              <w:t>甚至更高的峰值速率。主要部署在</w:t>
            </w:r>
            <w:r>
              <w:rPr>
                <w:rFonts w:ascii="宋体" w:hAnsi="宋体" w:cs="宋体" w:eastAsia="宋体" w:hint="default"/>
                <w:spacing w:val="-58"/>
                <w:sz w:val="22"/>
                <w:szCs w:val="22"/>
              </w:rPr>
              <w:t> </w:t>
            </w:r>
            <w:r>
              <w:rPr>
                <w:rFonts w:ascii="Arial" w:hAnsi="Arial" w:cs="Arial" w:eastAsia="Arial" w:hint="default"/>
                <w:sz w:val="22"/>
                <w:szCs w:val="22"/>
              </w:rPr>
              <w:t>2.1GHz</w:t>
            </w:r>
            <w:r>
              <w:rPr>
                <w:rFonts w:ascii="Arial" w:hAnsi="Arial" w:cs="Arial" w:eastAsia="Arial" w:hint="default"/>
                <w:spacing w:val="-10"/>
                <w:sz w:val="22"/>
                <w:szCs w:val="22"/>
              </w:rPr>
              <w:t> </w:t>
            </w:r>
            <w:r>
              <w:rPr>
                <w:rFonts w:ascii="宋体" w:hAnsi="宋体" w:cs="宋体" w:eastAsia="宋体" w:hint="default"/>
                <w:sz w:val="22"/>
                <w:szCs w:val="22"/>
              </w:rPr>
              <w:t>频率上。</w:t>
            </w:r>
          </w:p>
        </w:tc>
      </w:tr>
      <w:tr>
        <w:trPr>
          <w:trHeight w:val="300" w:hRule="exact"/>
        </w:trPr>
        <w:tc>
          <w:tcPr>
            <w:tcW w:w="177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
              <w:ind w:left="99" w:right="0"/>
              <w:jc w:val="left"/>
              <w:rPr>
                <w:rFonts w:ascii="Arial" w:hAnsi="Arial" w:cs="Arial" w:eastAsia="Arial" w:hint="default"/>
                <w:sz w:val="22"/>
                <w:szCs w:val="22"/>
              </w:rPr>
            </w:pPr>
            <w:r>
              <w:rPr>
                <w:rFonts w:ascii="Arial"/>
                <w:sz w:val="22"/>
              </w:rPr>
              <w:t>APRU</w:t>
            </w:r>
          </w:p>
        </w:tc>
        <w:tc>
          <w:tcPr>
            <w:tcW w:w="702" w:type="dxa"/>
            <w:tcBorders>
              <w:top w:val="single" w:sz="6" w:space="0" w:color="111111"/>
              <w:left w:val="single" w:sz="6" w:space="0" w:color="111111"/>
              <w:bottom w:val="single" w:sz="6" w:space="0" w:color="111111"/>
              <w:right w:val="single" w:sz="6" w:space="0" w:color="111111"/>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w w:val="99"/>
                <w:sz w:val="22"/>
                <w:szCs w:val="22"/>
              </w:rPr>
              <w:t>指</w:t>
            </w:r>
            <w:r>
              <w:rPr>
                <w:rFonts w:ascii="宋体" w:hAnsi="宋体" w:cs="宋体" w:eastAsia="宋体" w:hint="default"/>
                <w:sz w:val="22"/>
                <w:szCs w:val="22"/>
              </w:rPr>
            </w:r>
          </w:p>
        </w:tc>
        <w:tc>
          <w:tcPr>
            <w:tcW w:w="6570" w:type="dxa"/>
            <w:tcBorders>
              <w:top w:val="single" w:sz="6" w:space="0" w:color="111111"/>
              <w:left w:val="single" w:sz="6" w:space="0" w:color="111111"/>
              <w:bottom w:val="single" w:sz="6" w:space="0" w:color="111111"/>
              <w:right w:val="single" w:sz="6" w:space="0" w:color="111111"/>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指平均每个用户每月贡献的业务收入</w:t>
            </w:r>
          </w:p>
        </w:tc>
      </w:tr>
      <w:tr>
        <w:trPr>
          <w:trHeight w:val="586" w:hRule="exact"/>
        </w:trPr>
        <w:tc>
          <w:tcPr>
            <w:tcW w:w="177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7"/>
              <w:ind w:left="99" w:right="0"/>
              <w:jc w:val="left"/>
              <w:rPr>
                <w:rFonts w:ascii="Arial" w:hAnsi="Arial" w:cs="Arial" w:eastAsia="Arial" w:hint="default"/>
                <w:sz w:val="22"/>
                <w:szCs w:val="22"/>
              </w:rPr>
            </w:pPr>
            <w:r>
              <w:rPr>
                <w:rFonts w:ascii="Arial"/>
                <w:sz w:val="22"/>
              </w:rPr>
              <w:t>EBITDA</w:t>
            </w:r>
          </w:p>
        </w:tc>
        <w:tc>
          <w:tcPr>
            <w:tcW w:w="70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6"/>
              <w:ind w:right="0"/>
              <w:jc w:val="center"/>
              <w:rPr>
                <w:rFonts w:ascii="宋体" w:hAnsi="宋体" w:cs="宋体" w:eastAsia="宋体" w:hint="default"/>
                <w:sz w:val="22"/>
                <w:szCs w:val="22"/>
              </w:rPr>
            </w:pPr>
            <w:r>
              <w:rPr>
                <w:rFonts w:ascii="宋体" w:hAnsi="宋体" w:cs="宋体" w:eastAsia="宋体" w:hint="default"/>
                <w:w w:val="99"/>
                <w:sz w:val="22"/>
                <w:szCs w:val="22"/>
              </w:rPr>
              <w:t>指</w:t>
            </w:r>
            <w:r>
              <w:rPr>
                <w:rFonts w:ascii="宋体" w:hAnsi="宋体" w:cs="宋体" w:eastAsia="宋体" w:hint="default"/>
                <w:sz w:val="22"/>
                <w:szCs w:val="22"/>
              </w:rPr>
            </w:r>
          </w:p>
        </w:tc>
        <w:tc>
          <w:tcPr>
            <w:tcW w:w="6570" w:type="dxa"/>
            <w:tcBorders>
              <w:top w:val="single" w:sz="6" w:space="0" w:color="111111"/>
              <w:left w:val="single" w:sz="6" w:space="0" w:color="111111"/>
              <w:bottom w:val="single" w:sz="6" w:space="0" w:color="111111"/>
              <w:right w:val="single" w:sz="6" w:space="0" w:color="111111"/>
            </w:tcBorders>
          </w:tcPr>
          <w:p>
            <w:pPr>
              <w:pStyle w:val="TableParagraph"/>
              <w:spacing w:line="251" w:lineRule="exact"/>
              <w:ind w:left="100" w:right="0"/>
              <w:jc w:val="left"/>
              <w:rPr>
                <w:rFonts w:ascii="宋体" w:hAnsi="宋体" w:cs="宋体" w:eastAsia="宋体" w:hint="default"/>
                <w:sz w:val="22"/>
                <w:szCs w:val="22"/>
              </w:rPr>
            </w:pPr>
            <w:r>
              <w:rPr>
                <w:rFonts w:ascii="宋体" w:hAnsi="宋体" w:cs="宋体" w:eastAsia="宋体" w:hint="default"/>
                <w:sz w:val="22"/>
                <w:szCs w:val="22"/>
              </w:rPr>
              <w:t>反映加回（减去）财务费用（收入）、所得税、营业成本及管理费</w:t>
            </w:r>
          </w:p>
          <w:p>
            <w:pPr>
              <w:pStyle w:val="TableParagraph"/>
              <w:spacing w:line="287" w:lineRule="exact"/>
              <w:ind w:left="326" w:right="0"/>
              <w:jc w:val="left"/>
              <w:rPr>
                <w:rFonts w:ascii="宋体" w:hAnsi="宋体" w:cs="宋体" w:eastAsia="宋体" w:hint="default"/>
                <w:sz w:val="22"/>
                <w:szCs w:val="22"/>
              </w:rPr>
            </w:pPr>
            <w:r>
              <w:rPr>
                <w:rFonts w:ascii="宋体" w:hAnsi="宋体" w:cs="宋体" w:eastAsia="宋体" w:hint="default"/>
                <w:sz w:val="22"/>
                <w:szCs w:val="22"/>
              </w:rPr>
              <w:t>用中的折旧及摊销以及减去投资收益的营业利润。</w:t>
            </w:r>
          </w:p>
        </w:tc>
      </w:tr>
      <w:tr>
        <w:trPr>
          <w:trHeight w:val="2013" w:hRule="exact"/>
        </w:trPr>
        <w:tc>
          <w:tcPr>
            <w:tcW w:w="177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99" w:right="0"/>
              <w:jc w:val="left"/>
              <w:rPr>
                <w:rFonts w:ascii="Arial" w:hAnsi="Arial" w:cs="Arial" w:eastAsia="Arial" w:hint="default"/>
                <w:sz w:val="22"/>
                <w:szCs w:val="22"/>
              </w:rPr>
            </w:pPr>
            <w:r>
              <w:rPr>
                <w:rFonts w:ascii="Arial"/>
                <w:sz w:val="22"/>
              </w:rPr>
              <w:t>LTE</w:t>
            </w:r>
          </w:p>
        </w:tc>
        <w:tc>
          <w:tcPr>
            <w:tcW w:w="70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w w:val="99"/>
                <w:sz w:val="22"/>
                <w:szCs w:val="22"/>
              </w:rPr>
              <w:t>指</w:t>
            </w:r>
            <w:r>
              <w:rPr>
                <w:rFonts w:ascii="宋体" w:hAnsi="宋体" w:cs="宋体" w:eastAsia="宋体" w:hint="default"/>
                <w:sz w:val="22"/>
                <w:szCs w:val="22"/>
              </w:rPr>
            </w:r>
          </w:p>
        </w:tc>
        <w:tc>
          <w:tcPr>
            <w:tcW w:w="6570" w:type="dxa"/>
            <w:tcBorders>
              <w:top w:val="single" w:sz="6" w:space="0" w:color="111111"/>
              <w:left w:val="single" w:sz="6" w:space="0" w:color="111111"/>
              <w:bottom w:val="single" w:sz="6" w:space="0" w:color="111111"/>
              <w:right w:val="single" w:sz="6" w:space="0" w:color="111111"/>
            </w:tcBorders>
          </w:tcPr>
          <w:p>
            <w:pPr>
              <w:pStyle w:val="TableParagraph"/>
              <w:spacing w:line="258" w:lineRule="exact"/>
              <w:ind w:left="326" w:right="0" w:hanging="226"/>
              <w:jc w:val="left"/>
              <w:rPr>
                <w:rFonts w:ascii="宋体" w:hAnsi="宋体" w:cs="宋体" w:eastAsia="宋体" w:hint="default"/>
                <w:sz w:val="22"/>
                <w:szCs w:val="22"/>
              </w:rPr>
            </w:pPr>
            <w:r>
              <w:rPr>
                <w:rFonts w:ascii="宋体" w:hAnsi="宋体" w:cs="宋体" w:eastAsia="宋体" w:hint="default"/>
                <w:sz w:val="22"/>
                <w:szCs w:val="22"/>
              </w:rPr>
              <w:t>全称是</w:t>
            </w:r>
            <w:r>
              <w:rPr>
                <w:rFonts w:ascii="宋体" w:hAnsi="宋体" w:cs="宋体" w:eastAsia="宋体" w:hint="default"/>
                <w:spacing w:val="-57"/>
                <w:sz w:val="22"/>
                <w:szCs w:val="22"/>
              </w:rPr>
              <w:t> </w:t>
            </w:r>
            <w:r>
              <w:rPr>
                <w:rFonts w:ascii="Arial" w:hAnsi="Arial" w:cs="Arial" w:eastAsia="Arial" w:hint="default"/>
                <w:sz w:val="22"/>
                <w:szCs w:val="22"/>
              </w:rPr>
              <w:t>Long</w:t>
            </w:r>
            <w:r>
              <w:rPr>
                <w:rFonts w:ascii="Arial" w:hAnsi="Arial" w:cs="Arial" w:eastAsia="Arial" w:hint="default"/>
                <w:spacing w:val="24"/>
                <w:sz w:val="22"/>
                <w:szCs w:val="22"/>
              </w:rPr>
              <w:t> </w:t>
            </w:r>
            <w:r>
              <w:rPr>
                <w:rFonts w:ascii="Arial" w:hAnsi="Arial" w:cs="Arial" w:eastAsia="Arial" w:hint="default"/>
                <w:sz w:val="22"/>
                <w:szCs w:val="22"/>
              </w:rPr>
              <w:t>Term</w:t>
            </w:r>
            <w:r>
              <w:rPr>
                <w:rFonts w:ascii="Arial" w:hAnsi="Arial" w:cs="Arial" w:eastAsia="Arial" w:hint="default"/>
                <w:spacing w:val="23"/>
                <w:sz w:val="22"/>
                <w:szCs w:val="22"/>
              </w:rPr>
              <w:t> </w:t>
            </w:r>
            <w:r>
              <w:rPr>
                <w:rFonts w:ascii="Arial" w:hAnsi="Arial" w:cs="Arial" w:eastAsia="Arial" w:hint="default"/>
                <w:sz w:val="22"/>
                <w:szCs w:val="22"/>
              </w:rPr>
              <w:t>Evolution</w:t>
            </w:r>
            <w:r>
              <w:rPr>
                <w:rFonts w:ascii="宋体" w:hAnsi="宋体" w:cs="宋体" w:eastAsia="宋体" w:hint="default"/>
                <w:sz w:val="22"/>
                <w:szCs w:val="22"/>
              </w:rPr>
              <w:t>，是一种由国际标准化组织</w:t>
            </w:r>
            <w:r>
              <w:rPr>
                <w:rFonts w:ascii="宋体" w:hAnsi="宋体" w:cs="宋体" w:eastAsia="宋体" w:hint="default"/>
                <w:spacing w:val="-56"/>
                <w:sz w:val="22"/>
                <w:szCs w:val="22"/>
              </w:rPr>
              <w:t> </w:t>
            </w:r>
            <w:r>
              <w:rPr>
                <w:rFonts w:ascii="Arial" w:hAnsi="Arial" w:cs="Arial" w:eastAsia="Arial" w:hint="default"/>
                <w:sz w:val="22"/>
                <w:szCs w:val="22"/>
              </w:rPr>
              <w:t>3GPP</w:t>
            </w:r>
            <w:r>
              <w:rPr>
                <w:rFonts w:ascii="Arial" w:hAnsi="Arial" w:cs="Arial" w:eastAsia="Arial" w:hint="default"/>
                <w:spacing w:val="-9"/>
                <w:sz w:val="22"/>
                <w:szCs w:val="22"/>
              </w:rPr>
              <w:t> </w:t>
            </w:r>
            <w:r>
              <w:rPr>
                <w:rFonts w:ascii="宋体" w:hAnsi="宋体" w:cs="宋体" w:eastAsia="宋体" w:hint="default"/>
                <w:sz w:val="22"/>
                <w:szCs w:val="22"/>
              </w:rPr>
              <w:t>主</w:t>
            </w:r>
          </w:p>
          <w:p>
            <w:pPr>
              <w:pStyle w:val="TableParagraph"/>
              <w:spacing w:line="225" w:lineRule="auto" w:before="6"/>
              <w:ind w:left="326" w:right="11"/>
              <w:jc w:val="left"/>
              <w:rPr>
                <w:rFonts w:ascii="宋体" w:hAnsi="宋体" w:cs="宋体" w:eastAsia="宋体" w:hint="default"/>
                <w:sz w:val="22"/>
                <w:szCs w:val="22"/>
              </w:rPr>
            </w:pPr>
            <w:r>
              <w:rPr>
                <w:rFonts w:ascii="宋体" w:hAnsi="宋体" w:cs="宋体" w:eastAsia="宋体" w:hint="default"/>
                <w:sz w:val="22"/>
                <w:szCs w:val="22"/>
              </w:rPr>
              <w:t>导的</w:t>
            </w:r>
            <w:r>
              <w:rPr>
                <w:rFonts w:ascii="宋体" w:hAnsi="宋体" w:cs="宋体" w:eastAsia="宋体" w:hint="default"/>
                <w:spacing w:val="-47"/>
                <w:sz w:val="22"/>
                <w:szCs w:val="22"/>
              </w:rPr>
              <w:t> </w:t>
            </w:r>
            <w:r>
              <w:rPr>
                <w:rFonts w:ascii="Arial" w:hAnsi="Arial" w:cs="Arial" w:eastAsia="Arial" w:hint="default"/>
                <w:sz w:val="22"/>
                <w:szCs w:val="22"/>
              </w:rPr>
              <w:t>3G</w:t>
            </w:r>
            <w:r>
              <w:rPr>
                <w:rFonts w:ascii="Arial" w:hAnsi="Arial" w:cs="Arial" w:eastAsia="Arial" w:hint="default"/>
                <w:spacing w:val="1"/>
                <w:sz w:val="22"/>
                <w:szCs w:val="22"/>
              </w:rPr>
              <w:t> </w:t>
            </w:r>
            <w:r>
              <w:rPr>
                <w:rFonts w:ascii="宋体" w:hAnsi="宋体" w:cs="宋体" w:eastAsia="宋体" w:hint="default"/>
                <w:sz w:val="22"/>
                <w:szCs w:val="22"/>
              </w:rPr>
              <w:t>演进技术，被公认为</w:t>
            </w:r>
            <w:r>
              <w:rPr>
                <w:rFonts w:ascii="宋体" w:hAnsi="宋体" w:cs="宋体" w:eastAsia="宋体" w:hint="default"/>
                <w:spacing w:val="-46"/>
                <w:sz w:val="22"/>
                <w:szCs w:val="22"/>
              </w:rPr>
              <w:t> </w:t>
            </w:r>
            <w:r>
              <w:rPr>
                <w:rFonts w:ascii="Arial" w:hAnsi="Arial" w:cs="Arial" w:eastAsia="Arial" w:hint="default"/>
                <w:sz w:val="22"/>
                <w:szCs w:val="22"/>
              </w:rPr>
              <w:t>4G</w:t>
            </w:r>
            <w:r>
              <w:rPr>
                <w:rFonts w:ascii="Arial" w:hAnsi="Arial" w:cs="Arial" w:eastAsia="Arial" w:hint="default"/>
                <w:spacing w:val="2"/>
                <w:sz w:val="22"/>
                <w:szCs w:val="22"/>
              </w:rPr>
              <w:t> </w:t>
            </w:r>
            <w:r>
              <w:rPr>
                <w:rFonts w:ascii="宋体" w:hAnsi="宋体" w:cs="宋体" w:eastAsia="宋体" w:hint="default"/>
                <w:sz w:val="22"/>
                <w:szCs w:val="22"/>
              </w:rPr>
              <w:t>时代的无线接入技术，采用了</w:t>
            </w:r>
            <w:r>
              <w:rPr>
                <w:rFonts w:ascii="宋体" w:hAnsi="宋体" w:cs="宋体" w:eastAsia="宋体" w:hint="default"/>
                <w:w w:val="99"/>
                <w:sz w:val="22"/>
                <w:szCs w:val="22"/>
              </w:rPr>
              <w:t> </w:t>
            </w:r>
            <w:r>
              <w:rPr>
                <w:rFonts w:ascii="Arial" w:hAnsi="Arial" w:cs="Arial" w:eastAsia="Arial" w:hint="default"/>
                <w:sz w:val="22"/>
                <w:szCs w:val="22"/>
              </w:rPr>
              <w:t>OFDM</w:t>
            </w:r>
            <w:r>
              <w:rPr>
                <w:rFonts w:ascii="Arial" w:hAnsi="Arial" w:cs="Arial" w:eastAsia="Arial" w:hint="default"/>
                <w:spacing w:val="29"/>
                <w:sz w:val="22"/>
                <w:szCs w:val="22"/>
              </w:rPr>
              <w:t> </w:t>
            </w:r>
            <w:r>
              <w:rPr>
                <w:rFonts w:ascii="宋体" w:hAnsi="宋体" w:cs="宋体" w:eastAsia="宋体" w:hint="default"/>
                <w:sz w:val="22"/>
                <w:szCs w:val="22"/>
              </w:rPr>
              <w:t>和</w:t>
            </w:r>
            <w:r>
              <w:rPr>
                <w:rFonts w:ascii="宋体" w:hAnsi="宋体" w:cs="宋体" w:eastAsia="宋体" w:hint="default"/>
                <w:spacing w:val="43"/>
                <w:sz w:val="22"/>
                <w:szCs w:val="22"/>
              </w:rPr>
              <w:t> </w:t>
            </w:r>
            <w:r>
              <w:rPr>
                <w:rFonts w:ascii="Arial" w:hAnsi="Arial" w:cs="Arial" w:eastAsia="Arial" w:hint="default"/>
                <w:sz w:val="22"/>
                <w:szCs w:val="22"/>
              </w:rPr>
              <w:t>MIMO</w:t>
            </w:r>
            <w:r>
              <w:rPr>
                <w:rFonts w:ascii="Arial" w:hAnsi="Arial" w:cs="Arial" w:eastAsia="Arial" w:hint="default"/>
                <w:spacing w:val="30"/>
                <w:sz w:val="22"/>
                <w:szCs w:val="22"/>
              </w:rPr>
              <w:t> </w:t>
            </w:r>
            <w:r>
              <w:rPr>
                <w:rFonts w:ascii="宋体" w:hAnsi="宋体" w:cs="宋体" w:eastAsia="宋体" w:hint="default"/>
                <w:sz w:val="22"/>
                <w:szCs w:val="22"/>
              </w:rPr>
              <w:t>等</w:t>
            </w:r>
            <w:r>
              <w:rPr>
                <w:rFonts w:ascii="宋体" w:hAnsi="宋体" w:cs="宋体" w:eastAsia="宋体" w:hint="default"/>
                <w:spacing w:val="-67"/>
                <w:sz w:val="22"/>
                <w:szCs w:val="22"/>
              </w:rPr>
              <w:t> </w:t>
            </w:r>
            <w:r>
              <w:rPr>
                <w:rFonts w:ascii="宋体" w:hAnsi="宋体" w:cs="宋体" w:eastAsia="宋体" w:hint="default"/>
                <w:sz w:val="22"/>
                <w:szCs w:val="22"/>
              </w:rPr>
              <w:t>技</w:t>
            </w:r>
            <w:r>
              <w:rPr>
                <w:rFonts w:ascii="宋体" w:hAnsi="宋体" w:cs="宋体" w:eastAsia="宋体" w:hint="default"/>
                <w:spacing w:val="-68"/>
                <w:sz w:val="22"/>
                <w:szCs w:val="22"/>
              </w:rPr>
              <w:t> </w:t>
            </w:r>
            <w:r>
              <w:rPr>
                <w:rFonts w:ascii="宋体" w:hAnsi="宋体" w:cs="宋体" w:eastAsia="宋体" w:hint="default"/>
                <w:sz w:val="22"/>
                <w:szCs w:val="22"/>
              </w:rPr>
              <w:t>术</w:t>
            </w:r>
            <w:r>
              <w:rPr>
                <w:rFonts w:ascii="宋体" w:hAnsi="宋体" w:cs="宋体" w:eastAsia="宋体" w:hint="default"/>
                <w:spacing w:val="-67"/>
                <w:sz w:val="22"/>
                <w:szCs w:val="22"/>
              </w:rPr>
              <w:t> </w:t>
            </w:r>
            <w:r>
              <w:rPr>
                <w:rFonts w:ascii="宋体" w:hAnsi="宋体" w:cs="宋体" w:eastAsia="宋体" w:hint="default"/>
                <w:sz w:val="22"/>
                <w:szCs w:val="22"/>
              </w:rPr>
              <w:t>以</w:t>
            </w:r>
            <w:r>
              <w:rPr>
                <w:rFonts w:ascii="宋体" w:hAnsi="宋体" w:cs="宋体" w:eastAsia="宋体" w:hint="default"/>
                <w:spacing w:val="-68"/>
                <w:sz w:val="22"/>
                <w:szCs w:val="22"/>
              </w:rPr>
              <w:t> </w:t>
            </w:r>
            <w:r>
              <w:rPr>
                <w:rFonts w:ascii="宋体" w:hAnsi="宋体" w:cs="宋体" w:eastAsia="宋体" w:hint="default"/>
                <w:sz w:val="22"/>
                <w:szCs w:val="22"/>
              </w:rPr>
              <w:t>及</w:t>
            </w:r>
            <w:r>
              <w:rPr>
                <w:rFonts w:ascii="宋体" w:hAnsi="宋体" w:cs="宋体" w:eastAsia="宋体" w:hint="default"/>
                <w:spacing w:val="-67"/>
                <w:sz w:val="22"/>
                <w:szCs w:val="22"/>
              </w:rPr>
              <w:t> </w:t>
            </w:r>
            <w:r>
              <w:rPr>
                <w:rFonts w:ascii="宋体" w:hAnsi="宋体" w:cs="宋体" w:eastAsia="宋体" w:hint="default"/>
                <w:sz w:val="22"/>
                <w:szCs w:val="22"/>
              </w:rPr>
              <w:t>比</w:t>
            </w:r>
            <w:r>
              <w:rPr>
                <w:rFonts w:ascii="宋体" w:hAnsi="宋体" w:cs="宋体" w:eastAsia="宋体" w:hint="default"/>
                <w:spacing w:val="44"/>
                <w:sz w:val="22"/>
                <w:szCs w:val="22"/>
              </w:rPr>
              <w:t> </w:t>
            </w:r>
            <w:r>
              <w:rPr>
                <w:rFonts w:ascii="Arial" w:hAnsi="Arial" w:cs="Arial" w:eastAsia="Arial" w:hint="default"/>
                <w:sz w:val="22"/>
                <w:szCs w:val="22"/>
              </w:rPr>
              <w:t>3G</w:t>
            </w:r>
            <w:r>
              <w:rPr>
                <w:rFonts w:ascii="Arial" w:hAnsi="Arial" w:cs="Arial" w:eastAsia="Arial" w:hint="default"/>
                <w:spacing w:val="29"/>
                <w:sz w:val="22"/>
                <w:szCs w:val="22"/>
              </w:rPr>
              <w:t> </w:t>
            </w:r>
            <w:r>
              <w:rPr>
                <w:rFonts w:ascii="宋体" w:hAnsi="宋体" w:cs="宋体" w:eastAsia="宋体" w:hint="default"/>
                <w:sz w:val="22"/>
                <w:szCs w:val="22"/>
              </w:rPr>
              <w:t>更</w:t>
            </w:r>
            <w:r>
              <w:rPr>
                <w:rFonts w:ascii="宋体" w:hAnsi="宋体" w:cs="宋体" w:eastAsia="宋体" w:hint="default"/>
                <w:spacing w:val="-67"/>
                <w:sz w:val="22"/>
                <w:szCs w:val="22"/>
              </w:rPr>
              <w:t> </w:t>
            </w:r>
            <w:r>
              <w:rPr>
                <w:rFonts w:ascii="宋体" w:hAnsi="宋体" w:cs="宋体" w:eastAsia="宋体" w:hint="default"/>
                <w:sz w:val="22"/>
                <w:szCs w:val="22"/>
              </w:rPr>
              <w:t>灵</w:t>
            </w:r>
            <w:r>
              <w:rPr>
                <w:rFonts w:ascii="宋体" w:hAnsi="宋体" w:cs="宋体" w:eastAsia="宋体" w:hint="default"/>
                <w:spacing w:val="-68"/>
                <w:sz w:val="22"/>
                <w:szCs w:val="22"/>
              </w:rPr>
              <w:t> </w:t>
            </w:r>
            <w:r>
              <w:rPr>
                <w:rFonts w:ascii="宋体" w:hAnsi="宋体" w:cs="宋体" w:eastAsia="宋体" w:hint="default"/>
                <w:sz w:val="22"/>
                <w:szCs w:val="22"/>
              </w:rPr>
              <w:t>活</w:t>
            </w:r>
            <w:r>
              <w:rPr>
                <w:rFonts w:ascii="宋体" w:hAnsi="宋体" w:cs="宋体" w:eastAsia="宋体" w:hint="default"/>
                <w:spacing w:val="-67"/>
                <w:sz w:val="22"/>
                <w:szCs w:val="22"/>
              </w:rPr>
              <w:t> </w:t>
            </w:r>
            <w:r>
              <w:rPr>
                <w:rFonts w:ascii="宋体" w:hAnsi="宋体" w:cs="宋体" w:eastAsia="宋体" w:hint="default"/>
                <w:sz w:val="22"/>
                <w:szCs w:val="22"/>
              </w:rPr>
              <w:t>的</w:t>
            </w:r>
            <w:r>
              <w:rPr>
                <w:rFonts w:ascii="宋体" w:hAnsi="宋体" w:cs="宋体" w:eastAsia="宋体" w:hint="default"/>
                <w:spacing w:val="-68"/>
                <w:sz w:val="22"/>
                <w:szCs w:val="22"/>
              </w:rPr>
              <w:t> </w:t>
            </w:r>
            <w:r>
              <w:rPr>
                <w:rFonts w:ascii="宋体" w:hAnsi="宋体" w:cs="宋体" w:eastAsia="宋体" w:hint="default"/>
                <w:sz w:val="22"/>
                <w:szCs w:val="22"/>
              </w:rPr>
              <w:t>频</w:t>
            </w:r>
            <w:r>
              <w:rPr>
                <w:rFonts w:ascii="宋体" w:hAnsi="宋体" w:cs="宋体" w:eastAsia="宋体" w:hint="default"/>
                <w:spacing w:val="-67"/>
                <w:sz w:val="22"/>
                <w:szCs w:val="22"/>
              </w:rPr>
              <w:t> </w:t>
            </w:r>
            <w:r>
              <w:rPr>
                <w:rFonts w:ascii="宋体" w:hAnsi="宋体" w:cs="宋体" w:eastAsia="宋体" w:hint="default"/>
                <w:sz w:val="22"/>
                <w:szCs w:val="22"/>
              </w:rPr>
              <w:t>谱</w:t>
            </w:r>
            <w:r>
              <w:rPr>
                <w:rFonts w:ascii="宋体" w:hAnsi="宋体" w:cs="宋体" w:eastAsia="宋体" w:hint="default"/>
                <w:spacing w:val="-68"/>
                <w:sz w:val="22"/>
                <w:szCs w:val="22"/>
              </w:rPr>
              <w:t> </w:t>
            </w:r>
            <w:r>
              <w:rPr>
                <w:rFonts w:ascii="宋体" w:hAnsi="宋体" w:cs="宋体" w:eastAsia="宋体" w:hint="default"/>
                <w:sz w:val="22"/>
                <w:szCs w:val="22"/>
              </w:rPr>
              <w:t>带</w:t>
            </w:r>
            <w:r>
              <w:rPr>
                <w:rFonts w:ascii="宋体" w:hAnsi="宋体" w:cs="宋体" w:eastAsia="宋体" w:hint="default"/>
                <w:spacing w:val="-68"/>
                <w:sz w:val="22"/>
                <w:szCs w:val="22"/>
              </w:rPr>
              <w:t> </w:t>
            </w:r>
            <w:r>
              <w:rPr>
                <w:rFonts w:ascii="宋体" w:hAnsi="宋体" w:cs="宋体" w:eastAsia="宋体" w:hint="default"/>
                <w:sz w:val="22"/>
                <w:szCs w:val="22"/>
              </w:rPr>
              <w:t>宽</w:t>
            </w:r>
            <w:r>
              <w:rPr>
                <w:rFonts w:ascii="宋体" w:hAnsi="宋体" w:cs="宋体" w:eastAsia="宋体" w:hint="default"/>
                <w:w w:val="99"/>
                <w:sz w:val="22"/>
                <w:szCs w:val="22"/>
              </w:rPr>
              <w:t> </w:t>
            </w:r>
            <w:r>
              <w:rPr>
                <w:rFonts w:ascii="Arial" w:hAnsi="Arial" w:cs="Arial" w:eastAsia="Arial" w:hint="default"/>
                <w:sz w:val="22"/>
                <w:szCs w:val="22"/>
              </w:rPr>
              <w:t>(1.4~20MHz)</w:t>
            </w:r>
            <w:r>
              <w:rPr>
                <w:rFonts w:ascii="宋体" w:hAnsi="宋体" w:cs="宋体" w:eastAsia="宋体" w:hint="default"/>
                <w:sz w:val="22"/>
                <w:szCs w:val="22"/>
              </w:rPr>
              <w:t>，实现峰值速率</w:t>
            </w:r>
            <w:r>
              <w:rPr>
                <w:rFonts w:ascii="宋体" w:hAnsi="宋体" w:cs="宋体" w:eastAsia="宋体" w:hint="default"/>
                <w:spacing w:val="-58"/>
                <w:sz w:val="22"/>
                <w:szCs w:val="22"/>
              </w:rPr>
              <w:t> </w:t>
            </w:r>
            <w:r>
              <w:rPr>
                <w:rFonts w:ascii="Arial" w:hAnsi="Arial" w:cs="Arial" w:eastAsia="Arial" w:hint="default"/>
                <w:sz w:val="22"/>
                <w:szCs w:val="22"/>
              </w:rPr>
              <w:t>100</w:t>
            </w:r>
            <w:r>
              <w:rPr>
                <w:rFonts w:ascii="宋体" w:hAnsi="宋体" w:cs="宋体" w:eastAsia="宋体" w:hint="default"/>
                <w:sz w:val="22"/>
                <w:szCs w:val="22"/>
              </w:rPr>
              <w:t>～</w:t>
            </w:r>
            <w:r>
              <w:rPr>
                <w:rFonts w:ascii="Arial" w:hAnsi="Arial" w:cs="Arial" w:eastAsia="Arial" w:hint="default"/>
                <w:sz w:val="22"/>
                <w:szCs w:val="22"/>
              </w:rPr>
              <w:t>150Mbps</w:t>
            </w:r>
            <w:r>
              <w:rPr>
                <w:rFonts w:ascii="宋体" w:hAnsi="宋体" w:cs="宋体" w:eastAsia="宋体" w:hint="default"/>
                <w:sz w:val="22"/>
                <w:szCs w:val="22"/>
              </w:rPr>
              <w:t>（</w:t>
            </w:r>
            <w:r>
              <w:rPr>
                <w:rFonts w:ascii="Arial" w:hAnsi="Arial" w:cs="Arial" w:eastAsia="Arial" w:hint="default"/>
                <w:sz w:val="22"/>
                <w:szCs w:val="22"/>
              </w:rPr>
              <w:t>20MHz</w:t>
            </w:r>
            <w:r>
              <w:rPr>
                <w:rFonts w:ascii="Arial" w:hAnsi="Arial" w:cs="Arial" w:eastAsia="Arial" w:hint="default"/>
                <w:spacing w:val="-10"/>
                <w:sz w:val="22"/>
                <w:szCs w:val="22"/>
              </w:rPr>
              <w:t> </w:t>
            </w:r>
            <w:r>
              <w:rPr>
                <w:rFonts w:ascii="宋体" w:hAnsi="宋体" w:cs="宋体" w:eastAsia="宋体" w:hint="default"/>
                <w:sz w:val="22"/>
                <w:szCs w:val="22"/>
              </w:rPr>
              <w:t>带宽）。</w:t>
            </w:r>
            <w:r>
              <w:rPr>
                <w:rFonts w:ascii="宋体" w:hAnsi="宋体" w:cs="宋体" w:eastAsia="宋体" w:hint="default"/>
                <w:w w:val="99"/>
                <w:sz w:val="22"/>
                <w:szCs w:val="22"/>
              </w:rPr>
              <w:t> </w:t>
            </w:r>
            <w:r>
              <w:rPr>
                <w:rFonts w:ascii="宋体" w:hAnsi="宋体" w:cs="宋体" w:eastAsia="宋体" w:hint="default"/>
                <w:sz w:val="22"/>
                <w:szCs w:val="22"/>
              </w:rPr>
              <w:t>目前</w:t>
            </w:r>
            <w:r>
              <w:rPr>
                <w:rFonts w:ascii="宋体" w:hAnsi="宋体" w:cs="宋体" w:eastAsia="宋体" w:hint="default"/>
                <w:spacing w:val="-81"/>
                <w:sz w:val="22"/>
                <w:szCs w:val="22"/>
              </w:rPr>
              <w:t> </w:t>
            </w:r>
            <w:r>
              <w:rPr>
                <w:rFonts w:ascii="Arial" w:hAnsi="Arial" w:cs="Arial" w:eastAsia="Arial" w:hint="default"/>
                <w:sz w:val="22"/>
                <w:szCs w:val="22"/>
              </w:rPr>
              <w:t>3GPP</w:t>
            </w:r>
            <w:r>
              <w:rPr>
                <w:rFonts w:ascii="Arial" w:hAnsi="Arial" w:cs="Arial" w:eastAsia="Arial" w:hint="default"/>
                <w:spacing w:val="-31"/>
                <w:sz w:val="22"/>
                <w:szCs w:val="22"/>
              </w:rPr>
              <w:t> </w:t>
            </w:r>
            <w:r>
              <w:rPr>
                <w:rFonts w:ascii="宋体" w:hAnsi="宋体" w:cs="宋体" w:eastAsia="宋体" w:hint="default"/>
                <w:sz w:val="22"/>
                <w:szCs w:val="22"/>
              </w:rPr>
              <w:t>正在制定</w:t>
            </w:r>
            <w:r>
              <w:rPr>
                <w:rFonts w:ascii="宋体" w:hAnsi="宋体" w:cs="宋体" w:eastAsia="宋体" w:hint="default"/>
                <w:spacing w:val="-81"/>
                <w:sz w:val="22"/>
                <w:szCs w:val="22"/>
              </w:rPr>
              <w:t> </w:t>
            </w:r>
            <w:r>
              <w:rPr>
                <w:rFonts w:ascii="Arial" w:hAnsi="Arial" w:cs="Arial" w:eastAsia="Arial" w:hint="default"/>
                <w:sz w:val="22"/>
                <w:szCs w:val="22"/>
              </w:rPr>
              <w:t>LTE-Advanced</w:t>
            </w:r>
            <w:r>
              <w:rPr>
                <w:rFonts w:ascii="Arial" w:hAnsi="Arial" w:cs="Arial" w:eastAsia="Arial" w:hint="default"/>
                <w:spacing w:val="-32"/>
                <w:sz w:val="22"/>
                <w:szCs w:val="22"/>
              </w:rPr>
              <w:t> </w:t>
            </w:r>
            <w:r>
              <w:rPr>
                <w:rFonts w:ascii="宋体" w:hAnsi="宋体" w:cs="宋体" w:eastAsia="宋体" w:hint="default"/>
                <w:sz w:val="22"/>
                <w:szCs w:val="22"/>
              </w:rPr>
              <w:t>标准，可以达到更高的峰值</w:t>
            </w:r>
            <w:r>
              <w:rPr>
                <w:rFonts w:ascii="宋体" w:hAnsi="宋体" w:cs="宋体" w:eastAsia="宋体" w:hint="default"/>
                <w:w w:val="99"/>
                <w:sz w:val="22"/>
                <w:szCs w:val="22"/>
              </w:rPr>
              <w:t> </w:t>
            </w:r>
            <w:r>
              <w:rPr>
                <w:rFonts w:ascii="宋体" w:hAnsi="宋体" w:cs="宋体" w:eastAsia="宋体" w:hint="default"/>
                <w:sz w:val="22"/>
                <w:szCs w:val="22"/>
              </w:rPr>
              <w:t>速率。截至</w:t>
            </w:r>
            <w:r>
              <w:rPr>
                <w:rFonts w:ascii="宋体" w:hAnsi="宋体" w:cs="宋体" w:eastAsia="宋体" w:hint="default"/>
                <w:spacing w:val="-74"/>
                <w:sz w:val="22"/>
                <w:szCs w:val="22"/>
              </w:rPr>
              <w:t> </w:t>
            </w:r>
            <w:r>
              <w:rPr>
                <w:rFonts w:ascii="Arial" w:hAnsi="Arial" w:cs="Arial" w:eastAsia="Arial" w:hint="default"/>
                <w:sz w:val="22"/>
                <w:szCs w:val="22"/>
              </w:rPr>
              <w:t>2013</w:t>
            </w:r>
            <w:r>
              <w:rPr>
                <w:rFonts w:ascii="Arial" w:hAnsi="Arial" w:cs="Arial" w:eastAsia="Arial" w:hint="default"/>
                <w:spacing w:val="-26"/>
                <w:sz w:val="22"/>
                <w:szCs w:val="22"/>
              </w:rPr>
              <w:t> </w:t>
            </w:r>
            <w:r>
              <w:rPr>
                <w:rFonts w:ascii="宋体" w:hAnsi="宋体" w:cs="宋体" w:eastAsia="宋体" w:hint="default"/>
                <w:sz w:val="22"/>
                <w:szCs w:val="22"/>
              </w:rPr>
              <w:t>年</w:t>
            </w:r>
            <w:r>
              <w:rPr>
                <w:rFonts w:ascii="宋体" w:hAnsi="宋体" w:cs="宋体" w:eastAsia="宋体" w:hint="default"/>
                <w:spacing w:val="-75"/>
                <w:sz w:val="22"/>
                <w:szCs w:val="22"/>
              </w:rPr>
              <w:t> </w:t>
            </w:r>
            <w:r>
              <w:rPr>
                <w:rFonts w:ascii="Arial" w:hAnsi="Arial" w:cs="Arial" w:eastAsia="Arial" w:hint="default"/>
                <w:sz w:val="22"/>
                <w:szCs w:val="22"/>
              </w:rPr>
              <w:t>1</w:t>
            </w:r>
            <w:r>
              <w:rPr>
                <w:rFonts w:ascii="Arial" w:hAnsi="Arial" w:cs="Arial" w:eastAsia="Arial" w:hint="default"/>
                <w:spacing w:val="-26"/>
                <w:sz w:val="22"/>
                <w:szCs w:val="22"/>
              </w:rPr>
              <w:t> </w:t>
            </w:r>
            <w:r>
              <w:rPr>
                <w:rFonts w:ascii="宋体" w:hAnsi="宋体" w:cs="宋体" w:eastAsia="宋体" w:hint="default"/>
                <w:sz w:val="22"/>
                <w:szCs w:val="22"/>
              </w:rPr>
              <w:t>月，全球已有</w:t>
            </w:r>
            <w:r>
              <w:rPr>
                <w:rFonts w:ascii="宋体" w:hAnsi="宋体" w:cs="宋体" w:eastAsia="宋体" w:hint="default"/>
                <w:spacing w:val="-74"/>
                <w:sz w:val="22"/>
                <w:szCs w:val="22"/>
              </w:rPr>
              <w:t> </w:t>
            </w:r>
            <w:r>
              <w:rPr>
                <w:rFonts w:ascii="Arial" w:hAnsi="Arial" w:cs="Arial" w:eastAsia="Arial" w:hint="default"/>
                <w:sz w:val="22"/>
                <w:szCs w:val="22"/>
              </w:rPr>
              <w:t>66</w:t>
            </w:r>
            <w:r>
              <w:rPr>
                <w:rFonts w:ascii="Arial" w:hAnsi="Arial" w:cs="Arial" w:eastAsia="Arial" w:hint="default"/>
                <w:spacing w:val="-26"/>
                <w:sz w:val="22"/>
                <w:szCs w:val="22"/>
              </w:rPr>
              <w:t> </w:t>
            </w:r>
            <w:r>
              <w:rPr>
                <w:rFonts w:ascii="宋体" w:hAnsi="宋体" w:cs="宋体" w:eastAsia="宋体" w:hint="default"/>
                <w:sz w:val="22"/>
                <w:szCs w:val="22"/>
              </w:rPr>
              <w:t>个国家部署了</w:t>
            </w:r>
            <w:r>
              <w:rPr>
                <w:rFonts w:ascii="宋体" w:hAnsi="宋体" w:cs="宋体" w:eastAsia="宋体" w:hint="default"/>
                <w:spacing w:val="-75"/>
                <w:sz w:val="22"/>
                <w:szCs w:val="22"/>
              </w:rPr>
              <w:t> </w:t>
            </w:r>
            <w:r>
              <w:rPr>
                <w:rFonts w:ascii="Arial" w:hAnsi="Arial" w:cs="Arial" w:eastAsia="Arial" w:hint="default"/>
                <w:sz w:val="22"/>
                <w:szCs w:val="22"/>
              </w:rPr>
              <w:t>145</w:t>
            </w:r>
            <w:r>
              <w:rPr>
                <w:rFonts w:ascii="Arial" w:hAnsi="Arial" w:cs="Arial" w:eastAsia="Arial" w:hint="default"/>
                <w:spacing w:val="-26"/>
                <w:sz w:val="22"/>
                <w:szCs w:val="22"/>
              </w:rPr>
              <w:t> </w:t>
            </w:r>
            <w:r>
              <w:rPr>
                <w:rFonts w:ascii="宋体" w:hAnsi="宋体" w:cs="宋体" w:eastAsia="宋体" w:hint="default"/>
                <w:sz w:val="22"/>
                <w:szCs w:val="22"/>
              </w:rPr>
              <w:t>个</w:t>
            </w:r>
            <w:r>
              <w:rPr>
                <w:rFonts w:ascii="宋体" w:hAnsi="宋体" w:cs="宋体" w:eastAsia="宋体" w:hint="default"/>
                <w:spacing w:val="-75"/>
                <w:sz w:val="22"/>
                <w:szCs w:val="22"/>
              </w:rPr>
              <w:t> </w:t>
            </w:r>
            <w:r>
              <w:rPr>
                <w:rFonts w:ascii="Arial" w:hAnsi="Arial" w:cs="Arial" w:eastAsia="Arial" w:hint="default"/>
                <w:sz w:val="22"/>
                <w:szCs w:val="22"/>
              </w:rPr>
              <w:t>LTE</w:t>
            </w:r>
            <w:r>
              <w:rPr>
                <w:rFonts w:ascii="Arial" w:hAnsi="Arial" w:cs="Arial" w:eastAsia="Arial" w:hint="default"/>
                <w:w w:val="99"/>
                <w:sz w:val="22"/>
                <w:szCs w:val="22"/>
              </w:rPr>
              <w:t> </w:t>
            </w:r>
            <w:r>
              <w:rPr>
                <w:rFonts w:ascii="宋体" w:hAnsi="宋体" w:cs="宋体" w:eastAsia="宋体" w:hint="default"/>
                <w:sz w:val="22"/>
                <w:szCs w:val="22"/>
              </w:rPr>
              <w:t>网络。</w:t>
            </w:r>
          </w:p>
        </w:tc>
      </w:tr>
      <w:tr>
        <w:trPr>
          <w:trHeight w:val="300" w:hRule="exact"/>
        </w:trPr>
        <w:tc>
          <w:tcPr>
            <w:tcW w:w="177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
              <w:ind w:left="99" w:right="0"/>
              <w:jc w:val="left"/>
              <w:rPr>
                <w:rFonts w:ascii="Arial" w:hAnsi="Arial" w:cs="Arial" w:eastAsia="Arial" w:hint="default"/>
                <w:sz w:val="22"/>
                <w:szCs w:val="22"/>
              </w:rPr>
            </w:pPr>
            <w:r>
              <w:rPr>
                <w:rFonts w:ascii="Arial"/>
                <w:sz w:val="22"/>
              </w:rPr>
              <w:t>FTTH/B</w:t>
            </w:r>
          </w:p>
        </w:tc>
        <w:tc>
          <w:tcPr>
            <w:tcW w:w="702" w:type="dxa"/>
            <w:tcBorders>
              <w:top w:val="single" w:sz="6" w:space="0" w:color="111111"/>
              <w:left w:val="single" w:sz="6" w:space="0" w:color="111111"/>
              <w:bottom w:val="single" w:sz="6" w:space="0" w:color="111111"/>
              <w:right w:val="single" w:sz="6" w:space="0" w:color="111111"/>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w w:val="99"/>
                <w:sz w:val="22"/>
                <w:szCs w:val="22"/>
              </w:rPr>
              <w:t>指</w:t>
            </w:r>
            <w:r>
              <w:rPr>
                <w:rFonts w:ascii="宋体" w:hAnsi="宋体" w:cs="宋体" w:eastAsia="宋体" w:hint="default"/>
                <w:sz w:val="22"/>
                <w:szCs w:val="22"/>
              </w:rPr>
            </w:r>
          </w:p>
        </w:tc>
        <w:tc>
          <w:tcPr>
            <w:tcW w:w="6570" w:type="dxa"/>
            <w:tcBorders>
              <w:top w:val="single" w:sz="6" w:space="0" w:color="111111"/>
              <w:left w:val="single" w:sz="6" w:space="0" w:color="111111"/>
              <w:bottom w:val="single" w:sz="6" w:space="0" w:color="111111"/>
              <w:right w:val="single" w:sz="6" w:space="0" w:color="111111"/>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指采用光纤到户和光纤到大楼的宽带接入方式。</w:t>
            </w:r>
          </w:p>
        </w:tc>
      </w:tr>
      <w:tr>
        <w:trPr>
          <w:trHeight w:val="300" w:hRule="exact"/>
        </w:trPr>
        <w:tc>
          <w:tcPr>
            <w:tcW w:w="177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
              <w:ind w:left="99" w:right="0"/>
              <w:jc w:val="left"/>
              <w:rPr>
                <w:rFonts w:ascii="Arial" w:hAnsi="Arial" w:cs="Arial" w:eastAsia="Arial" w:hint="default"/>
                <w:sz w:val="22"/>
                <w:szCs w:val="22"/>
              </w:rPr>
            </w:pPr>
            <w:r>
              <w:rPr>
                <w:rFonts w:ascii="Arial"/>
                <w:sz w:val="22"/>
              </w:rPr>
              <w:t>HSPA</w:t>
            </w:r>
          </w:p>
        </w:tc>
        <w:tc>
          <w:tcPr>
            <w:tcW w:w="702" w:type="dxa"/>
            <w:tcBorders>
              <w:top w:val="single" w:sz="6" w:space="0" w:color="111111"/>
              <w:left w:val="single" w:sz="6" w:space="0" w:color="111111"/>
              <w:bottom w:val="single" w:sz="6" w:space="0" w:color="111111"/>
              <w:right w:val="single" w:sz="6" w:space="0" w:color="111111"/>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w w:val="99"/>
                <w:sz w:val="22"/>
                <w:szCs w:val="22"/>
              </w:rPr>
              <w:t>指</w:t>
            </w:r>
            <w:r>
              <w:rPr>
                <w:rFonts w:ascii="宋体" w:hAnsi="宋体" w:cs="宋体" w:eastAsia="宋体" w:hint="default"/>
                <w:sz w:val="22"/>
                <w:szCs w:val="22"/>
              </w:rPr>
            </w:r>
          </w:p>
        </w:tc>
        <w:tc>
          <w:tcPr>
            <w:tcW w:w="6570" w:type="dxa"/>
            <w:tcBorders>
              <w:top w:val="single" w:sz="6" w:space="0" w:color="111111"/>
              <w:left w:val="single" w:sz="6" w:space="0" w:color="111111"/>
              <w:bottom w:val="single" w:sz="6" w:space="0" w:color="111111"/>
              <w:right w:val="single" w:sz="6" w:space="0" w:color="111111"/>
            </w:tcBorders>
          </w:tcPr>
          <w:p>
            <w:pPr>
              <w:pStyle w:val="TableParagraph"/>
              <w:spacing w:line="267" w:lineRule="exact"/>
              <w:ind w:left="100" w:right="0"/>
              <w:jc w:val="left"/>
              <w:rPr>
                <w:rFonts w:ascii="宋体" w:hAnsi="宋体" w:cs="宋体" w:eastAsia="宋体" w:hint="default"/>
                <w:sz w:val="22"/>
                <w:szCs w:val="22"/>
              </w:rPr>
            </w:pPr>
            <w:r>
              <w:rPr>
                <w:rFonts w:ascii="Arial" w:hAnsi="Arial" w:cs="Arial" w:eastAsia="Arial" w:hint="default"/>
                <w:sz w:val="22"/>
                <w:szCs w:val="22"/>
              </w:rPr>
              <w:t>High-Speed Packet</w:t>
            </w:r>
            <w:r>
              <w:rPr>
                <w:rFonts w:ascii="Arial" w:hAnsi="Arial" w:cs="Arial" w:eastAsia="Arial" w:hint="default"/>
                <w:spacing w:val="-8"/>
                <w:sz w:val="22"/>
                <w:szCs w:val="22"/>
              </w:rPr>
              <w:t> </w:t>
            </w:r>
            <w:r>
              <w:rPr>
                <w:rFonts w:ascii="Arial" w:hAnsi="Arial" w:cs="Arial" w:eastAsia="Arial" w:hint="default"/>
                <w:sz w:val="22"/>
                <w:szCs w:val="22"/>
              </w:rPr>
              <w:t>Access</w:t>
            </w:r>
            <w:r>
              <w:rPr>
                <w:rFonts w:ascii="宋体" w:hAnsi="宋体" w:cs="宋体" w:eastAsia="宋体" w:hint="default"/>
                <w:sz w:val="22"/>
                <w:szCs w:val="22"/>
              </w:rPr>
              <w:t>，高速分组接入</w:t>
            </w:r>
          </w:p>
        </w:tc>
      </w:tr>
      <w:tr>
        <w:trPr>
          <w:trHeight w:val="301" w:hRule="exact"/>
        </w:trPr>
        <w:tc>
          <w:tcPr>
            <w:tcW w:w="1773"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
              <w:ind w:left="99" w:right="0"/>
              <w:jc w:val="left"/>
              <w:rPr>
                <w:rFonts w:ascii="Arial" w:hAnsi="Arial" w:cs="Arial" w:eastAsia="Arial" w:hint="default"/>
                <w:sz w:val="22"/>
                <w:szCs w:val="22"/>
              </w:rPr>
            </w:pPr>
            <w:r>
              <w:rPr>
                <w:rFonts w:ascii="Arial"/>
                <w:sz w:val="22"/>
              </w:rPr>
              <w:t>HSPA+</w:t>
            </w:r>
          </w:p>
        </w:tc>
        <w:tc>
          <w:tcPr>
            <w:tcW w:w="702" w:type="dxa"/>
            <w:tcBorders>
              <w:top w:val="single" w:sz="6" w:space="0" w:color="111111"/>
              <w:left w:val="single" w:sz="6" w:space="0" w:color="111111"/>
              <w:bottom w:val="single" w:sz="6" w:space="0" w:color="111111"/>
              <w:right w:val="single" w:sz="6" w:space="0" w:color="111111"/>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w w:val="99"/>
                <w:sz w:val="22"/>
                <w:szCs w:val="22"/>
              </w:rPr>
              <w:t>指</w:t>
            </w:r>
            <w:r>
              <w:rPr>
                <w:rFonts w:ascii="宋体" w:hAnsi="宋体" w:cs="宋体" w:eastAsia="宋体" w:hint="default"/>
                <w:sz w:val="22"/>
                <w:szCs w:val="22"/>
              </w:rPr>
            </w:r>
          </w:p>
        </w:tc>
        <w:tc>
          <w:tcPr>
            <w:tcW w:w="6570" w:type="dxa"/>
            <w:tcBorders>
              <w:top w:val="single" w:sz="6" w:space="0" w:color="111111"/>
              <w:left w:val="single" w:sz="6" w:space="0" w:color="111111"/>
              <w:bottom w:val="single" w:sz="6" w:space="0" w:color="111111"/>
              <w:right w:val="single" w:sz="6" w:space="0" w:color="111111"/>
            </w:tcBorders>
          </w:tcPr>
          <w:p>
            <w:pPr>
              <w:pStyle w:val="TableParagraph"/>
              <w:spacing w:line="269" w:lineRule="exact"/>
              <w:ind w:left="100" w:right="0"/>
              <w:jc w:val="left"/>
              <w:rPr>
                <w:rFonts w:ascii="宋体" w:hAnsi="宋体" w:cs="宋体" w:eastAsia="宋体" w:hint="default"/>
                <w:sz w:val="22"/>
                <w:szCs w:val="22"/>
              </w:rPr>
            </w:pPr>
            <w:r>
              <w:rPr>
                <w:rFonts w:ascii="宋体" w:hAnsi="宋体" w:cs="宋体" w:eastAsia="宋体" w:hint="default"/>
                <w:sz w:val="22"/>
                <w:szCs w:val="22"/>
              </w:rPr>
              <w:t>演进式高速分组接入（又名</w:t>
            </w:r>
            <w:r>
              <w:rPr>
                <w:rFonts w:ascii="Arial" w:hAnsi="Arial" w:cs="Arial" w:eastAsia="Arial" w:hint="default"/>
                <w:sz w:val="22"/>
                <w:szCs w:val="22"/>
              </w:rPr>
              <w:t>: HSPA</w:t>
            </w:r>
            <w:r>
              <w:rPr>
                <w:rFonts w:ascii="Arial" w:hAnsi="Arial" w:cs="Arial" w:eastAsia="Arial" w:hint="default"/>
                <w:spacing w:val="-8"/>
                <w:sz w:val="22"/>
                <w:szCs w:val="22"/>
              </w:rPr>
              <w:t> </w:t>
            </w:r>
            <w:r>
              <w:rPr>
                <w:rFonts w:ascii="Arial" w:hAnsi="Arial" w:cs="Arial" w:eastAsia="Arial" w:hint="default"/>
                <w:sz w:val="22"/>
                <w:szCs w:val="22"/>
              </w:rPr>
              <w:t>Evolution</w:t>
            </w:r>
            <w:r>
              <w:rPr>
                <w:rFonts w:ascii="宋体" w:hAnsi="宋体" w:cs="宋体" w:eastAsia="宋体" w:hint="default"/>
                <w:sz w:val="22"/>
                <w:szCs w:val="22"/>
              </w:rPr>
              <w:t>）</w:t>
            </w:r>
          </w:p>
        </w:tc>
      </w:tr>
      <w:tr>
        <w:trPr>
          <w:trHeight w:val="586" w:hRule="exact"/>
        </w:trPr>
        <w:tc>
          <w:tcPr>
            <w:tcW w:w="1773" w:type="dxa"/>
            <w:tcBorders>
              <w:top w:val="single" w:sz="6" w:space="0" w:color="111111"/>
              <w:left w:val="single" w:sz="6" w:space="0" w:color="111111"/>
              <w:bottom w:val="single" w:sz="6" w:space="0" w:color="111111"/>
              <w:right w:val="single" w:sz="6" w:space="0" w:color="111111"/>
            </w:tcBorders>
          </w:tcPr>
          <w:p>
            <w:pPr>
              <w:pStyle w:val="TableParagraph"/>
              <w:spacing w:line="258" w:lineRule="exact"/>
              <w:ind w:left="99" w:right="0"/>
              <w:jc w:val="left"/>
              <w:rPr>
                <w:rFonts w:ascii="宋体" w:hAnsi="宋体" w:cs="宋体" w:eastAsia="宋体" w:hint="default"/>
                <w:sz w:val="22"/>
                <w:szCs w:val="22"/>
              </w:rPr>
            </w:pPr>
            <w:r>
              <w:rPr>
                <w:rFonts w:ascii="宋体" w:hAnsi="宋体" w:cs="宋体" w:eastAsia="宋体" w:hint="default"/>
                <w:sz w:val="22"/>
                <w:szCs w:val="22"/>
              </w:rPr>
              <w:t>沃、</w:t>
            </w:r>
            <w:r>
              <w:rPr>
                <w:rFonts w:ascii="Arial" w:hAnsi="Arial" w:cs="Arial" w:eastAsia="Arial" w:hint="default"/>
                <w:sz w:val="22"/>
                <w:szCs w:val="22"/>
              </w:rPr>
              <w:t>Wo</w:t>
            </w:r>
            <w:r>
              <w:rPr>
                <w:rFonts w:ascii="宋体" w:hAnsi="宋体" w:cs="宋体" w:eastAsia="宋体" w:hint="default"/>
                <w:sz w:val="22"/>
                <w:szCs w:val="22"/>
              </w:rPr>
              <w:t>、沃家</w:t>
            </w:r>
          </w:p>
          <w:p>
            <w:pPr>
              <w:pStyle w:val="TableParagraph"/>
              <w:spacing w:line="279" w:lineRule="exact"/>
              <w:ind w:left="99" w:right="0"/>
              <w:jc w:val="left"/>
              <w:rPr>
                <w:rFonts w:ascii="宋体" w:hAnsi="宋体" w:cs="宋体" w:eastAsia="宋体" w:hint="default"/>
                <w:sz w:val="22"/>
                <w:szCs w:val="22"/>
              </w:rPr>
            </w:pPr>
            <w:r>
              <w:rPr>
                <w:rFonts w:ascii="宋体" w:hAnsi="宋体" w:cs="宋体" w:eastAsia="宋体" w:hint="default"/>
                <w:w w:val="99"/>
                <w:sz w:val="22"/>
                <w:szCs w:val="22"/>
              </w:rPr>
              <w:t>庭</w:t>
            </w:r>
            <w:r>
              <w:rPr>
                <w:rFonts w:ascii="宋体" w:hAnsi="宋体" w:cs="宋体" w:eastAsia="宋体" w:hint="default"/>
                <w:sz w:val="22"/>
                <w:szCs w:val="22"/>
              </w:rPr>
            </w:r>
          </w:p>
        </w:tc>
        <w:tc>
          <w:tcPr>
            <w:tcW w:w="702"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6"/>
              <w:ind w:right="0"/>
              <w:jc w:val="center"/>
              <w:rPr>
                <w:rFonts w:ascii="宋体" w:hAnsi="宋体" w:cs="宋体" w:eastAsia="宋体" w:hint="default"/>
                <w:sz w:val="22"/>
                <w:szCs w:val="22"/>
              </w:rPr>
            </w:pPr>
            <w:r>
              <w:rPr>
                <w:rFonts w:ascii="宋体" w:hAnsi="宋体" w:cs="宋体" w:eastAsia="宋体" w:hint="default"/>
                <w:w w:val="99"/>
                <w:sz w:val="22"/>
                <w:szCs w:val="22"/>
              </w:rPr>
              <w:t>指</w:t>
            </w:r>
            <w:r>
              <w:rPr>
                <w:rFonts w:ascii="宋体" w:hAnsi="宋体" w:cs="宋体" w:eastAsia="宋体" w:hint="default"/>
                <w:sz w:val="22"/>
                <w:szCs w:val="22"/>
              </w:rPr>
            </w:r>
          </w:p>
        </w:tc>
        <w:tc>
          <w:tcPr>
            <w:tcW w:w="657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6"/>
              <w:ind w:left="100" w:right="0"/>
              <w:jc w:val="left"/>
              <w:rPr>
                <w:rFonts w:ascii="宋体" w:hAnsi="宋体" w:cs="宋体" w:eastAsia="宋体" w:hint="default"/>
                <w:sz w:val="22"/>
                <w:szCs w:val="22"/>
              </w:rPr>
            </w:pPr>
            <w:r>
              <w:rPr>
                <w:rFonts w:ascii="宋体" w:hAnsi="宋体" w:cs="宋体" w:eastAsia="宋体" w:hint="default"/>
                <w:sz w:val="22"/>
                <w:szCs w:val="22"/>
              </w:rPr>
              <w:t>本集团的</w:t>
            </w:r>
            <w:r>
              <w:rPr>
                <w:rFonts w:ascii="宋体" w:hAnsi="宋体" w:cs="宋体" w:eastAsia="宋体" w:hint="default"/>
                <w:spacing w:val="-58"/>
                <w:sz w:val="22"/>
                <w:szCs w:val="22"/>
              </w:rPr>
              <w:t> </w:t>
            </w:r>
            <w:r>
              <w:rPr>
                <w:rFonts w:ascii="Arial" w:hAnsi="Arial" w:cs="Arial" w:eastAsia="Arial" w:hint="default"/>
                <w:sz w:val="22"/>
                <w:szCs w:val="22"/>
              </w:rPr>
              <w:t>3G</w:t>
            </w:r>
            <w:r>
              <w:rPr>
                <w:rFonts w:ascii="Arial" w:hAnsi="Arial" w:cs="Arial" w:eastAsia="Arial" w:hint="default"/>
                <w:spacing w:val="-10"/>
                <w:sz w:val="22"/>
                <w:szCs w:val="22"/>
              </w:rPr>
              <w:t> </w:t>
            </w:r>
            <w:r>
              <w:rPr>
                <w:rFonts w:ascii="宋体" w:hAnsi="宋体" w:cs="宋体" w:eastAsia="宋体" w:hint="default"/>
                <w:sz w:val="22"/>
                <w:szCs w:val="22"/>
              </w:rPr>
              <w:t>及融合业务营销品牌</w:t>
            </w:r>
          </w:p>
        </w:tc>
      </w:tr>
    </w:tbl>
    <w:p>
      <w:pPr>
        <w:spacing w:after="0" w:line="240" w:lineRule="auto"/>
        <w:jc w:val="left"/>
        <w:rPr>
          <w:rFonts w:ascii="宋体" w:hAnsi="宋体" w:cs="宋体" w:eastAsia="宋体" w:hint="default"/>
          <w:sz w:val="22"/>
          <w:szCs w:val="22"/>
        </w:rPr>
        <w:sectPr>
          <w:footerReference w:type="default" r:id="rId8"/>
          <w:pgSz w:w="11910" w:h="16840"/>
          <w:pgMar w:footer="745" w:header="567" w:top="800" w:bottom="940" w:left="1380" w:right="720"/>
          <w:pgNumType w:start="2"/>
        </w:sectPr>
      </w:pPr>
    </w:p>
    <w:p>
      <w:pPr>
        <w:spacing w:line="240" w:lineRule="auto" w:before="8"/>
        <w:rPr>
          <w:rFonts w:ascii="宋体" w:hAnsi="宋体" w:cs="宋体" w:eastAsia="宋体" w:hint="default"/>
          <w:sz w:val="22"/>
          <w:szCs w:val="22"/>
        </w:rPr>
      </w:pPr>
    </w:p>
    <w:p>
      <w:pPr>
        <w:pStyle w:val="Heading3"/>
        <w:spacing w:line="240" w:lineRule="auto"/>
        <w:ind w:right="89"/>
        <w:jc w:val="left"/>
        <w:rPr>
          <w:b w:val="0"/>
          <w:bCs w:val="0"/>
        </w:rPr>
      </w:pPr>
      <w:r>
        <w:rPr/>
        <w:t>二、重大风险提示：</w:t>
      </w:r>
      <w:r>
        <w:rPr>
          <w:b w:val="0"/>
          <w:bCs w:val="0"/>
        </w:rPr>
      </w:r>
    </w:p>
    <w:p>
      <w:pPr>
        <w:spacing w:line="240" w:lineRule="auto" w:before="5"/>
        <w:rPr>
          <w:rFonts w:ascii="宋体" w:hAnsi="宋体" w:cs="宋体" w:eastAsia="宋体" w:hint="default"/>
          <w:b/>
          <w:bCs/>
          <w:sz w:val="19"/>
          <w:szCs w:val="19"/>
        </w:rPr>
      </w:pPr>
    </w:p>
    <w:p>
      <w:pPr>
        <w:pStyle w:val="BodyText"/>
        <w:spacing w:line="237" w:lineRule="auto"/>
        <w:ind w:left="596" w:right="89"/>
        <w:jc w:val="left"/>
      </w:pPr>
      <w:r>
        <w:rPr>
          <w:spacing w:val="-3"/>
        </w:rPr>
        <w:t>公司已在本报告中详细描述存在的行业监管政策变化风险、财政政策变化风险、市场竞争风险，</w:t>
      </w:r>
      <w:r>
        <w:rPr>
          <w:spacing w:val="-88"/>
        </w:rPr>
        <w:t> </w:t>
      </w:r>
      <w:r>
        <w:rPr>
          <w:spacing w:val="-88"/>
        </w:rPr>
      </w:r>
      <w:r>
        <w:rPr/>
        <w:t>敬请查阅第四节董事会报告中关于公司未来发展的讨论与分析中可能面对的风险因素及对策部</w:t>
      </w:r>
      <w:r>
        <w:rPr>
          <w:w w:val="99"/>
        </w:rPr>
        <w:t> </w:t>
      </w:r>
      <w:r>
        <w:rPr/>
        <w:t>分的内容。</w:t>
      </w:r>
    </w:p>
    <w:p>
      <w:pPr>
        <w:pStyle w:val="Heading1"/>
        <w:tabs>
          <w:tab w:pos="1253" w:val="left" w:leader="none"/>
        </w:tabs>
        <w:spacing w:line="354" w:lineRule="exact" w:before="0"/>
        <w:ind w:right="64"/>
        <w:jc w:val="center"/>
        <w:rPr>
          <w:b w:val="0"/>
          <w:bCs w:val="0"/>
        </w:rPr>
      </w:pPr>
      <w:bookmarkStart w:name="_TOC_250009" w:id="2"/>
      <w:r>
        <w:rPr>
          <w:w w:val="95"/>
        </w:rPr>
        <w:t>第二节</w:t>
        <w:tab/>
      </w:r>
      <w:r>
        <w:rPr/>
        <w:t>公司简介</w:t>
      </w:r>
      <w:bookmarkEnd w:id="2"/>
      <w:r>
        <w:rPr>
          <w:b w:val="0"/>
          <w:bCs w:val="0"/>
        </w:rPr>
      </w:r>
    </w:p>
    <w:p>
      <w:pPr>
        <w:spacing w:line="240" w:lineRule="auto" w:before="6"/>
        <w:rPr>
          <w:rFonts w:ascii="宋体" w:hAnsi="宋体" w:cs="宋体" w:eastAsia="宋体" w:hint="default"/>
          <w:b/>
          <w:bCs/>
          <w:sz w:val="17"/>
          <w:szCs w:val="17"/>
        </w:rPr>
      </w:pPr>
    </w:p>
    <w:p>
      <w:pPr>
        <w:pStyle w:val="Heading3"/>
        <w:spacing w:line="240" w:lineRule="auto"/>
        <w:ind w:right="89"/>
        <w:jc w:val="left"/>
        <w:rPr>
          <w:b w:val="0"/>
          <w:bCs w:val="0"/>
        </w:rPr>
      </w:pPr>
      <w:r>
        <w:rPr/>
        <w:t>一、公司信息</w:t>
      </w:r>
      <w:r>
        <w:rPr>
          <w:b w:val="0"/>
          <w:bCs w:val="0"/>
        </w:rPr>
      </w:r>
    </w:p>
    <w:p>
      <w:pPr>
        <w:spacing w:line="240" w:lineRule="auto" w:before="11"/>
        <w:rPr>
          <w:rFonts w:ascii="宋体" w:hAnsi="宋体" w:cs="宋体" w:eastAsia="宋体" w:hint="default"/>
          <w:b/>
          <w:bCs/>
          <w:sz w:val="21"/>
          <w:szCs w:val="21"/>
        </w:rPr>
      </w:pPr>
    </w:p>
    <w:tbl>
      <w:tblPr>
        <w:tblW w:w="0" w:type="auto"/>
        <w:jc w:val="left"/>
        <w:tblInd w:w="130" w:type="dxa"/>
        <w:tblLayout w:type="fixed"/>
        <w:tblCellMar>
          <w:top w:w="0" w:type="dxa"/>
          <w:left w:w="0" w:type="dxa"/>
          <w:bottom w:w="0" w:type="dxa"/>
          <w:right w:w="0" w:type="dxa"/>
        </w:tblCellMar>
        <w:tblLook w:val="01E0"/>
      </w:tblPr>
      <w:tblGrid>
        <w:gridCol w:w="4330"/>
        <w:gridCol w:w="5186"/>
      </w:tblGrid>
      <w:tr>
        <w:trPr>
          <w:trHeight w:val="300" w:hRule="exact"/>
        </w:trPr>
        <w:tc>
          <w:tcPr>
            <w:tcW w:w="433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公司的中文名称</w:t>
            </w:r>
          </w:p>
        </w:tc>
        <w:tc>
          <w:tcPr>
            <w:tcW w:w="518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中国联合网络通信股份有限公司</w:t>
            </w:r>
          </w:p>
        </w:tc>
      </w:tr>
      <w:tr>
        <w:trPr>
          <w:trHeight w:val="301" w:hRule="exact"/>
        </w:trPr>
        <w:tc>
          <w:tcPr>
            <w:tcW w:w="433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公司的中文名称简称</w:t>
            </w:r>
          </w:p>
        </w:tc>
        <w:tc>
          <w:tcPr>
            <w:tcW w:w="518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中国联通</w:t>
            </w:r>
          </w:p>
        </w:tc>
      </w:tr>
      <w:tr>
        <w:trPr>
          <w:trHeight w:val="300" w:hRule="exact"/>
        </w:trPr>
        <w:tc>
          <w:tcPr>
            <w:tcW w:w="433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公司的外文名称</w:t>
            </w:r>
          </w:p>
        </w:tc>
        <w:tc>
          <w:tcPr>
            <w:tcW w:w="5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Arial" w:hAnsi="Arial" w:cs="Arial" w:eastAsia="Arial" w:hint="default"/>
                <w:sz w:val="22"/>
                <w:szCs w:val="22"/>
              </w:rPr>
            </w:pPr>
            <w:r>
              <w:rPr>
                <w:rFonts w:ascii="Arial"/>
                <w:sz w:val="22"/>
              </w:rPr>
              <w:t>China United Network Communications</w:t>
            </w:r>
            <w:r>
              <w:rPr>
                <w:rFonts w:ascii="Arial"/>
                <w:spacing w:val="-11"/>
                <w:sz w:val="22"/>
              </w:rPr>
              <w:t> </w:t>
            </w:r>
            <w:r>
              <w:rPr>
                <w:rFonts w:ascii="Arial"/>
                <w:sz w:val="22"/>
              </w:rPr>
              <w:t>Limited</w:t>
            </w:r>
          </w:p>
        </w:tc>
      </w:tr>
      <w:tr>
        <w:trPr>
          <w:trHeight w:val="300" w:hRule="exact"/>
        </w:trPr>
        <w:tc>
          <w:tcPr>
            <w:tcW w:w="433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公司的外文名称缩写</w:t>
            </w:r>
          </w:p>
        </w:tc>
        <w:tc>
          <w:tcPr>
            <w:tcW w:w="5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Arial" w:hAnsi="Arial" w:cs="Arial" w:eastAsia="Arial" w:hint="default"/>
                <w:sz w:val="22"/>
                <w:szCs w:val="22"/>
              </w:rPr>
            </w:pPr>
            <w:r>
              <w:rPr>
                <w:rFonts w:ascii="Arial"/>
                <w:sz w:val="22"/>
              </w:rPr>
              <w:t>China</w:t>
            </w:r>
            <w:r>
              <w:rPr>
                <w:rFonts w:ascii="Arial"/>
                <w:spacing w:val="-4"/>
                <w:sz w:val="22"/>
              </w:rPr>
              <w:t> </w:t>
            </w:r>
            <w:r>
              <w:rPr>
                <w:rFonts w:ascii="Arial"/>
                <w:sz w:val="22"/>
              </w:rPr>
              <w:t>unicom</w:t>
            </w:r>
          </w:p>
        </w:tc>
      </w:tr>
      <w:tr>
        <w:trPr>
          <w:trHeight w:val="301" w:hRule="exact"/>
        </w:trPr>
        <w:tc>
          <w:tcPr>
            <w:tcW w:w="433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公司的法定代表人</w:t>
            </w:r>
          </w:p>
        </w:tc>
        <w:tc>
          <w:tcPr>
            <w:tcW w:w="518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常小兵</w:t>
            </w:r>
          </w:p>
        </w:tc>
      </w:tr>
    </w:tbl>
    <w:p>
      <w:pPr>
        <w:spacing w:line="240" w:lineRule="auto" w:before="2"/>
        <w:rPr>
          <w:rFonts w:ascii="宋体" w:hAnsi="宋体" w:cs="宋体" w:eastAsia="宋体" w:hint="default"/>
          <w:b/>
          <w:bCs/>
          <w:sz w:val="14"/>
          <w:szCs w:val="14"/>
        </w:rPr>
      </w:pPr>
    </w:p>
    <w:p>
      <w:pPr>
        <w:spacing w:before="31"/>
        <w:ind w:left="146" w:right="89" w:firstLine="0"/>
        <w:jc w:val="left"/>
        <w:rPr>
          <w:rFonts w:ascii="宋体" w:hAnsi="宋体" w:cs="宋体" w:eastAsia="宋体" w:hint="default"/>
          <w:sz w:val="22"/>
          <w:szCs w:val="22"/>
        </w:rPr>
      </w:pPr>
      <w:r>
        <w:rPr>
          <w:rFonts w:ascii="宋体" w:hAnsi="宋体" w:cs="宋体" w:eastAsia="宋体" w:hint="default"/>
          <w:b/>
          <w:bCs/>
          <w:sz w:val="22"/>
          <w:szCs w:val="22"/>
        </w:rPr>
        <w:t>二、联系人和联系方式</w:t>
      </w:r>
      <w:r>
        <w:rPr>
          <w:rFonts w:ascii="宋体" w:hAnsi="宋体" w:cs="宋体" w:eastAsia="宋体" w:hint="default"/>
          <w:sz w:val="22"/>
          <w:szCs w:val="22"/>
        </w:rPr>
      </w:r>
    </w:p>
    <w:p>
      <w:pPr>
        <w:spacing w:line="240" w:lineRule="auto" w:before="11"/>
        <w:rPr>
          <w:rFonts w:ascii="宋体" w:hAnsi="宋体" w:cs="宋体" w:eastAsia="宋体" w:hint="default"/>
          <w:b/>
          <w:bCs/>
          <w:sz w:val="21"/>
          <w:szCs w:val="21"/>
        </w:rPr>
      </w:pPr>
    </w:p>
    <w:tbl>
      <w:tblPr>
        <w:tblW w:w="0" w:type="auto"/>
        <w:jc w:val="left"/>
        <w:tblInd w:w="130" w:type="dxa"/>
        <w:tblLayout w:type="fixed"/>
        <w:tblCellMar>
          <w:top w:w="0" w:type="dxa"/>
          <w:left w:w="0" w:type="dxa"/>
          <w:bottom w:w="0" w:type="dxa"/>
          <w:right w:w="0" w:type="dxa"/>
        </w:tblCellMar>
        <w:tblLook w:val="01E0"/>
      </w:tblPr>
      <w:tblGrid>
        <w:gridCol w:w="2080"/>
        <w:gridCol w:w="3642"/>
        <w:gridCol w:w="3764"/>
      </w:tblGrid>
      <w:tr>
        <w:trPr>
          <w:trHeight w:val="301" w:hRule="exact"/>
        </w:trPr>
        <w:tc>
          <w:tcPr>
            <w:tcW w:w="2080" w:type="dxa"/>
            <w:tcBorders>
              <w:top w:val="single" w:sz="6" w:space="0" w:color="000000"/>
              <w:left w:val="single" w:sz="6" w:space="0" w:color="000000"/>
              <w:bottom w:val="single" w:sz="6" w:space="0" w:color="000000"/>
              <w:right w:val="single" w:sz="6" w:space="0" w:color="000000"/>
            </w:tcBorders>
          </w:tcPr>
          <w:p>
            <w:pPr/>
          </w:p>
        </w:tc>
        <w:tc>
          <w:tcPr>
            <w:tcW w:w="364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sz w:val="22"/>
                <w:szCs w:val="22"/>
              </w:rPr>
              <w:t>董事会秘书</w:t>
            </w:r>
          </w:p>
        </w:tc>
        <w:tc>
          <w:tcPr>
            <w:tcW w:w="376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214" w:right="0"/>
              <w:jc w:val="left"/>
              <w:rPr>
                <w:rFonts w:ascii="宋体" w:hAnsi="宋体" w:cs="宋体" w:eastAsia="宋体" w:hint="default"/>
                <w:sz w:val="22"/>
                <w:szCs w:val="22"/>
              </w:rPr>
            </w:pPr>
            <w:r>
              <w:rPr>
                <w:rFonts w:ascii="宋体" w:hAnsi="宋体" w:cs="宋体" w:eastAsia="宋体" w:hint="default"/>
                <w:sz w:val="22"/>
                <w:szCs w:val="22"/>
              </w:rPr>
              <w:t>证券事务代表</w:t>
            </w:r>
          </w:p>
        </w:tc>
      </w:tr>
      <w:tr>
        <w:trPr>
          <w:trHeight w:val="300" w:hRule="exact"/>
        </w:trPr>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姓名</w:t>
            </w:r>
          </w:p>
        </w:tc>
        <w:tc>
          <w:tcPr>
            <w:tcW w:w="364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张健（代行董事会秘书）</w:t>
            </w:r>
          </w:p>
        </w:tc>
        <w:tc>
          <w:tcPr>
            <w:tcW w:w="376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杨九英</w:t>
            </w:r>
          </w:p>
        </w:tc>
      </w:tr>
      <w:tr>
        <w:trPr>
          <w:trHeight w:val="300" w:hRule="exact"/>
        </w:trPr>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联系地址</w:t>
            </w:r>
          </w:p>
        </w:tc>
        <w:tc>
          <w:tcPr>
            <w:tcW w:w="364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2"/>
                <w:szCs w:val="22"/>
              </w:rPr>
            </w:pPr>
            <w:r>
              <w:rPr>
                <w:rFonts w:ascii="宋体" w:hAnsi="宋体" w:cs="宋体" w:eastAsia="宋体" w:hint="default"/>
                <w:sz w:val="22"/>
                <w:szCs w:val="22"/>
              </w:rPr>
              <w:t>上海市长宁区长宁路</w:t>
            </w:r>
            <w:r>
              <w:rPr>
                <w:rFonts w:ascii="宋体" w:hAnsi="宋体" w:cs="宋体" w:eastAsia="宋体" w:hint="default"/>
                <w:spacing w:val="-57"/>
                <w:sz w:val="22"/>
                <w:szCs w:val="22"/>
              </w:rPr>
              <w:t> </w:t>
            </w:r>
            <w:r>
              <w:rPr>
                <w:rFonts w:ascii="Arial" w:hAnsi="Arial" w:cs="Arial" w:eastAsia="Arial" w:hint="default"/>
                <w:sz w:val="22"/>
                <w:szCs w:val="22"/>
              </w:rPr>
              <w:t>1033</w:t>
            </w:r>
            <w:r>
              <w:rPr>
                <w:rFonts w:ascii="Arial" w:hAnsi="Arial" w:cs="Arial" w:eastAsia="Arial" w:hint="default"/>
                <w:spacing w:val="-8"/>
                <w:sz w:val="22"/>
                <w:szCs w:val="22"/>
              </w:rPr>
              <w:t> </w:t>
            </w:r>
            <w:r>
              <w:rPr>
                <w:rFonts w:ascii="宋体" w:hAnsi="宋体" w:cs="宋体" w:eastAsia="宋体" w:hint="default"/>
                <w:sz w:val="22"/>
                <w:szCs w:val="22"/>
              </w:rPr>
              <w:t>号</w:t>
            </w:r>
            <w:r>
              <w:rPr>
                <w:rFonts w:ascii="宋体" w:hAnsi="宋体" w:cs="宋体" w:eastAsia="宋体" w:hint="default"/>
                <w:spacing w:val="-57"/>
                <w:sz w:val="22"/>
                <w:szCs w:val="22"/>
              </w:rPr>
              <w:t> </w:t>
            </w:r>
            <w:r>
              <w:rPr>
                <w:rFonts w:ascii="Arial" w:hAnsi="Arial" w:cs="Arial" w:eastAsia="Arial" w:hint="default"/>
                <w:sz w:val="22"/>
                <w:szCs w:val="22"/>
              </w:rPr>
              <w:t>29</w:t>
            </w:r>
            <w:r>
              <w:rPr>
                <w:rFonts w:ascii="Arial" w:hAnsi="Arial" w:cs="Arial" w:eastAsia="Arial" w:hint="default"/>
                <w:spacing w:val="-8"/>
                <w:sz w:val="22"/>
                <w:szCs w:val="22"/>
              </w:rPr>
              <w:t> </w:t>
            </w:r>
            <w:r>
              <w:rPr>
                <w:rFonts w:ascii="宋体" w:hAnsi="宋体" w:cs="宋体" w:eastAsia="宋体" w:hint="default"/>
                <w:sz w:val="22"/>
                <w:szCs w:val="22"/>
              </w:rPr>
              <w:t>楼</w:t>
            </w:r>
          </w:p>
        </w:tc>
        <w:tc>
          <w:tcPr>
            <w:tcW w:w="376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2"/>
                <w:szCs w:val="22"/>
              </w:rPr>
            </w:pPr>
            <w:r>
              <w:rPr>
                <w:rFonts w:ascii="宋体" w:hAnsi="宋体" w:cs="宋体" w:eastAsia="宋体" w:hint="default"/>
                <w:sz w:val="22"/>
                <w:szCs w:val="22"/>
              </w:rPr>
              <w:t>上海市长宁区长宁路</w:t>
            </w:r>
            <w:r>
              <w:rPr>
                <w:rFonts w:ascii="宋体" w:hAnsi="宋体" w:cs="宋体" w:eastAsia="宋体" w:hint="default"/>
                <w:spacing w:val="-57"/>
                <w:sz w:val="22"/>
                <w:szCs w:val="22"/>
              </w:rPr>
              <w:t> </w:t>
            </w:r>
            <w:r>
              <w:rPr>
                <w:rFonts w:ascii="Arial" w:hAnsi="Arial" w:cs="Arial" w:eastAsia="Arial" w:hint="default"/>
                <w:sz w:val="22"/>
                <w:szCs w:val="22"/>
              </w:rPr>
              <w:t>1033</w:t>
            </w:r>
            <w:r>
              <w:rPr>
                <w:rFonts w:ascii="Arial" w:hAnsi="Arial" w:cs="Arial" w:eastAsia="Arial" w:hint="default"/>
                <w:spacing w:val="-8"/>
                <w:sz w:val="22"/>
                <w:szCs w:val="22"/>
              </w:rPr>
              <w:t> </w:t>
            </w:r>
            <w:r>
              <w:rPr>
                <w:rFonts w:ascii="宋体" w:hAnsi="宋体" w:cs="宋体" w:eastAsia="宋体" w:hint="default"/>
                <w:sz w:val="22"/>
                <w:szCs w:val="22"/>
              </w:rPr>
              <w:t>号</w:t>
            </w:r>
            <w:r>
              <w:rPr>
                <w:rFonts w:ascii="宋体" w:hAnsi="宋体" w:cs="宋体" w:eastAsia="宋体" w:hint="default"/>
                <w:spacing w:val="-57"/>
                <w:sz w:val="22"/>
                <w:szCs w:val="22"/>
              </w:rPr>
              <w:t> </w:t>
            </w:r>
            <w:r>
              <w:rPr>
                <w:rFonts w:ascii="Arial" w:hAnsi="Arial" w:cs="Arial" w:eastAsia="Arial" w:hint="default"/>
                <w:sz w:val="22"/>
                <w:szCs w:val="22"/>
              </w:rPr>
              <w:t>29</w:t>
            </w:r>
            <w:r>
              <w:rPr>
                <w:rFonts w:ascii="Arial" w:hAnsi="Arial" w:cs="Arial" w:eastAsia="Arial" w:hint="default"/>
                <w:spacing w:val="-8"/>
                <w:sz w:val="22"/>
                <w:szCs w:val="22"/>
              </w:rPr>
              <w:t> </w:t>
            </w:r>
            <w:r>
              <w:rPr>
                <w:rFonts w:ascii="宋体" w:hAnsi="宋体" w:cs="宋体" w:eastAsia="宋体" w:hint="default"/>
                <w:sz w:val="22"/>
                <w:szCs w:val="22"/>
              </w:rPr>
              <w:t>楼</w:t>
            </w:r>
          </w:p>
        </w:tc>
      </w:tr>
      <w:tr>
        <w:trPr>
          <w:trHeight w:val="300" w:hRule="exact"/>
        </w:trPr>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电话</w:t>
            </w:r>
          </w:p>
        </w:tc>
        <w:tc>
          <w:tcPr>
            <w:tcW w:w="3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Arial" w:hAnsi="Arial" w:cs="Arial" w:eastAsia="Arial" w:hint="default"/>
                <w:sz w:val="22"/>
                <w:szCs w:val="22"/>
              </w:rPr>
            </w:pPr>
            <w:r>
              <w:rPr>
                <w:rFonts w:ascii="Arial"/>
                <w:sz w:val="22"/>
              </w:rPr>
              <w:t>021-52732228</w:t>
            </w:r>
          </w:p>
        </w:tc>
        <w:tc>
          <w:tcPr>
            <w:tcW w:w="3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Arial" w:hAnsi="Arial" w:cs="Arial" w:eastAsia="Arial" w:hint="default"/>
                <w:sz w:val="22"/>
                <w:szCs w:val="22"/>
              </w:rPr>
            </w:pPr>
            <w:r>
              <w:rPr>
                <w:rFonts w:ascii="Arial"/>
                <w:sz w:val="22"/>
              </w:rPr>
              <w:t>021-52732228</w:t>
            </w:r>
          </w:p>
        </w:tc>
      </w:tr>
      <w:tr>
        <w:trPr>
          <w:trHeight w:val="301" w:hRule="exact"/>
        </w:trPr>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传真</w:t>
            </w:r>
          </w:p>
        </w:tc>
        <w:tc>
          <w:tcPr>
            <w:tcW w:w="3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Arial" w:hAnsi="Arial" w:cs="Arial" w:eastAsia="Arial" w:hint="default"/>
                <w:sz w:val="22"/>
                <w:szCs w:val="22"/>
              </w:rPr>
            </w:pPr>
            <w:r>
              <w:rPr>
                <w:rFonts w:ascii="Arial"/>
                <w:sz w:val="22"/>
              </w:rPr>
              <w:t>021-52732220</w:t>
            </w:r>
          </w:p>
        </w:tc>
        <w:tc>
          <w:tcPr>
            <w:tcW w:w="3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Arial" w:hAnsi="Arial" w:cs="Arial" w:eastAsia="Arial" w:hint="default"/>
                <w:sz w:val="22"/>
                <w:szCs w:val="22"/>
              </w:rPr>
            </w:pPr>
            <w:r>
              <w:rPr>
                <w:rFonts w:ascii="Arial"/>
                <w:sz w:val="22"/>
              </w:rPr>
              <w:t>021-52732220</w:t>
            </w:r>
          </w:p>
        </w:tc>
      </w:tr>
      <w:tr>
        <w:trPr>
          <w:trHeight w:val="300" w:hRule="exact"/>
        </w:trPr>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电子信箱</w:t>
            </w:r>
          </w:p>
        </w:tc>
        <w:tc>
          <w:tcPr>
            <w:tcW w:w="3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Arial" w:hAnsi="Arial" w:cs="Arial" w:eastAsia="Arial" w:hint="default"/>
                <w:sz w:val="22"/>
                <w:szCs w:val="22"/>
              </w:rPr>
            </w:pPr>
            <w:hyperlink r:id="rId9">
              <w:r>
                <w:rPr>
                  <w:rFonts w:ascii="Arial"/>
                  <w:sz w:val="22"/>
                </w:rPr>
                <w:t>zhangjian@chinaunicom-a.com</w:t>
              </w:r>
            </w:hyperlink>
          </w:p>
        </w:tc>
        <w:tc>
          <w:tcPr>
            <w:tcW w:w="3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Arial" w:hAnsi="Arial" w:cs="Arial" w:eastAsia="Arial" w:hint="default"/>
                <w:sz w:val="22"/>
                <w:szCs w:val="22"/>
              </w:rPr>
            </w:pPr>
            <w:hyperlink r:id="rId10">
              <w:r>
                <w:rPr>
                  <w:rFonts w:ascii="Arial"/>
                  <w:sz w:val="22"/>
                </w:rPr>
                <w:t>yangjy@chinaunicom-a.com</w:t>
              </w:r>
            </w:hyperlink>
          </w:p>
        </w:tc>
      </w:tr>
    </w:tbl>
    <w:p>
      <w:pPr>
        <w:spacing w:line="240" w:lineRule="auto" w:before="2"/>
        <w:rPr>
          <w:rFonts w:ascii="宋体" w:hAnsi="宋体" w:cs="宋体" w:eastAsia="宋体" w:hint="default"/>
          <w:b/>
          <w:bCs/>
          <w:sz w:val="14"/>
          <w:szCs w:val="14"/>
        </w:rPr>
      </w:pPr>
    </w:p>
    <w:p>
      <w:pPr>
        <w:spacing w:before="31"/>
        <w:ind w:left="146" w:right="89" w:firstLine="0"/>
        <w:jc w:val="left"/>
        <w:rPr>
          <w:rFonts w:ascii="宋体" w:hAnsi="宋体" w:cs="宋体" w:eastAsia="宋体" w:hint="default"/>
          <w:sz w:val="22"/>
          <w:szCs w:val="22"/>
        </w:rPr>
      </w:pPr>
      <w:r>
        <w:rPr>
          <w:rFonts w:ascii="宋体" w:hAnsi="宋体" w:cs="宋体" w:eastAsia="宋体" w:hint="default"/>
          <w:b/>
          <w:bCs/>
          <w:sz w:val="22"/>
          <w:szCs w:val="22"/>
        </w:rPr>
        <w:t>三、基本情况简介</w:t>
      </w:r>
      <w:r>
        <w:rPr>
          <w:rFonts w:ascii="宋体" w:hAnsi="宋体" w:cs="宋体" w:eastAsia="宋体" w:hint="default"/>
          <w:sz w:val="22"/>
          <w:szCs w:val="22"/>
        </w:rPr>
      </w:r>
    </w:p>
    <w:p>
      <w:pPr>
        <w:spacing w:line="240" w:lineRule="auto" w:before="12"/>
        <w:rPr>
          <w:rFonts w:ascii="宋体" w:hAnsi="宋体" w:cs="宋体" w:eastAsia="宋体" w:hint="default"/>
          <w:b/>
          <w:bCs/>
          <w:sz w:val="21"/>
          <w:szCs w:val="21"/>
        </w:rPr>
      </w:pPr>
    </w:p>
    <w:tbl>
      <w:tblPr>
        <w:tblW w:w="0" w:type="auto"/>
        <w:jc w:val="left"/>
        <w:tblInd w:w="130" w:type="dxa"/>
        <w:tblLayout w:type="fixed"/>
        <w:tblCellMar>
          <w:top w:w="0" w:type="dxa"/>
          <w:left w:w="0" w:type="dxa"/>
          <w:bottom w:w="0" w:type="dxa"/>
          <w:right w:w="0" w:type="dxa"/>
        </w:tblCellMar>
        <w:tblLook w:val="01E0"/>
      </w:tblPr>
      <w:tblGrid>
        <w:gridCol w:w="4509"/>
        <w:gridCol w:w="5014"/>
      </w:tblGrid>
      <w:tr>
        <w:trPr>
          <w:trHeight w:val="300" w:hRule="exact"/>
        </w:trPr>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公司注册地址</w:t>
            </w:r>
          </w:p>
        </w:tc>
        <w:tc>
          <w:tcPr>
            <w:tcW w:w="501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2"/>
                <w:szCs w:val="22"/>
              </w:rPr>
            </w:pPr>
            <w:r>
              <w:rPr>
                <w:rFonts w:ascii="宋体" w:hAnsi="宋体" w:cs="宋体" w:eastAsia="宋体" w:hint="default"/>
                <w:sz w:val="22"/>
                <w:szCs w:val="22"/>
              </w:rPr>
              <w:t>上海市长宁区长宁路</w:t>
            </w:r>
            <w:r>
              <w:rPr>
                <w:rFonts w:ascii="宋体" w:hAnsi="宋体" w:cs="宋体" w:eastAsia="宋体" w:hint="default"/>
                <w:spacing w:val="-56"/>
                <w:sz w:val="22"/>
                <w:szCs w:val="22"/>
              </w:rPr>
              <w:t> </w:t>
            </w:r>
            <w:r>
              <w:rPr>
                <w:rFonts w:ascii="Arial" w:hAnsi="Arial" w:cs="Arial" w:eastAsia="Arial" w:hint="default"/>
                <w:sz w:val="22"/>
                <w:szCs w:val="22"/>
              </w:rPr>
              <w:t>1033</w:t>
            </w:r>
            <w:r>
              <w:rPr>
                <w:rFonts w:ascii="Arial" w:hAnsi="Arial" w:cs="Arial" w:eastAsia="Arial" w:hint="default"/>
                <w:spacing w:val="-8"/>
                <w:sz w:val="22"/>
                <w:szCs w:val="22"/>
              </w:rPr>
              <w:t> </w:t>
            </w:r>
            <w:r>
              <w:rPr>
                <w:rFonts w:ascii="宋体" w:hAnsi="宋体" w:cs="宋体" w:eastAsia="宋体" w:hint="default"/>
                <w:sz w:val="22"/>
                <w:szCs w:val="22"/>
              </w:rPr>
              <w:t>号</w:t>
            </w:r>
            <w:r>
              <w:rPr>
                <w:rFonts w:ascii="宋体" w:hAnsi="宋体" w:cs="宋体" w:eastAsia="宋体" w:hint="default"/>
                <w:spacing w:val="-57"/>
                <w:sz w:val="22"/>
                <w:szCs w:val="22"/>
              </w:rPr>
              <w:t> </w:t>
            </w:r>
            <w:r>
              <w:rPr>
                <w:rFonts w:ascii="Arial" w:hAnsi="Arial" w:cs="Arial" w:eastAsia="Arial" w:hint="default"/>
                <w:sz w:val="22"/>
                <w:szCs w:val="22"/>
              </w:rPr>
              <w:t>29</w:t>
            </w:r>
            <w:r>
              <w:rPr>
                <w:rFonts w:ascii="Arial" w:hAnsi="Arial" w:cs="Arial" w:eastAsia="Arial" w:hint="default"/>
                <w:spacing w:val="-8"/>
                <w:sz w:val="22"/>
                <w:szCs w:val="22"/>
              </w:rPr>
              <w:t> </w:t>
            </w:r>
            <w:r>
              <w:rPr>
                <w:rFonts w:ascii="宋体" w:hAnsi="宋体" w:cs="宋体" w:eastAsia="宋体" w:hint="default"/>
                <w:sz w:val="22"/>
                <w:szCs w:val="22"/>
              </w:rPr>
              <w:t>楼</w:t>
            </w:r>
          </w:p>
        </w:tc>
      </w:tr>
      <w:tr>
        <w:trPr>
          <w:trHeight w:val="300" w:hRule="exact"/>
        </w:trPr>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公司注册地址的邮政编码</w:t>
            </w:r>
          </w:p>
        </w:tc>
        <w:tc>
          <w:tcPr>
            <w:tcW w:w="5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Arial" w:hAnsi="Arial" w:cs="Arial" w:eastAsia="Arial" w:hint="default"/>
                <w:sz w:val="22"/>
                <w:szCs w:val="22"/>
              </w:rPr>
            </w:pPr>
            <w:r>
              <w:rPr>
                <w:rFonts w:ascii="Arial"/>
                <w:sz w:val="22"/>
              </w:rPr>
              <w:t>200050</w:t>
            </w:r>
          </w:p>
        </w:tc>
      </w:tr>
      <w:tr>
        <w:trPr>
          <w:trHeight w:val="301" w:hRule="exact"/>
        </w:trPr>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公司办公地址</w:t>
            </w:r>
          </w:p>
        </w:tc>
        <w:tc>
          <w:tcPr>
            <w:tcW w:w="501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00" w:right="0"/>
              <w:jc w:val="left"/>
              <w:rPr>
                <w:rFonts w:ascii="宋体" w:hAnsi="宋体" w:cs="宋体" w:eastAsia="宋体" w:hint="default"/>
                <w:sz w:val="22"/>
                <w:szCs w:val="22"/>
              </w:rPr>
            </w:pPr>
            <w:r>
              <w:rPr>
                <w:rFonts w:ascii="宋体" w:hAnsi="宋体" w:cs="宋体" w:eastAsia="宋体" w:hint="default"/>
                <w:sz w:val="22"/>
                <w:szCs w:val="22"/>
              </w:rPr>
              <w:t>上海市长宁区长宁路</w:t>
            </w:r>
            <w:r>
              <w:rPr>
                <w:rFonts w:ascii="宋体" w:hAnsi="宋体" w:cs="宋体" w:eastAsia="宋体" w:hint="default"/>
                <w:spacing w:val="-56"/>
                <w:sz w:val="22"/>
                <w:szCs w:val="22"/>
              </w:rPr>
              <w:t> </w:t>
            </w:r>
            <w:r>
              <w:rPr>
                <w:rFonts w:ascii="Arial" w:hAnsi="Arial" w:cs="Arial" w:eastAsia="Arial" w:hint="default"/>
                <w:sz w:val="22"/>
                <w:szCs w:val="22"/>
              </w:rPr>
              <w:t>1033</w:t>
            </w:r>
            <w:r>
              <w:rPr>
                <w:rFonts w:ascii="Arial" w:hAnsi="Arial" w:cs="Arial" w:eastAsia="Arial" w:hint="default"/>
                <w:spacing w:val="-8"/>
                <w:sz w:val="22"/>
                <w:szCs w:val="22"/>
              </w:rPr>
              <w:t> </w:t>
            </w:r>
            <w:r>
              <w:rPr>
                <w:rFonts w:ascii="宋体" w:hAnsi="宋体" w:cs="宋体" w:eastAsia="宋体" w:hint="default"/>
                <w:sz w:val="22"/>
                <w:szCs w:val="22"/>
              </w:rPr>
              <w:t>号</w:t>
            </w:r>
            <w:r>
              <w:rPr>
                <w:rFonts w:ascii="宋体" w:hAnsi="宋体" w:cs="宋体" w:eastAsia="宋体" w:hint="default"/>
                <w:spacing w:val="-57"/>
                <w:sz w:val="22"/>
                <w:szCs w:val="22"/>
              </w:rPr>
              <w:t> </w:t>
            </w:r>
            <w:r>
              <w:rPr>
                <w:rFonts w:ascii="Arial" w:hAnsi="Arial" w:cs="Arial" w:eastAsia="Arial" w:hint="default"/>
                <w:sz w:val="22"/>
                <w:szCs w:val="22"/>
              </w:rPr>
              <w:t>29</w:t>
            </w:r>
            <w:r>
              <w:rPr>
                <w:rFonts w:ascii="Arial" w:hAnsi="Arial" w:cs="Arial" w:eastAsia="Arial" w:hint="default"/>
                <w:spacing w:val="-8"/>
                <w:sz w:val="22"/>
                <w:szCs w:val="22"/>
              </w:rPr>
              <w:t> </w:t>
            </w:r>
            <w:r>
              <w:rPr>
                <w:rFonts w:ascii="宋体" w:hAnsi="宋体" w:cs="宋体" w:eastAsia="宋体" w:hint="default"/>
                <w:sz w:val="22"/>
                <w:szCs w:val="22"/>
              </w:rPr>
              <w:t>楼</w:t>
            </w:r>
          </w:p>
        </w:tc>
      </w:tr>
      <w:tr>
        <w:trPr>
          <w:trHeight w:val="300" w:hRule="exact"/>
        </w:trPr>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公司办公地址的邮政编码</w:t>
            </w:r>
          </w:p>
        </w:tc>
        <w:tc>
          <w:tcPr>
            <w:tcW w:w="5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Arial" w:hAnsi="Arial" w:cs="Arial" w:eastAsia="Arial" w:hint="default"/>
                <w:sz w:val="22"/>
                <w:szCs w:val="22"/>
              </w:rPr>
            </w:pPr>
            <w:r>
              <w:rPr>
                <w:rFonts w:ascii="Arial"/>
                <w:sz w:val="22"/>
              </w:rPr>
              <w:t>200050</w:t>
            </w:r>
          </w:p>
        </w:tc>
      </w:tr>
      <w:tr>
        <w:trPr>
          <w:trHeight w:val="300" w:hRule="exact"/>
        </w:trPr>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公司网址</w:t>
            </w:r>
          </w:p>
        </w:tc>
        <w:tc>
          <w:tcPr>
            <w:tcW w:w="5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Arial" w:hAnsi="Arial" w:cs="Arial" w:eastAsia="Arial" w:hint="default"/>
                <w:sz w:val="22"/>
                <w:szCs w:val="22"/>
              </w:rPr>
            </w:pPr>
            <w:hyperlink r:id="rId11">
              <w:r>
                <w:rPr>
                  <w:rFonts w:ascii="Arial"/>
                  <w:sz w:val="22"/>
                </w:rPr>
                <w:t>www.chinaunicom-a.com</w:t>
              </w:r>
            </w:hyperlink>
          </w:p>
        </w:tc>
      </w:tr>
      <w:tr>
        <w:trPr>
          <w:trHeight w:val="301" w:hRule="exact"/>
        </w:trPr>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电子信箱</w:t>
            </w:r>
          </w:p>
        </w:tc>
        <w:tc>
          <w:tcPr>
            <w:tcW w:w="5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Arial" w:hAnsi="Arial" w:cs="Arial" w:eastAsia="Arial" w:hint="default"/>
                <w:sz w:val="22"/>
                <w:szCs w:val="22"/>
              </w:rPr>
            </w:pPr>
            <w:hyperlink r:id="rId12">
              <w:r>
                <w:rPr>
                  <w:rFonts w:ascii="Arial"/>
                  <w:sz w:val="22"/>
                </w:rPr>
                <w:t>ir@chinaunicom-a.com</w:t>
              </w:r>
            </w:hyperlink>
          </w:p>
        </w:tc>
      </w:tr>
    </w:tbl>
    <w:p>
      <w:pPr>
        <w:spacing w:line="240" w:lineRule="auto" w:before="2"/>
        <w:rPr>
          <w:rFonts w:ascii="宋体" w:hAnsi="宋体" w:cs="宋体" w:eastAsia="宋体" w:hint="default"/>
          <w:b/>
          <w:bCs/>
          <w:sz w:val="14"/>
          <w:szCs w:val="14"/>
        </w:rPr>
      </w:pPr>
    </w:p>
    <w:p>
      <w:pPr>
        <w:spacing w:before="31"/>
        <w:ind w:left="146" w:right="89" w:firstLine="0"/>
        <w:jc w:val="left"/>
        <w:rPr>
          <w:rFonts w:ascii="宋体" w:hAnsi="宋体" w:cs="宋体" w:eastAsia="宋体" w:hint="default"/>
          <w:sz w:val="22"/>
          <w:szCs w:val="22"/>
        </w:rPr>
      </w:pPr>
      <w:r>
        <w:rPr>
          <w:rFonts w:ascii="宋体" w:hAnsi="宋体" w:cs="宋体" w:eastAsia="宋体" w:hint="default"/>
          <w:b/>
          <w:bCs/>
          <w:sz w:val="22"/>
          <w:szCs w:val="22"/>
        </w:rPr>
        <w:t>四、信息披露及备置地点</w:t>
      </w:r>
      <w:r>
        <w:rPr>
          <w:rFonts w:ascii="宋体" w:hAnsi="宋体" w:cs="宋体" w:eastAsia="宋体" w:hint="default"/>
          <w:sz w:val="22"/>
          <w:szCs w:val="22"/>
        </w:rPr>
      </w:r>
    </w:p>
    <w:p>
      <w:pPr>
        <w:spacing w:line="240" w:lineRule="auto" w:before="11"/>
        <w:rPr>
          <w:rFonts w:ascii="宋体" w:hAnsi="宋体" w:cs="宋体" w:eastAsia="宋体" w:hint="default"/>
          <w:b/>
          <w:bCs/>
          <w:sz w:val="21"/>
          <w:szCs w:val="21"/>
        </w:rPr>
      </w:pPr>
    </w:p>
    <w:tbl>
      <w:tblPr>
        <w:tblW w:w="0" w:type="auto"/>
        <w:jc w:val="left"/>
        <w:tblInd w:w="130" w:type="dxa"/>
        <w:tblLayout w:type="fixed"/>
        <w:tblCellMar>
          <w:top w:w="0" w:type="dxa"/>
          <w:left w:w="0" w:type="dxa"/>
          <w:bottom w:w="0" w:type="dxa"/>
          <w:right w:w="0" w:type="dxa"/>
        </w:tblCellMar>
        <w:tblLook w:val="01E0"/>
      </w:tblPr>
      <w:tblGrid>
        <w:gridCol w:w="4824"/>
        <w:gridCol w:w="4698"/>
      </w:tblGrid>
      <w:tr>
        <w:trPr>
          <w:trHeight w:val="301" w:hRule="exact"/>
        </w:trPr>
        <w:tc>
          <w:tcPr>
            <w:tcW w:w="482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公司选定的信息披露报纸名称</w:t>
            </w:r>
          </w:p>
        </w:tc>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99" w:right="0"/>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pacing w:val="8"/>
                <w:sz w:val="22"/>
                <w:szCs w:val="22"/>
              </w:rPr>
              <w:t> </w:t>
            </w:r>
            <w:r>
              <w:rPr>
                <w:rFonts w:ascii="宋体" w:hAnsi="宋体" w:cs="宋体" w:eastAsia="宋体" w:hint="default"/>
                <w:sz w:val="22"/>
                <w:szCs w:val="22"/>
              </w:rPr>
              <w:t>上海证券报</w:t>
            </w:r>
          </w:p>
        </w:tc>
      </w:tr>
      <w:tr>
        <w:trPr>
          <w:trHeight w:val="300" w:hRule="exact"/>
        </w:trPr>
        <w:tc>
          <w:tcPr>
            <w:tcW w:w="482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登载年度报告的中国证监会指定网站的网址</w:t>
            </w:r>
          </w:p>
        </w:tc>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Arial" w:hAnsi="Arial" w:cs="Arial" w:eastAsia="Arial" w:hint="default"/>
                <w:sz w:val="22"/>
                <w:szCs w:val="22"/>
              </w:rPr>
            </w:pPr>
            <w:hyperlink r:id="rId13">
              <w:r>
                <w:rPr>
                  <w:rFonts w:ascii="Arial"/>
                  <w:sz w:val="22"/>
                </w:rPr>
                <w:t>www.sse.com.cn</w:t>
              </w:r>
            </w:hyperlink>
          </w:p>
        </w:tc>
      </w:tr>
      <w:tr>
        <w:trPr>
          <w:trHeight w:val="301" w:hRule="exact"/>
        </w:trPr>
        <w:tc>
          <w:tcPr>
            <w:tcW w:w="482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公司年度报告备置地点</w:t>
            </w:r>
          </w:p>
        </w:tc>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99" w:right="0"/>
              <w:jc w:val="left"/>
              <w:rPr>
                <w:rFonts w:ascii="宋体" w:hAnsi="宋体" w:cs="宋体" w:eastAsia="宋体" w:hint="default"/>
                <w:sz w:val="22"/>
                <w:szCs w:val="22"/>
              </w:rPr>
            </w:pPr>
            <w:r>
              <w:rPr>
                <w:rFonts w:ascii="宋体" w:hAnsi="宋体" w:cs="宋体" w:eastAsia="宋体" w:hint="default"/>
                <w:sz w:val="22"/>
                <w:szCs w:val="22"/>
              </w:rPr>
              <w:t>上海市长宁区长宁路</w:t>
            </w:r>
            <w:r>
              <w:rPr>
                <w:rFonts w:ascii="宋体" w:hAnsi="宋体" w:cs="宋体" w:eastAsia="宋体" w:hint="default"/>
                <w:spacing w:val="-56"/>
                <w:sz w:val="22"/>
                <w:szCs w:val="22"/>
              </w:rPr>
              <w:t> </w:t>
            </w:r>
            <w:r>
              <w:rPr>
                <w:rFonts w:ascii="Arial" w:hAnsi="Arial" w:cs="Arial" w:eastAsia="Arial" w:hint="default"/>
                <w:sz w:val="22"/>
                <w:szCs w:val="22"/>
              </w:rPr>
              <w:t>1033</w:t>
            </w:r>
            <w:r>
              <w:rPr>
                <w:rFonts w:ascii="Arial" w:hAnsi="Arial" w:cs="Arial" w:eastAsia="Arial" w:hint="default"/>
                <w:spacing w:val="-8"/>
                <w:sz w:val="22"/>
                <w:szCs w:val="22"/>
              </w:rPr>
              <w:t> </w:t>
            </w:r>
            <w:r>
              <w:rPr>
                <w:rFonts w:ascii="宋体" w:hAnsi="宋体" w:cs="宋体" w:eastAsia="宋体" w:hint="default"/>
                <w:sz w:val="22"/>
                <w:szCs w:val="22"/>
              </w:rPr>
              <w:t>号</w:t>
            </w:r>
            <w:r>
              <w:rPr>
                <w:rFonts w:ascii="宋体" w:hAnsi="宋体" w:cs="宋体" w:eastAsia="宋体" w:hint="default"/>
                <w:spacing w:val="-57"/>
                <w:sz w:val="22"/>
                <w:szCs w:val="22"/>
              </w:rPr>
              <w:t> </w:t>
            </w:r>
            <w:r>
              <w:rPr>
                <w:rFonts w:ascii="Arial" w:hAnsi="Arial" w:cs="Arial" w:eastAsia="Arial" w:hint="default"/>
                <w:sz w:val="22"/>
                <w:szCs w:val="22"/>
              </w:rPr>
              <w:t>29</w:t>
            </w:r>
            <w:r>
              <w:rPr>
                <w:rFonts w:ascii="Arial" w:hAnsi="Arial" w:cs="Arial" w:eastAsia="Arial" w:hint="default"/>
                <w:spacing w:val="-8"/>
                <w:sz w:val="22"/>
                <w:szCs w:val="22"/>
              </w:rPr>
              <w:t> </w:t>
            </w:r>
            <w:r>
              <w:rPr>
                <w:rFonts w:ascii="宋体" w:hAnsi="宋体" w:cs="宋体" w:eastAsia="宋体" w:hint="default"/>
                <w:sz w:val="22"/>
                <w:szCs w:val="22"/>
              </w:rPr>
              <w:t>楼</w:t>
            </w:r>
          </w:p>
        </w:tc>
      </w:tr>
    </w:tbl>
    <w:p>
      <w:pPr>
        <w:spacing w:line="240" w:lineRule="auto" w:before="1"/>
        <w:rPr>
          <w:rFonts w:ascii="宋体" w:hAnsi="宋体" w:cs="宋体" w:eastAsia="宋体" w:hint="default"/>
          <w:b/>
          <w:bCs/>
          <w:sz w:val="14"/>
          <w:szCs w:val="14"/>
        </w:rPr>
      </w:pPr>
    </w:p>
    <w:p>
      <w:pPr>
        <w:spacing w:before="31"/>
        <w:ind w:left="146" w:right="89" w:firstLine="0"/>
        <w:jc w:val="left"/>
        <w:rPr>
          <w:rFonts w:ascii="宋体" w:hAnsi="宋体" w:cs="宋体" w:eastAsia="宋体" w:hint="default"/>
          <w:sz w:val="22"/>
          <w:szCs w:val="22"/>
        </w:rPr>
      </w:pPr>
      <w:r>
        <w:rPr>
          <w:rFonts w:ascii="宋体" w:hAnsi="宋体" w:cs="宋体" w:eastAsia="宋体" w:hint="default"/>
          <w:b/>
          <w:bCs/>
          <w:sz w:val="22"/>
          <w:szCs w:val="22"/>
        </w:rPr>
        <w:t>五、公司股票简况</w:t>
      </w:r>
      <w:r>
        <w:rPr>
          <w:rFonts w:ascii="宋体" w:hAnsi="宋体" w:cs="宋体" w:eastAsia="宋体" w:hint="default"/>
          <w:sz w:val="22"/>
          <w:szCs w:val="22"/>
        </w:rPr>
      </w:r>
    </w:p>
    <w:p>
      <w:pPr>
        <w:spacing w:line="240" w:lineRule="auto" w:before="12"/>
        <w:rPr>
          <w:rFonts w:ascii="宋体" w:hAnsi="宋体" w:cs="宋体" w:eastAsia="宋体" w:hint="default"/>
          <w:b/>
          <w:bCs/>
          <w:sz w:val="21"/>
          <w:szCs w:val="21"/>
        </w:rPr>
      </w:pPr>
    </w:p>
    <w:tbl>
      <w:tblPr>
        <w:tblW w:w="0" w:type="auto"/>
        <w:jc w:val="left"/>
        <w:tblInd w:w="130" w:type="dxa"/>
        <w:tblLayout w:type="fixed"/>
        <w:tblCellMar>
          <w:top w:w="0" w:type="dxa"/>
          <w:left w:w="0" w:type="dxa"/>
          <w:bottom w:w="0" w:type="dxa"/>
          <w:right w:w="0" w:type="dxa"/>
        </w:tblCellMar>
        <w:tblLook w:val="01E0"/>
      </w:tblPr>
      <w:tblGrid>
        <w:gridCol w:w="1630"/>
        <w:gridCol w:w="2018"/>
        <w:gridCol w:w="1851"/>
        <w:gridCol w:w="1860"/>
        <w:gridCol w:w="2164"/>
      </w:tblGrid>
      <w:tr>
        <w:trPr>
          <w:trHeight w:val="300" w:hRule="exact"/>
        </w:trPr>
        <w:tc>
          <w:tcPr>
            <w:tcW w:w="9523" w:type="dxa"/>
            <w:gridSpan w:val="5"/>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公司股票简况</w:t>
            </w:r>
          </w:p>
        </w:tc>
      </w:tr>
      <w:tr>
        <w:trPr>
          <w:trHeight w:val="300"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股票种类</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sz w:val="22"/>
                <w:szCs w:val="22"/>
              </w:rPr>
              <w:t>股票上市交易所</w:t>
            </w:r>
          </w:p>
        </w:tc>
        <w:tc>
          <w:tcPr>
            <w:tcW w:w="185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股票代码</w:t>
            </w:r>
          </w:p>
        </w:tc>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sz w:val="22"/>
                <w:szCs w:val="22"/>
              </w:rPr>
              <w:t>变更前股票简称</w:t>
            </w:r>
          </w:p>
        </w:tc>
      </w:tr>
      <w:tr>
        <w:trPr>
          <w:trHeight w:val="301"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1"/>
              <w:jc w:val="center"/>
              <w:rPr>
                <w:rFonts w:ascii="宋体" w:hAnsi="宋体" w:cs="宋体" w:eastAsia="宋体" w:hint="default"/>
                <w:sz w:val="22"/>
                <w:szCs w:val="22"/>
              </w:rPr>
            </w:pPr>
            <w:r>
              <w:rPr>
                <w:rFonts w:ascii="Arial" w:hAnsi="Arial" w:cs="Arial" w:eastAsia="Arial" w:hint="default"/>
                <w:sz w:val="22"/>
                <w:szCs w:val="22"/>
              </w:rPr>
              <w:t>A</w:t>
            </w:r>
            <w:r>
              <w:rPr>
                <w:rFonts w:ascii="Arial" w:hAnsi="Arial" w:cs="Arial" w:eastAsia="Arial" w:hint="default"/>
                <w:spacing w:val="-7"/>
                <w:sz w:val="22"/>
                <w:szCs w:val="22"/>
              </w:rPr>
              <w:t> </w:t>
            </w:r>
            <w:r>
              <w:rPr>
                <w:rFonts w:ascii="宋体" w:hAnsi="宋体" w:cs="宋体" w:eastAsia="宋体" w:hint="default"/>
                <w:sz w:val="22"/>
                <w:szCs w:val="22"/>
              </w:rPr>
              <w:t>股</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sz w:val="22"/>
                <w:szCs w:val="22"/>
              </w:rPr>
              <w:t>上海证券交易所</w:t>
            </w:r>
          </w:p>
        </w:tc>
        <w:tc>
          <w:tcPr>
            <w:tcW w:w="185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中国联通</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Arial" w:hAnsi="Arial" w:cs="Arial" w:eastAsia="Arial" w:hint="default"/>
                <w:sz w:val="22"/>
                <w:szCs w:val="22"/>
              </w:rPr>
            </w:pPr>
            <w:r>
              <w:rPr>
                <w:rFonts w:ascii="Arial"/>
                <w:sz w:val="22"/>
              </w:rPr>
              <w:t>600050</w:t>
            </w:r>
          </w:p>
        </w:tc>
        <w:tc>
          <w:tcPr>
            <w:tcW w:w="216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不适用</w:t>
            </w:r>
          </w:p>
        </w:tc>
      </w:tr>
    </w:tbl>
    <w:p>
      <w:pPr>
        <w:spacing w:after="0" w:line="253" w:lineRule="exact"/>
        <w:jc w:val="center"/>
        <w:rPr>
          <w:rFonts w:ascii="宋体" w:hAnsi="宋体" w:cs="宋体" w:eastAsia="宋体" w:hint="default"/>
          <w:sz w:val="22"/>
          <w:szCs w:val="22"/>
        </w:rPr>
        <w:sectPr>
          <w:pgSz w:w="11910" w:h="16840"/>
          <w:pgMar w:header="567" w:footer="745" w:top="800" w:bottom="940" w:left="1380" w:right="680"/>
        </w:sectPr>
      </w:pPr>
    </w:p>
    <w:p>
      <w:pPr>
        <w:spacing w:line="240" w:lineRule="auto" w:before="8"/>
        <w:rPr>
          <w:rFonts w:ascii="宋体" w:hAnsi="宋体" w:cs="宋体" w:eastAsia="宋体" w:hint="default"/>
          <w:b/>
          <w:bCs/>
          <w:sz w:val="22"/>
          <w:szCs w:val="22"/>
        </w:rPr>
      </w:pPr>
    </w:p>
    <w:p>
      <w:pPr>
        <w:spacing w:before="31"/>
        <w:ind w:left="146" w:right="89" w:firstLine="0"/>
        <w:jc w:val="left"/>
        <w:rPr>
          <w:rFonts w:ascii="宋体" w:hAnsi="宋体" w:cs="宋体" w:eastAsia="宋体" w:hint="default"/>
          <w:sz w:val="22"/>
          <w:szCs w:val="22"/>
        </w:rPr>
      </w:pPr>
      <w:r>
        <w:rPr>
          <w:rFonts w:ascii="宋体" w:hAnsi="宋体" w:cs="宋体" w:eastAsia="宋体" w:hint="default"/>
          <w:b/>
          <w:bCs/>
          <w:sz w:val="22"/>
          <w:szCs w:val="22"/>
        </w:rPr>
        <w:t>六、公司报告期内注册变更情况</w:t>
      </w:r>
      <w:r>
        <w:rPr>
          <w:rFonts w:ascii="宋体" w:hAnsi="宋体" w:cs="宋体" w:eastAsia="宋体" w:hint="default"/>
          <w:sz w:val="22"/>
          <w:szCs w:val="22"/>
        </w:rPr>
      </w:r>
    </w:p>
    <w:p>
      <w:pPr>
        <w:spacing w:line="240" w:lineRule="auto" w:before="2"/>
        <w:rPr>
          <w:rFonts w:ascii="宋体" w:hAnsi="宋体" w:cs="宋体" w:eastAsia="宋体" w:hint="default"/>
          <w:b/>
          <w:bCs/>
          <w:sz w:val="19"/>
          <w:szCs w:val="19"/>
        </w:rPr>
      </w:pPr>
    </w:p>
    <w:p>
      <w:pPr>
        <w:pStyle w:val="BodyText"/>
        <w:spacing w:line="240" w:lineRule="auto"/>
        <w:ind w:left="146" w:right="89"/>
        <w:jc w:val="left"/>
      </w:pPr>
      <w:r>
        <w:rPr/>
        <w:t>（一）基本情况</w:t>
      </w:r>
    </w:p>
    <w:p>
      <w:pPr>
        <w:spacing w:line="240" w:lineRule="auto" w:before="1"/>
        <w:rPr>
          <w:rFonts w:ascii="宋体" w:hAnsi="宋体" w:cs="宋体" w:eastAsia="宋体" w:hint="default"/>
          <w:sz w:val="19"/>
          <w:szCs w:val="19"/>
        </w:rPr>
      </w:pPr>
    </w:p>
    <w:p>
      <w:pPr>
        <w:pStyle w:val="BodyText"/>
        <w:spacing w:line="240" w:lineRule="auto"/>
        <w:ind w:left="821" w:right="0"/>
        <w:jc w:val="both"/>
      </w:pPr>
      <w:r>
        <w:rPr/>
        <w:t>公司报告期内注册情况未变更。</w:t>
      </w:r>
    </w:p>
    <w:p>
      <w:pPr>
        <w:spacing w:line="240" w:lineRule="auto" w:before="2"/>
        <w:rPr>
          <w:rFonts w:ascii="宋体" w:hAnsi="宋体" w:cs="宋体" w:eastAsia="宋体" w:hint="default"/>
          <w:sz w:val="19"/>
          <w:szCs w:val="19"/>
        </w:rPr>
      </w:pPr>
    </w:p>
    <w:p>
      <w:pPr>
        <w:pStyle w:val="BodyText"/>
        <w:spacing w:line="240" w:lineRule="auto"/>
        <w:ind w:left="146" w:right="89"/>
        <w:jc w:val="left"/>
      </w:pPr>
      <w:r>
        <w:rPr/>
        <w:t>（二）公司首次注册情况的相关查询索引</w:t>
      </w:r>
    </w:p>
    <w:p>
      <w:pPr>
        <w:spacing w:line="240" w:lineRule="auto" w:before="2"/>
        <w:rPr>
          <w:rFonts w:ascii="宋体" w:hAnsi="宋体" w:cs="宋体" w:eastAsia="宋体" w:hint="default"/>
          <w:sz w:val="19"/>
          <w:szCs w:val="19"/>
        </w:rPr>
      </w:pPr>
    </w:p>
    <w:p>
      <w:pPr>
        <w:pStyle w:val="BodyText"/>
        <w:spacing w:line="240" w:lineRule="auto"/>
        <w:ind w:left="821" w:right="0"/>
        <w:jc w:val="both"/>
      </w:pPr>
      <w:r>
        <w:rPr/>
        <w:t>公司首次注册情况详见</w:t>
      </w:r>
      <w:r>
        <w:rPr>
          <w:spacing w:val="-59"/>
        </w:rPr>
        <w:t> </w:t>
      </w:r>
      <w:r>
        <w:rPr>
          <w:rFonts w:ascii="Arial" w:hAnsi="Arial" w:cs="Arial" w:eastAsia="Arial" w:hint="default"/>
        </w:rPr>
        <w:t>2011</w:t>
      </w:r>
      <w:r>
        <w:rPr>
          <w:rFonts w:ascii="Arial" w:hAnsi="Arial" w:cs="Arial" w:eastAsia="Arial" w:hint="default"/>
          <w:spacing w:val="-12"/>
        </w:rPr>
        <w:t> </w:t>
      </w:r>
      <w:r>
        <w:rPr/>
        <w:t>年年度报告的公司基本情况。</w:t>
      </w:r>
    </w:p>
    <w:p>
      <w:pPr>
        <w:spacing w:line="240" w:lineRule="auto" w:before="12"/>
        <w:rPr>
          <w:rFonts w:ascii="宋体" w:hAnsi="宋体" w:cs="宋体" w:eastAsia="宋体" w:hint="default"/>
          <w:sz w:val="17"/>
          <w:szCs w:val="17"/>
        </w:rPr>
      </w:pPr>
    </w:p>
    <w:p>
      <w:pPr>
        <w:pStyle w:val="BodyText"/>
        <w:spacing w:line="240" w:lineRule="auto"/>
        <w:ind w:left="146" w:right="89"/>
        <w:jc w:val="left"/>
      </w:pPr>
      <w:r>
        <w:rPr/>
        <w:t>（三）公司上市以来，主营业务的变化情况</w:t>
      </w:r>
    </w:p>
    <w:p>
      <w:pPr>
        <w:spacing w:line="240" w:lineRule="auto" w:before="5"/>
        <w:rPr>
          <w:rFonts w:ascii="宋体" w:hAnsi="宋体" w:cs="宋体" w:eastAsia="宋体" w:hint="default"/>
          <w:sz w:val="18"/>
          <w:szCs w:val="18"/>
        </w:rPr>
      </w:pPr>
    </w:p>
    <w:p>
      <w:pPr>
        <w:pStyle w:val="BodyText"/>
        <w:spacing w:line="228" w:lineRule="auto"/>
        <w:ind w:left="821" w:right="209"/>
        <w:jc w:val="both"/>
      </w:pPr>
      <w:r>
        <w:rPr>
          <w:spacing w:val="-3"/>
        </w:rPr>
        <w:t>本公司是根据国务院批准的重组方案，由联通集团以其于联通</w:t>
      </w:r>
      <w:r>
        <w:rPr>
          <w:spacing w:val="-52"/>
        </w:rPr>
        <w:t> </w:t>
      </w:r>
      <w:r>
        <w:rPr>
          <w:rFonts w:ascii="Arial" w:hAnsi="Arial" w:cs="Arial" w:eastAsia="Arial" w:hint="default"/>
        </w:rPr>
        <w:t>BVI</w:t>
      </w:r>
      <w:r>
        <w:rPr>
          <w:rFonts w:ascii="Arial" w:hAnsi="Arial" w:cs="Arial" w:eastAsia="Arial" w:hint="default"/>
          <w:spacing w:val="-7"/>
        </w:rPr>
        <w:t> </w:t>
      </w:r>
      <w:r>
        <w:rPr/>
        <w:t>公司</w:t>
      </w:r>
      <w:r>
        <w:rPr>
          <w:spacing w:val="-56"/>
        </w:rPr>
        <w:t> </w:t>
      </w:r>
      <w:r>
        <w:rPr>
          <w:rFonts w:ascii="Arial" w:hAnsi="Arial" w:cs="Arial" w:eastAsia="Arial" w:hint="default"/>
        </w:rPr>
        <w:t>51%</w:t>
      </w:r>
      <w:r>
        <w:rPr/>
        <w:t>的股权投资所对</w:t>
      </w:r>
      <w:r>
        <w:rPr>
          <w:w w:val="99"/>
        </w:rPr>
        <w:t> </w:t>
      </w:r>
      <w:r>
        <w:rPr/>
        <w:t>应的经评估的净资产出资，并联合其他四家发起单位以现金出资于</w:t>
      </w:r>
      <w:r>
        <w:rPr>
          <w:spacing w:val="-50"/>
        </w:rPr>
        <w:t> </w:t>
      </w:r>
      <w:r>
        <w:rPr>
          <w:rFonts w:ascii="Arial" w:hAnsi="Arial" w:cs="Arial" w:eastAsia="Arial" w:hint="default"/>
        </w:rPr>
        <w:t>2001</w:t>
      </w:r>
      <w:r>
        <w:rPr>
          <w:rFonts w:ascii="Arial" w:hAnsi="Arial" w:cs="Arial" w:eastAsia="Arial" w:hint="default"/>
          <w:spacing w:val="-5"/>
        </w:rPr>
        <w:t> </w:t>
      </w:r>
      <w:r>
        <w:rPr/>
        <w:t>年</w:t>
      </w:r>
      <w:r>
        <w:rPr>
          <w:spacing w:val="-55"/>
        </w:rPr>
        <w:t> </w:t>
      </w:r>
      <w:r>
        <w:rPr>
          <w:rFonts w:ascii="Arial" w:hAnsi="Arial" w:cs="Arial" w:eastAsia="Arial" w:hint="default"/>
        </w:rPr>
        <w:t>12</w:t>
      </w:r>
      <w:r>
        <w:rPr>
          <w:rFonts w:ascii="Arial" w:hAnsi="Arial" w:cs="Arial" w:eastAsia="Arial" w:hint="default"/>
          <w:spacing w:val="-6"/>
        </w:rPr>
        <w:t> </w:t>
      </w:r>
      <w:r>
        <w:rPr/>
        <w:t>月</w:t>
      </w:r>
      <w:r>
        <w:rPr>
          <w:spacing w:val="-53"/>
        </w:rPr>
        <w:t> </w:t>
      </w:r>
      <w:r>
        <w:rPr>
          <w:rFonts w:ascii="Arial" w:hAnsi="Arial" w:cs="Arial" w:eastAsia="Arial" w:hint="default"/>
        </w:rPr>
        <w:t>31</w:t>
      </w:r>
      <w:r>
        <w:rPr>
          <w:rFonts w:ascii="Arial" w:hAnsi="Arial" w:cs="Arial" w:eastAsia="Arial" w:hint="default"/>
          <w:spacing w:val="-6"/>
        </w:rPr>
        <w:t> </w:t>
      </w:r>
      <w:r>
        <w:rPr/>
        <w:t>日在中</w:t>
      </w:r>
      <w:r>
        <w:rPr>
          <w:w w:val="99"/>
        </w:rPr>
        <w:t> </w:t>
      </w:r>
      <w:r>
        <w:rPr/>
        <w:t>华人民共和国（“中国”）成立的股份有限公司，经批准的经营范围为从事国（境）内外电</w:t>
      </w:r>
      <w:r>
        <w:rPr>
          <w:w w:val="99"/>
        </w:rPr>
        <w:t> </w:t>
      </w:r>
      <w:r>
        <w:rPr/>
        <w:t>信行业的投资。自 </w:t>
      </w:r>
      <w:r>
        <w:rPr>
          <w:rFonts w:ascii="Arial" w:hAnsi="Arial" w:cs="Arial" w:eastAsia="Arial" w:hint="default"/>
        </w:rPr>
        <w:t>2002 </w:t>
      </w:r>
      <w:r>
        <w:rPr/>
        <w:t>年本公司上市以来，本公司的主营业务一直未发生变化，目前本公</w:t>
      </w:r>
      <w:r>
        <w:rPr>
          <w:w w:val="99"/>
        </w:rPr>
        <w:t> </w:t>
      </w:r>
      <w:r>
        <w:rPr/>
        <w:t>司只直接持有对联通</w:t>
      </w:r>
      <w:r>
        <w:rPr>
          <w:spacing w:val="-58"/>
        </w:rPr>
        <w:t> </w:t>
      </w:r>
      <w:r>
        <w:rPr>
          <w:rFonts w:ascii="Arial" w:hAnsi="Arial" w:cs="Arial" w:eastAsia="Arial" w:hint="default"/>
        </w:rPr>
        <w:t>BVI</w:t>
      </w:r>
      <w:r>
        <w:rPr>
          <w:rFonts w:ascii="Arial" w:hAnsi="Arial" w:cs="Arial" w:eastAsia="Arial" w:hint="default"/>
          <w:spacing w:val="-10"/>
        </w:rPr>
        <w:t> </w:t>
      </w:r>
      <w:r>
        <w:rPr/>
        <w:t>公司的股权投资。</w:t>
      </w:r>
    </w:p>
    <w:p>
      <w:pPr>
        <w:spacing w:line="240" w:lineRule="auto" w:before="3"/>
        <w:rPr>
          <w:rFonts w:ascii="宋体" w:hAnsi="宋体" w:cs="宋体" w:eastAsia="宋体" w:hint="default"/>
          <w:sz w:val="20"/>
          <w:szCs w:val="20"/>
        </w:rPr>
      </w:pPr>
    </w:p>
    <w:p>
      <w:pPr>
        <w:pStyle w:val="BodyText"/>
        <w:spacing w:line="286" w:lineRule="exact"/>
        <w:ind w:left="821" w:right="213"/>
        <w:jc w:val="both"/>
      </w:pPr>
      <w:r>
        <w:rPr/>
        <w:t>本公司主要通过联通</w:t>
      </w:r>
      <w:r>
        <w:rPr>
          <w:spacing w:val="-66"/>
        </w:rPr>
        <w:t> </w:t>
      </w:r>
      <w:r>
        <w:rPr>
          <w:rFonts w:ascii="Arial" w:hAnsi="Arial" w:cs="Arial" w:eastAsia="Arial" w:hint="default"/>
        </w:rPr>
        <w:t>BVI</w:t>
      </w:r>
      <w:r>
        <w:rPr>
          <w:rFonts w:ascii="Arial" w:hAnsi="Arial" w:cs="Arial" w:eastAsia="Arial" w:hint="default"/>
          <w:spacing w:val="-18"/>
        </w:rPr>
        <w:t> </w:t>
      </w:r>
      <w:r>
        <w:rPr/>
        <w:t>公司及其子公司联通红筹公司控股的联通运营公司在中国境内提供</w:t>
      </w:r>
      <w:r>
        <w:rPr>
          <w:w w:val="99"/>
        </w:rPr>
        <w:t> </w:t>
      </w:r>
      <w:r>
        <w:rPr/>
        <w:t>综合电信服务，本公司亦通过联通红筹公司的香港及中国境外的子公司在其当地经营电信互</w:t>
      </w:r>
      <w:r>
        <w:rPr>
          <w:w w:val="99"/>
        </w:rPr>
        <w:t> </w:t>
      </w:r>
      <w:r>
        <w:rPr/>
        <w:t>联等通信服务。联通运营公司于本公司上市之初的主营业务包括：</w:t>
      </w:r>
    </w:p>
    <w:p>
      <w:pPr>
        <w:spacing w:line="240" w:lineRule="auto" w:before="3"/>
        <w:rPr>
          <w:rFonts w:ascii="宋体" w:hAnsi="宋体" w:cs="宋体" w:eastAsia="宋体" w:hint="default"/>
          <w:sz w:val="19"/>
          <w:szCs w:val="19"/>
        </w:rPr>
      </w:pPr>
    </w:p>
    <w:p>
      <w:pPr>
        <w:pStyle w:val="BodyText"/>
        <w:spacing w:line="286" w:lineRule="exact"/>
        <w:ind w:left="1199" w:right="89" w:hanging="361"/>
        <w:jc w:val="left"/>
      </w:pPr>
      <w:r>
        <w:rPr>
          <w:rFonts w:ascii="Arial" w:hAnsi="Arial" w:cs="Arial" w:eastAsia="Arial" w:hint="default"/>
        </w:rPr>
        <w:t>1) </w:t>
      </w:r>
      <w:r>
        <w:rPr/>
        <w:t>在中国的广东、福建、安徽、江苏、浙江、山东、辽宁、河北及湖北 </w:t>
      </w:r>
      <w:r>
        <w:rPr>
          <w:rFonts w:ascii="Arial" w:hAnsi="Arial" w:cs="Arial" w:eastAsia="Arial" w:hint="default"/>
        </w:rPr>
        <w:t>9</w:t>
      </w:r>
      <w:r>
        <w:rPr>
          <w:rFonts w:ascii="Arial" w:hAnsi="Arial" w:cs="Arial" w:eastAsia="Arial" w:hint="default"/>
          <w:spacing w:val="-26"/>
        </w:rPr>
        <w:t> </w:t>
      </w:r>
      <w:r>
        <w:rPr/>
        <w:t>个省和北京、上</w:t>
      </w:r>
      <w:r>
        <w:rPr>
          <w:w w:val="99"/>
        </w:rPr>
        <w:t> </w:t>
      </w:r>
      <w:r>
        <w:rPr/>
        <w:t>海、天津</w:t>
      </w:r>
      <w:r>
        <w:rPr>
          <w:spacing w:val="-58"/>
        </w:rPr>
        <w:t> </w:t>
      </w:r>
      <w:r>
        <w:rPr>
          <w:rFonts w:ascii="Arial" w:hAnsi="Arial" w:cs="Arial" w:eastAsia="Arial" w:hint="default"/>
        </w:rPr>
        <w:t>3</w:t>
      </w:r>
      <w:r>
        <w:rPr>
          <w:rFonts w:ascii="Arial" w:hAnsi="Arial" w:cs="Arial" w:eastAsia="Arial" w:hint="default"/>
          <w:spacing w:val="-8"/>
        </w:rPr>
        <w:t> </w:t>
      </w:r>
      <w:r>
        <w:rPr/>
        <w:t>个直辖市的移动通信业务（包括</w:t>
      </w:r>
      <w:r>
        <w:rPr>
          <w:spacing w:val="-56"/>
        </w:rPr>
        <w:t> </w:t>
      </w:r>
      <w:r>
        <w:rPr>
          <w:rFonts w:ascii="Arial" w:hAnsi="Arial" w:cs="Arial" w:eastAsia="Arial" w:hint="default"/>
        </w:rPr>
        <w:t>GSM</w:t>
      </w:r>
      <w:r>
        <w:rPr>
          <w:rFonts w:ascii="Arial" w:hAnsi="Arial" w:cs="Arial" w:eastAsia="Arial" w:hint="default"/>
          <w:spacing w:val="-9"/>
        </w:rPr>
        <w:t> </w:t>
      </w:r>
      <w:r>
        <w:rPr/>
        <w:t>和</w:t>
      </w:r>
      <w:r>
        <w:rPr>
          <w:spacing w:val="-58"/>
        </w:rPr>
        <w:t> </w:t>
      </w:r>
      <w:r>
        <w:rPr>
          <w:rFonts w:ascii="Arial" w:hAnsi="Arial" w:cs="Arial" w:eastAsia="Arial" w:hint="default"/>
        </w:rPr>
        <w:t>CDMA</w:t>
      </w:r>
      <w:r>
        <w:rPr>
          <w:rFonts w:ascii="Arial" w:hAnsi="Arial" w:cs="Arial" w:eastAsia="Arial" w:hint="default"/>
          <w:spacing w:val="-9"/>
        </w:rPr>
        <w:t> </w:t>
      </w:r>
      <w:r>
        <w:rPr/>
        <w:t>移动通信业务）；</w:t>
      </w:r>
    </w:p>
    <w:p>
      <w:pPr>
        <w:spacing w:line="240" w:lineRule="auto" w:before="6"/>
        <w:rPr>
          <w:rFonts w:ascii="宋体" w:hAnsi="宋体" w:cs="宋体" w:eastAsia="宋体" w:hint="default"/>
          <w:sz w:val="19"/>
          <w:szCs w:val="19"/>
        </w:rPr>
      </w:pPr>
    </w:p>
    <w:p>
      <w:pPr>
        <w:pStyle w:val="BodyText"/>
        <w:spacing w:line="284" w:lineRule="exact"/>
        <w:ind w:left="1199" w:right="89" w:hanging="361"/>
        <w:jc w:val="left"/>
      </w:pPr>
      <w:r>
        <w:rPr>
          <w:rFonts w:ascii="Arial" w:hAnsi="Arial" w:cs="Arial" w:eastAsia="Arial" w:hint="default"/>
        </w:rPr>
        <w:t>2) </w:t>
      </w:r>
      <w:r>
        <w:rPr/>
        <w:t>全国的国内及国际长途电话业务，包括利用互联网传输的话音业务（</w:t>
      </w:r>
      <w:r>
        <w:rPr>
          <w:rFonts w:ascii="Arial" w:hAnsi="Arial" w:cs="Arial" w:eastAsia="Arial" w:hint="default"/>
        </w:rPr>
        <w:t>IP</w:t>
      </w:r>
      <w:r>
        <w:rPr>
          <w:rFonts w:ascii="Arial" w:hAnsi="Arial" w:cs="Arial" w:eastAsia="Arial" w:hint="default"/>
          <w:spacing w:val="-5"/>
        </w:rPr>
        <w:t> </w:t>
      </w:r>
      <w:r>
        <w:rPr/>
        <w:t>电话）和全国数</w:t>
      </w:r>
      <w:r>
        <w:rPr>
          <w:w w:val="99"/>
        </w:rPr>
        <w:t> </w:t>
      </w:r>
      <w:r>
        <w:rPr/>
        <w:t>据及互联网业务和数字寻呼业务。</w:t>
      </w:r>
    </w:p>
    <w:p>
      <w:pPr>
        <w:spacing w:line="240" w:lineRule="auto" w:before="13"/>
        <w:rPr>
          <w:rFonts w:ascii="宋体" w:hAnsi="宋体" w:cs="宋体" w:eastAsia="宋体" w:hint="default"/>
          <w:sz w:val="17"/>
          <w:szCs w:val="17"/>
        </w:rPr>
      </w:pPr>
    </w:p>
    <w:p>
      <w:pPr>
        <w:pStyle w:val="BodyText"/>
        <w:spacing w:line="230" w:lineRule="auto"/>
        <w:ind w:left="821" w:right="209"/>
        <w:jc w:val="both"/>
      </w:pPr>
      <w:r>
        <w:rPr/>
        <w:t>于</w:t>
      </w:r>
      <w:r>
        <w:rPr>
          <w:spacing w:val="-54"/>
        </w:rPr>
        <w:t> </w:t>
      </w:r>
      <w:r>
        <w:rPr>
          <w:rFonts w:ascii="Arial" w:hAnsi="Arial" w:cs="Arial" w:eastAsia="Arial" w:hint="default"/>
        </w:rPr>
        <w:t>2002</w:t>
      </w:r>
      <w:r>
        <w:rPr>
          <w:rFonts w:ascii="Arial" w:hAnsi="Arial" w:cs="Arial" w:eastAsia="Arial" w:hint="default"/>
          <w:spacing w:val="-4"/>
        </w:rPr>
        <w:t> </w:t>
      </w:r>
      <w:r>
        <w:rPr/>
        <w:t>年</w:t>
      </w:r>
      <w:r>
        <w:rPr>
          <w:spacing w:val="-53"/>
        </w:rPr>
        <w:t> </w:t>
      </w:r>
      <w:r>
        <w:rPr>
          <w:rFonts w:ascii="Arial" w:hAnsi="Arial" w:cs="Arial" w:eastAsia="Arial" w:hint="default"/>
        </w:rPr>
        <w:t>12</w:t>
      </w:r>
      <w:r>
        <w:rPr>
          <w:rFonts w:ascii="Arial" w:hAnsi="Arial" w:cs="Arial" w:eastAsia="Arial" w:hint="default"/>
          <w:spacing w:val="-6"/>
        </w:rPr>
        <w:t> </w:t>
      </w:r>
      <w:r>
        <w:rPr/>
        <w:t>月</w:t>
      </w:r>
      <w:r>
        <w:rPr>
          <w:spacing w:val="-55"/>
        </w:rPr>
        <w:t> </w:t>
      </w:r>
      <w:r>
        <w:rPr>
          <w:rFonts w:ascii="Arial" w:hAnsi="Arial" w:cs="Arial" w:eastAsia="Arial" w:hint="default"/>
        </w:rPr>
        <w:t>31</w:t>
      </w:r>
      <w:r>
        <w:rPr>
          <w:rFonts w:ascii="Arial" w:hAnsi="Arial" w:cs="Arial" w:eastAsia="Arial" w:hint="default"/>
          <w:spacing w:val="-6"/>
        </w:rPr>
        <w:t> </w:t>
      </w:r>
      <w:r>
        <w:rPr/>
        <w:t>日，本公司通过联通红筹公司向联通集团收购了联通新世纪通信有限公</w:t>
      </w:r>
      <w:r>
        <w:rPr>
          <w:w w:val="99"/>
        </w:rPr>
        <w:t> </w:t>
      </w:r>
      <w:r>
        <w:rPr/>
        <w:t>司（“联通新世纪”）的全部股权，使本集团的移动通信业务扩大到四川、黑龙江、吉林、</w:t>
      </w:r>
      <w:r>
        <w:rPr>
          <w:w w:val="99"/>
        </w:rPr>
        <w:t> </w:t>
      </w:r>
      <w:r>
        <w:rPr>
          <w:spacing w:val="-4"/>
        </w:rPr>
        <w:t>河南、江西、广西、新疆、陕西</w:t>
      </w:r>
      <w:r>
        <w:rPr>
          <w:spacing w:val="-59"/>
        </w:rPr>
        <w:t> </w:t>
      </w:r>
      <w:r>
        <w:rPr>
          <w:rFonts w:ascii="Arial" w:hAnsi="Arial" w:cs="Arial" w:eastAsia="Arial" w:hint="default"/>
        </w:rPr>
        <w:t>8</w:t>
      </w:r>
      <w:r>
        <w:rPr>
          <w:rFonts w:ascii="Arial" w:hAnsi="Arial" w:cs="Arial" w:eastAsia="Arial" w:hint="default"/>
          <w:spacing w:val="-10"/>
        </w:rPr>
        <w:t> </w:t>
      </w:r>
      <w:r>
        <w:rPr/>
        <w:t>个省、自治区和重庆直辖市。后于</w:t>
      </w:r>
      <w:r>
        <w:rPr>
          <w:spacing w:val="-57"/>
        </w:rPr>
        <w:t> </w:t>
      </w:r>
      <w:r>
        <w:rPr>
          <w:rFonts w:ascii="Arial" w:hAnsi="Arial" w:cs="Arial" w:eastAsia="Arial" w:hint="default"/>
        </w:rPr>
        <w:t>2004</w:t>
      </w:r>
      <w:r>
        <w:rPr>
          <w:rFonts w:ascii="Arial" w:hAnsi="Arial" w:cs="Arial" w:eastAsia="Arial" w:hint="default"/>
          <w:spacing w:val="-11"/>
        </w:rPr>
        <w:t> </w:t>
      </w:r>
      <w:r>
        <w:rPr/>
        <w:t>年</w:t>
      </w:r>
      <w:r>
        <w:rPr>
          <w:spacing w:val="-60"/>
        </w:rPr>
        <w:t> </w:t>
      </w:r>
      <w:r>
        <w:rPr>
          <w:rFonts w:ascii="Arial" w:hAnsi="Arial" w:cs="Arial" w:eastAsia="Arial" w:hint="default"/>
        </w:rPr>
        <w:t>7</w:t>
      </w:r>
      <w:r>
        <w:rPr>
          <w:rFonts w:ascii="Arial" w:hAnsi="Arial" w:cs="Arial" w:eastAsia="Arial" w:hint="default"/>
          <w:spacing w:val="-11"/>
        </w:rPr>
        <w:t> </w:t>
      </w:r>
      <w:r>
        <w:rPr/>
        <w:t>月</w:t>
      </w:r>
      <w:r>
        <w:rPr>
          <w:spacing w:val="-60"/>
        </w:rPr>
        <w:t> </w:t>
      </w:r>
      <w:r>
        <w:rPr>
          <w:rFonts w:ascii="Arial" w:hAnsi="Arial" w:cs="Arial" w:eastAsia="Arial" w:hint="default"/>
        </w:rPr>
        <w:t>30</w:t>
      </w:r>
      <w:r>
        <w:rPr>
          <w:rFonts w:ascii="Arial" w:hAnsi="Arial" w:cs="Arial" w:eastAsia="Arial" w:hint="default"/>
          <w:spacing w:val="-11"/>
        </w:rPr>
        <w:t> </w:t>
      </w:r>
      <w:r>
        <w:rPr>
          <w:spacing w:val="-5"/>
        </w:rPr>
        <w:t>日，联</w:t>
      </w:r>
      <w:r>
        <w:rPr>
          <w:w w:val="99"/>
        </w:rPr>
        <w:t> </w:t>
      </w:r>
      <w:r>
        <w:rPr/>
        <w:t>通运营公司完成了与联通新世纪的合并，联通新世纪被注销。</w:t>
      </w:r>
    </w:p>
    <w:p>
      <w:pPr>
        <w:spacing w:line="240" w:lineRule="auto" w:before="11"/>
        <w:rPr>
          <w:rFonts w:ascii="宋体" w:hAnsi="宋体" w:cs="宋体" w:eastAsia="宋体" w:hint="default"/>
          <w:sz w:val="19"/>
          <w:szCs w:val="19"/>
        </w:rPr>
      </w:pPr>
    </w:p>
    <w:p>
      <w:pPr>
        <w:pStyle w:val="BodyText"/>
        <w:spacing w:line="232" w:lineRule="auto"/>
        <w:ind w:left="821" w:right="210"/>
        <w:jc w:val="both"/>
      </w:pPr>
      <w:r>
        <w:rPr/>
        <w:t>于</w:t>
      </w:r>
      <w:r>
        <w:rPr>
          <w:spacing w:val="-54"/>
        </w:rPr>
        <w:t> </w:t>
      </w:r>
      <w:r>
        <w:rPr>
          <w:rFonts w:ascii="Arial" w:hAnsi="Arial" w:cs="Arial" w:eastAsia="Arial" w:hint="default"/>
        </w:rPr>
        <w:t>2003</w:t>
      </w:r>
      <w:r>
        <w:rPr>
          <w:rFonts w:ascii="Arial" w:hAnsi="Arial" w:cs="Arial" w:eastAsia="Arial" w:hint="default"/>
          <w:spacing w:val="-4"/>
        </w:rPr>
        <w:t> </w:t>
      </w:r>
      <w:r>
        <w:rPr/>
        <w:t>年</w:t>
      </w:r>
      <w:r>
        <w:rPr>
          <w:spacing w:val="-53"/>
        </w:rPr>
        <w:t> </w:t>
      </w:r>
      <w:r>
        <w:rPr>
          <w:rFonts w:ascii="Arial" w:hAnsi="Arial" w:cs="Arial" w:eastAsia="Arial" w:hint="default"/>
        </w:rPr>
        <w:t>12</w:t>
      </w:r>
      <w:r>
        <w:rPr>
          <w:rFonts w:ascii="Arial" w:hAnsi="Arial" w:cs="Arial" w:eastAsia="Arial" w:hint="default"/>
          <w:spacing w:val="-6"/>
        </w:rPr>
        <w:t> </w:t>
      </w:r>
      <w:r>
        <w:rPr/>
        <w:t>月</w:t>
      </w:r>
      <w:r>
        <w:rPr>
          <w:spacing w:val="-55"/>
        </w:rPr>
        <w:t> </w:t>
      </w:r>
      <w:r>
        <w:rPr>
          <w:rFonts w:ascii="Arial" w:hAnsi="Arial" w:cs="Arial" w:eastAsia="Arial" w:hint="default"/>
        </w:rPr>
        <w:t>31</w:t>
      </w:r>
      <w:r>
        <w:rPr>
          <w:rFonts w:ascii="Arial" w:hAnsi="Arial" w:cs="Arial" w:eastAsia="Arial" w:hint="default"/>
          <w:spacing w:val="-6"/>
        </w:rPr>
        <w:t> </w:t>
      </w:r>
      <w:r>
        <w:rPr/>
        <w:t>日，本公司与联通集团达成股权转让安排，本公司将全国的寻呼业务出</w:t>
      </w:r>
      <w:r>
        <w:rPr>
          <w:w w:val="99"/>
        </w:rPr>
        <w:t> </w:t>
      </w:r>
      <w:r>
        <w:rPr/>
        <w:t>售与联通集团，本集团不再经营寻呼业务。与此同时，本公司还向联通集团收购其持有的联</w:t>
      </w:r>
      <w:r>
        <w:rPr>
          <w:w w:val="99"/>
        </w:rPr>
        <w:t> </w:t>
      </w:r>
      <w:r>
        <w:rPr/>
        <w:t>通新世界通信有限公司（“联通新世界”）的全部股权，收购完成后，本集团的移动通信业</w:t>
      </w:r>
      <w:r>
        <w:rPr>
          <w:w w:val="99"/>
        </w:rPr>
        <w:t> </w:t>
      </w:r>
      <w:r>
        <w:rPr/>
        <w:t>务扩大到山西、内蒙古、湖南、海南、云南、宁夏、甘肃、青海和西藏</w:t>
      </w:r>
      <w:r>
        <w:rPr>
          <w:spacing w:val="-59"/>
        </w:rPr>
        <w:t> </w:t>
      </w:r>
      <w:r>
        <w:rPr>
          <w:rFonts w:ascii="Arial" w:hAnsi="Arial" w:cs="Arial" w:eastAsia="Arial" w:hint="default"/>
        </w:rPr>
        <w:t>9</w:t>
      </w:r>
      <w:r>
        <w:rPr>
          <w:rFonts w:ascii="Arial" w:hAnsi="Arial" w:cs="Arial" w:eastAsia="Arial" w:hint="default"/>
          <w:spacing w:val="-14"/>
        </w:rPr>
        <w:t> </w:t>
      </w:r>
      <w:r>
        <w:rPr/>
        <w:t>个省、自治区。后</w:t>
      </w:r>
    </w:p>
    <w:p>
      <w:pPr>
        <w:pStyle w:val="BodyText"/>
        <w:spacing w:line="287" w:lineRule="exact"/>
        <w:ind w:left="821" w:right="0"/>
        <w:jc w:val="both"/>
      </w:pPr>
      <w:r>
        <w:rPr/>
        <w:t>于</w:t>
      </w:r>
      <w:r>
        <w:rPr>
          <w:spacing w:val="-58"/>
        </w:rPr>
        <w:t> </w:t>
      </w:r>
      <w:r>
        <w:rPr>
          <w:rFonts w:ascii="Arial" w:hAnsi="Arial" w:cs="Arial" w:eastAsia="Arial" w:hint="default"/>
        </w:rPr>
        <w:t>2005</w:t>
      </w:r>
      <w:r>
        <w:rPr>
          <w:rFonts w:ascii="Arial" w:hAnsi="Arial" w:cs="Arial" w:eastAsia="Arial" w:hint="default"/>
          <w:spacing w:val="-9"/>
        </w:rPr>
        <w:t> </w:t>
      </w:r>
      <w:r>
        <w:rPr/>
        <w:t>年</w:t>
      </w:r>
      <w:r>
        <w:rPr>
          <w:spacing w:val="-58"/>
        </w:rPr>
        <w:t> </w:t>
      </w:r>
      <w:r>
        <w:rPr>
          <w:rFonts w:ascii="Arial" w:hAnsi="Arial" w:cs="Arial" w:eastAsia="Arial" w:hint="default"/>
        </w:rPr>
        <w:t>9</w:t>
      </w:r>
      <w:r>
        <w:rPr>
          <w:rFonts w:ascii="Arial" w:hAnsi="Arial" w:cs="Arial" w:eastAsia="Arial" w:hint="default"/>
          <w:spacing w:val="-9"/>
        </w:rPr>
        <w:t> </w:t>
      </w:r>
      <w:r>
        <w:rPr/>
        <w:t>月</w:t>
      </w:r>
      <w:r>
        <w:rPr>
          <w:spacing w:val="-58"/>
        </w:rPr>
        <w:t> </w:t>
      </w:r>
      <w:r>
        <w:rPr>
          <w:rFonts w:ascii="Arial" w:hAnsi="Arial" w:cs="Arial" w:eastAsia="Arial" w:hint="default"/>
        </w:rPr>
        <w:t>1</w:t>
      </w:r>
      <w:r>
        <w:rPr>
          <w:rFonts w:ascii="Arial" w:hAnsi="Arial" w:cs="Arial" w:eastAsia="Arial" w:hint="default"/>
          <w:spacing w:val="-9"/>
        </w:rPr>
        <w:t> </w:t>
      </w:r>
      <w:r>
        <w:rPr/>
        <w:t>日，联通运营公司完成了与联通新世界的合并，联通新世界被注销。</w:t>
      </w:r>
    </w:p>
    <w:p>
      <w:pPr>
        <w:spacing w:line="240" w:lineRule="auto" w:before="0"/>
        <w:rPr>
          <w:rFonts w:ascii="宋体" w:hAnsi="宋体" w:cs="宋体" w:eastAsia="宋体" w:hint="default"/>
          <w:sz w:val="20"/>
          <w:szCs w:val="20"/>
        </w:rPr>
      </w:pPr>
    </w:p>
    <w:p>
      <w:pPr>
        <w:pStyle w:val="BodyText"/>
        <w:spacing w:line="286" w:lineRule="exact"/>
        <w:ind w:left="821" w:right="105"/>
        <w:jc w:val="left"/>
      </w:pPr>
      <w:r>
        <w:rPr/>
        <w:t>于</w:t>
      </w:r>
      <w:r>
        <w:rPr>
          <w:spacing w:val="-54"/>
        </w:rPr>
        <w:t> </w:t>
      </w:r>
      <w:r>
        <w:rPr>
          <w:rFonts w:ascii="Arial" w:hAnsi="Arial" w:cs="Arial" w:eastAsia="Arial" w:hint="default"/>
        </w:rPr>
        <w:t>2007</w:t>
      </w:r>
      <w:r>
        <w:rPr>
          <w:rFonts w:ascii="Arial" w:hAnsi="Arial" w:cs="Arial" w:eastAsia="Arial" w:hint="default"/>
          <w:spacing w:val="-4"/>
        </w:rPr>
        <w:t> </w:t>
      </w:r>
      <w:r>
        <w:rPr/>
        <w:t>年</w:t>
      </w:r>
      <w:r>
        <w:rPr>
          <w:spacing w:val="-53"/>
        </w:rPr>
        <w:t> </w:t>
      </w:r>
      <w:r>
        <w:rPr>
          <w:rFonts w:ascii="Arial" w:hAnsi="Arial" w:cs="Arial" w:eastAsia="Arial" w:hint="default"/>
        </w:rPr>
        <w:t>12</w:t>
      </w:r>
      <w:r>
        <w:rPr>
          <w:rFonts w:ascii="Arial" w:hAnsi="Arial" w:cs="Arial" w:eastAsia="Arial" w:hint="default"/>
          <w:spacing w:val="-6"/>
        </w:rPr>
        <w:t> </w:t>
      </w:r>
      <w:r>
        <w:rPr/>
        <w:t>月</w:t>
      </w:r>
      <w:r>
        <w:rPr>
          <w:spacing w:val="-55"/>
        </w:rPr>
        <w:t> </w:t>
      </w:r>
      <w:r>
        <w:rPr>
          <w:rFonts w:ascii="Arial" w:hAnsi="Arial" w:cs="Arial" w:eastAsia="Arial" w:hint="default"/>
        </w:rPr>
        <w:t>31</w:t>
      </w:r>
      <w:r>
        <w:rPr>
          <w:rFonts w:ascii="Arial" w:hAnsi="Arial" w:cs="Arial" w:eastAsia="Arial" w:hint="default"/>
          <w:spacing w:val="-6"/>
        </w:rPr>
        <w:t> </w:t>
      </w:r>
      <w:r>
        <w:rPr/>
        <w:t>日，本公司再次完成联通集团收购其贵州分公司的移动通信业务及相关</w:t>
      </w:r>
      <w:r>
        <w:rPr>
          <w:w w:val="99"/>
        </w:rPr>
        <w:t> </w:t>
      </w:r>
      <w:r>
        <w:rPr>
          <w:rFonts w:ascii="Arial" w:hAnsi="Arial" w:cs="Arial" w:eastAsia="Arial" w:hint="default"/>
        </w:rPr>
        <w:t>GSM</w:t>
      </w:r>
      <w:r>
        <w:rPr>
          <w:rFonts w:ascii="Arial" w:hAnsi="Arial" w:cs="Arial" w:eastAsia="Arial" w:hint="default"/>
          <w:spacing w:val="-20"/>
        </w:rPr>
        <w:t> </w:t>
      </w:r>
      <w:r>
        <w:rPr/>
        <w:t>网络资产，使得本集团的移动业务覆盖范围扩大到全国范围（不包括香港特别行政区、</w:t>
      </w:r>
      <w:r>
        <w:rPr>
          <w:w w:val="99"/>
        </w:rPr>
        <w:t> </w:t>
      </w:r>
      <w:r>
        <w:rPr/>
        <w:t>澳门特别行政区和台湾地区）。</w:t>
      </w:r>
    </w:p>
    <w:p>
      <w:pPr>
        <w:spacing w:line="240" w:lineRule="auto" w:before="5"/>
        <w:rPr>
          <w:rFonts w:ascii="宋体" w:hAnsi="宋体" w:cs="宋体" w:eastAsia="宋体" w:hint="default"/>
          <w:sz w:val="18"/>
          <w:szCs w:val="18"/>
        </w:rPr>
      </w:pPr>
    </w:p>
    <w:p>
      <w:pPr>
        <w:pStyle w:val="BodyText"/>
        <w:spacing w:line="225" w:lineRule="auto"/>
        <w:ind w:left="821" w:right="209"/>
        <w:jc w:val="both"/>
      </w:pPr>
      <w:r>
        <w:rPr/>
        <w:t>另外，根据本公司与联通集团及其子公司联通新时空在</w:t>
      </w:r>
      <w:r>
        <w:rPr>
          <w:spacing w:val="-61"/>
        </w:rPr>
        <w:t> </w:t>
      </w:r>
      <w:r>
        <w:rPr>
          <w:rFonts w:ascii="Arial" w:hAnsi="Arial" w:cs="Arial" w:eastAsia="Arial" w:hint="default"/>
        </w:rPr>
        <w:t>2002</w:t>
      </w:r>
      <w:r>
        <w:rPr>
          <w:rFonts w:ascii="Arial" w:hAnsi="Arial" w:cs="Arial" w:eastAsia="Arial" w:hint="default"/>
          <w:spacing w:val="-15"/>
        </w:rPr>
        <w:t> </w:t>
      </w:r>
      <w:r>
        <w:rPr/>
        <w:t>年签订的有条件租赁</w:t>
      </w:r>
      <w:r>
        <w:rPr>
          <w:spacing w:val="-63"/>
        </w:rPr>
        <w:t> </w:t>
      </w:r>
      <w:r>
        <w:rPr>
          <w:rFonts w:ascii="Arial" w:hAnsi="Arial" w:cs="Arial" w:eastAsia="Arial" w:hint="default"/>
        </w:rPr>
        <w:t>CDMA</w:t>
      </w:r>
      <w:r>
        <w:rPr>
          <w:rFonts w:ascii="Arial" w:hAnsi="Arial" w:cs="Arial" w:eastAsia="Arial" w:hint="default"/>
          <w:spacing w:val="-15"/>
        </w:rPr>
        <w:t> </w:t>
      </w:r>
      <w:r>
        <w:rPr/>
        <w:t>网</w:t>
      </w:r>
      <w:r>
        <w:rPr>
          <w:w w:val="99"/>
        </w:rPr>
        <w:t> </w:t>
      </w:r>
      <w:r>
        <w:rPr/>
        <w:t>络容量协议，本集团的</w:t>
      </w:r>
      <w:r>
        <w:rPr>
          <w:spacing w:val="-48"/>
        </w:rPr>
        <w:t> </w:t>
      </w:r>
      <w:r>
        <w:rPr>
          <w:rFonts w:ascii="Arial" w:hAnsi="Arial" w:cs="Arial" w:eastAsia="Arial" w:hint="default"/>
        </w:rPr>
        <w:t>CDMA</w:t>
      </w:r>
      <w:r>
        <w:rPr>
          <w:rFonts w:ascii="Arial" w:hAnsi="Arial" w:cs="Arial" w:eastAsia="Arial" w:hint="default"/>
          <w:spacing w:val="-2"/>
        </w:rPr>
        <w:t> </w:t>
      </w:r>
      <w:r>
        <w:rPr/>
        <w:t>移动通信业务一直通过租赁联通新时空拥有的</w:t>
      </w:r>
      <w:r>
        <w:rPr>
          <w:spacing w:val="-48"/>
        </w:rPr>
        <w:t> </w:t>
      </w:r>
      <w:r>
        <w:rPr>
          <w:rFonts w:ascii="Arial" w:hAnsi="Arial" w:cs="Arial" w:eastAsia="Arial" w:hint="default"/>
        </w:rPr>
        <w:t>CDMA</w:t>
      </w:r>
      <w:r>
        <w:rPr>
          <w:rFonts w:ascii="Arial" w:hAnsi="Arial" w:cs="Arial" w:eastAsia="Arial" w:hint="default"/>
          <w:spacing w:val="-1"/>
        </w:rPr>
        <w:t> </w:t>
      </w:r>
      <w:r>
        <w:rPr/>
        <w:t>移动通</w:t>
      </w:r>
      <w:r>
        <w:rPr>
          <w:w w:val="99"/>
        </w:rPr>
        <w:t> </w:t>
      </w:r>
      <w:r>
        <w:rPr/>
        <w:t>信网络容量进行运营，首个租赁期始于</w:t>
      </w:r>
      <w:r>
        <w:rPr>
          <w:spacing w:val="-55"/>
        </w:rPr>
        <w:t> </w:t>
      </w:r>
      <w:r>
        <w:rPr>
          <w:rFonts w:ascii="Arial" w:hAnsi="Arial" w:cs="Arial" w:eastAsia="Arial" w:hint="default"/>
        </w:rPr>
        <w:t>2002</w:t>
      </w:r>
      <w:r>
        <w:rPr>
          <w:rFonts w:ascii="Arial" w:hAnsi="Arial" w:cs="Arial" w:eastAsia="Arial" w:hint="default"/>
          <w:spacing w:val="-8"/>
        </w:rPr>
        <w:t> </w:t>
      </w:r>
      <w:r>
        <w:rPr/>
        <w:t>年</w:t>
      </w:r>
      <w:r>
        <w:rPr>
          <w:spacing w:val="-57"/>
        </w:rPr>
        <w:t> </w:t>
      </w:r>
      <w:r>
        <w:rPr>
          <w:rFonts w:ascii="Arial" w:hAnsi="Arial" w:cs="Arial" w:eastAsia="Arial" w:hint="default"/>
        </w:rPr>
        <w:t>1</w:t>
      </w:r>
      <w:r>
        <w:rPr>
          <w:rFonts w:ascii="Arial" w:hAnsi="Arial" w:cs="Arial" w:eastAsia="Arial" w:hint="default"/>
          <w:spacing w:val="-8"/>
        </w:rPr>
        <w:t> </w:t>
      </w:r>
      <w:r>
        <w:rPr/>
        <w:t>月</w:t>
      </w:r>
      <w:r>
        <w:rPr>
          <w:spacing w:val="-57"/>
        </w:rPr>
        <w:t> </w:t>
      </w:r>
      <w:r>
        <w:rPr>
          <w:rFonts w:ascii="Arial" w:hAnsi="Arial" w:cs="Arial" w:eastAsia="Arial" w:hint="default"/>
        </w:rPr>
        <w:t>8</w:t>
      </w:r>
      <w:r>
        <w:rPr>
          <w:rFonts w:ascii="Arial" w:hAnsi="Arial" w:cs="Arial" w:eastAsia="Arial" w:hint="default"/>
          <w:spacing w:val="-8"/>
        </w:rPr>
        <w:t> </w:t>
      </w:r>
      <w:r>
        <w:rPr/>
        <w:t>日。</w:t>
      </w:r>
    </w:p>
    <w:p>
      <w:pPr>
        <w:spacing w:after="0" w:line="225" w:lineRule="auto"/>
        <w:jc w:val="both"/>
        <w:sectPr>
          <w:pgSz w:w="11910" w:h="16840"/>
          <w:pgMar w:header="567" w:footer="745" w:top="800" w:bottom="940" w:left="1380" w:right="680"/>
        </w:sectPr>
      </w:pPr>
    </w:p>
    <w:p>
      <w:pPr>
        <w:spacing w:line="240" w:lineRule="auto" w:before="8"/>
        <w:rPr>
          <w:rFonts w:ascii="宋体" w:hAnsi="宋体" w:cs="宋体" w:eastAsia="宋体" w:hint="default"/>
          <w:sz w:val="22"/>
          <w:szCs w:val="22"/>
        </w:rPr>
      </w:pPr>
    </w:p>
    <w:p>
      <w:pPr>
        <w:pStyle w:val="BodyText"/>
        <w:spacing w:line="225" w:lineRule="auto" w:before="47"/>
        <w:ind w:left="841" w:right="95"/>
        <w:jc w:val="left"/>
      </w:pPr>
      <w:r>
        <w:rPr>
          <w:w w:val="99"/>
        </w:rPr>
        <w:t>于</w:t>
      </w:r>
      <w:r>
        <w:rPr>
          <w:spacing w:val="-54"/>
          <w:w w:val="99"/>
        </w:rPr>
        <w:t> </w:t>
      </w:r>
      <w:r>
        <w:rPr>
          <w:rFonts w:ascii="Arial" w:hAnsi="Arial" w:cs="Arial" w:eastAsia="Arial" w:hint="default"/>
          <w:w w:val="99"/>
        </w:rPr>
        <w:t>2008</w:t>
      </w:r>
      <w:r>
        <w:rPr>
          <w:rFonts w:ascii="Arial" w:hAnsi="Arial" w:cs="Arial" w:eastAsia="Arial" w:hint="default"/>
          <w:spacing w:val="-6"/>
          <w:w w:val="99"/>
        </w:rPr>
        <w:t> </w:t>
      </w:r>
      <w:r>
        <w:rPr>
          <w:w w:val="99"/>
        </w:rPr>
        <w:t>年</w:t>
      </w:r>
      <w:r>
        <w:rPr>
          <w:spacing w:val="-54"/>
          <w:w w:val="99"/>
        </w:rPr>
        <w:t> </w:t>
      </w:r>
      <w:r>
        <w:rPr>
          <w:rFonts w:ascii="Arial" w:hAnsi="Arial" w:cs="Arial" w:eastAsia="Arial" w:hint="default"/>
          <w:w w:val="99"/>
        </w:rPr>
        <w:t>5</w:t>
      </w:r>
      <w:r>
        <w:rPr>
          <w:rFonts w:ascii="Arial" w:hAnsi="Arial" w:cs="Arial" w:eastAsia="Arial" w:hint="default"/>
          <w:spacing w:val="-6"/>
          <w:w w:val="99"/>
        </w:rPr>
        <w:t> </w:t>
      </w:r>
      <w:r>
        <w:rPr>
          <w:w w:val="99"/>
        </w:rPr>
        <w:t>月</w:t>
      </w:r>
      <w:r>
        <w:rPr>
          <w:spacing w:val="-54"/>
          <w:w w:val="99"/>
        </w:rPr>
        <w:t> </w:t>
      </w:r>
      <w:r>
        <w:rPr>
          <w:rFonts w:ascii="Arial" w:hAnsi="Arial" w:cs="Arial" w:eastAsia="Arial" w:hint="default"/>
          <w:w w:val="99"/>
        </w:rPr>
        <w:t>24</w:t>
      </w:r>
      <w:r>
        <w:rPr>
          <w:rFonts w:ascii="Arial" w:hAnsi="Arial" w:cs="Arial" w:eastAsia="Arial" w:hint="default"/>
          <w:spacing w:val="-6"/>
          <w:w w:val="99"/>
        </w:rPr>
        <w:t> </w:t>
      </w:r>
      <w:r>
        <w:rPr>
          <w:spacing w:val="-12"/>
          <w:w w:val="99"/>
        </w:rPr>
        <w:t>日，工信部、发改委和财政部联合发出的《关于深化电信体制改革的通告》，</w:t>
      </w:r>
      <w:r>
        <w:rPr>
          <w:w w:val="99"/>
        </w:rPr>
        <w:t> </w:t>
      </w:r>
      <w:r>
        <w:rPr/>
        <w:t>鼓励中国电信收购中国联通</w:t>
      </w:r>
      <w:r>
        <w:rPr>
          <w:spacing w:val="-55"/>
        </w:rPr>
        <w:t> </w:t>
      </w:r>
      <w:r>
        <w:rPr>
          <w:rFonts w:ascii="Arial" w:hAnsi="Arial" w:cs="Arial" w:eastAsia="Arial" w:hint="default"/>
        </w:rPr>
        <w:t>CDMA</w:t>
      </w:r>
      <w:r>
        <w:rPr>
          <w:rFonts w:ascii="Arial" w:hAnsi="Arial" w:cs="Arial" w:eastAsia="Arial" w:hint="default"/>
          <w:spacing w:val="-7"/>
        </w:rPr>
        <w:t> </w:t>
      </w:r>
      <w:r>
        <w:rPr>
          <w:spacing w:val="-4"/>
        </w:rPr>
        <w:t>网络，中国联通和中国网通合并以深化对中国电信行业的</w:t>
      </w:r>
      <w:r>
        <w:rPr>
          <w:w w:val="99"/>
        </w:rPr>
        <w:t> </w:t>
      </w:r>
      <w:r>
        <w:rPr/>
        <w:t>改革。作为对此的回应，于</w:t>
      </w:r>
      <w:r>
        <w:rPr>
          <w:spacing w:val="-58"/>
        </w:rPr>
        <w:t> </w:t>
      </w:r>
      <w:r>
        <w:rPr>
          <w:rFonts w:ascii="Arial" w:hAnsi="Arial" w:cs="Arial" w:eastAsia="Arial" w:hint="default"/>
        </w:rPr>
        <w:t>2008</w:t>
      </w:r>
      <w:r>
        <w:rPr>
          <w:rFonts w:ascii="Arial" w:hAnsi="Arial" w:cs="Arial" w:eastAsia="Arial" w:hint="default"/>
          <w:spacing w:val="-10"/>
        </w:rPr>
        <w:t> </w:t>
      </w:r>
      <w:r>
        <w:rPr/>
        <w:t>年</w:t>
      </w:r>
      <w:r>
        <w:rPr>
          <w:spacing w:val="-59"/>
        </w:rPr>
        <w:t> </w:t>
      </w:r>
      <w:r>
        <w:rPr>
          <w:rFonts w:ascii="Arial" w:hAnsi="Arial" w:cs="Arial" w:eastAsia="Arial" w:hint="default"/>
        </w:rPr>
        <w:t>6</w:t>
      </w:r>
      <w:r>
        <w:rPr>
          <w:rFonts w:ascii="Arial" w:hAnsi="Arial" w:cs="Arial" w:eastAsia="Arial" w:hint="default"/>
          <w:spacing w:val="-10"/>
        </w:rPr>
        <w:t> </w:t>
      </w:r>
      <w:r>
        <w:rPr/>
        <w:t>月</w:t>
      </w:r>
      <w:r>
        <w:rPr>
          <w:spacing w:val="-59"/>
        </w:rPr>
        <w:t> </w:t>
      </w:r>
      <w:r>
        <w:rPr>
          <w:rFonts w:ascii="Arial" w:hAnsi="Arial" w:cs="Arial" w:eastAsia="Arial" w:hint="default"/>
        </w:rPr>
        <w:t>2</w:t>
      </w:r>
      <w:r>
        <w:rPr>
          <w:rFonts w:ascii="Arial" w:hAnsi="Arial" w:cs="Arial" w:eastAsia="Arial" w:hint="default"/>
          <w:spacing w:val="-10"/>
        </w:rPr>
        <w:t> </w:t>
      </w:r>
      <w:r>
        <w:rPr/>
        <w:t>日和</w:t>
      </w:r>
      <w:r>
        <w:rPr>
          <w:spacing w:val="-59"/>
        </w:rPr>
        <w:t> </w:t>
      </w:r>
      <w:r>
        <w:rPr>
          <w:rFonts w:ascii="Arial" w:hAnsi="Arial" w:cs="Arial" w:eastAsia="Arial" w:hint="default"/>
        </w:rPr>
        <w:t>2008</w:t>
      </w:r>
      <w:r>
        <w:rPr>
          <w:rFonts w:ascii="Arial" w:hAnsi="Arial" w:cs="Arial" w:eastAsia="Arial" w:hint="default"/>
          <w:spacing w:val="-10"/>
        </w:rPr>
        <w:t> </w:t>
      </w:r>
      <w:r>
        <w:rPr/>
        <w:t>年</w:t>
      </w:r>
      <w:r>
        <w:rPr>
          <w:spacing w:val="-59"/>
        </w:rPr>
        <w:t> </w:t>
      </w:r>
      <w:r>
        <w:rPr>
          <w:rFonts w:ascii="Arial" w:hAnsi="Arial" w:cs="Arial" w:eastAsia="Arial" w:hint="default"/>
        </w:rPr>
        <w:t>7</w:t>
      </w:r>
      <w:r>
        <w:rPr>
          <w:rFonts w:ascii="Arial" w:hAnsi="Arial" w:cs="Arial" w:eastAsia="Arial" w:hint="default"/>
          <w:spacing w:val="-10"/>
        </w:rPr>
        <w:t> </w:t>
      </w:r>
      <w:r>
        <w:rPr/>
        <w:t>月</w:t>
      </w:r>
      <w:r>
        <w:rPr>
          <w:spacing w:val="-59"/>
        </w:rPr>
        <w:t> </w:t>
      </w:r>
      <w:r>
        <w:rPr>
          <w:rFonts w:ascii="Arial" w:hAnsi="Arial" w:cs="Arial" w:eastAsia="Arial" w:hint="default"/>
        </w:rPr>
        <w:t>27</w:t>
      </w:r>
      <w:r>
        <w:rPr>
          <w:rFonts w:ascii="Arial" w:hAnsi="Arial" w:cs="Arial" w:eastAsia="Arial" w:hint="default"/>
          <w:spacing w:val="-10"/>
        </w:rPr>
        <w:t> </w:t>
      </w:r>
      <w:r>
        <w:rPr/>
        <w:t>日，本公司、联通红筹公司</w:t>
      </w:r>
      <w:r>
        <w:rPr>
          <w:w w:val="99"/>
        </w:rPr>
        <w:t> </w:t>
      </w:r>
      <w:r>
        <w:rPr/>
        <w:t>与中国电信分别订立了《关于转让</w:t>
      </w:r>
      <w:r>
        <w:rPr>
          <w:spacing w:val="-46"/>
        </w:rPr>
        <w:t> </w:t>
      </w:r>
      <w:r>
        <w:rPr>
          <w:rFonts w:ascii="Arial" w:hAnsi="Arial" w:cs="Arial" w:eastAsia="Arial" w:hint="default"/>
        </w:rPr>
        <w:t>CDMA </w:t>
      </w:r>
      <w:r>
        <w:rPr/>
        <w:t>业务的框架协议》和《关于转让</w:t>
      </w:r>
      <w:r>
        <w:rPr>
          <w:spacing w:val="-47"/>
        </w:rPr>
        <w:t> </w:t>
      </w:r>
      <w:r>
        <w:rPr>
          <w:rFonts w:ascii="Arial" w:hAnsi="Arial" w:cs="Arial" w:eastAsia="Arial" w:hint="default"/>
        </w:rPr>
        <w:t>CDMA</w:t>
      </w:r>
      <w:r>
        <w:rPr>
          <w:rFonts w:ascii="Arial" w:hAnsi="Arial" w:cs="Arial" w:eastAsia="Arial" w:hint="default"/>
          <w:spacing w:val="2"/>
        </w:rPr>
        <w:t> </w:t>
      </w:r>
      <w:r>
        <w:rPr/>
        <w:t>业务的协</w:t>
      </w:r>
      <w:r>
        <w:rPr>
          <w:w w:val="99"/>
        </w:rPr>
        <w:t> </w:t>
      </w:r>
      <w:r>
        <w:rPr>
          <w:spacing w:val="-5"/>
        </w:rPr>
        <w:t>议》，将本集团经营的</w:t>
      </w:r>
      <w:r>
        <w:rPr>
          <w:spacing w:val="-57"/>
        </w:rPr>
        <w:t> </w:t>
      </w:r>
      <w:r>
        <w:rPr>
          <w:rFonts w:ascii="Arial" w:hAnsi="Arial" w:cs="Arial" w:eastAsia="Arial" w:hint="default"/>
        </w:rPr>
        <w:t>CDMA</w:t>
      </w:r>
      <w:r>
        <w:rPr>
          <w:rFonts w:ascii="Arial" w:hAnsi="Arial" w:cs="Arial" w:eastAsia="Arial" w:hint="default"/>
          <w:spacing w:val="-9"/>
        </w:rPr>
        <w:t> </w:t>
      </w:r>
      <w:r>
        <w:rPr/>
        <w:t>业务全部出售与中国电信，该交易于</w:t>
      </w:r>
      <w:r>
        <w:rPr>
          <w:spacing w:val="-57"/>
        </w:rPr>
        <w:t> </w:t>
      </w:r>
      <w:r>
        <w:rPr>
          <w:rFonts w:ascii="Arial" w:hAnsi="Arial" w:cs="Arial" w:eastAsia="Arial" w:hint="default"/>
        </w:rPr>
        <w:t>2008</w:t>
      </w:r>
      <w:r>
        <w:rPr>
          <w:rFonts w:ascii="Arial" w:hAnsi="Arial" w:cs="Arial" w:eastAsia="Arial" w:hint="default"/>
          <w:spacing w:val="-9"/>
        </w:rPr>
        <w:t> </w:t>
      </w:r>
      <w:r>
        <w:rPr/>
        <w:t>年</w:t>
      </w:r>
      <w:r>
        <w:rPr>
          <w:spacing w:val="-58"/>
        </w:rPr>
        <w:t> </w:t>
      </w:r>
      <w:r>
        <w:rPr>
          <w:rFonts w:ascii="Arial" w:hAnsi="Arial" w:cs="Arial" w:eastAsia="Arial" w:hint="default"/>
        </w:rPr>
        <w:t>10</w:t>
      </w:r>
      <w:r>
        <w:rPr>
          <w:rFonts w:ascii="Arial" w:hAnsi="Arial" w:cs="Arial" w:eastAsia="Arial" w:hint="default"/>
          <w:spacing w:val="-9"/>
        </w:rPr>
        <w:t> </w:t>
      </w:r>
      <w:r>
        <w:rPr/>
        <w:t>月</w:t>
      </w:r>
      <w:r>
        <w:rPr>
          <w:spacing w:val="-58"/>
        </w:rPr>
        <w:t> </w:t>
      </w:r>
      <w:r>
        <w:rPr>
          <w:rFonts w:ascii="Arial" w:hAnsi="Arial" w:cs="Arial" w:eastAsia="Arial" w:hint="default"/>
        </w:rPr>
        <w:t>1</w:t>
      </w:r>
      <w:r>
        <w:rPr>
          <w:rFonts w:ascii="Arial" w:hAnsi="Arial" w:cs="Arial" w:eastAsia="Arial" w:hint="default"/>
          <w:spacing w:val="-9"/>
        </w:rPr>
        <w:t> </w:t>
      </w:r>
      <w:r>
        <w:rPr/>
        <w:t>日完成，</w:t>
      </w:r>
      <w:r>
        <w:rPr>
          <w:w w:val="99"/>
        </w:rPr>
        <w:t> </w:t>
      </w:r>
      <w:r>
        <w:rPr/>
        <w:t>本集团不再经营原有</w:t>
      </w:r>
      <w:r>
        <w:rPr>
          <w:spacing w:val="-47"/>
        </w:rPr>
        <w:t> </w:t>
      </w:r>
      <w:r>
        <w:rPr>
          <w:rFonts w:ascii="Arial" w:hAnsi="Arial" w:cs="Arial" w:eastAsia="Arial" w:hint="default"/>
        </w:rPr>
        <w:t>CDMA </w:t>
      </w:r>
      <w:r>
        <w:rPr/>
        <w:t>通信业务，亦于同日停止向联通新时空租赁</w:t>
      </w:r>
      <w:r>
        <w:rPr>
          <w:spacing w:val="-47"/>
        </w:rPr>
        <w:t> </w:t>
      </w:r>
      <w:r>
        <w:rPr>
          <w:rFonts w:ascii="Arial" w:hAnsi="Arial" w:cs="Arial" w:eastAsia="Arial" w:hint="default"/>
        </w:rPr>
        <w:t>CDMA </w:t>
      </w:r>
      <w:r>
        <w:rPr/>
        <w:t>移动通信网</w:t>
      </w:r>
      <w:r>
        <w:rPr>
          <w:w w:val="99"/>
        </w:rPr>
        <w:t> </w:t>
      </w:r>
      <w:r>
        <w:rPr/>
        <w:t>络容量。</w:t>
      </w:r>
    </w:p>
    <w:p>
      <w:pPr>
        <w:spacing w:line="240" w:lineRule="auto" w:before="4"/>
        <w:rPr>
          <w:rFonts w:ascii="宋体" w:hAnsi="宋体" w:cs="宋体" w:eastAsia="宋体" w:hint="default"/>
          <w:sz w:val="16"/>
          <w:szCs w:val="16"/>
        </w:rPr>
      </w:pPr>
    </w:p>
    <w:p>
      <w:pPr>
        <w:pStyle w:val="BodyText"/>
        <w:spacing w:line="232" w:lineRule="auto"/>
        <w:ind w:left="841" w:right="95"/>
        <w:jc w:val="left"/>
      </w:pPr>
      <w:r>
        <w:rPr/>
        <w:t>另外，做为上述中国电信行业改革的一部分，于</w:t>
      </w:r>
      <w:r>
        <w:rPr>
          <w:spacing w:val="-51"/>
        </w:rPr>
        <w:t> </w:t>
      </w:r>
      <w:r>
        <w:rPr>
          <w:rFonts w:ascii="Arial" w:hAnsi="Arial" w:cs="Arial" w:eastAsia="Arial" w:hint="default"/>
        </w:rPr>
        <w:t>2008</w:t>
      </w:r>
      <w:r>
        <w:rPr>
          <w:rFonts w:ascii="Arial" w:hAnsi="Arial" w:cs="Arial" w:eastAsia="Arial" w:hint="default"/>
          <w:spacing w:val="-3"/>
        </w:rPr>
        <w:t> </w:t>
      </w:r>
      <w:r>
        <w:rPr/>
        <w:t>年</w:t>
      </w:r>
      <w:r>
        <w:rPr>
          <w:spacing w:val="-52"/>
        </w:rPr>
        <w:t> </w:t>
      </w:r>
      <w:r>
        <w:rPr>
          <w:rFonts w:ascii="Arial" w:hAnsi="Arial" w:cs="Arial" w:eastAsia="Arial" w:hint="default"/>
        </w:rPr>
        <w:t>10</w:t>
      </w:r>
      <w:r>
        <w:rPr>
          <w:rFonts w:ascii="Arial" w:hAnsi="Arial" w:cs="Arial" w:eastAsia="Arial" w:hint="default"/>
          <w:spacing w:val="-5"/>
        </w:rPr>
        <w:t> </w:t>
      </w:r>
      <w:r>
        <w:rPr/>
        <w:t>月</w:t>
      </w:r>
      <w:r>
        <w:rPr>
          <w:spacing w:val="-54"/>
        </w:rPr>
        <w:t> </w:t>
      </w:r>
      <w:r>
        <w:rPr>
          <w:rFonts w:ascii="Arial" w:hAnsi="Arial" w:cs="Arial" w:eastAsia="Arial" w:hint="default"/>
        </w:rPr>
        <w:t>15</w:t>
      </w:r>
      <w:r>
        <w:rPr>
          <w:rFonts w:ascii="Arial" w:hAnsi="Arial" w:cs="Arial" w:eastAsia="Arial" w:hint="default"/>
          <w:spacing w:val="-5"/>
        </w:rPr>
        <w:t> </w:t>
      </w:r>
      <w:r>
        <w:rPr/>
        <w:t>日，本公司子公司联通红</w:t>
      </w:r>
      <w:r>
        <w:rPr>
          <w:w w:val="99"/>
        </w:rPr>
        <w:t> </w:t>
      </w:r>
      <w:r>
        <w:rPr/>
        <w:t>筹公司与网通红筹公司以协议安排通过换股方式完成了两家公司的合并。同时，联通运营公</w:t>
      </w:r>
      <w:r>
        <w:rPr>
          <w:w w:val="99"/>
        </w:rPr>
        <w:t> </w:t>
      </w:r>
      <w:r>
        <w:rPr/>
        <w:t>司也对网通红筹公司境内全资子公司中国网通（集团）有限公司（“网通运营公司”）进行</w:t>
      </w:r>
      <w:r>
        <w:rPr>
          <w:w w:val="99"/>
        </w:rPr>
        <w:t> </w:t>
      </w:r>
      <w:r>
        <w:rPr/>
        <w:t>了吸收合并，该合并于</w:t>
      </w:r>
      <w:r>
        <w:rPr>
          <w:spacing w:val="-46"/>
        </w:rPr>
        <w:t> </w:t>
      </w:r>
      <w:r>
        <w:rPr>
          <w:rFonts w:ascii="Arial" w:hAnsi="Arial" w:cs="Arial" w:eastAsia="Arial" w:hint="default"/>
        </w:rPr>
        <w:t>2009 </w:t>
      </w:r>
      <w:r>
        <w:rPr/>
        <w:t>年</w:t>
      </w:r>
      <w:r>
        <w:rPr>
          <w:spacing w:val="-49"/>
        </w:rPr>
        <w:t> </w:t>
      </w:r>
      <w:r>
        <w:rPr>
          <w:rFonts w:ascii="Arial" w:hAnsi="Arial" w:cs="Arial" w:eastAsia="Arial" w:hint="default"/>
        </w:rPr>
        <w:t>1 </w:t>
      </w:r>
      <w:r>
        <w:rPr/>
        <w:t>月</w:t>
      </w:r>
      <w:r>
        <w:rPr>
          <w:spacing w:val="-49"/>
        </w:rPr>
        <w:t> </w:t>
      </w:r>
      <w:r>
        <w:rPr>
          <w:rFonts w:ascii="Arial" w:hAnsi="Arial" w:cs="Arial" w:eastAsia="Arial" w:hint="default"/>
        </w:rPr>
        <w:t>6 </w:t>
      </w:r>
      <w:r>
        <w:rPr/>
        <w:t>日完成，合并后联通运营公司存续，网通运营公司注</w:t>
      </w:r>
      <w:r>
        <w:rPr>
          <w:w w:val="99"/>
        </w:rPr>
        <w:t> </w:t>
      </w:r>
      <w:r>
        <w:rPr>
          <w:spacing w:val="-8"/>
        </w:rPr>
        <w:t>销。至此，本集团的主营业务范围增加了原网通运营公司经营的固定电话通信（“固网业务”）</w:t>
      </w:r>
      <w:r>
        <w:rPr>
          <w:spacing w:val="-105"/>
        </w:rPr>
        <w:t> </w:t>
      </w:r>
      <w:r>
        <w:rPr>
          <w:spacing w:val="-105"/>
        </w:rPr>
      </w:r>
      <w:r>
        <w:rPr/>
        <w:t>及相关业务。</w:t>
      </w:r>
    </w:p>
    <w:p>
      <w:pPr>
        <w:spacing w:line="240" w:lineRule="auto" w:before="11"/>
        <w:rPr>
          <w:rFonts w:ascii="宋体" w:hAnsi="宋体" w:cs="宋体" w:eastAsia="宋体" w:hint="default"/>
          <w:sz w:val="17"/>
          <w:szCs w:val="17"/>
        </w:rPr>
      </w:pPr>
    </w:p>
    <w:p>
      <w:pPr>
        <w:pStyle w:val="BodyText"/>
        <w:spacing w:line="286" w:lineRule="exact"/>
        <w:ind w:left="841" w:right="211"/>
        <w:jc w:val="both"/>
      </w:pPr>
      <w:r>
        <w:rPr/>
        <w:t>于</w:t>
      </w:r>
      <w:r>
        <w:rPr>
          <w:spacing w:val="-62"/>
        </w:rPr>
        <w:t> </w:t>
      </w:r>
      <w:r>
        <w:rPr>
          <w:rFonts w:ascii="Arial" w:hAnsi="Arial" w:cs="Arial" w:eastAsia="Arial" w:hint="default"/>
        </w:rPr>
        <w:t>2009</w:t>
      </w:r>
      <w:r>
        <w:rPr>
          <w:rFonts w:ascii="Arial" w:hAnsi="Arial" w:cs="Arial" w:eastAsia="Arial" w:hint="default"/>
          <w:spacing w:val="-13"/>
        </w:rPr>
        <w:t> </w:t>
      </w:r>
      <w:r>
        <w:rPr/>
        <w:t>年于</w:t>
      </w:r>
      <w:r>
        <w:rPr>
          <w:spacing w:val="-62"/>
        </w:rPr>
        <w:t> </w:t>
      </w:r>
      <w:r>
        <w:rPr>
          <w:rFonts w:ascii="Arial" w:hAnsi="Arial" w:cs="Arial" w:eastAsia="Arial" w:hint="default"/>
        </w:rPr>
        <w:t>1</w:t>
      </w:r>
      <w:r>
        <w:rPr>
          <w:rFonts w:ascii="Arial" w:hAnsi="Arial" w:cs="Arial" w:eastAsia="Arial" w:hint="default"/>
          <w:spacing w:val="-13"/>
        </w:rPr>
        <w:t> </w:t>
      </w:r>
      <w:r>
        <w:rPr/>
        <w:t>月</w:t>
      </w:r>
      <w:r>
        <w:rPr>
          <w:spacing w:val="-62"/>
        </w:rPr>
        <w:t> </w:t>
      </w:r>
      <w:r>
        <w:rPr>
          <w:rFonts w:ascii="Arial" w:hAnsi="Arial" w:cs="Arial" w:eastAsia="Arial" w:hint="default"/>
        </w:rPr>
        <w:t>7</w:t>
      </w:r>
      <w:r>
        <w:rPr>
          <w:rFonts w:ascii="Arial" w:hAnsi="Arial" w:cs="Arial" w:eastAsia="Arial" w:hint="default"/>
          <w:spacing w:val="-13"/>
        </w:rPr>
        <w:t> </w:t>
      </w:r>
      <w:r>
        <w:rPr/>
        <w:t>日，在联通集团获得国家颁发的</w:t>
      </w:r>
      <w:r>
        <w:rPr>
          <w:spacing w:val="-61"/>
        </w:rPr>
        <w:t> </w:t>
      </w:r>
      <w:r>
        <w:rPr>
          <w:rFonts w:ascii="Arial" w:hAnsi="Arial" w:cs="Arial" w:eastAsia="Arial" w:hint="default"/>
        </w:rPr>
        <w:t>WCDMA</w:t>
      </w:r>
      <w:r>
        <w:rPr>
          <w:rFonts w:ascii="Arial" w:hAnsi="Arial" w:cs="Arial" w:eastAsia="Arial" w:hint="default"/>
          <w:spacing w:val="-12"/>
        </w:rPr>
        <w:t> </w:t>
      </w:r>
      <w:r>
        <w:rPr/>
        <w:t>移动通信</w:t>
      </w:r>
      <w:r>
        <w:rPr>
          <w:rFonts w:ascii="Arial" w:hAnsi="Arial" w:cs="Arial" w:eastAsia="Arial" w:hint="default"/>
        </w:rPr>
        <w:t>(3G)</w:t>
      </w:r>
      <w:r>
        <w:rPr/>
        <w:t>运营牌照后，联</w:t>
      </w:r>
      <w:r>
        <w:rPr>
          <w:w w:val="99"/>
        </w:rPr>
        <w:t> </w:t>
      </w:r>
      <w:r>
        <w:rPr/>
        <w:t>通运营公司经联通集团授权在中国境内开始</w:t>
      </w:r>
      <w:r>
        <w:rPr>
          <w:spacing w:val="-56"/>
        </w:rPr>
        <w:t> </w:t>
      </w:r>
      <w:r>
        <w:rPr>
          <w:rFonts w:ascii="Arial" w:hAnsi="Arial" w:cs="Arial" w:eastAsia="Arial" w:hint="default"/>
        </w:rPr>
        <w:t>3G</w:t>
      </w:r>
      <w:r>
        <w:rPr>
          <w:rFonts w:ascii="Arial" w:hAnsi="Arial" w:cs="Arial" w:eastAsia="Arial" w:hint="default"/>
          <w:spacing w:val="-9"/>
        </w:rPr>
        <w:t> </w:t>
      </w:r>
      <w:r>
        <w:rPr>
          <w:spacing w:val="-4"/>
        </w:rPr>
        <w:t>网络建设，并于</w:t>
      </w:r>
      <w:r>
        <w:rPr>
          <w:spacing w:val="-56"/>
        </w:rPr>
        <w:t> </w:t>
      </w:r>
      <w:r>
        <w:rPr>
          <w:rFonts w:ascii="Arial" w:hAnsi="Arial" w:cs="Arial" w:eastAsia="Arial" w:hint="default"/>
        </w:rPr>
        <w:t>2009</w:t>
      </w:r>
      <w:r>
        <w:rPr>
          <w:rFonts w:ascii="Arial" w:hAnsi="Arial" w:cs="Arial" w:eastAsia="Arial" w:hint="default"/>
          <w:spacing w:val="-8"/>
        </w:rPr>
        <w:t> </w:t>
      </w:r>
      <w:r>
        <w:rPr/>
        <w:t>年</w:t>
      </w:r>
      <w:r>
        <w:rPr>
          <w:spacing w:val="-57"/>
        </w:rPr>
        <w:t> </w:t>
      </w:r>
      <w:r>
        <w:rPr>
          <w:rFonts w:ascii="Arial" w:hAnsi="Arial" w:cs="Arial" w:eastAsia="Arial" w:hint="default"/>
        </w:rPr>
        <w:t>10</w:t>
      </w:r>
      <w:r>
        <w:rPr>
          <w:rFonts w:ascii="Arial" w:hAnsi="Arial" w:cs="Arial" w:eastAsia="Arial" w:hint="default"/>
          <w:spacing w:val="-8"/>
        </w:rPr>
        <w:t> </w:t>
      </w:r>
      <w:r>
        <w:rPr/>
        <w:t>月正式于全国投</w:t>
      </w:r>
      <w:r>
        <w:rPr>
          <w:w w:val="99"/>
        </w:rPr>
        <w:t> </w:t>
      </w:r>
      <w:r>
        <w:rPr/>
        <w:t>入运营。</w:t>
      </w:r>
    </w:p>
    <w:p>
      <w:pPr>
        <w:pStyle w:val="BodyText"/>
        <w:spacing w:line="232" w:lineRule="auto" w:before="185"/>
        <w:ind w:left="841" w:right="95"/>
        <w:jc w:val="left"/>
      </w:pPr>
      <w:r>
        <w:rPr>
          <w:w w:val="99"/>
        </w:rPr>
        <w:t>于</w:t>
      </w:r>
      <w:r>
        <w:rPr>
          <w:spacing w:val="-53"/>
          <w:w w:val="99"/>
        </w:rPr>
        <w:t> </w:t>
      </w:r>
      <w:r>
        <w:rPr>
          <w:rFonts w:ascii="Arial" w:hAnsi="Arial" w:cs="Arial" w:eastAsia="Arial" w:hint="default"/>
          <w:w w:val="99"/>
        </w:rPr>
        <w:t>2009</w:t>
      </w:r>
      <w:r>
        <w:rPr>
          <w:rFonts w:ascii="Arial" w:hAnsi="Arial" w:cs="Arial" w:eastAsia="Arial" w:hint="default"/>
          <w:spacing w:val="-4"/>
          <w:w w:val="99"/>
        </w:rPr>
        <w:t> </w:t>
      </w:r>
      <w:r>
        <w:rPr>
          <w:w w:val="99"/>
        </w:rPr>
        <w:t>年</w:t>
      </w:r>
      <w:r>
        <w:rPr>
          <w:spacing w:val="-53"/>
          <w:w w:val="99"/>
        </w:rPr>
        <w:t> </w:t>
      </w:r>
      <w:r>
        <w:rPr>
          <w:rFonts w:ascii="Arial" w:hAnsi="Arial" w:cs="Arial" w:eastAsia="Arial" w:hint="default"/>
          <w:w w:val="99"/>
        </w:rPr>
        <w:t>1</w:t>
      </w:r>
      <w:r>
        <w:rPr>
          <w:rFonts w:ascii="Arial" w:hAnsi="Arial" w:cs="Arial" w:eastAsia="Arial" w:hint="default"/>
          <w:spacing w:val="-4"/>
          <w:w w:val="99"/>
        </w:rPr>
        <w:t> </w:t>
      </w:r>
      <w:r>
        <w:rPr>
          <w:w w:val="99"/>
        </w:rPr>
        <w:t>月</w:t>
      </w:r>
      <w:r>
        <w:rPr>
          <w:spacing w:val="-53"/>
          <w:w w:val="99"/>
        </w:rPr>
        <w:t> </w:t>
      </w:r>
      <w:r>
        <w:rPr>
          <w:rFonts w:ascii="Arial" w:hAnsi="Arial" w:cs="Arial" w:eastAsia="Arial" w:hint="default"/>
          <w:w w:val="99"/>
        </w:rPr>
        <w:t>31</w:t>
      </w:r>
      <w:r>
        <w:rPr>
          <w:rFonts w:ascii="Arial" w:hAnsi="Arial" w:cs="Arial" w:eastAsia="Arial" w:hint="default"/>
          <w:spacing w:val="-4"/>
          <w:w w:val="99"/>
        </w:rPr>
        <w:t> </w:t>
      </w:r>
      <w:r>
        <w:rPr>
          <w:spacing w:val="-6"/>
          <w:w w:val="99"/>
        </w:rPr>
        <w:t>日，本公司完成了向联通集团和中国网络通信集团有限公司（原网通集团）</w:t>
      </w:r>
      <w:r>
        <w:rPr>
          <w:w w:val="99"/>
        </w:rPr>
        <w:t> </w:t>
      </w:r>
      <w:r>
        <w:rPr/>
        <w:t>收购其在上海市、江苏省、浙江省、安徽省、福建省、江西省、湖北省、湖南省、广东省、</w:t>
      </w:r>
      <w:r>
        <w:rPr>
          <w:w w:val="99"/>
        </w:rPr>
        <w:t> </w:t>
      </w:r>
      <w:r>
        <w:rPr/>
        <w:t>广西壮族自治区、海南省、重庆市、四川省、贵州省、云南省、西藏自治区、陕西省、甘肃</w:t>
      </w:r>
      <w:r>
        <w:rPr>
          <w:w w:val="99"/>
        </w:rPr>
        <w:t> </w:t>
      </w:r>
      <w:r>
        <w:rPr/>
        <w:t>省、青海省、宁夏回族自治区和新疆维吾尔自治区（“南方 </w:t>
      </w:r>
      <w:r>
        <w:rPr>
          <w:rFonts w:ascii="Arial" w:hAnsi="Arial" w:cs="Arial" w:eastAsia="Arial" w:hint="default"/>
        </w:rPr>
        <w:t>21</w:t>
      </w:r>
      <w:r>
        <w:rPr>
          <w:rFonts w:ascii="Arial" w:hAnsi="Arial" w:cs="Arial" w:eastAsia="Arial" w:hint="default"/>
          <w:spacing w:val="25"/>
        </w:rPr>
        <w:t> </w:t>
      </w:r>
      <w:r>
        <w:rPr/>
        <w:t>省”）的固网业务（不含固</w:t>
      </w:r>
    </w:p>
    <w:p>
      <w:pPr>
        <w:pStyle w:val="BodyText"/>
        <w:spacing w:line="278" w:lineRule="exact"/>
        <w:ind w:left="841" w:right="95"/>
        <w:jc w:val="left"/>
      </w:pPr>
      <w:r>
        <w:rPr/>
        <w:t>网通信资产）及天津本地固话业务和资产、北方一级干线传输资产以及联通兴业等</w:t>
      </w:r>
      <w:r>
        <w:rPr>
          <w:spacing w:val="-58"/>
        </w:rPr>
        <w:t> </w:t>
      </w:r>
      <w:r>
        <w:rPr>
          <w:rFonts w:ascii="Arial" w:hAnsi="Arial" w:cs="Arial" w:eastAsia="Arial" w:hint="default"/>
        </w:rPr>
        <w:t>3</w:t>
      </w:r>
      <w:r>
        <w:rPr>
          <w:rFonts w:ascii="Arial" w:hAnsi="Arial" w:cs="Arial" w:eastAsia="Arial" w:hint="default"/>
          <w:spacing w:val="-13"/>
        </w:rPr>
        <w:t> </w:t>
      </w:r>
      <w:r>
        <w:rPr>
          <w:spacing w:val="-2"/>
        </w:rPr>
        <w:t>家电信</w:t>
      </w:r>
      <w:r>
        <w:rPr/>
      </w:r>
    </w:p>
    <w:p>
      <w:pPr>
        <w:pStyle w:val="BodyText"/>
        <w:spacing w:line="286" w:lineRule="exact"/>
        <w:ind w:left="841" w:right="95"/>
        <w:jc w:val="left"/>
      </w:pPr>
      <w:r>
        <w:rPr/>
        <w:t>服务子公司股权的交易，并通过向联通新时空租赁其拥有的南方 </w:t>
      </w:r>
      <w:r>
        <w:rPr>
          <w:rFonts w:ascii="Arial" w:hAnsi="Arial" w:cs="Arial" w:eastAsia="Arial" w:hint="default"/>
        </w:rPr>
        <w:t>21</w:t>
      </w:r>
      <w:r>
        <w:rPr>
          <w:rFonts w:ascii="Arial" w:hAnsi="Arial" w:cs="Arial" w:eastAsia="Arial" w:hint="default"/>
          <w:spacing w:val="25"/>
        </w:rPr>
        <w:t> </w:t>
      </w:r>
      <w:r>
        <w:rPr/>
        <w:t>省固网通信资产经营固</w:t>
      </w:r>
    </w:p>
    <w:p>
      <w:pPr>
        <w:pStyle w:val="BodyText"/>
        <w:spacing w:line="285" w:lineRule="exact"/>
        <w:ind w:left="841" w:right="95"/>
        <w:jc w:val="left"/>
      </w:pPr>
      <w:r>
        <w:rPr/>
        <w:t>网业务。于</w:t>
      </w:r>
      <w:r>
        <w:rPr>
          <w:spacing w:val="-53"/>
        </w:rPr>
        <w:t> </w:t>
      </w:r>
      <w:r>
        <w:rPr>
          <w:rFonts w:ascii="Arial" w:hAnsi="Arial" w:cs="Arial" w:eastAsia="Arial" w:hint="default"/>
        </w:rPr>
        <w:t>2012</w:t>
      </w:r>
      <w:r>
        <w:rPr>
          <w:rFonts w:ascii="Arial" w:hAnsi="Arial" w:cs="Arial" w:eastAsia="Arial" w:hint="default"/>
          <w:spacing w:val="-5"/>
        </w:rPr>
        <w:t> </w:t>
      </w:r>
      <w:r>
        <w:rPr/>
        <w:t>年</w:t>
      </w:r>
      <w:r>
        <w:rPr>
          <w:spacing w:val="-55"/>
        </w:rPr>
        <w:t> </w:t>
      </w:r>
      <w:r>
        <w:rPr>
          <w:rFonts w:ascii="Arial" w:hAnsi="Arial" w:cs="Arial" w:eastAsia="Arial" w:hint="default"/>
        </w:rPr>
        <w:t>12</w:t>
      </w:r>
      <w:r>
        <w:rPr>
          <w:rFonts w:ascii="Arial" w:hAnsi="Arial" w:cs="Arial" w:eastAsia="Arial" w:hint="default"/>
          <w:spacing w:val="-4"/>
        </w:rPr>
        <w:t> </w:t>
      </w:r>
      <w:r>
        <w:rPr/>
        <w:t>月</w:t>
      </w:r>
      <w:r>
        <w:rPr>
          <w:spacing w:val="-55"/>
        </w:rPr>
        <w:t> </w:t>
      </w:r>
      <w:r>
        <w:rPr>
          <w:rFonts w:ascii="Arial" w:hAnsi="Arial" w:cs="Arial" w:eastAsia="Arial" w:hint="default"/>
        </w:rPr>
        <w:t>26</w:t>
      </w:r>
      <w:r>
        <w:rPr>
          <w:rFonts w:ascii="Arial" w:hAnsi="Arial" w:cs="Arial" w:eastAsia="Arial" w:hint="default"/>
          <w:spacing w:val="-4"/>
        </w:rPr>
        <w:t> </w:t>
      </w:r>
      <w:r>
        <w:rPr/>
        <w:t>日，本公司通过联通运营公司向联通集团完成收购联通新时空</w:t>
      </w:r>
    </w:p>
    <w:p>
      <w:pPr>
        <w:pStyle w:val="BodyText"/>
        <w:spacing w:line="286" w:lineRule="exact" w:before="18"/>
        <w:ind w:left="841" w:right="208"/>
        <w:jc w:val="left"/>
      </w:pPr>
      <w:r>
        <w:rPr/>
        <w:t>的全部股权，南方 </w:t>
      </w:r>
      <w:r>
        <w:rPr>
          <w:rFonts w:ascii="Arial" w:hAnsi="Arial" w:cs="Arial" w:eastAsia="Arial" w:hint="default"/>
        </w:rPr>
        <w:t>21</w:t>
      </w:r>
      <w:r>
        <w:rPr>
          <w:rFonts w:ascii="Arial" w:hAnsi="Arial" w:cs="Arial" w:eastAsia="Arial" w:hint="default"/>
          <w:spacing w:val="23"/>
        </w:rPr>
        <w:t> </w:t>
      </w:r>
      <w:r>
        <w:rPr/>
        <w:t>省的固网通信资产亦被计入本集团。前述交易使本集团的固话业务经</w:t>
      </w:r>
      <w:r>
        <w:rPr>
          <w:w w:val="99"/>
        </w:rPr>
        <w:t> </w:t>
      </w:r>
      <w:r>
        <w:rPr/>
        <w:t>营范围进一步扩大，并向电信增值服务和电信工程设计等相关领域进一步拓展。</w:t>
      </w:r>
    </w:p>
    <w:p>
      <w:pPr>
        <w:spacing w:line="240" w:lineRule="auto" w:before="10"/>
        <w:rPr>
          <w:rFonts w:ascii="宋体" w:hAnsi="宋体" w:cs="宋体" w:eastAsia="宋体" w:hint="default"/>
          <w:sz w:val="15"/>
          <w:szCs w:val="15"/>
        </w:rPr>
      </w:pPr>
    </w:p>
    <w:p>
      <w:pPr>
        <w:pStyle w:val="BodyText"/>
        <w:spacing w:line="286" w:lineRule="exact"/>
        <w:ind w:left="841" w:right="95"/>
        <w:jc w:val="left"/>
      </w:pPr>
      <w:r>
        <w:rPr>
          <w:spacing w:val="-9"/>
        </w:rPr>
        <w:t>此外，本公司还于</w:t>
      </w:r>
      <w:r>
        <w:rPr>
          <w:spacing w:val="-58"/>
        </w:rPr>
        <w:t> </w:t>
      </w:r>
      <w:r>
        <w:rPr>
          <w:rFonts w:ascii="Arial" w:hAnsi="Arial" w:cs="Arial" w:eastAsia="Arial" w:hint="default"/>
        </w:rPr>
        <w:t>2011</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1</w:t>
      </w:r>
      <w:r>
        <w:rPr>
          <w:rFonts w:ascii="Arial" w:hAnsi="Arial" w:cs="Arial" w:eastAsia="Arial" w:hint="default"/>
          <w:spacing w:val="-9"/>
        </w:rPr>
        <w:t> </w:t>
      </w:r>
      <w:r>
        <w:rPr/>
        <w:t>日完成了向联通集团收购其子公司联通新时讯通信有限公</w:t>
      </w:r>
      <w:r>
        <w:rPr>
          <w:w w:val="99"/>
        </w:rPr>
        <w:t> </w:t>
      </w:r>
      <w:r>
        <w:rPr/>
        <w:t>司（“联通新时讯”）的交易。联通新时讯是一家经营电信增值业务的公司。</w:t>
      </w:r>
    </w:p>
    <w:p>
      <w:pPr>
        <w:pStyle w:val="BodyText"/>
        <w:spacing w:line="232" w:lineRule="auto" w:before="185"/>
        <w:ind w:left="841" w:right="95"/>
        <w:jc w:val="left"/>
      </w:pPr>
      <w:r>
        <w:rPr/>
        <w:t>经过上述一系列的重组与交易，本集团目前的主营业务包括于中国 </w:t>
      </w:r>
      <w:r>
        <w:rPr>
          <w:rFonts w:ascii="Arial" w:hAnsi="Arial" w:cs="Arial" w:eastAsia="Arial" w:hint="default"/>
        </w:rPr>
        <w:t>31</w:t>
      </w:r>
      <w:r>
        <w:rPr>
          <w:rFonts w:ascii="Arial" w:hAnsi="Arial" w:cs="Arial" w:eastAsia="Arial" w:hint="default"/>
          <w:spacing w:val="32"/>
        </w:rPr>
        <w:t> </w:t>
      </w:r>
      <w:r>
        <w:rPr/>
        <w:t>个省（自治区、直辖</w:t>
      </w:r>
      <w:r>
        <w:rPr>
          <w:w w:val="99"/>
        </w:rPr>
        <w:t> </w:t>
      </w:r>
      <w:r>
        <w:rPr>
          <w:spacing w:val="-6"/>
        </w:rPr>
        <w:t>市）经营的</w:t>
      </w:r>
      <w:r>
        <w:rPr>
          <w:spacing w:val="-64"/>
        </w:rPr>
        <w:t> </w:t>
      </w:r>
      <w:r>
        <w:rPr>
          <w:rFonts w:ascii="Arial" w:hAnsi="Arial" w:cs="Arial" w:eastAsia="Arial" w:hint="default"/>
        </w:rPr>
        <w:t>GSM</w:t>
      </w:r>
      <w:r>
        <w:rPr>
          <w:rFonts w:ascii="Arial" w:hAnsi="Arial" w:cs="Arial" w:eastAsia="Arial" w:hint="default"/>
          <w:spacing w:val="-16"/>
        </w:rPr>
        <w:t> </w:t>
      </w:r>
      <w:r>
        <w:rPr>
          <w:spacing w:val="-3"/>
        </w:rPr>
        <w:t>移动通信、</w:t>
      </w:r>
      <w:r>
        <w:rPr>
          <w:rFonts w:ascii="Arial" w:hAnsi="Arial" w:cs="Arial" w:eastAsia="Arial" w:hint="default"/>
          <w:spacing w:val="-3"/>
        </w:rPr>
        <w:t>WCDMA</w:t>
      </w:r>
      <w:r>
        <w:rPr>
          <w:rFonts w:ascii="Arial" w:hAnsi="Arial" w:cs="Arial" w:eastAsia="Arial" w:hint="default"/>
          <w:spacing w:val="-16"/>
        </w:rPr>
        <w:t> </w:t>
      </w:r>
      <w:r>
        <w:rPr/>
        <w:t>移动通信业务和增值服务业务；固网语音和增值服务、</w:t>
      </w:r>
      <w:r>
        <w:rPr>
          <w:w w:val="99"/>
        </w:rPr>
        <w:t> </w:t>
      </w:r>
      <w:r>
        <w:rPr/>
        <w:t>固网宽带和其他与互联网相关的服务；商务和数据通信服务；全国范围的信息通信技术服务</w:t>
      </w:r>
      <w:r>
        <w:rPr>
          <w:w w:val="99"/>
        </w:rPr>
        <w:t> </w:t>
      </w:r>
      <w:r>
        <w:rPr/>
        <w:t>及相关的系统集成、技术开发、技术服务、设备生产、销售及设计施工业务；电子通信器材</w:t>
      </w:r>
      <w:r>
        <w:rPr>
          <w:w w:val="99"/>
        </w:rPr>
        <w:t> </w:t>
      </w:r>
      <w:r>
        <w:rPr/>
        <w:t>的销售；技术交流和信息咨询等相关业务。</w:t>
      </w:r>
    </w:p>
    <w:p>
      <w:pPr>
        <w:spacing w:line="240" w:lineRule="auto" w:before="10"/>
        <w:rPr>
          <w:rFonts w:ascii="宋体" w:hAnsi="宋体" w:cs="宋体" w:eastAsia="宋体" w:hint="default"/>
          <w:sz w:val="15"/>
          <w:szCs w:val="15"/>
        </w:rPr>
      </w:pPr>
    </w:p>
    <w:p>
      <w:pPr>
        <w:pStyle w:val="BodyText"/>
        <w:spacing w:line="240" w:lineRule="auto"/>
        <w:ind w:left="166" w:right="95"/>
        <w:jc w:val="left"/>
      </w:pPr>
      <w:r>
        <w:rPr/>
        <w:t>（四）公司上市以来，历次控股股东的变更情况</w:t>
      </w:r>
    </w:p>
    <w:p>
      <w:pPr>
        <w:spacing w:line="240" w:lineRule="auto" w:before="10"/>
        <w:rPr>
          <w:rFonts w:ascii="宋体" w:hAnsi="宋体" w:cs="宋体" w:eastAsia="宋体" w:hint="default"/>
          <w:sz w:val="17"/>
          <w:szCs w:val="17"/>
        </w:rPr>
      </w:pPr>
    </w:p>
    <w:p>
      <w:pPr>
        <w:pStyle w:val="BodyText"/>
        <w:spacing w:line="286" w:lineRule="exact"/>
        <w:ind w:left="841" w:right="95"/>
        <w:jc w:val="left"/>
      </w:pPr>
      <w:r>
        <w:rPr>
          <w:spacing w:val="-3"/>
          <w:w w:val="99"/>
        </w:rPr>
        <w:t>联通集团为本公司的控股股东，本公司的实际最终控制人为国务院国有资产监督管理委员会。</w:t>
      </w:r>
      <w:r>
        <w:rPr>
          <w:spacing w:val="-84"/>
          <w:w w:val="99"/>
        </w:rPr>
        <w:t> </w:t>
      </w:r>
      <w:r>
        <w:rPr>
          <w:spacing w:val="-84"/>
          <w:w w:val="99"/>
        </w:rPr>
      </w:r>
      <w:r>
        <w:rPr/>
        <w:t>本公司控股股东及实际控制人没有变化。</w:t>
      </w:r>
    </w:p>
    <w:p>
      <w:pPr>
        <w:pStyle w:val="Heading3"/>
        <w:spacing w:line="240" w:lineRule="auto" w:before="178"/>
        <w:ind w:left="166" w:right="95"/>
        <w:jc w:val="left"/>
        <w:rPr>
          <w:b w:val="0"/>
          <w:bCs w:val="0"/>
        </w:rPr>
      </w:pPr>
      <w:r>
        <w:rPr/>
        <w:t>七、其他有关资料</w:t>
      </w:r>
      <w:r>
        <w:rPr>
          <w:b w:val="0"/>
          <w:bCs w:val="0"/>
        </w:rPr>
      </w:r>
    </w:p>
    <w:p>
      <w:pPr>
        <w:spacing w:line="240" w:lineRule="auto" w:before="5"/>
        <w:rPr>
          <w:rFonts w:ascii="宋体" w:hAnsi="宋体" w:cs="宋体" w:eastAsia="宋体" w:hint="default"/>
          <w:b/>
          <w:bCs/>
          <w:sz w:val="18"/>
          <w:szCs w:val="18"/>
        </w:rPr>
      </w:pPr>
    </w:p>
    <w:tbl>
      <w:tblPr>
        <w:tblW w:w="0" w:type="auto"/>
        <w:jc w:val="left"/>
        <w:tblInd w:w="112" w:type="dxa"/>
        <w:tblLayout w:type="fixed"/>
        <w:tblCellMar>
          <w:top w:w="0" w:type="dxa"/>
          <w:left w:w="0" w:type="dxa"/>
          <w:bottom w:w="0" w:type="dxa"/>
          <w:right w:w="0" w:type="dxa"/>
        </w:tblCellMar>
        <w:tblLook w:val="01E0"/>
      </w:tblPr>
      <w:tblGrid>
        <w:gridCol w:w="2963"/>
        <w:gridCol w:w="1700"/>
        <w:gridCol w:w="4920"/>
      </w:tblGrid>
      <w:tr>
        <w:trPr>
          <w:trHeight w:val="275" w:hRule="exact"/>
        </w:trPr>
        <w:tc>
          <w:tcPr>
            <w:tcW w:w="2963"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公司聘请的会计师事务所名称</w:t>
            </w:r>
          </w:p>
          <w:p>
            <w:pPr>
              <w:pStyle w:val="TableParagraph"/>
              <w:spacing w:line="260" w:lineRule="exact"/>
              <w:ind w:left="1" w:right="0"/>
              <w:jc w:val="center"/>
              <w:rPr>
                <w:rFonts w:ascii="宋体" w:hAnsi="宋体" w:cs="宋体" w:eastAsia="宋体" w:hint="default"/>
                <w:sz w:val="20"/>
                <w:szCs w:val="20"/>
              </w:rPr>
            </w:pPr>
            <w:r>
              <w:rPr>
                <w:rFonts w:ascii="宋体" w:hAnsi="宋体" w:cs="宋体" w:eastAsia="宋体" w:hint="default"/>
                <w:sz w:val="20"/>
                <w:szCs w:val="20"/>
              </w:rPr>
              <w:t>（境内）</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名称</w:t>
            </w:r>
          </w:p>
        </w:tc>
        <w:tc>
          <w:tcPr>
            <w:tcW w:w="492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普华永道中天会计师事务所有限公司</w:t>
            </w:r>
          </w:p>
        </w:tc>
      </w:tr>
      <w:tr>
        <w:trPr>
          <w:trHeight w:val="534" w:hRule="exact"/>
        </w:trPr>
        <w:tc>
          <w:tcPr>
            <w:tcW w:w="2963" w:type="dxa"/>
            <w:vMerge/>
            <w:tcBorders>
              <w:left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sz w:val="20"/>
                <w:szCs w:val="20"/>
              </w:rPr>
              <w:t>办公地址</w:t>
            </w:r>
          </w:p>
        </w:tc>
        <w:tc>
          <w:tcPr>
            <w:tcW w:w="492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99" w:right="0"/>
              <w:jc w:val="left"/>
              <w:rPr>
                <w:rFonts w:ascii="宋体" w:hAnsi="宋体" w:cs="宋体" w:eastAsia="宋体" w:hint="default"/>
                <w:sz w:val="20"/>
                <w:szCs w:val="20"/>
              </w:rPr>
            </w:pPr>
            <w:r>
              <w:rPr>
                <w:rFonts w:ascii="宋体" w:hAnsi="宋体" w:cs="宋体" w:eastAsia="宋体" w:hint="default"/>
                <w:sz w:val="20"/>
                <w:szCs w:val="20"/>
              </w:rPr>
              <w:t>上海市黄浦区湖滨路</w:t>
            </w:r>
            <w:r>
              <w:rPr>
                <w:rFonts w:ascii="宋体" w:hAnsi="宋体" w:cs="宋体" w:eastAsia="宋体" w:hint="default"/>
                <w:spacing w:val="-68"/>
                <w:sz w:val="20"/>
                <w:szCs w:val="20"/>
              </w:rPr>
              <w:t> </w:t>
            </w:r>
            <w:r>
              <w:rPr>
                <w:rFonts w:ascii="Arial" w:hAnsi="Arial" w:cs="Arial" w:eastAsia="Arial" w:hint="default"/>
                <w:sz w:val="20"/>
                <w:szCs w:val="20"/>
              </w:rPr>
              <w:t>202</w:t>
            </w:r>
            <w:r>
              <w:rPr>
                <w:rFonts w:ascii="Arial" w:hAnsi="Arial" w:cs="Arial" w:eastAsia="Arial" w:hint="default"/>
                <w:spacing w:val="-24"/>
                <w:sz w:val="20"/>
                <w:szCs w:val="20"/>
              </w:rPr>
              <w:t> </w:t>
            </w:r>
            <w:r>
              <w:rPr>
                <w:rFonts w:ascii="宋体" w:hAnsi="宋体" w:cs="宋体" w:eastAsia="宋体" w:hint="default"/>
                <w:sz w:val="20"/>
                <w:szCs w:val="20"/>
              </w:rPr>
              <w:t>号企业天地</w:t>
            </w:r>
            <w:r>
              <w:rPr>
                <w:rFonts w:ascii="宋体" w:hAnsi="宋体" w:cs="宋体" w:eastAsia="宋体" w:hint="default"/>
                <w:spacing w:val="-70"/>
                <w:sz w:val="20"/>
                <w:szCs w:val="20"/>
              </w:rPr>
              <w:t> </w:t>
            </w:r>
            <w:r>
              <w:rPr>
                <w:rFonts w:ascii="Arial" w:hAnsi="Arial" w:cs="Arial" w:eastAsia="Arial" w:hint="default"/>
                <w:sz w:val="20"/>
                <w:szCs w:val="20"/>
              </w:rPr>
              <w:t>2</w:t>
            </w:r>
            <w:r>
              <w:rPr>
                <w:rFonts w:ascii="Arial" w:hAnsi="Arial" w:cs="Arial" w:eastAsia="Arial" w:hint="default"/>
                <w:spacing w:val="-24"/>
                <w:sz w:val="20"/>
                <w:szCs w:val="20"/>
              </w:rPr>
              <w:t> </w:t>
            </w:r>
            <w:r>
              <w:rPr>
                <w:rFonts w:ascii="宋体" w:hAnsi="宋体" w:cs="宋体" w:eastAsia="宋体" w:hint="default"/>
                <w:sz w:val="20"/>
                <w:szCs w:val="20"/>
              </w:rPr>
              <w:t>号楼普华永道中</w:t>
            </w:r>
          </w:p>
          <w:p>
            <w:pPr>
              <w:pStyle w:val="TableParagraph"/>
              <w:spacing w:line="268" w:lineRule="exact"/>
              <w:ind w:left="99" w:right="0"/>
              <w:jc w:val="left"/>
              <w:rPr>
                <w:rFonts w:ascii="宋体" w:hAnsi="宋体" w:cs="宋体" w:eastAsia="宋体" w:hint="default"/>
                <w:sz w:val="20"/>
                <w:szCs w:val="20"/>
              </w:rPr>
            </w:pPr>
            <w:r>
              <w:rPr>
                <w:rFonts w:ascii="宋体" w:hAnsi="宋体" w:cs="宋体" w:eastAsia="宋体" w:hint="default"/>
                <w:sz w:val="20"/>
                <w:szCs w:val="20"/>
              </w:rPr>
              <w:t>心</w:t>
            </w:r>
            <w:r>
              <w:rPr>
                <w:rFonts w:ascii="宋体" w:hAnsi="宋体" w:cs="宋体" w:eastAsia="宋体" w:hint="default"/>
                <w:spacing w:val="-51"/>
                <w:sz w:val="20"/>
                <w:szCs w:val="20"/>
              </w:rPr>
              <w:t> </w:t>
            </w:r>
            <w:r>
              <w:rPr>
                <w:rFonts w:ascii="Arial" w:hAnsi="Arial" w:cs="Arial" w:eastAsia="Arial" w:hint="default"/>
                <w:sz w:val="20"/>
                <w:szCs w:val="20"/>
              </w:rPr>
              <w:t>11</w:t>
            </w:r>
            <w:r>
              <w:rPr>
                <w:rFonts w:ascii="Arial" w:hAnsi="Arial" w:cs="Arial" w:eastAsia="Arial" w:hint="default"/>
                <w:spacing w:val="-6"/>
                <w:sz w:val="20"/>
                <w:szCs w:val="20"/>
              </w:rPr>
              <w:t> </w:t>
            </w:r>
            <w:r>
              <w:rPr>
                <w:rFonts w:ascii="宋体" w:hAnsi="宋体" w:cs="宋体" w:eastAsia="宋体" w:hint="default"/>
                <w:sz w:val="20"/>
                <w:szCs w:val="20"/>
              </w:rPr>
              <w:t>楼</w:t>
            </w:r>
          </w:p>
        </w:tc>
      </w:tr>
      <w:tr>
        <w:trPr>
          <w:trHeight w:val="358" w:hRule="exact"/>
        </w:trPr>
        <w:tc>
          <w:tcPr>
            <w:tcW w:w="2963" w:type="dxa"/>
            <w:vMerge/>
            <w:tcBorders>
              <w:left w:val="single" w:sz="6" w:space="0" w:color="000000"/>
              <w:bottom w:val="single" w:sz="4" w:space="0" w:color="000000"/>
              <w:right w:val="single" w:sz="6" w:space="0" w:color="000000"/>
            </w:tcBorders>
          </w:tcPr>
          <w:p>
            <w:pPr/>
          </w:p>
        </w:tc>
        <w:tc>
          <w:tcPr>
            <w:tcW w:w="170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20"/>
                <w:szCs w:val="20"/>
              </w:rPr>
            </w:pPr>
            <w:r>
              <w:rPr>
                <w:rFonts w:ascii="宋体" w:hAnsi="宋体" w:cs="宋体" w:eastAsia="宋体" w:hint="default"/>
                <w:sz w:val="20"/>
                <w:szCs w:val="20"/>
              </w:rPr>
              <w:t>签字会计师姓名</w:t>
            </w:r>
          </w:p>
        </w:tc>
        <w:tc>
          <w:tcPr>
            <w:tcW w:w="492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
              <w:ind w:left="98" w:right="0"/>
              <w:jc w:val="left"/>
              <w:rPr>
                <w:rFonts w:ascii="宋体" w:hAnsi="宋体" w:cs="宋体" w:eastAsia="宋体" w:hint="default"/>
                <w:sz w:val="20"/>
                <w:szCs w:val="20"/>
              </w:rPr>
            </w:pPr>
            <w:r>
              <w:rPr>
                <w:rFonts w:ascii="宋体" w:hAnsi="宋体" w:cs="宋体" w:eastAsia="宋体" w:hint="default"/>
                <w:sz w:val="20"/>
                <w:szCs w:val="20"/>
              </w:rPr>
              <w:t>胡杰、杨桢</w:t>
            </w:r>
          </w:p>
        </w:tc>
      </w:tr>
    </w:tbl>
    <w:p>
      <w:pPr>
        <w:spacing w:after="0" w:line="240" w:lineRule="auto"/>
        <w:jc w:val="left"/>
        <w:rPr>
          <w:rFonts w:ascii="宋体" w:hAnsi="宋体" w:cs="宋体" w:eastAsia="宋体" w:hint="default"/>
          <w:sz w:val="20"/>
          <w:szCs w:val="20"/>
        </w:rPr>
        <w:sectPr>
          <w:pgSz w:w="11910" w:h="16840"/>
          <w:pgMar w:header="567" w:footer="745" w:top="800" w:bottom="940" w:left="1360" w:right="680"/>
        </w:sectPr>
      </w:pPr>
    </w:p>
    <w:p>
      <w:pPr>
        <w:spacing w:line="240" w:lineRule="auto" w:before="3"/>
        <w:rPr>
          <w:rFonts w:ascii="宋体" w:hAnsi="宋体" w:cs="宋体" w:eastAsia="宋体" w:hint="default"/>
          <w:b/>
          <w:bCs/>
          <w:sz w:val="23"/>
          <w:szCs w:val="23"/>
        </w:rPr>
      </w:pPr>
    </w:p>
    <w:p>
      <w:pPr>
        <w:pStyle w:val="Heading1"/>
        <w:tabs>
          <w:tab w:pos="3972" w:val="left" w:leader="none"/>
        </w:tabs>
        <w:spacing w:line="240" w:lineRule="auto"/>
        <w:ind w:left="2718" w:right="0"/>
        <w:jc w:val="left"/>
        <w:rPr>
          <w:b w:val="0"/>
          <w:bCs w:val="0"/>
        </w:rPr>
      </w:pPr>
      <w:bookmarkStart w:name="_TOC_250008" w:id="3"/>
      <w:r>
        <w:rPr>
          <w:w w:val="95"/>
        </w:rPr>
        <w:t>第三节</w:t>
        <w:tab/>
      </w:r>
      <w:r>
        <w:rPr/>
        <w:t>会计数据和财务指标摘要</w:t>
      </w:r>
      <w:bookmarkEnd w:id="3"/>
      <w:r>
        <w:rPr>
          <w:b w:val="0"/>
          <w:bCs w:val="0"/>
        </w:rPr>
      </w:r>
    </w:p>
    <w:p>
      <w:pPr>
        <w:spacing w:line="240" w:lineRule="auto" w:before="12"/>
        <w:rPr>
          <w:rFonts w:ascii="宋体" w:hAnsi="宋体" w:cs="宋体" w:eastAsia="宋体" w:hint="default"/>
          <w:b/>
          <w:bCs/>
          <w:sz w:val="19"/>
          <w:szCs w:val="19"/>
        </w:rPr>
      </w:pPr>
    </w:p>
    <w:p>
      <w:pPr>
        <w:spacing w:before="0"/>
        <w:ind w:left="146" w:right="0" w:firstLine="0"/>
        <w:jc w:val="left"/>
        <w:rPr>
          <w:rFonts w:ascii="宋体" w:hAnsi="宋体" w:cs="宋体" w:eastAsia="宋体" w:hint="default"/>
          <w:sz w:val="22"/>
          <w:szCs w:val="22"/>
        </w:rPr>
      </w:pPr>
      <w:r>
        <w:rPr>
          <w:rFonts w:ascii="宋体" w:hAnsi="宋体" w:cs="宋体" w:eastAsia="宋体" w:hint="default"/>
          <w:b/>
          <w:bCs/>
          <w:sz w:val="22"/>
          <w:szCs w:val="22"/>
        </w:rPr>
        <w:t>一、报告期末公司近三年主要会计数据和财务指标</w:t>
      </w:r>
      <w:r>
        <w:rPr>
          <w:rFonts w:ascii="宋体" w:hAnsi="宋体" w:cs="宋体" w:eastAsia="宋体" w:hint="default"/>
          <w:sz w:val="22"/>
          <w:szCs w:val="22"/>
        </w:rPr>
      </w:r>
    </w:p>
    <w:p>
      <w:pPr>
        <w:spacing w:line="240" w:lineRule="auto" w:before="12"/>
        <w:rPr>
          <w:rFonts w:ascii="宋体" w:hAnsi="宋体" w:cs="宋体" w:eastAsia="宋体" w:hint="default"/>
          <w:b/>
          <w:bCs/>
          <w:sz w:val="14"/>
          <w:szCs w:val="14"/>
        </w:rPr>
      </w:pPr>
    </w:p>
    <w:p>
      <w:pPr>
        <w:pStyle w:val="BodyText"/>
        <w:spacing w:line="287" w:lineRule="exact" w:before="31"/>
        <w:ind w:left="146" w:right="0"/>
        <w:jc w:val="left"/>
      </w:pPr>
      <w:r>
        <w:rPr/>
        <w:t>（一）主要会计数据</w:t>
      </w:r>
    </w:p>
    <w:p>
      <w:pPr>
        <w:pStyle w:val="BodyText"/>
        <w:spacing w:line="287" w:lineRule="exact"/>
        <w:ind w:left="0" w:right="171"/>
        <w:jc w:val="right"/>
      </w:pPr>
      <w:r>
        <w:rPr/>
        <w:t>单位：元</w:t>
      </w:r>
      <w:r>
        <w:rPr>
          <w:spacing w:val="-4"/>
        </w:rPr>
        <w:t> </w:t>
      </w:r>
      <w:r>
        <w:rPr/>
        <w:t>币种：人民币</w:t>
      </w:r>
    </w:p>
    <w:p>
      <w:pPr>
        <w:spacing w:line="240" w:lineRule="auto" w:before="8"/>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3339"/>
        <w:gridCol w:w="1620"/>
        <w:gridCol w:w="1612"/>
        <w:gridCol w:w="1342"/>
        <w:gridCol w:w="1616"/>
      </w:tblGrid>
      <w:tr>
        <w:trPr>
          <w:trHeight w:val="481"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主要会计数据</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89"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86"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2" w:right="0"/>
              <w:jc w:val="center"/>
              <w:rPr>
                <w:rFonts w:ascii="宋体" w:hAnsi="宋体" w:cs="宋体" w:eastAsia="宋体" w:hint="default"/>
                <w:sz w:val="18"/>
                <w:szCs w:val="18"/>
              </w:rPr>
            </w:pPr>
            <w:r>
              <w:rPr>
                <w:rFonts w:ascii="宋体" w:hAnsi="宋体" w:cs="宋体" w:eastAsia="宋体" w:hint="default"/>
                <w:sz w:val="18"/>
                <w:szCs w:val="18"/>
              </w:rPr>
              <w:t>本期比上年同</w:t>
            </w:r>
          </w:p>
          <w:p>
            <w:pPr>
              <w:pStyle w:val="TableParagraph"/>
              <w:spacing w:line="248" w:lineRule="exact"/>
              <w:ind w:left="61" w:right="0"/>
              <w:jc w:val="center"/>
              <w:rPr>
                <w:rFonts w:ascii="Arial" w:hAnsi="Arial" w:cs="Arial" w:eastAsia="Arial" w:hint="default"/>
                <w:sz w:val="18"/>
                <w:szCs w:val="18"/>
              </w:rPr>
            </w:pPr>
            <w:r>
              <w:rPr>
                <w:rFonts w:ascii="宋体" w:hAnsi="宋体" w:cs="宋体" w:eastAsia="宋体" w:hint="default"/>
                <w:sz w:val="18"/>
                <w:szCs w:val="18"/>
              </w:rPr>
              <w:t>期增减</w:t>
            </w:r>
            <w:r>
              <w:rPr>
                <w:rFonts w:ascii="Arial" w:hAnsi="Arial" w:cs="Arial" w:eastAsia="Arial" w:hint="default"/>
                <w:sz w:val="18"/>
                <w:szCs w:val="18"/>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88"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p>
        </w:tc>
      </w:tr>
      <w:tr>
        <w:trPr>
          <w:trHeight w:val="249"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256,264,749,435</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215,518,511,458</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18.9</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176,243,422,124</w:t>
            </w:r>
          </w:p>
        </w:tc>
      </w:tr>
      <w:tr>
        <w:trPr>
          <w:trHeight w:val="249"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2,368,106,789</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1,412,245,739</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67.7</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1,234,506,831</w:t>
            </w:r>
          </w:p>
        </w:tc>
      </w:tr>
      <w:tr>
        <w:trPr>
          <w:trHeight w:val="482"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w:t>
            </w:r>
          </w:p>
          <w:p>
            <w:pPr>
              <w:pStyle w:val="TableParagraph"/>
              <w:spacing w:line="234" w:lineRule="exact"/>
              <w:ind w:left="315" w:right="0"/>
              <w:jc w:val="left"/>
              <w:rPr>
                <w:rFonts w:ascii="宋体" w:hAnsi="宋体" w:cs="宋体" w:eastAsia="宋体" w:hint="default"/>
                <w:sz w:val="18"/>
                <w:szCs w:val="18"/>
              </w:rPr>
            </w:pPr>
            <w:r>
              <w:rPr>
                <w:rFonts w:ascii="宋体" w:hAnsi="宋体" w:cs="宋体" w:eastAsia="宋体" w:hint="default"/>
                <w:sz w:val="18"/>
                <w:szCs w:val="18"/>
              </w:rPr>
              <w:t>益的净利润</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1,977,238,910</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1,156,726,060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70.9</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1,048,143,849</w:t>
            </w:r>
          </w:p>
        </w:tc>
      </w:tr>
      <w:tr>
        <w:trPr>
          <w:trHeight w:val="248"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spacing w:val="-1"/>
                <w:sz w:val="18"/>
              </w:rPr>
              <w:t>74,738,405,183</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69,452,862,906</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w w:val="95"/>
                <w:sz w:val="18"/>
              </w:rPr>
              <w:t>7.6</w:t>
            </w:r>
            <w:r>
              <w:rPr>
                <w:rFonts w:ascii="Arial"/>
                <w:sz w:val="18"/>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spacing w:val="-1"/>
                <w:sz w:val="18"/>
              </w:rPr>
              <w:t>68,241,006,456</w:t>
            </w:r>
          </w:p>
        </w:tc>
      </w:tr>
      <w:tr>
        <w:trPr>
          <w:trHeight w:val="482" w:hRule="exact"/>
        </w:trPr>
        <w:tc>
          <w:tcPr>
            <w:tcW w:w="3339"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99"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年末</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95"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年末</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4" w:right="0" w:firstLine="50"/>
              <w:jc w:val="left"/>
              <w:rPr>
                <w:rFonts w:ascii="宋体" w:hAnsi="宋体" w:cs="宋体" w:eastAsia="宋体" w:hint="default"/>
                <w:sz w:val="18"/>
                <w:szCs w:val="18"/>
              </w:rPr>
            </w:pPr>
            <w:r>
              <w:rPr>
                <w:rFonts w:ascii="宋体" w:hAnsi="宋体" w:cs="宋体" w:eastAsia="宋体" w:hint="default"/>
                <w:sz w:val="18"/>
                <w:szCs w:val="18"/>
              </w:rPr>
              <w:t>本期末比上年</w:t>
            </w:r>
          </w:p>
          <w:p>
            <w:pPr>
              <w:pStyle w:val="TableParagraph"/>
              <w:spacing w:line="247" w:lineRule="exact"/>
              <w:ind w:left="104" w:right="0"/>
              <w:jc w:val="left"/>
              <w:rPr>
                <w:rFonts w:ascii="Arial" w:hAnsi="Arial" w:cs="Arial" w:eastAsia="Arial" w:hint="default"/>
                <w:sz w:val="18"/>
                <w:szCs w:val="18"/>
              </w:rPr>
            </w:pPr>
            <w:r>
              <w:rPr>
                <w:rFonts w:ascii="宋体" w:hAnsi="宋体" w:cs="宋体" w:eastAsia="宋体" w:hint="default"/>
                <w:sz w:val="18"/>
                <w:szCs w:val="18"/>
              </w:rPr>
              <w:t>同期末增减</w:t>
            </w:r>
            <w:r>
              <w:rPr>
                <w:rFonts w:ascii="Arial" w:hAnsi="Arial" w:cs="Arial" w:eastAsia="Arial" w:hint="default"/>
                <w:sz w:val="18"/>
                <w:szCs w:val="18"/>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98"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年末</w:t>
            </w:r>
          </w:p>
        </w:tc>
      </w:tr>
      <w:tr>
        <w:trPr>
          <w:trHeight w:val="248"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spacing w:val="-1"/>
                <w:sz w:val="18"/>
              </w:rPr>
              <w:t>72,297,283,180</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71,023,802,206</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w w:val="95"/>
                <w:sz w:val="18"/>
              </w:rPr>
              <w:t>1.8</w:t>
            </w:r>
            <w:r>
              <w:rPr>
                <w:rFonts w:ascii="Arial"/>
                <w:sz w:val="18"/>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spacing w:val="-1"/>
                <w:sz w:val="18"/>
              </w:rPr>
              <w:t>70,884,609,445</w:t>
            </w:r>
          </w:p>
        </w:tc>
      </w:tr>
      <w:tr>
        <w:trPr>
          <w:trHeight w:val="248"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518,357,290,110</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458,523,843,879</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13.0</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443,607,667,855</w:t>
            </w:r>
          </w:p>
        </w:tc>
      </w:tr>
    </w:tbl>
    <w:p>
      <w:pPr>
        <w:spacing w:line="240" w:lineRule="auto" w:before="5"/>
        <w:rPr>
          <w:rFonts w:ascii="宋体" w:hAnsi="宋体" w:cs="宋体" w:eastAsia="宋体" w:hint="default"/>
          <w:sz w:val="12"/>
          <w:szCs w:val="12"/>
        </w:rPr>
      </w:pPr>
    </w:p>
    <w:p>
      <w:pPr>
        <w:pStyle w:val="BodyText"/>
        <w:spacing w:line="240" w:lineRule="auto" w:before="31"/>
        <w:ind w:left="146" w:right="0"/>
        <w:jc w:val="left"/>
      </w:pPr>
      <w:r>
        <w:rPr/>
        <w:t>（二）主要财务数据</w:t>
      </w:r>
    </w:p>
    <w:p>
      <w:pPr>
        <w:spacing w:before="2"/>
        <w:ind w:left="0" w:right="168" w:firstLine="0"/>
        <w:jc w:val="right"/>
        <w:rPr>
          <w:rFonts w:ascii="宋体" w:hAnsi="宋体" w:cs="宋体" w:eastAsia="宋体" w:hint="default"/>
          <w:sz w:val="20"/>
          <w:szCs w:val="20"/>
        </w:rPr>
      </w:pPr>
      <w:r>
        <w:rPr>
          <w:rFonts w:ascii="宋体" w:hAnsi="宋体" w:cs="宋体" w:eastAsia="宋体" w:hint="default"/>
          <w:sz w:val="20"/>
          <w:szCs w:val="20"/>
        </w:rPr>
        <w:t>单位：元</w:t>
      </w:r>
      <w:r>
        <w:rPr>
          <w:rFonts w:ascii="宋体" w:hAnsi="宋体" w:cs="宋体" w:eastAsia="宋体" w:hint="default"/>
          <w:spacing w:val="-1"/>
          <w:sz w:val="20"/>
          <w:szCs w:val="20"/>
        </w:rPr>
        <w:t> </w:t>
      </w:r>
      <w:r>
        <w:rPr>
          <w:rFonts w:ascii="宋体" w:hAnsi="宋体" w:cs="宋体" w:eastAsia="宋体" w:hint="default"/>
          <w:sz w:val="20"/>
          <w:szCs w:val="20"/>
        </w:rPr>
        <w:t>币种：人民币</w:t>
      </w:r>
    </w:p>
    <w:p>
      <w:pPr>
        <w:spacing w:line="240" w:lineRule="auto" w:before="3"/>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4257"/>
        <w:gridCol w:w="1191"/>
        <w:gridCol w:w="1166"/>
        <w:gridCol w:w="1715"/>
        <w:gridCol w:w="1210"/>
      </w:tblGrid>
      <w:tr>
        <w:trPr>
          <w:trHeight w:val="481" w:hRule="exact"/>
        </w:trPr>
        <w:tc>
          <w:tcPr>
            <w:tcW w:w="4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主要财务指标</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74"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62"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本期比上年同期</w:t>
            </w:r>
          </w:p>
          <w:p>
            <w:pPr>
              <w:pStyle w:val="TableParagraph"/>
              <w:spacing w:line="248" w:lineRule="exact"/>
              <w:ind w:right="0"/>
              <w:jc w:val="center"/>
              <w:rPr>
                <w:rFonts w:ascii="Arial" w:hAnsi="Arial" w:cs="Arial" w:eastAsia="Arial" w:hint="default"/>
                <w:sz w:val="18"/>
                <w:szCs w:val="18"/>
              </w:rPr>
            </w:pPr>
            <w:r>
              <w:rPr>
                <w:rFonts w:ascii="宋体" w:hAnsi="宋体" w:cs="宋体" w:eastAsia="宋体" w:hint="default"/>
                <w:sz w:val="18"/>
                <w:szCs w:val="18"/>
              </w:rPr>
              <w:t>增减</w:t>
            </w:r>
            <w:r>
              <w:rPr>
                <w:rFonts w:ascii="Arial" w:hAnsi="Arial" w:cs="Arial" w:eastAsia="Arial" w:hint="default"/>
                <w:sz w:val="18"/>
                <w:szCs w:val="18"/>
              </w:rPr>
              <w:t>(%)</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84"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p>
        </w:tc>
      </w:tr>
      <w:tr>
        <w:trPr>
          <w:trHeight w:val="248" w:hRule="exact"/>
        </w:trPr>
        <w:tc>
          <w:tcPr>
            <w:tcW w:w="425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Arial" w:hAnsi="Arial" w:cs="Arial" w:eastAsia="Arial" w:hint="default"/>
                <w:sz w:val="18"/>
                <w:szCs w:val="18"/>
              </w:rPr>
            </w:pPr>
            <w:r>
              <w:rPr>
                <w:rFonts w:ascii="Arial"/>
                <w:spacing w:val="-1"/>
                <w:sz w:val="18"/>
              </w:rPr>
              <w:t>0.112</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Arial" w:hAnsi="Arial" w:cs="Arial" w:eastAsia="Arial" w:hint="default"/>
                <w:sz w:val="18"/>
                <w:szCs w:val="18"/>
              </w:rPr>
            </w:pPr>
            <w:r>
              <w:rPr>
                <w:rFonts w:ascii="Arial"/>
                <w:spacing w:val="-1"/>
                <w:sz w:val="18"/>
              </w:rPr>
              <w:t>0.067</w:t>
            </w:r>
          </w:p>
        </w:tc>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Arial" w:hAnsi="Arial" w:cs="Arial" w:eastAsia="Arial" w:hint="default"/>
                <w:sz w:val="18"/>
                <w:szCs w:val="18"/>
              </w:rPr>
            </w:pPr>
            <w:r>
              <w:rPr>
                <w:rFonts w:ascii="Arial"/>
                <w:spacing w:val="-1"/>
                <w:sz w:val="18"/>
              </w:rPr>
              <w:t>67.7</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0.058</w:t>
            </w:r>
          </w:p>
        </w:tc>
      </w:tr>
      <w:tr>
        <w:trPr>
          <w:trHeight w:val="250" w:hRule="exact"/>
        </w:trPr>
        <w:tc>
          <w:tcPr>
            <w:tcW w:w="425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Arial" w:hAnsi="Arial" w:cs="Arial" w:eastAsia="Arial" w:hint="default"/>
                <w:sz w:val="18"/>
                <w:szCs w:val="18"/>
              </w:rPr>
            </w:pPr>
            <w:r>
              <w:rPr>
                <w:rFonts w:ascii="Arial"/>
                <w:spacing w:val="-1"/>
                <w:sz w:val="18"/>
              </w:rPr>
              <w:t>0.110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Arial" w:hAnsi="Arial" w:cs="Arial" w:eastAsia="Arial" w:hint="default"/>
                <w:sz w:val="18"/>
                <w:szCs w:val="18"/>
              </w:rPr>
            </w:pPr>
            <w:r>
              <w:rPr>
                <w:rFonts w:ascii="Arial"/>
                <w:spacing w:val="-1"/>
                <w:sz w:val="18"/>
              </w:rPr>
              <w:t>0.066</w:t>
            </w:r>
          </w:p>
        </w:tc>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Arial" w:hAnsi="Arial" w:cs="Arial" w:eastAsia="Arial" w:hint="default"/>
                <w:sz w:val="18"/>
                <w:szCs w:val="18"/>
              </w:rPr>
            </w:pPr>
            <w:r>
              <w:rPr>
                <w:rFonts w:ascii="Arial"/>
                <w:spacing w:val="-1"/>
                <w:sz w:val="18"/>
              </w:rPr>
              <w:t>66.6</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0.058</w:t>
            </w:r>
          </w:p>
        </w:tc>
      </w:tr>
      <w:tr>
        <w:trPr>
          <w:trHeight w:val="248" w:hRule="exact"/>
        </w:trPr>
        <w:tc>
          <w:tcPr>
            <w:tcW w:w="42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扣除非经常性损益后的基本每股收益（元／股）</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0.093</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spacing w:val="-1"/>
                <w:sz w:val="18"/>
              </w:rPr>
              <w:t>0.055</w:t>
            </w:r>
          </w:p>
        </w:tc>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70.9</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spacing w:val="-1"/>
                <w:sz w:val="18"/>
              </w:rPr>
              <w:t>0.049</w:t>
            </w:r>
          </w:p>
        </w:tc>
      </w:tr>
      <w:tr>
        <w:trPr>
          <w:trHeight w:val="248" w:hRule="exact"/>
        </w:trPr>
        <w:tc>
          <w:tcPr>
            <w:tcW w:w="4257"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100"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Arial" w:hAnsi="Arial" w:cs="Arial" w:eastAsia="Arial" w:hint="default"/>
                <w:sz w:val="18"/>
                <w:szCs w:val="18"/>
              </w:rPr>
              <w:t>%</w:t>
            </w:r>
            <w:r>
              <w:rPr>
                <w:rFonts w:ascii="宋体" w:hAnsi="宋体" w:cs="宋体" w:eastAsia="宋体" w:hint="default"/>
                <w:sz w:val="18"/>
                <w:szCs w:val="18"/>
              </w:rPr>
              <w:t>）</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9"/>
              <w:jc w:val="right"/>
              <w:rPr>
                <w:rFonts w:ascii="Arial" w:hAnsi="Arial" w:cs="Arial" w:eastAsia="Arial" w:hint="default"/>
                <w:sz w:val="18"/>
                <w:szCs w:val="18"/>
              </w:rPr>
            </w:pPr>
            <w:r>
              <w:rPr>
                <w:rFonts w:ascii="Arial"/>
                <w:spacing w:val="-1"/>
                <w:sz w:val="18"/>
              </w:rPr>
              <w:t>3.31</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9"/>
              <w:jc w:val="right"/>
              <w:rPr>
                <w:rFonts w:ascii="Arial" w:hAnsi="Arial" w:cs="Arial" w:eastAsia="Arial" w:hint="default"/>
                <w:sz w:val="18"/>
                <w:szCs w:val="18"/>
              </w:rPr>
            </w:pPr>
            <w:r>
              <w:rPr>
                <w:rFonts w:ascii="Arial"/>
                <w:spacing w:val="-1"/>
                <w:sz w:val="18"/>
              </w:rPr>
              <w:t>1.99</w:t>
            </w:r>
          </w:p>
        </w:tc>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98"/>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Arial" w:hAnsi="Arial" w:cs="Arial" w:eastAsia="Arial" w:hint="default"/>
                <w:sz w:val="18"/>
                <w:szCs w:val="18"/>
              </w:rPr>
              <w:t>1.3</w:t>
            </w:r>
            <w:r>
              <w:rPr>
                <w:rFonts w:ascii="Arial" w:hAnsi="Arial" w:cs="Arial" w:eastAsia="Arial" w:hint="default"/>
                <w:spacing w:val="-7"/>
                <w:sz w:val="18"/>
                <w:szCs w:val="18"/>
              </w:rPr>
              <w:t> </w:t>
            </w:r>
            <w:r>
              <w:rPr>
                <w:rFonts w:ascii="宋体" w:hAnsi="宋体" w:cs="宋体" w:eastAsia="宋体" w:hint="default"/>
                <w:sz w:val="18"/>
                <w:szCs w:val="18"/>
              </w:rPr>
              <w:t>个百分点</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00"/>
              <w:jc w:val="right"/>
              <w:rPr>
                <w:rFonts w:ascii="Arial" w:hAnsi="Arial" w:cs="Arial" w:eastAsia="Arial" w:hint="default"/>
                <w:sz w:val="18"/>
                <w:szCs w:val="18"/>
              </w:rPr>
            </w:pPr>
            <w:r>
              <w:rPr>
                <w:rFonts w:ascii="Arial"/>
                <w:spacing w:val="-1"/>
                <w:sz w:val="18"/>
              </w:rPr>
              <w:t>1.73</w:t>
            </w:r>
          </w:p>
        </w:tc>
      </w:tr>
      <w:tr>
        <w:trPr>
          <w:trHeight w:val="248" w:hRule="exact"/>
        </w:trPr>
        <w:tc>
          <w:tcPr>
            <w:tcW w:w="4257"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100"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扣除非经常性损益后的加权平均净资产收益率（</w:t>
            </w:r>
            <w:r>
              <w:rPr>
                <w:rFonts w:ascii="Arial" w:hAnsi="Arial" w:cs="Arial" w:eastAsia="Arial" w:hint="default"/>
                <w:sz w:val="18"/>
                <w:szCs w:val="18"/>
              </w:rPr>
              <w:t>%</w:t>
            </w:r>
            <w:r>
              <w:rPr>
                <w:rFonts w:ascii="宋体" w:hAnsi="宋体" w:cs="宋体" w:eastAsia="宋体" w:hint="default"/>
                <w:sz w:val="18"/>
                <w:szCs w:val="18"/>
              </w:rPr>
              <w:t>）</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9"/>
              <w:jc w:val="right"/>
              <w:rPr>
                <w:rFonts w:ascii="Arial" w:hAnsi="Arial" w:cs="Arial" w:eastAsia="Arial" w:hint="default"/>
                <w:sz w:val="18"/>
                <w:szCs w:val="18"/>
              </w:rPr>
            </w:pPr>
            <w:r>
              <w:rPr>
                <w:rFonts w:ascii="Arial"/>
                <w:spacing w:val="-1"/>
                <w:sz w:val="18"/>
              </w:rPr>
              <w:t>2.76</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9"/>
              <w:jc w:val="right"/>
              <w:rPr>
                <w:rFonts w:ascii="Arial" w:hAnsi="Arial" w:cs="Arial" w:eastAsia="Arial" w:hint="default"/>
                <w:sz w:val="18"/>
                <w:szCs w:val="18"/>
              </w:rPr>
            </w:pPr>
            <w:r>
              <w:rPr>
                <w:rFonts w:ascii="Arial"/>
                <w:spacing w:val="-1"/>
                <w:sz w:val="18"/>
              </w:rPr>
              <w:t>1.63</w:t>
            </w:r>
          </w:p>
        </w:tc>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98"/>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Arial" w:hAnsi="Arial" w:cs="Arial" w:eastAsia="Arial" w:hint="default"/>
                <w:sz w:val="18"/>
                <w:szCs w:val="18"/>
              </w:rPr>
              <w:t>1.1</w:t>
            </w:r>
            <w:r>
              <w:rPr>
                <w:rFonts w:ascii="Arial" w:hAnsi="Arial" w:cs="Arial" w:eastAsia="Arial" w:hint="default"/>
                <w:spacing w:val="-7"/>
                <w:sz w:val="18"/>
                <w:szCs w:val="18"/>
              </w:rPr>
              <w:t> </w:t>
            </w:r>
            <w:r>
              <w:rPr>
                <w:rFonts w:ascii="宋体" w:hAnsi="宋体" w:cs="宋体" w:eastAsia="宋体" w:hint="default"/>
                <w:sz w:val="18"/>
                <w:szCs w:val="18"/>
              </w:rPr>
              <w:t>个百分点</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00"/>
              <w:jc w:val="right"/>
              <w:rPr>
                <w:rFonts w:ascii="Arial" w:hAnsi="Arial" w:cs="Arial" w:eastAsia="Arial" w:hint="default"/>
                <w:sz w:val="18"/>
                <w:szCs w:val="18"/>
              </w:rPr>
            </w:pPr>
            <w:r>
              <w:rPr>
                <w:rFonts w:ascii="Arial"/>
                <w:spacing w:val="-1"/>
                <w:sz w:val="18"/>
              </w:rPr>
              <w:t>1.47</w:t>
            </w:r>
          </w:p>
        </w:tc>
      </w:tr>
    </w:tbl>
    <w:p>
      <w:pPr>
        <w:spacing w:line="240" w:lineRule="auto" w:before="5"/>
        <w:rPr>
          <w:rFonts w:ascii="宋体" w:hAnsi="宋体" w:cs="宋体" w:eastAsia="宋体" w:hint="default"/>
          <w:sz w:val="12"/>
          <w:szCs w:val="12"/>
        </w:rPr>
      </w:pPr>
    </w:p>
    <w:p>
      <w:pPr>
        <w:pStyle w:val="Heading3"/>
        <w:spacing w:line="287" w:lineRule="exact"/>
        <w:ind w:right="0"/>
        <w:jc w:val="left"/>
        <w:rPr>
          <w:b w:val="0"/>
          <w:bCs w:val="0"/>
        </w:rPr>
      </w:pPr>
      <w:r>
        <w:rPr/>
        <w:t>二、非经常性损益项目和金额</w:t>
      </w:r>
      <w:r>
        <w:rPr>
          <w:b w:val="0"/>
          <w:bCs w:val="0"/>
        </w:rPr>
      </w:r>
    </w:p>
    <w:p>
      <w:pPr>
        <w:pStyle w:val="BodyText"/>
        <w:spacing w:line="287" w:lineRule="exact"/>
        <w:ind w:left="0" w:right="170"/>
        <w:jc w:val="right"/>
      </w:pPr>
      <w:r>
        <w:rPr/>
        <w:t>单位：千元</w:t>
      </w:r>
      <w:r>
        <w:rPr>
          <w:spacing w:val="-5"/>
        </w:rPr>
        <w:t> </w:t>
      </w:r>
      <w:r>
        <w:rPr/>
        <w:t>币种：人民币</w:t>
      </w:r>
    </w:p>
    <w:p>
      <w:pPr>
        <w:spacing w:line="240" w:lineRule="auto" w:before="6"/>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5096"/>
        <w:gridCol w:w="1474"/>
        <w:gridCol w:w="1500"/>
        <w:gridCol w:w="1480"/>
      </w:tblGrid>
      <w:tr>
        <w:trPr>
          <w:trHeight w:val="248" w:hRule="exact"/>
        </w:trPr>
        <w:tc>
          <w:tcPr>
            <w:tcW w:w="50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416"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428"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418"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p>
        </w:tc>
      </w:tr>
      <w:tr>
        <w:trPr>
          <w:trHeight w:val="248" w:hRule="exact"/>
        </w:trPr>
        <w:tc>
          <w:tcPr>
            <w:tcW w:w="50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89"/>
              <w:jc w:val="right"/>
              <w:rPr>
                <w:rFonts w:ascii="Arial" w:hAnsi="Arial" w:cs="Arial" w:eastAsia="Arial" w:hint="default"/>
                <w:sz w:val="18"/>
                <w:szCs w:val="18"/>
              </w:rPr>
            </w:pPr>
            <w:r>
              <w:rPr>
                <w:rFonts w:ascii="Arial"/>
                <w:spacing w:val="-1"/>
                <w:sz w:val="18"/>
              </w:rPr>
              <w:t>630,983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78"/>
              <w:jc w:val="right"/>
              <w:rPr>
                <w:rFonts w:ascii="Arial" w:hAnsi="Arial" w:cs="Arial" w:eastAsia="Arial" w:hint="default"/>
                <w:sz w:val="18"/>
                <w:szCs w:val="18"/>
              </w:rPr>
            </w:pPr>
            <w:r>
              <w:rPr>
                <w:rFonts w:ascii="Arial"/>
                <w:spacing w:val="-1"/>
                <w:sz w:val="18"/>
              </w:rPr>
              <w:t>433,465</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spacing w:val="-1"/>
                <w:sz w:val="18"/>
              </w:rPr>
              <w:t>2,784</w:t>
            </w:r>
          </w:p>
        </w:tc>
      </w:tr>
      <w:tr>
        <w:trPr>
          <w:trHeight w:val="248" w:hRule="exact"/>
        </w:trPr>
        <w:tc>
          <w:tcPr>
            <w:tcW w:w="50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89"/>
              <w:jc w:val="right"/>
              <w:rPr>
                <w:rFonts w:ascii="Arial" w:hAnsi="Arial" w:cs="Arial" w:eastAsia="Arial" w:hint="default"/>
                <w:sz w:val="18"/>
                <w:szCs w:val="18"/>
              </w:rPr>
            </w:pPr>
            <w:r>
              <w:rPr>
                <w:rFonts w:ascii="Arial"/>
                <w:spacing w:val="-1"/>
                <w:sz w:val="18"/>
              </w:rPr>
              <w:t>122,836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78"/>
              <w:jc w:val="right"/>
              <w:rPr>
                <w:rFonts w:ascii="Arial" w:hAnsi="Arial" w:cs="Arial" w:eastAsia="Arial" w:hint="default"/>
                <w:sz w:val="18"/>
                <w:szCs w:val="18"/>
              </w:rPr>
            </w:pPr>
            <w:r>
              <w:rPr>
                <w:rFonts w:ascii="Arial"/>
                <w:spacing w:val="-1"/>
                <w:sz w:val="18"/>
              </w:rPr>
              <w:t>118,004</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spacing w:val="-1"/>
                <w:sz w:val="18"/>
              </w:rPr>
              <w:t>111,674</w:t>
            </w:r>
          </w:p>
        </w:tc>
      </w:tr>
      <w:tr>
        <w:trPr>
          <w:trHeight w:val="248" w:hRule="exact"/>
        </w:trPr>
        <w:tc>
          <w:tcPr>
            <w:tcW w:w="50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89"/>
              <w:jc w:val="right"/>
              <w:rPr>
                <w:rFonts w:ascii="Arial" w:hAnsi="Arial" w:cs="Arial" w:eastAsia="Arial" w:hint="default"/>
                <w:sz w:val="18"/>
                <w:szCs w:val="18"/>
              </w:rPr>
            </w:pPr>
            <w:r>
              <w:rPr>
                <w:rFonts w:ascii="Arial"/>
                <w:w w:val="99"/>
                <w:sz w:val="18"/>
              </w:rPr>
              <w:t>-</w:t>
            </w:r>
            <w:r>
              <w:rPr>
                <w:rFonts w:ascii="Arial"/>
                <w:sz w:val="18"/>
              </w:rPr>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78"/>
              <w:jc w:val="right"/>
              <w:rPr>
                <w:rFonts w:ascii="Arial" w:hAnsi="Arial" w:cs="Arial" w:eastAsia="Arial" w:hint="default"/>
                <w:sz w:val="18"/>
                <w:szCs w:val="18"/>
              </w:rPr>
            </w:pPr>
            <w:r>
              <w:rPr>
                <w:rFonts w:ascii="Arial"/>
                <w:spacing w:val="-1"/>
                <w:sz w:val="18"/>
              </w:rPr>
              <w:t>8,941</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spacing w:val="-1"/>
                <w:sz w:val="18"/>
              </w:rPr>
              <w:t>20,356</w:t>
            </w:r>
          </w:p>
        </w:tc>
      </w:tr>
      <w:tr>
        <w:trPr>
          <w:trHeight w:val="248" w:hRule="exact"/>
        </w:trPr>
        <w:tc>
          <w:tcPr>
            <w:tcW w:w="50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89"/>
              <w:jc w:val="right"/>
              <w:rPr>
                <w:rFonts w:ascii="Arial" w:hAnsi="Arial" w:cs="Arial" w:eastAsia="Arial" w:hint="default"/>
                <w:sz w:val="18"/>
                <w:szCs w:val="18"/>
              </w:rPr>
            </w:pPr>
            <w:r>
              <w:rPr>
                <w:rFonts w:ascii="Arial"/>
                <w:spacing w:val="-1"/>
                <w:sz w:val="18"/>
              </w:rPr>
              <w:t>794,122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78"/>
              <w:jc w:val="right"/>
              <w:rPr>
                <w:rFonts w:ascii="Arial" w:hAnsi="Arial" w:cs="Arial" w:eastAsia="Arial" w:hint="default"/>
                <w:sz w:val="18"/>
                <w:szCs w:val="18"/>
              </w:rPr>
            </w:pPr>
            <w:r>
              <w:rPr>
                <w:rFonts w:ascii="Arial"/>
                <w:spacing w:val="-1"/>
                <w:sz w:val="18"/>
              </w:rPr>
              <w:t>458,013</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618,416</w:t>
            </w:r>
          </w:p>
        </w:tc>
      </w:tr>
      <w:tr>
        <w:trPr>
          <w:trHeight w:val="248" w:hRule="exact"/>
        </w:trPr>
        <w:tc>
          <w:tcPr>
            <w:tcW w:w="50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少数股东损益影响额</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9"/>
              <w:jc w:val="right"/>
              <w:rPr>
                <w:rFonts w:ascii="Arial" w:hAnsi="Arial" w:cs="Arial" w:eastAsia="Arial" w:hint="default"/>
                <w:sz w:val="18"/>
                <w:szCs w:val="18"/>
              </w:rPr>
            </w:pPr>
            <w:r>
              <w:rPr>
                <w:rFonts w:ascii="Arial"/>
                <w:spacing w:val="-1"/>
                <w:sz w:val="18"/>
              </w:rPr>
              <w:t>(762,805)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9"/>
              <w:jc w:val="right"/>
              <w:rPr>
                <w:rFonts w:ascii="Arial" w:hAnsi="Arial" w:cs="Arial" w:eastAsia="Arial" w:hint="default"/>
                <w:sz w:val="18"/>
                <w:szCs w:val="18"/>
              </w:rPr>
            </w:pPr>
            <w:r>
              <w:rPr>
                <w:rFonts w:ascii="Arial"/>
                <w:spacing w:val="-1"/>
                <w:sz w:val="18"/>
              </w:rPr>
              <w:t>(498,498)</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sz w:val="18"/>
              </w:rPr>
              <w:t>(363,638)</w:t>
            </w:r>
          </w:p>
        </w:tc>
      </w:tr>
      <w:tr>
        <w:trPr>
          <w:trHeight w:val="250" w:hRule="exact"/>
        </w:trPr>
        <w:tc>
          <w:tcPr>
            <w:tcW w:w="50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9"/>
              <w:jc w:val="right"/>
              <w:rPr>
                <w:rFonts w:ascii="Arial" w:hAnsi="Arial" w:cs="Arial" w:eastAsia="Arial" w:hint="default"/>
                <w:sz w:val="18"/>
                <w:szCs w:val="18"/>
              </w:rPr>
            </w:pPr>
            <w:r>
              <w:rPr>
                <w:rFonts w:ascii="Arial"/>
                <w:spacing w:val="-1"/>
                <w:sz w:val="18"/>
              </w:rPr>
              <w:t>(394,268)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9"/>
              <w:jc w:val="right"/>
              <w:rPr>
                <w:rFonts w:ascii="Arial" w:hAnsi="Arial" w:cs="Arial" w:eastAsia="Arial" w:hint="default"/>
                <w:sz w:val="18"/>
                <w:szCs w:val="18"/>
              </w:rPr>
            </w:pPr>
            <w:r>
              <w:rPr>
                <w:rFonts w:ascii="Arial"/>
                <w:spacing w:val="-1"/>
                <w:sz w:val="18"/>
              </w:rPr>
              <w:t>(264,409)</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sz w:val="18"/>
              </w:rPr>
              <w:t>(203,229)</w:t>
            </w:r>
          </w:p>
        </w:tc>
      </w:tr>
      <w:tr>
        <w:trPr>
          <w:trHeight w:val="249" w:hRule="exact"/>
        </w:trPr>
        <w:tc>
          <w:tcPr>
            <w:tcW w:w="50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89"/>
              <w:jc w:val="right"/>
              <w:rPr>
                <w:rFonts w:ascii="Arial" w:hAnsi="Arial" w:cs="Arial" w:eastAsia="Arial" w:hint="default"/>
                <w:sz w:val="18"/>
                <w:szCs w:val="18"/>
              </w:rPr>
            </w:pPr>
            <w:r>
              <w:rPr>
                <w:rFonts w:ascii="Arial"/>
                <w:spacing w:val="-1"/>
                <w:sz w:val="18"/>
              </w:rPr>
              <w:t>390,868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78"/>
              <w:jc w:val="right"/>
              <w:rPr>
                <w:rFonts w:ascii="Arial" w:hAnsi="Arial" w:cs="Arial" w:eastAsia="Arial" w:hint="default"/>
                <w:sz w:val="18"/>
                <w:szCs w:val="18"/>
              </w:rPr>
            </w:pPr>
            <w:r>
              <w:rPr>
                <w:rFonts w:ascii="Arial"/>
                <w:spacing w:val="-1"/>
                <w:sz w:val="18"/>
              </w:rPr>
              <w:t>255,516</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00"/>
              <w:jc w:val="right"/>
              <w:rPr>
                <w:rFonts w:ascii="Arial" w:hAnsi="Arial" w:cs="Arial" w:eastAsia="Arial" w:hint="default"/>
                <w:sz w:val="18"/>
                <w:szCs w:val="18"/>
              </w:rPr>
            </w:pPr>
            <w:r>
              <w:rPr>
                <w:rFonts w:ascii="Arial"/>
                <w:spacing w:val="-1"/>
                <w:sz w:val="18"/>
              </w:rPr>
              <w:t>186,363</w:t>
            </w:r>
          </w:p>
        </w:tc>
      </w:tr>
    </w:tbl>
    <w:p>
      <w:pPr>
        <w:spacing w:line="240" w:lineRule="auto" w:before="5"/>
        <w:rPr>
          <w:rFonts w:ascii="宋体" w:hAnsi="宋体" w:cs="宋体" w:eastAsia="宋体" w:hint="default"/>
          <w:sz w:val="12"/>
          <w:szCs w:val="12"/>
        </w:rPr>
      </w:pPr>
    </w:p>
    <w:p>
      <w:pPr>
        <w:pStyle w:val="Heading3"/>
        <w:spacing w:line="286" w:lineRule="exact"/>
        <w:ind w:right="0"/>
        <w:jc w:val="left"/>
        <w:rPr>
          <w:b w:val="0"/>
          <w:bCs w:val="0"/>
        </w:rPr>
      </w:pPr>
      <w:r>
        <w:rPr/>
        <w:t>三、采用公允价值计量的项目</w:t>
      </w:r>
      <w:r>
        <w:rPr>
          <w:b w:val="0"/>
          <w:bCs w:val="0"/>
        </w:rPr>
      </w:r>
    </w:p>
    <w:p>
      <w:pPr>
        <w:pStyle w:val="BodyText"/>
        <w:spacing w:line="286" w:lineRule="exact"/>
        <w:ind w:left="0" w:right="171"/>
        <w:jc w:val="right"/>
      </w:pPr>
      <w:r>
        <w:rPr/>
        <w:t>单位：元</w:t>
      </w:r>
      <w:r>
        <w:rPr>
          <w:spacing w:val="-4"/>
        </w:rPr>
        <w:t> </w:t>
      </w:r>
      <w:r>
        <w:rPr/>
        <w:t>币种：人民币</w:t>
      </w:r>
    </w:p>
    <w:p>
      <w:pPr>
        <w:spacing w:line="240" w:lineRule="auto" w:before="8"/>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2795"/>
        <w:gridCol w:w="1714"/>
        <w:gridCol w:w="1713"/>
        <w:gridCol w:w="1708"/>
        <w:gridCol w:w="1560"/>
      </w:tblGrid>
      <w:tr>
        <w:trPr>
          <w:trHeight w:val="534" w:hRule="exact"/>
        </w:trPr>
        <w:tc>
          <w:tcPr>
            <w:tcW w:w="2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07" w:right="0"/>
              <w:jc w:val="center"/>
              <w:rPr>
                <w:rFonts w:ascii="宋体" w:hAnsi="宋体" w:cs="宋体" w:eastAsia="宋体" w:hint="default"/>
                <w:sz w:val="20"/>
                <w:szCs w:val="20"/>
              </w:rPr>
            </w:pPr>
            <w:r>
              <w:rPr>
                <w:rFonts w:ascii="宋体" w:hAnsi="宋体" w:cs="宋体" w:eastAsia="宋体" w:hint="default"/>
                <w:sz w:val="20"/>
                <w:szCs w:val="20"/>
              </w:rPr>
              <w:t>项目名称</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47"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1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48"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45" w:right="0"/>
              <w:jc w:val="left"/>
              <w:rPr>
                <w:rFonts w:ascii="宋体" w:hAnsi="宋体" w:cs="宋体" w:eastAsia="宋体" w:hint="default"/>
                <w:sz w:val="20"/>
                <w:szCs w:val="20"/>
              </w:rPr>
            </w:pPr>
            <w:r>
              <w:rPr>
                <w:rFonts w:ascii="宋体" w:hAnsi="宋体" w:cs="宋体" w:eastAsia="宋体" w:hint="default"/>
                <w:sz w:val="20"/>
                <w:szCs w:val="20"/>
              </w:rPr>
              <w:t>当期变动</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对当期利润的</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影响金额</w:t>
            </w:r>
          </w:p>
        </w:tc>
      </w:tr>
      <w:tr>
        <w:trPr>
          <w:trHeight w:val="275" w:hRule="exact"/>
        </w:trPr>
        <w:tc>
          <w:tcPr>
            <w:tcW w:w="2795"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子公司持有的西班牙电信股票</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8"/>
              <w:jc w:val="right"/>
              <w:rPr>
                <w:rFonts w:ascii="Arial" w:hAnsi="Arial" w:cs="Arial" w:eastAsia="Arial" w:hint="default"/>
                <w:sz w:val="20"/>
                <w:szCs w:val="20"/>
              </w:rPr>
            </w:pPr>
            <w:r>
              <w:rPr>
                <w:rFonts w:ascii="Arial"/>
                <w:spacing w:val="-1"/>
                <w:sz w:val="20"/>
              </w:rPr>
              <w:t>6,837,384,523</w:t>
            </w:r>
          </w:p>
        </w:tc>
        <w:tc>
          <w:tcPr>
            <w:tcW w:w="1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10"/>
              <w:jc w:val="right"/>
              <w:rPr>
                <w:rFonts w:ascii="Arial" w:hAnsi="Arial" w:cs="Arial" w:eastAsia="Arial" w:hint="default"/>
                <w:sz w:val="20"/>
                <w:szCs w:val="20"/>
              </w:rPr>
            </w:pPr>
            <w:r>
              <w:rPr>
                <w:rFonts w:ascii="Arial"/>
                <w:spacing w:val="-1"/>
                <w:sz w:val="20"/>
              </w:rPr>
              <w:t>5,441,715,056</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33"/>
              <w:jc w:val="right"/>
              <w:rPr>
                <w:rFonts w:ascii="Arial" w:hAnsi="Arial" w:cs="Arial" w:eastAsia="Arial" w:hint="default"/>
                <w:sz w:val="20"/>
                <w:szCs w:val="20"/>
              </w:rPr>
            </w:pPr>
            <w:r>
              <w:rPr>
                <w:rFonts w:ascii="Arial"/>
                <w:spacing w:val="-1"/>
                <w:sz w:val="20"/>
              </w:rPr>
              <w:t>(1,395,669,467)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Arial" w:hAnsi="Arial" w:cs="Arial" w:eastAsia="Arial" w:hint="default"/>
                <w:sz w:val="20"/>
                <w:szCs w:val="20"/>
              </w:rPr>
            </w:pPr>
            <w:r>
              <w:rPr>
                <w:rFonts w:ascii="Arial"/>
                <w:w w:val="100"/>
                <w:sz w:val="20"/>
              </w:rPr>
              <w:t>-</w:t>
            </w:r>
          </w:p>
        </w:tc>
      </w:tr>
      <w:tr>
        <w:trPr>
          <w:trHeight w:val="274" w:hRule="exact"/>
        </w:trPr>
        <w:tc>
          <w:tcPr>
            <w:tcW w:w="279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子公司持有的交通银行股票</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7"/>
              <w:jc w:val="right"/>
              <w:rPr>
                <w:rFonts w:ascii="Arial" w:hAnsi="Arial" w:cs="Arial" w:eastAsia="Arial" w:hint="default"/>
                <w:sz w:val="20"/>
                <w:szCs w:val="20"/>
              </w:rPr>
            </w:pPr>
            <w:r>
              <w:rPr>
                <w:rFonts w:ascii="Arial"/>
                <w:spacing w:val="-1"/>
                <w:sz w:val="20"/>
              </w:rPr>
              <w:t>113,721,803</w:t>
            </w:r>
          </w:p>
        </w:tc>
        <w:tc>
          <w:tcPr>
            <w:tcW w:w="1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8"/>
              <w:jc w:val="right"/>
              <w:rPr>
                <w:rFonts w:ascii="Arial" w:hAnsi="Arial" w:cs="Arial" w:eastAsia="Arial" w:hint="default"/>
                <w:sz w:val="20"/>
                <w:szCs w:val="20"/>
              </w:rPr>
            </w:pPr>
            <w:r>
              <w:rPr>
                <w:rFonts w:ascii="Arial"/>
                <w:spacing w:val="-1"/>
                <w:sz w:val="20"/>
              </w:rPr>
              <w:t>125,398,595</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Arial" w:hAnsi="Arial" w:cs="Arial" w:eastAsia="Arial" w:hint="default"/>
                <w:sz w:val="20"/>
                <w:szCs w:val="20"/>
              </w:rPr>
            </w:pPr>
            <w:r>
              <w:rPr>
                <w:rFonts w:ascii="Arial"/>
                <w:spacing w:val="-1"/>
                <w:sz w:val="20"/>
              </w:rPr>
              <w:t>11,676,792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20"/>
                <w:szCs w:val="20"/>
              </w:rPr>
            </w:pPr>
            <w:r>
              <w:rPr>
                <w:rFonts w:ascii="Arial"/>
                <w:w w:val="100"/>
                <w:sz w:val="20"/>
              </w:rPr>
              <w:t>-</w:t>
            </w:r>
          </w:p>
        </w:tc>
      </w:tr>
      <w:tr>
        <w:trPr>
          <w:trHeight w:val="275" w:hRule="exact"/>
        </w:trPr>
        <w:tc>
          <w:tcPr>
            <w:tcW w:w="2795"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7"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8"/>
              <w:jc w:val="right"/>
              <w:rPr>
                <w:rFonts w:ascii="Arial" w:hAnsi="Arial" w:cs="Arial" w:eastAsia="Arial" w:hint="default"/>
                <w:sz w:val="20"/>
                <w:szCs w:val="20"/>
              </w:rPr>
            </w:pPr>
            <w:r>
              <w:rPr>
                <w:rFonts w:ascii="Arial"/>
                <w:spacing w:val="-1"/>
                <w:sz w:val="20"/>
              </w:rPr>
              <w:t>6,951,106,326</w:t>
            </w:r>
          </w:p>
        </w:tc>
        <w:tc>
          <w:tcPr>
            <w:tcW w:w="1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10"/>
              <w:jc w:val="right"/>
              <w:rPr>
                <w:rFonts w:ascii="Arial" w:hAnsi="Arial" w:cs="Arial" w:eastAsia="Arial" w:hint="default"/>
                <w:sz w:val="20"/>
                <w:szCs w:val="20"/>
              </w:rPr>
            </w:pPr>
            <w:r>
              <w:rPr>
                <w:rFonts w:ascii="Arial"/>
                <w:spacing w:val="-1"/>
                <w:sz w:val="20"/>
              </w:rPr>
              <w:t>5,567,113,651</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33"/>
              <w:jc w:val="right"/>
              <w:rPr>
                <w:rFonts w:ascii="Arial" w:hAnsi="Arial" w:cs="Arial" w:eastAsia="Arial" w:hint="default"/>
                <w:sz w:val="20"/>
                <w:szCs w:val="20"/>
              </w:rPr>
            </w:pPr>
            <w:r>
              <w:rPr>
                <w:rFonts w:ascii="Arial"/>
                <w:spacing w:val="-1"/>
                <w:sz w:val="20"/>
              </w:rPr>
              <w:t>(1,383,992,675)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Arial" w:hAnsi="Arial" w:cs="Arial" w:eastAsia="Arial" w:hint="default"/>
                <w:sz w:val="20"/>
                <w:szCs w:val="20"/>
              </w:rPr>
            </w:pPr>
            <w:r>
              <w:rPr>
                <w:rFonts w:ascii="Arial"/>
                <w:w w:val="100"/>
                <w:sz w:val="20"/>
              </w:rPr>
              <w:t>-</w:t>
            </w:r>
          </w:p>
        </w:tc>
      </w:tr>
    </w:tbl>
    <w:p>
      <w:pPr>
        <w:spacing w:after="0" w:line="240" w:lineRule="auto"/>
        <w:jc w:val="right"/>
        <w:rPr>
          <w:rFonts w:ascii="Arial" w:hAnsi="Arial" w:cs="Arial" w:eastAsia="Arial" w:hint="default"/>
          <w:sz w:val="20"/>
          <w:szCs w:val="20"/>
        </w:rPr>
        <w:sectPr>
          <w:pgSz w:w="11910" w:h="16840"/>
          <w:pgMar w:header="567" w:footer="745" w:top="800" w:bottom="940" w:left="1380" w:right="720"/>
        </w:sectPr>
      </w:pPr>
    </w:p>
    <w:p>
      <w:pPr>
        <w:spacing w:line="240" w:lineRule="auto" w:before="3"/>
        <w:rPr>
          <w:rFonts w:ascii="宋体" w:hAnsi="宋体" w:cs="宋体" w:eastAsia="宋体" w:hint="default"/>
          <w:sz w:val="23"/>
          <w:szCs w:val="23"/>
        </w:rPr>
      </w:pPr>
    </w:p>
    <w:p>
      <w:pPr>
        <w:pStyle w:val="Heading1"/>
        <w:tabs>
          <w:tab w:pos="1253" w:val="left" w:leader="none"/>
        </w:tabs>
        <w:spacing w:line="240" w:lineRule="auto"/>
        <w:ind w:right="66"/>
        <w:jc w:val="center"/>
        <w:rPr>
          <w:b w:val="0"/>
          <w:bCs w:val="0"/>
        </w:rPr>
      </w:pPr>
      <w:bookmarkStart w:name="_TOC_250007" w:id="4"/>
      <w:r>
        <w:rPr>
          <w:w w:val="95"/>
        </w:rPr>
        <w:t>第四节</w:t>
        <w:tab/>
      </w:r>
      <w:r>
        <w:rPr/>
        <w:t>董事会报告</w:t>
      </w:r>
      <w:bookmarkEnd w:id="4"/>
      <w:r>
        <w:rPr>
          <w:b w:val="0"/>
          <w:bCs w:val="0"/>
        </w:rPr>
      </w:r>
    </w:p>
    <w:p>
      <w:pPr>
        <w:spacing w:line="240" w:lineRule="auto" w:before="12"/>
        <w:rPr>
          <w:rFonts w:ascii="宋体" w:hAnsi="宋体" w:cs="宋体" w:eastAsia="宋体" w:hint="default"/>
          <w:b/>
          <w:bCs/>
          <w:sz w:val="19"/>
          <w:szCs w:val="19"/>
        </w:rPr>
      </w:pPr>
    </w:p>
    <w:p>
      <w:pPr>
        <w:pStyle w:val="Heading3"/>
        <w:spacing w:line="240" w:lineRule="auto" w:before="0"/>
        <w:ind w:right="89"/>
        <w:jc w:val="left"/>
        <w:rPr>
          <w:b w:val="0"/>
          <w:bCs w:val="0"/>
        </w:rPr>
      </w:pPr>
      <w:r>
        <w:rPr/>
        <w:t>一、董事会关于公司报告期内经营情况的讨论与分析</w:t>
      </w:r>
      <w:r>
        <w:rPr>
          <w:b w:val="0"/>
          <w:bCs w:val="0"/>
        </w:rPr>
      </w:r>
    </w:p>
    <w:p>
      <w:pPr>
        <w:spacing w:line="240" w:lineRule="auto" w:before="3"/>
        <w:rPr>
          <w:rFonts w:ascii="宋体" w:hAnsi="宋体" w:cs="宋体" w:eastAsia="宋体" w:hint="default"/>
          <w:b/>
          <w:bCs/>
          <w:sz w:val="21"/>
          <w:szCs w:val="21"/>
        </w:rPr>
      </w:pPr>
    </w:p>
    <w:p>
      <w:pPr>
        <w:pStyle w:val="BodyText"/>
        <w:spacing w:line="286" w:lineRule="exact"/>
        <w:ind w:left="632" w:right="305"/>
        <w:jc w:val="left"/>
      </w:pPr>
      <w:r>
        <w:rPr>
          <w:rFonts w:ascii="Arial" w:hAnsi="Arial" w:cs="Arial" w:eastAsia="Arial" w:hint="default"/>
        </w:rPr>
        <w:t>2012</w:t>
      </w:r>
      <w:r>
        <w:rPr>
          <w:rFonts w:ascii="Arial" w:hAnsi="Arial" w:cs="Arial" w:eastAsia="Arial" w:hint="default"/>
          <w:spacing w:val="-19"/>
        </w:rPr>
        <w:t> </w:t>
      </w:r>
      <w:r>
        <w:rPr/>
        <w:t>年，公司收入增长继续保持行业领先，市场份额进一步扩大，发展结构持续优化，经营</w:t>
      </w:r>
      <w:r>
        <w:rPr>
          <w:w w:val="99"/>
        </w:rPr>
        <w:t> </w:t>
      </w:r>
      <w:r>
        <w:rPr/>
        <w:t>效益显著提升。</w:t>
      </w:r>
    </w:p>
    <w:p>
      <w:pPr>
        <w:spacing w:line="240" w:lineRule="auto" w:before="2"/>
        <w:rPr>
          <w:rFonts w:ascii="宋体" w:hAnsi="宋体" w:cs="宋体" w:eastAsia="宋体" w:hint="default"/>
          <w:sz w:val="17"/>
          <w:szCs w:val="17"/>
        </w:rPr>
      </w:pPr>
    </w:p>
    <w:p>
      <w:pPr>
        <w:pStyle w:val="Heading3"/>
        <w:spacing w:line="240" w:lineRule="auto" w:before="0"/>
        <w:ind w:left="641" w:right="89"/>
        <w:jc w:val="left"/>
        <w:rPr>
          <w:b w:val="0"/>
          <w:bCs w:val="0"/>
        </w:rPr>
      </w:pPr>
      <w:r>
        <w:rPr/>
        <w:t>第一部分：总体经营情况</w:t>
      </w:r>
      <w:r>
        <w:rPr>
          <w:b w:val="0"/>
          <w:bCs w:val="0"/>
        </w:rPr>
      </w:r>
    </w:p>
    <w:p>
      <w:pPr>
        <w:spacing w:line="240" w:lineRule="auto" w:before="1"/>
        <w:rPr>
          <w:rFonts w:ascii="宋体" w:hAnsi="宋体" w:cs="宋体" w:eastAsia="宋体" w:hint="default"/>
          <w:b/>
          <w:bCs/>
          <w:sz w:val="19"/>
          <w:szCs w:val="19"/>
        </w:rPr>
      </w:pPr>
    </w:p>
    <w:p>
      <w:pPr>
        <w:pStyle w:val="BodyText"/>
        <w:spacing w:line="240" w:lineRule="auto"/>
        <w:ind w:left="658" w:right="89"/>
        <w:jc w:val="left"/>
      </w:pPr>
      <w:r>
        <w:rPr>
          <w:rFonts w:ascii="Arial" w:hAnsi="Arial" w:cs="Arial" w:eastAsia="Arial" w:hint="default"/>
        </w:rPr>
        <w:t>1</w:t>
      </w:r>
      <w:r>
        <w:rPr/>
        <w:t>、财务表现（附注</w:t>
      </w:r>
      <w:r>
        <w:rPr>
          <w:spacing w:val="-60"/>
        </w:rPr>
        <w:t> </w:t>
      </w:r>
      <w:r>
        <w:rPr>
          <w:rFonts w:ascii="Arial" w:hAnsi="Arial" w:cs="Arial" w:eastAsia="Arial" w:hint="default"/>
        </w:rPr>
        <w:t>1</w:t>
      </w:r>
      <w:r>
        <w:rPr/>
        <w:t>）</w:t>
      </w:r>
    </w:p>
    <w:p>
      <w:pPr>
        <w:spacing w:line="240" w:lineRule="auto" w:before="13"/>
        <w:rPr>
          <w:rFonts w:ascii="宋体" w:hAnsi="宋体" w:cs="宋体" w:eastAsia="宋体" w:hint="default"/>
          <w:sz w:val="17"/>
          <w:szCs w:val="17"/>
        </w:rPr>
      </w:pPr>
    </w:p>
    <w:p>
      <w:pPr>
        <w:pStyle w:val="BodyText"/>
        <w:spacing w:line="295" w:lineRule="exact"/>
        <w:ind w:left="1002" w:right="89"/>
        <w:jc w:val="left"/>
      </w:pPr>
      <w:r>
        <w:rPr>
          <w:rFonts w:ascii="Arial" w:hAnsi="Arial" w:cs="Arial" w:eastAsia="Arial" w:hint="default"/>
        </w:rPr>
        <w:t>2012</w:t>
      </w:r>
      <w:r>
        <w:rPr>
          <w:rFonts w:ascii="Arial" w:hAnsi="Arial" w:cs="Arial" w:eastAsia="Arial" w:hint="default"/>
          <w:spacing w:val="-18"/>
        </w:rPr>
        <w:t> </w:t>
      </w:r>
      <w:r>
        <w:rPr/>
        <w:t>年，公司实现营业收入人民币</w:t>
      </w:r>
      <w:r>
        <w:rPr>
          <w:spacing w:val="-66"/>
        </w:rPr>
        <w:t> </w:t>
      </w:r>
      <w:r>
        <w:rPr>
          <w:rFonts w:ascii="Arial" w:hAnsi="Arial" w:cs="Arial" w:eastAsia="Arial" w:hint="default"/>
        </w:rPr>
        <w:t>2,562.6</w:t>
      </w:r>
      <w:r>
        <w:rPr>
          <w:rFonts w:ascii="Arial" w:hAnsi="Arial" w:cs="Arial" w:eastAsia="Arial" w:hint="default"/>
          <w:spacing w:val="-18"/>
        </w:rPr>
        <w:t> </w:t>
      </w:r>
      <w:r>
        <w:rPr/>
        <w:t>亿元，同比增长</w:t>
      </w:r>
      <w:r>
        <w:rPr>
          <w:spacing w:val="-67"/>
        </w:rPr>
        <w:t> </w:t>
      </w:r>
      <w:r>
        <w:rPr>
          <w:rFonts w:ascii="Arial" w:hAnsi="Arial" w:cs="Arial" w:eastAsia="Arial" w:hint="default"/>
        </w:rPr>
        <w:t>18.9%</w:t>
      </w:r>
      <w:r>
        <w:rPr/>
        <w:t>（剔除上年同期固话初</w:t>
      </w:r>
    </w:p>
    <w:p>
      <w:pPr>
        <w:pStyle w:val="BodyText"/>
        <w:spacing w:line="284" w:lineRule="exact" w:before="20"/>
        <w:ind w:left="1002" w:right="203"/>
        <w:jc w:val="left"/>
      </w:pPr>
      <w:r>
        <w:rPr/>
        <w:t>装费递延收入影响，除非特别说明，全文同上）。其中，主营业务收入人民币 </w:t>
      </w:r>
      <w:r>
        <w:rPr>
          <w:rFonts w:ascii="Arial" w:hAnsi="Arial" w:cs="Arial" w:eastAsia="Arial" w:hint="default"/>
        </w:rPr>
        <w:t>2,167.9</w:t>
      </w:r>
      <w:r>
        <w:rPr>
          <w:rFonts w:ascii="Arial" w:hAnsi="Arial" w:cs="Arial" w:eastAsia="Arial" w:hint="default"/>
          <w:spacing w:val="18"/>
        </w:rPr>
        <w:t> </w:t>
      </w:r>
      <w:r>
        <w:rPr/>
        <w:t>亿</w:t>
      </w:r>
      <w:r>
        <w:rPr>
          <w:w w:val="99"/>
        </w:rPr>
        <w:t> </w:t>
      </w:r>
      <w:r>
        <w:rPr/>
        <w:t>元，同比增长</w:t>
      </w:r>
      <w:r>
        <w:rPr>
          <w:spacing w:val="-60"/>
        </w:rPr>
        <w:t> </w:t>
      </w:r>
      <w:r>
        <w:rPr>
          <w:rFonts w:ascii="Arial" w:hAnsi="Arial" w:cs="Arial" w:eastAsia="Arial" w:hint="default"/>
        </w:rPr>
        <w:t>13.1%</w:t>
      </w:r>
      <w:r>
        <w:rPr/>
        <w:t>。</w:t>
      </w:r>
    </w:p>
    <w:p>
      <w:pPr>
        <w:spacing w:line="240" w:lineRule="auto" w:before="5"/>
        <w:rPr>
          <w:rFonts w:ascii="宋体" w:hAnsi="宋体" w:cs="宋体" w:eastAsia="宋体" w:hint="default"/>
          <w:sz w:val="18"/>
          <w:szCs w:val="18"/>
        </w:rPr>
      </w:pPr>
    </w:p>
    <w:p>
      <w:pPr>
        <w:pStyle w:val="BodyText"/>
        <w:spacing w:line="225" w:lineRule="auto"/>
        <w:ind w:left="1002" w:right="209"/>
        <w:jc w:val="both"/>
      </w:pPr>
      <w:r>
        <w:rPr/>
        <w:t>在收入快速增长的同时，盈利水平显著提升。</w:t>
      </w:r>
      <w:r>
        <w:rPr>
          <w:rFonts w:ascii="Arial" w:hAnsi="Arial" w:cs="Arial" w:eastAsia="Arial" w:hint="default"/>
        </w:rPr>
        <w:t>EBITDA </w:t>
      </w:r>
      <w:r>
        <w:rPr/>
        <w:t>达到人民币 </w:t>
      </w:r>
      <w:r>
        <w:rPr>
          <w:rFonts w:ascii="Arial" w:hAnsi="Arial" w:cs="Arial" w:eastAsia="Arial" w:hint="default"/>
        </w:rPr>
        <w:t>729.0</w:t>
      </w:r>
      <w:r>
        <w:rPr>
          <w:rFonts w:ascii="Arial" w:hAnsi="Arial" w:cs="Arial" w:eastAsia="Arial" w:hint="default"/>
          <w:spacing w:val="5"/>
        </w:rPr>
        <w:t> </w:t>
      </w:r>
      <w:r>
        <w:rPr/>
        <w:t>亿元，同比增长</w:t>
      </w:r>
      <w:r>
        <w:rPr>
          <w:w w:val="99"/>
        </w:rPr>
        <w:t> </w:t>
      </w:r>
      <w:r>
        <w:rPr>
          <w:rFonts w:ascii="Arial" w:hAnsi="Arial" w:cs="Arial" w:eastAsia="Arial" w:hint="default"/>
          <w:spacing w:val="-3"/>
        </w:rPr>
        <w:t>14.6%</w:t>
      </w:r>
      <w:r>
        <w:rPr>
          <w:spacing w:val="-3"/>
        </w:rPr>
        <w:t>；</w:t>
      </w:r>
      <w:r>
        <w:rPr>
          <w:rFonts w:ascii="Arial" w:hAnsi="Arial" w:cs="Arial" w:eastAsia="Arial" w:hint="default"/>
          <w:spacing w:val="-3"/>
        </w:rPr>
        <w:t>EBITDA</w:t>
      </w:r>
      <w:r>
        <w:rPr>
          <w:rFonts w:ascii="Arial" w:hAnsi="Arial" w:cs="Arial" w:eastAsia="Arial" w:hint="default"/>
          <w:spacing w:val="-6"/>
        </w:rPr>
        <w:t> </w:t>
      </w:r>
      <w:r>
        <w:rPr/>
        <w:t>占主营业务收入比率为</w:t>
      </w:r>
      <w:r>
        <w:rPr>
          <w:spacing w:val="-54"/>
        </w:rPr>
        <w:t> </w:t>
      </w:r>
      <w:r>
        <w:rPr>
          <w:rFonts w:ascii="Arial" w:hAnsi="Arial" w:cs="Arial" w:eastAsia="Arial" w:hint="default"/>
          <w:spacing w:val="-4"/>
        </w:rPr>
        <w:t>33.6%</w:t>
      </w:r>
      <w:r>
        <w:rPr>
          <w:spacing w:val="-4"/>
        </w:rPr>
        <w:t>，同比提高</w:t>
      </w:r>
      <w:r>
        <w:rPr>
          <w:spacing w:val="-54"/>
        </w:rPr>
        <w:t> </w:t>
      </w:r>
      <w:r>
        <w:rPr>
          <w:rFonts w:ascii="Arial" w:hAnsi="Arial" w:cs="Arial" w:eastAsia="Arial" w:hint="default"/>
        </w:rPr>
        <w:t>0.4</w:t>
      </w:r>
      <w:r>
        <w:rPr>
          <w:rFonts w:ascii="Arial" w:hAnsi="Arial" w:cs="Arial" w:eastAsia="Arial" w:hint="default"/>
          <w:spacing w:val="-6"/>
        </w:rPr>
        <w:t> </w:t>
      </w:r>
      <w:r>
        <w:rPr>
          <w:spacing w:val="-3"/>
        </w:rPr>
        <w:t>个百分点；净利润达到人民</w:t>
      </w:r>
      <w:r>
        <w:rPr>
          <w:w w:val="99"/>
        </w:rPr>
        <w:t> </w:t>
      </w:r>
      <w:r>
        <w:rPr/>
        <w:t>币</w:t>
      </w:r>
      <w:r>
        <w:rPr>
          <w:spacing w:val="-55"/>
        </w:rPr>
        <w:t> </w:t>
      </w:r>
      <w:r>
        <w:rPr>
          <w:rFonts w:ascii="Arial" w:hAnsi="Arial" w:cs="Arial" w:eastAsia="Arial" w:hint="default"/>
        </w:rPr>
        <w:t>70.3</w:t>
      </w:r>
      <w:r>
        <w:rPr>
          <w:rFonts w:ascii="Arial" w:hAnsi="Arial" w:cs="Arial" w:eastAsia="Arial" w:hint="default"/>
          <w:spacing w:val="-6"/>
        </w:rPr>
        <w:t> </w:t>
      </w:r>
      <w:r>
        <w:rPr>
          <w:spacing w:val="-11"/>
        </w:rPr>
        <w:t>亿元，同比增长</w:t>
      </w:r>
      <w:r>
        <w:rPr>
          <w:spacing w:val="-55"/>
        </w:rPr>
        <w:t> </w:t>
      </w:r>
      <w:r>
        <w:rPr>
          <w:rFonts w:ascii="Arial" w:hAnsi="Arial" w:cs="Arial" w:eastAsia="Arial" w:hint="default"/>
          <w:spacing w:val="-6"/>
        </w:rPr>
        <w:t>68.4%</w:t>
      </w:r>
      <w:r>
        <w:rPr>
          <w:spacing w:val="-6"/>
        </w:rPr>
        <w:t>；基本每股收益人民币</w:t>
      </w:r>
      <w:r>
        <w:rPr>
          <w:spacing w:val="-54"/>
        </w:rPr>
        <w:t> </w:t>
      </w:r>
      <w:r>
        <w:rPr>
          <w:rFonts w:ascii="Arial" w:hAnsi="Arial" w:cs="Arial" w:eastAsia="Arial" w:hint="default"/>
        </w:rPr>
        <w:t>0.112</w:t>
      </w:r>
      <w:r>
        <w:rPr>
          <w:rFonts w:ascii="Arial" w:hAnsi="Arial" w:cs="Arial" w:eastAsia="Arial" w:hint="default"/>
          <w:spacing w:val="-6"/>
        </w:rPr>
        <w:t> </w:t>
      </w:r>
      <w:r>
        <w:rPr>
          <w:spacing w:val="-7"/>
        </w:rPr>
        <w:t>元；经营现金流为人民币</w:t>
      </w:r>
      <w:r>
        <w:rPr>
          <w:spacing w:val="-54"/>
        </w:rPr>
        <w:t> </w:t>
      </w:r>
      <w:r>
        <w:rPr>
          <w:rFonts w:ascii="Arial" w:hAnsi="Arial" w:cs="Arial" w:eastAsia="Arial" w:hint="default"/>
        </w:rPr>
        <w:t>747.4</w:t>
      </w:r>
      <w:r>
        <w:rPr>
          <w:rFonts w:ascii="Arial" w:hAnsi="Arial" w:cs="Arial" w:eastAsia="Arial" w:hint="default"/>
          <w:w w:val="99"/>
        </w:rPr>
        <w:t> </w:t>
      </w:r>
      <w:r>
        <w:rPr/>
        <w:t>亿元，同比增长</w:t>
      </w:r>
      <w:r>
        <w:rPr>
          <w:spacing w:val="-58"/>
        </w:rPr>
        <w:t> </w:t>
      </w:r>
      <w:r>
        <w:rPr>
          <w:rFonts w:ascii="Arial" w:hAnsi="Arial" w:cs="Arial" w:eastAsia="Arial" w:hint="default"/>
        </w:rPr>
        <w:t>7.6%</w:t>
      </w:r>
      <w:r>
        <w:rPr/>
        <w:t>；资本性支出为人民币</w:t>
      </w:r>
      <w:r>
        <w:rPr>
          <w:spacing w:val="-58"/>
        </w:rPr>
        <w:t> </w:t>
      </w:r>
      <w:r>
        <w:rPr>
          <w:rFonts w:ascii="Arial" w:hAnsi="Arial" w:cs="Arial" w:eastAsia="Arial" w:hint="default"/>
        </w:rPr>
        <w:t>997.9</w:t>
      </w:r>
      <w:r>
        <w:rPr>
          <w:rFonts w:ascii="Arial" w:hAnsi="Arial" w:cs="Arial" w:eastAsia="Arial" w:hint="default"/>
          <w:spacing w:val="-9"/>
        </w:rPr>
        <w:t> </w:t>
      </w:r>
      <w:r>
        <w:rPr/>
        <w:t>亿元。</w:t>
      </w:r>
    </w:p>
    <w:p>
      <w:pPr>
        <w:spacing w:line="240" w:lineRule="auto" w:before="2"/>
        <w:rPr>
          <w:rFonts w:ascii="宋体" w:hAnsi="宋体" w:cs="宋体" w:eastAsia="宋体" w:hint="default"/>
          <w:sz w:val="18"/>
          <w:szCs w:val="18"/>
        </w:rPr>
      </w:pPr>
    </w:p>
    <w:p>
      <w:pPr>
        <w:pStyle w:val="BodyText"/>
        <w:spacing w:line="295" w:lineRule="exact"/>
        <w:ind w:left="1002" w:right="89"/>
        <w:jc w:val="left"/>
      </w:pPr>
      <w:r>
        <w:rPr/>
        <w:t>基于公司</w:t>
      </w:r>
      <w:r>
        <w:rPr>
          <w:spacing w:val="-50"/>
        </w:rPr>
        <w:t> </w:t>
      </w:r>
      <w:r>
        <w:rPr>
          <w:rFonts w:ascii="Arial" w:hAnsi="Arial" w:cs="Arial" w:eastAsia="Arial" w:hint="default"/>
        </w:rPr>
        <w:t>2012</w:t>
      </w:r>
      <w:r>
        <w:rPr>
          <w:rFonts w:ascii="Arial" w:hAnsi="Arial" w:cs="Arial" w:eastAsia="Arial" w:hint="default"/>
          <w:spacing w:val="-1"/>
        </w:rPr>
        <w:t> </w:t>
      </w:r>
      <w:r>
        <w:rPr>
          <w:spacing w:val="-4"/>
        </w:rPr>
        <w:t>年财务状况，并考虑到未来移动通信、固网宽带等业务的发展需要，本公司</w:t>
      </w:r>
    </w:p>
    <w:p>
      <w:pPr>
        <w:pStyle w:val="BodyText"/>
        <w:spacing w:line="295" w:lineRule="exact"/>
        <w:ind w:left="1002" w:right="89"/>
        <w:jc w:val="left"/>
      </w:pPr>
      <w:r>
        <w:rPr/>
        <w:t>董事会建议派发</w:t>
      </w:r>
      <w:r>
        <w:rPr>
          <w:spacing w:val="-57"/>
        </w:rPr>
        <w:t> </w:t>
      </w:r>
      <w:r>
        <w:rPr>
          <w:rFonts w:ascii="Arial" w:hAnsi="Arial" w:cs="Arial" w:eastAsia="Arial" w:hint="default"/>
        </w:rPr>
        <w:t>2012</w:t>
      </w:r>
      <w:r>
        <w:rPr>
          <w:rFonts w:ascii="Arial" w:hAnsi="Arial" w:cs="Arial" w:eastAsia="Arial" w:hint="default"/>
          <w:spacing w:val="-8"/>
        </w:rPr>
        <w:t> </w:t>
      </w:r>
      <w:r>
        <w:rPr/>
        <w:t>年度股息每</w:t>
      </w:r>
      <w:r>
        <w:rPr>
          <w:spacing w:val="-56"/>
        </w:rPr>
        <w:t> </w:t>
      </w:r>
      <w:r>
        <w:rPr>
          <w:rFonts w:ascii="Arial" w:hAnsi="Arial" w:cs="Arial" w:eastAsia="Arial" w:hint="default"/>
        </w:rPr>
        <w:t>10</w:t>
      </w:r>
      <w:r>
        <w:rPr>
          <w:rFonts w:ascii="Arial" w:hAnsi="Arial" w:cs="Arial" w:eastAsia="Arial" w:hint="default"/>
          <w:spacing w:val="-8"/>
        </w:rPr>
        <w:t> </w:t>
      </w:r>
      <w:r>
        <w:rPr/>
        <w:t>股人民币</w:t>
      </w:r>
      <w:r>
        <w:rPr>
          <w:spacing w:val="-57"/>
        </w:rPr>
        <w:t> </w:t>
      </w:r>
      <w:r>
        <w:rPr>
          <w:rFonts w:ascii="Arial" w:hAnsi="Arial" w:cs="Arial" w:eastAsia="Arial" w:hint="default"/>
        </w:rPr>
        <w:t>0.399</w:t>
      </w:r>
      <w:r>
        <w:rPr>
          <w:rFonts w:ascii="Arial" w:hAnsi="Arial" w:cs="Arial" w:eastAsia="Arial" w:hint="default"/>
          <w:spacing w:val="-8"/>
        </w:rPr>
        <w:t> </w:t>
      </w:r>
      <w:r>
        <w:rPr/>
        <w:t>元。</w:t>
      </w:r>
    </w:p>
    <w:p>
      <w:pPr>
        <w:spacing w:line="240" w:lineRule="auto" w:before="12"/>
        <w:rPr>
          <w:rFonts w:ascii="宋体" w:hAnsi="宋体" w:cs="宋体" w:eastAsia="宋体" w:hint="default"/>
          <w:sz w:val="17"/>
          <w:szCs w:val="17"/>
        </w:rPr>
      </w:pPr>
    </w:p>
    <w:p>
      <w:pPr>
        <w:pStyle w:val="BodyText"/>
        <w:spacing w:line="240" w:lineRule="auto"/>
        <w:ind w:left="658" w:right="89"/>
        <w:jc w:val="left"/>
      </w:pPr>
      <w:r>
        <w:rPr>
          <w:rFonts w:ascii="Arial" w:hAnsi="Arial" w:cs="Arial" w:eastAsia="Arial" w:hint="default"/>
        </w:rPr>
        <w:t>2</w:t>
      </w:r>
      <w:r>
        <w:rPr/>
        <w:t>、业务表现（附注</w:t>
      </w:r>
      <w:r>
        <w:rPr>
          <w:spacing w:val="-60"/>
        </w:rPr>
        <w:t> </w:t>
      </w:r>
      <w:r>
        <w:rPr>
          <w:rFonts w:ascii="Arial" w:hAnsi="Arial" w:cs="Arial" w:eastAsia="Arial" w:hint="default"/>
        </w:rPr>
        <w:t>1</w:t>
      </w:r>
      <w:r>
        <w:rPr/>
        <w:t>）</w:t>
      </w:r>
    </w:p>
    <w:p>
      <w:pPr>
        <w:spacing w:line="240" w:lineRule="auto" w:before="13"/>
        <w:rPr>
          <w:rFonts w:ascii="宋体" w:hAnsi="宋体" w:cs="宋体" w:eastAsia="宋体" w:hint="default"/>
          <w:sz w:val="17"/>
          <w:szCs w:val="17"/>
        </w:rPr>
      </w:pPr>
    </w:p>
    <w:p>
      <w:pPr>
        <w:pStyle w:val="BodyText"/>
        <w:spacing w:line="294" w:lineRule="exact"/>
        <w:ind w:left="1002" w:right="89"/>
        <w:jc w:val="left"/>
      </w:pPr>
      <w:r>
        <w:rPr>
          <w:rFonts w:ascii="Arial" w:hAnsi="Arial" w:cs="Arial" w:eastAsia="Arial" w:hint="default"/>
        </w:rPr>
        <w:t>2012 </w:t>
      </w:r>
      <w:r>
        <w:rPr/>
        <w:t>年，公司紧紧围绕扩大规模和提升份额，加快</w:t>
      </w:r>
      <w:r>
        <w:rPr>
          <w:spacing w:val="-36"/>
        </w:rPr>
        <w:t> </w:t>
      </w:r>
      <w:r>
        <w:rPr>
          <w:rFonts w:ascii="Arial" w:hAnsi="Arial" w:cs="Arial" w:eastAsia="Arial" w:hint="default"/>
        </w:rPr>
        <w:t>3G</w:t>
      </w:r>
      <w:r>
        <w:rPr/>
        <w:t>、固网宽带等重点业务发展，收入</w:t>
      </w:r>
    </w:p>
    <w:p>
      <w:pPr>
        <w:pStyle w:val="BodyText"/>
        <w:spacing w:line="286" w:lineRule="exact" w:before="18"/>
        <w:ind w:left="1002" w:right="89"/>
        <w:jc w:val="left"/>
      </w:pPr>
      <w:r>
        <w:rPr/>
        <w:t>实现快速增长，主营业务收入同比增幅超出行业平均增幅 </w:t>
      </w:r>
      <w:r>
        <w:rPr>
          <w:rFonts w:ascii="Arial" w:hAnsi="Arial" w:cs="Arial" w:eastAsia="Arial" w:hint="default"/>
        </w:rPr>
        <w:t>4.1</w:t>
      </w:r>
      <w:r>
        <w:rPr>
          <w:rFonts w:ascii="Arial" w:hAnsi="Arial" w:cs="Arial" w:eastAsia="Arial" w:hint="default"/>
          <w:spacing w:val="10"/>
        </w:rPr>
        <w:t> </w:t>
      </w:r>
      <w:r>
        <w:rPr/>
        <w:t>个百分点，市场份额进一步</w:t>
      </w:r>
      <w:r>
        <w:rPr>
          <w:w w:val="99"/>
        </w:rPr>
        <w:t> </w:t>
      </w:r>
      <w:r>
        <w:rPr/>
        <w:t>提升；主营业务收入中，移动业务主营收入占比同比提高</w:t>
      </w:r>
      <w:r>
        <w:rPr>
          <w:spacing w:val="-74"/>
        </w:rPr>
        <w:t> </w:t>
      </w:r>
      <w:r>
        <w:rPr>
          <w:rFonts w:ascii="Arial" w:hAnsi="Arial" w:cs="Arial" w:eastAsia="Arial" w:hint="default"/>
        </w:rPr>
        <w:t>4.4</w:t>
      </w:r>
      <w:r>
        <w:rPr>
          <w:rFonts w:ascii="Arial" w:hAnsi="Arial" w:cs="Arial" w:eastAsia="Arial" w:hint="default"/>
          <w:spacing w:val="-25"/>
        </w:rPr>
        <w:t> </w:t>
      </w:r>
      <w:r>
        <w:rPr/>
        <w:t>个百分点，占比达到</w:t>
      </w:r>
      <w:r>
        <w:rPr>
          <w:spacing w:val="-74"/>
        </w:rPr>
        <w:t> </w:t>
      </w:r>
      <w:r>
        <w:rPr>
          <w:rFonts w:ascii="Arial" w:hAnsi="Arial" w:cs="Arial" w:eastAsia="Arial" w:hint="default"/>
        </w:rPr>
        <w:t>59.9%</w:t>
      </w:r>
      <w:r>
        <w:rPr/>
        <w:t>，</w:t>
      </w:r>
      <w:r>
        <w:rPr>
          <w:w w:val="99"/>
        </w:rPr>
        <w:t> </w:t>
      </w:r>
      <w:r>
        <w:rPr/>
        <w:t>非语音业务收入同比提高</w:t>
      </w:r>
      <w:r>
        <w:rPr>
          <w:spacing w:val="-59"/>
        </w:rPr>
        <w:t> </w:t>
      </w:r>
      <w:r>
        <w:rPr>
          <w:rFonts w:ascii="Arial" w:hAnsi="Arial" w:cs="Arial" w:eastAsia="Arial" w:hint="default"/>
        </w:rPr>
        <w:t>3.9</w:t>
      </w:r>
      <w:r>
        <w:rPr>
          <w:rFonts w:ascii="Arial" w:hAnsi="Arial" w:cs="Arial" w:eastAsia="Arial" w:hint="default"/>
          <w:spacing w:val="-11"/>
        </w:rPr>
        <w:t> </w:t>
      </w:r>
      <w:r>
        <w:rPr/>
        <w:t>个百分点，占比达到</w:t>
      </w:r>
      <w:r>
        <w:rPr>
          <w:spacing w:val="-59"/>
        </w:rPr>
        <w:t> </w:t>
      </w:r>
      <w:r>
        <w:rPr>
          <w:rFonts w:ascii="Arial" w:hAnsi="Arial" w:cs="Arial" w:eastAsia="Arial" w:hint="default"/>
        </w:rPr>
        <w:t>53.2%</w:t>
      </w:r>
      <w:r>
        <w:rPr/>
        <w:t>，业务结构持续优化。</w:t>
      </w:r>
    </w:p>
    <w:p>
      <w:pPr>
        <w:spacing w:line="240" w:lineRule="auto" w:before="2"/>
        <w:rPr>
          <w:rFonts w:ascii="宋体" w:hAnsi="宋体" w:cs="宋体" w:eastAsia="宋体" w:hint="default"/>
          <w:sz w:val="17"/>
          <w:szCs w:val="17"/>
        </w:rPr>
      </w:pPr>
    </w:p>
    <w:p>
      <w:pPr>
        <w:pStyle w:val="BodyText"/>
        <w:tabs>
          <w:tab w:pos="1542" w:val="left" w:leader="none"/>
        </w:tabs>
        <w:spacing w:line="240" w:lineRule="auto"/>
        <w:ind w:left="1002" w:right="89"/>
        <w:jc w:val="left"/>
      </w:pPr>
      <w:r>
        <w:rPr>
          <w:rFonts w:ascii="Arial" w:hAnsi="Arial" w:cs="Arial" w:eastAsia="Arial" w:hint="default"/>
          <w:w w:val="95"/>
        </w:rPr>
        <w:t>2.1</w:t>
        <w:tab/>
      </w:r>
      <w:r>
        <w:rPr>
          <w:rFonts w:ascii="Arial" w:hAnsi="Arial" w:cs="Arial" w:eastAsia="Arial" w:hint="default"/>
        </w:rPr>
        <w:t>3G</w:t>
      </w:r>
      <w:r>
        <w:rPr>
          <w:rFonts w:ascii="Arial" w:hAnsi="Arial" w:cs="Arial" w:eastAsia="Arial" w:hint="default"/>
          <w:spacing w:val="-16"/>
        </w:rPr>
        <w:t> </w:t>
      </w:r>
      <w:r>
        <w:rPr/>
        <w:t>业务快速增长，驱动移动业务发展转型升级</w:t>
      </w:r>
    </w:p>
    <w:p>
      <w:pPr>
        <w:spacing w:line="240" w:lineRule="auto" w:before="1"/>
        <w:rPr>
          <w:rFonts w:ascii="宋体" w:hAnsi="宋体" w:cs="宋体" w:eastAsia="宋体" w:hint="default"/>
          <w:sz w:val="19"/>
          <w:szCs w:val="19"/>
        </w:rPr>
      </w:pPr>
    </w:p>
    <w:p>
      <w:pPr>
        <w:pStyle w:val="BodyText"/>
        <w:spacing w:line="225" w:lineRule="auto"/>
        <w:ind w:left="1532" w:right="209"/>
        <w:jc w:val="both"/>
      </w:pPr>
      <w:r>
        <w:rPr>
          <w:rFonts w:ascii="Arial" w:hAnsi="Arial" w:cs="Arial" w:eastAsia="Arial" w:hint="default"/>
        </w:rPr>
        <w:t>2012</w:t>
      </w:r>
      <w:r>
        <w:rPr>
          <w:rFonts w:ascii="Arial" w:hAnsi="Arial" w:cs="Arial" w:eastAsia="Arial" w:hint="default"/>
          <w:spacing w:val="-2"/>
        </w:rPr>
        <w:t> </w:t>
      </w:r>
      <w:r>
        <w:rPr>
          <w:spacing w:val="-6"/>
        </w:rPr>
        <w:t>年，公司移动业务继续保持快速增长，移动用户同比增长</w:t>
      </w:r>
      <w:r>
        <w:rPr>
          <w:spacing w:val="-48"/>
        </w:rPr>
        <w:t> </w:t>
      </w:r>
      <w:r>
        <w:rPr>
          <w:rFonts w:ascii="Arial" w:hAnsi="Arial" w:cs="Arial" w:eastAsia="Arial" w:hint="default"/>
          <w:spacing w:val="-9"/>
        </w:rPr>
        <w:t>19.9%</w:t>
      </w:r>
      <w:r>
        <w:rPr>
          <w:spacing w:val="-9"/>
        </w:rPr>
        <w:t>，达到</w:t>
      </w:r>
      <w:r>
        <w:rPr>
          <w:spacing w:val="-51"/>
        </w:rPr>
        <w:t> </w:t>
      </w:r>
      <w:r>
        <w:rPr>
          <w:rFonts w:ascii="Arial" w:hAnsi="Arial" w:cs="Arial" w:eastAsia="Arial" w:hint="default"/>
        </w:rPr>
        <w:t>23,931.2</w:t>
      </w:r>
      <w:r>
        <w:rPr>
          <w:rFonts w:ascii="Arial" w:hAnsi="Arial" w:cs="Arial" w:eastAsia="Arial" w:hint="default"/>
          <w:w w:val="99"/>
        </w:rPr>
        <w:t> </w:t>
      </w:r>
      <w:r>
        <w:rPr/>
        <w:t>万户；移动业务主营业务收入同比增长</w:t>
      </w:r>
      <w:r>
        <w:rPr>
          <w:spacing w:val="-65"/>
        </w:rPr>
        <w:t> </w:t>
      </w:r>
      <w:r>
        <w:rPr>
          <w:rFonts w:ascii="Arial" w:hAnsi="Arial" w:cs="Arial" w:eastAsia="Arial" w:hint="default"/>
        </w:rPr>
        <w:t>22.1%</w:t>
      </w:r>
      <w:r>
        <w:rPr/>
        <w:t>，达到人民币</w:t>
      </w:r>
      <w:r>
        <w:rPr>
          <w:spacing w:val="-65"/>
        </w:rPr>
        <w:t> </w:t>
      </w:r>
      <w:r>
        <w:rPr>
          <w:rFonts w:ascii="Arial" w:hAnsi="Arial" w:cs="Arial" w:eastAsia="Arial" w:hint="default"/>
        </w:rPr>
        <w:t>1,298.1</w:t>
      </w:r>
      <w:r>
        <w:rPr>
          <w:rFonts w:ascii="Arial" w:hAnsi="Arial" w:cs="Arial" w:eastAsia="Arial" w:hint="default"/>
          <w:spacing w:val="-16"/>
        </w:rPr>
        <w:t> </w:t>
      </w:r>
      <w:r>
        <w:rPr/>
        <w:t>亿元。移动业务</w:t>
      </w:r>
      <w:r>
        <w:rPr>
          <w:w w:val="99"/>
        </w:rPr>
        <w:t> </w:t>
      </w:r>
      <w:r>
        <w:rPr/>
        <w:t>用户与收入结构进一步改善，</w:t>
      </w:r>
      <w:r>
        <w:rPr>
          <w:rFonts w:ascii="Arial" w:hAnsi="Arial" w:cs="Arial" w:eastAsia="Arial" w:hint="default"/>
        </w:rPr>
        <w:t>3G</w:t>
      </w:r>
      <w:r>
        <w:rPr>
          <w:rFonts w:ascii="Arial" w:hAnsi="Arial" w:cs="Arial" w:eastAsia="Arial" w:hint="default"/>
          <w:spacing w:val="-14"/>
        </w:rPr>
        <w:t> </w:t>
      </w:r>
      <w:r>
        <w:rPr/>
        <w:t>用户对移动用户渗透率达到</w:t>
      </w:r>
      <w:r>
        <w:rPr>
          <w:spacing w:val="-60"/>
        </w:rPr>
        <w:t> </w:t>
      </w:r>
      <w:r>
        <w:rPr>
          <w:rFonts w:ascii="Arial" w:hAnsi="Arial" w:cs="Arial" w:eastAsia="Arial" w:hint="default"/>
        </w:rPr>
        <w:t>31.9%</w:t>
      </w:r>
      <w:r>
        <w:rPr/>
        <w:t>，同比提高</w:t>
      </w:r>
      <w:r>
        <w:rPr>
          <w:spacing w:val="-62"/>
        </w:rPr>
        <w:t> </w:t>
      </w:r>
      <w:r>
        <w:rPr>
          <w:rFonts w:ascii="Arial" w:hAnsi="Arial" w:cs="Arial" w:eastAsia="Arial" w:hint="default"/>
        </w:rPr>
        <w:t>11.9</w:t>
      </w:r>
      <w:r>
        <w:rPr>
          <w:rFonts w:ascii="Arial" w:hAnsi="Arial" w:cs="Arial" w:eastAsia="Arial" w:hint="default"/>
          <w:w w:val="99"/>
        </w:rPr>
        <w:t> </w:t>
      </w:r>
      <w:r>
        <w:rPr>
          <w:spacing w:val="-14"/>
          <w:w w:val="99"/>
        </w:rPr>
        <w:t>个百分点；</w:t>
      </w:r>
      <w:r>
        <w:rPr>
          <w:rFonts w:ascii="Arial" w:hAnsi="Arial" w:cs="Arial" w:eastAsia="Arial" w:hint="default"/>
          <w:spacing w:val="-14"/>
          <w:w w:val="99"/>
        </w:rPr>
        <w:t>3G</w:t>
      </w:r>
      <w:r>
        <w:rPr>
          <w:rFonts w:ascii="Arial" w:hAnsi="Arial" w:cs="Arial" w:eastAsia="Arial" w:hint="default"/>
          <w:spacing w:val="-4"/>
          <w:w w:val="99"/>
        </w:rPr>
        <w:t> </w:t>
      </w:r>
      <w:r>
        <w:rPr>
          <w:w w:val="99"/>
        </w:rPr>
        <w:t>业务收入对移动业务主营业务收入的贡献达到</w:t>
      </w:r>
      <w:r>
        <w:rPr>
          <w:spacing w:val="-51"/>
          <w:w w:val="99"/>
        </w:rPr>
        <w:t> </w:t>
      </w:r>
      <w:r>
        <w:rPr>
          <w:rFonts w:ascii="Arial" w:hAnsi="Arial" w:cs="Arial" w:eastAsia="Arial" w:hint="default"/>
          <w:spacing w:val="-10"/>
          <w:w w:val="99"/>
        </w:rPr>
        <w:t>47.5%</w:t>
      </w:r>
      <w:r>
        <w:rPr>
          <w:spacing w:val="-10"/>
          <w:w w:val="99"/>
        </w:rPr>
        <w:t>；移动用户</w:t>
      </w:r>
      <w:r>
        <w:rPr>
          <w:spacing w:val="-52"/>
          <w:w w:val="99"/>
        </w:rPr>
        <w:t> </w:t>
      </w:r>
      <w:r>
        <w:rPr>
          <w:rFonts w:ascii="Arial" w:hAnsi="Arial" w:cs="Arial" w:eastAsia="Arial" w:hint="default"/>
          <w:w w:val="99"/>
        </w:rPr>
        <w:t>ARPU</w:t>
      </w:r>
      <w:r>
        <w:rPr>
          <w:rFonts w:ascii="Arial" w:hAnsi="Arial" w:cs="Arial" w:eastAsia="Arial" w:hint="default"/>
          <w:w w:val="99"/>
        </w:rPr>
        <w:t> </w:t>
      </w:r>
      <w:r>
        <w:rPr/>
        <w:t>同比提高</w:t>
      </w:r>
      <w:r>
        <w:rPr>
          <w:spacing w:val="-57"/>
        </w:rPr>
        <w:t> </w:t>
      </w:r>
      <w:r>
        <w:rPr>
          <w:rFonts w:ascii="Arial" w:hAnsi="Arial" w:cs="Arial" w:eastAsia="Arial" w:hint="default"/>
        </w:rPr>
        <w:t>1.3%</w:t>
      </w:r>
      <w:r>
        <w:rPr/>
        <w:t>，达到人民币</w:t>
      </w:r>
      <w:r>
        <w:rPr>
          <w:spacing w:val="-57"/>
        </w:rPr>
        <w:t> </w:t>
      </w:r>
      <w:r>
        <w:rPr>
          <w:rFonts w:ascii="Arial" w:hAnsi="Arial" w:cs="Arial" w:eastAsia="Arial" w:hint="default"/>
        </w:rPr>
        <w:t>47.9</w:t>
      </w:r>
      <w:r>
        <w:rPr>
          <w:rFonts w:ascii="Arial" w:hAnsi="Arial" w:cs="Arial" w:eastAsia="Arial" w:hint="default"/>
          <w:spacing w:val="-8"/>
        </w:rPr>
        <w:t> </w:t>
      </w:r>
      <w:r>
        <w:rPr/>
        <w:t>元，其中，</w:t>
      </w:r>
      <w:r>
        <w:rPr>
          <w:rFonts w:ascii="Arial" w:hAnsi="Arial" w:cs="Arial" w:eastAsia="Arial" w:hint="default"/>
        </w:rPr>
        <w:t>3G</w:t>
      </w:r>
      <w:r>
        <w:rPr>
          <w:rFonts w:ascii="Arial" w:hAnsi="Arial" w:cs="Arial" w:eastAsia="Arial" w:hint="default"/>
          <w:spacing w:val="-9"/>
        </w:rPr>
        <w:t> </w:t>
      </w:r>
      <w:r>
        <w:rPr/>
        <w:t>用户</w:t>
      </w:r>
      <w:r>
        <w:rPr>
          <w:spacing w:val="-57"/>
        </w:rPr>
        <w:t> </w:t>
      </w:r>
      <w:r>
        <w:rPr>
          <w:rFonts w:ascii="Arial" w:hAnsi="Arial" w:cs="Arial" w:eastAsia="Arial" w:hint="default"/>
        </w:rPr>
        <w:t>ARPU</w:t>
      </w:r>
      <w:r>
        <w:rPr>
          <w:rFonts w:ascii="Arial" w:hAnsi="Arial" w:cs="Arial" w:eastAsia="Arial" w:hint="default"/>
          <w:spacing w:val="-8"/>
        </w:rPr>
        <w:t> </w:t>
      </w:r>
      <w:r>
        <w:rPr/>
        <w:t>为人民币</w:t>
      </w:r>
      <w:r>
        <w:rPr>
          <w:spacing w:val="-56"/>
        </w:rPr>
        <w:t> </w:t>
      </w:r>
      <w:r>
        <w:rPr>
          <w:rFonts w:ascii="Arial" w:hAnsi="Arial" w:cs="Arial" w:eastAsia="Arial" w:hint="default"/>
        </w:rPr>
        <w:t>86.1</w:t>
      </w:r>
      <w:r>
        <w:rPr>
          <w:rFonts w:ascii="Arial" w:hAnsi="Arial" w:cs="Arial" w:eastAsia="Arial" w:hint="default"/>
          <w:spacing w:val="-8"/>
        </w:rPr>
        <w:t> </w:t>
      </w:r>
      <w:r>
        <w:rPr/>
        <w:t>元。</w:t>
      </w:r>
    </w:p>
    <w:p>
      <w:pPr>
        <w:spacing w:line="240" w:lineRule="auto" w:before="2"/>
        <w:rPr>
          <w:rFonts w:ascii="宋体" w:hAnsi="宋体" w:cs="宋体" w:eastAsia="宋体" w:hint="default"/>
          <w:sz w:val="18"/>
          <w:szCs w:val="18"/>
        </w:rPr>
      </w:pPr>
    </w:p>
    <w:p>
      <w:pPr>
        <w:pStyle w:val="BodyText"/>
        <w:spacing w:line="294" w:lineRule="exact"/>
        <w:ind w:left="1532" w:right="89"/>
        <w:jc w:val="left"/>
      </w:pPr>
      <w:r>
        <w:rPr>
          <w:rFonts w:ascii="Arial" w:hAnsi="Arial" w:cs="Arial" w:eastAsia="Arial" w:hint="default"/>
        </w:rPr>
        <w:t>2012 </w:t>
      </w:r>
      <w:r>
        <w:rPr/>
        <w:t>年，公司积极发挥产业链优势，强化流量经营，推动 </w:t>
      </w:r>
      <w:r>
        <w:rPr>
          <w:rFonts w:ascii="Arial" w:hAnsi="Arial" w:cs="Arial" w:eastAsia="Arial" w:hint="default"/>
        </w:rPr>
        <w:t>3G</w:t>
      </w:r>
      <w:r>
        <w:rPr>
          <w:rFonts w:ascii="Arial" w:hAnsi="Arial" w:cs="Arial" w:eastAsia="Arial" w:hint="default"/>
          <w:spacing w:val="32"/>
        </w:rPr>
        <w:t> </w:t>
      </w:r>
      <w:r>
        <w:rPr/>
        <w:t>业务规模发展。全年</w:t>
      </w:r>
    </w:p>
    <w:p>
      <w:pPr>
        <w:pStyle w:val="BodyText"/>
        <w:spacing w:line="286" w:lineRule="exact" w:before="18"/>
        <w:ind w:left="1532" w:right="89"/>
        <w:jc w:val="left"/>
      </w:pPr>
      <w:r>
        <w:rPr>
          <w:rFonts w:ascii="Arial" w:hAnsi="Arial" w:cs="Arial" w:eastAsia="Arial" w:hint="default"/>
        </w:rPr>
        <w:t>3G</w:t>
      </w:r>
      <w:r>
        <w:rPr>
          <w:rFonts w:ascii="Arial" w:hAnsi="Arial" w:cs="Arial" w:eastAsia="Arial" w:hint="default"/>
          <w:spacing w:val="-8"/>
        </w:rPr>
        <w:t> </w:t>
      </w:r>
      <w:r>
        <w:rPr/>
        <w:t>用户年累计净增</w:t>
      </w:r>
      <w:r>
        <w:rPr>
          <w:spacing w:val="-56"/>
        </w:rPr>
        <w:t> </w:t>
      </w:r>
      <w:r>
        <w:rPr>
          <w:rFonts w:ascii="Arial" w:hAnsi="Arial" w:cs="Arial" w:eastAsia="Arial" w:hint="default"/>
        </w:rPr>
        <w:t>3,643.7</w:t>
      </w:r>
      <w:r>
        <w:rPr>
          <w:rFonts w:ascii="Arial" w:hAnsi="Arial" w:cs="Arial" w:eastAsia="Arial" w:hint="default"/>
          <w:spacing w:val="-7"/>
        </w:rPr>
        <w:t> </w:t>
      </w:r>
      <w:r>
        <w:rPr>
          <w:spacing w:val="-14"/>
        </w:rPr>
        <w:t>万户，达到</w:t>
      </w:r>
      <w:r>
        <w:rPr>
          <w:spacing w:val="-56"/>
        </w:rPr>
        <w:t> </w:t>
      </w:r>
      <w:r>
        <w:rPr>
          <w:rFonts w:ascii="Arial" w:hAnsi="Arial" w:cs="Arial" w:eastAsia="Arial" w:hint="default"/>
        </w:rPr>
        <w:t>7,645.6</w:t>
      </w:r>
      <w:r>
        <w:rPr>
          <w:rFonts w:ascii="Arial" w:hAnsi="Arial" w:cs="Arial" w:eastAsia="Arial" w:hint="default"/>
          <w:spacing w:val="-7"/>
        </w:rPr>
        <w:t> </w:t>
      </w:r>
      <w:r>
        <w:rPr>
          <w:spacing w:val="-14"/>
        </w:rPr>
        <w:t>万户；</w:t>
      </w:r>
      <w:r>
        <w:rPr>
          <w:rFonts w:ascii="Arial" w:hAnsi="Arial" w:cs="Arial" w:eastAsia="Arial" w:hint="default"/>
          <w:spacing w:val="-14"/>
        </w:rPr>
        <w:t>3G</w:t>
      </w:r>
      <w:r>
        <w:rPr>
          <w:rFonts w:ascii="Arial" w:hAnsi="Arial" w:cs="Arial" w:eastAsia="Arial" w:hint="default"/>
          <w:spacing w:val="-7"/>
        </w:rPr>
        <w:t> </w:t>
      </w:r>
      <w:r>
        <w:rPr/>
        <w:t>业务收入同比增长</w:t>
      </w:r>
      <w:r>
        <w:rPr>
          <w:spacing w:val="-56"/>
        </w:rPr>
        <w:t> </w:t>
      </w:r>
      <w:r>
        <w:rPr>
          <w:rFonts w:ascii="Arial" w:hAnsi="Arial" w:cs="Arial" w:eastAsia="Arial" w:hint="default"/>
        </w:rPr>
        <w:t>82.6%</w:t>
      </w:r>
      <w:r>
        <w:rPr/>
        <w:t>，</w:t>
      </w:r>
      <w:r>
        <w:rPr>
          <w:w w:val="99"/>
        </w:rPr>
        <w:t> </w:t>
      </w:r>
      <w:r>
        <w:rPr/>
        <w:t>达到人民币</w:t>
      </w:r>
      <w:r>
        <w:rPr>
          <w:spacing w:val="-56"/>
        </w:rPr>
        <w:t> </w:t>
      </w:r>
      <w:r>
        <w:rPr>
          <w:rFonts w:ascii="Arial" w:hAnsi="Arial" w:cs="Arial" w:eastAsia="Arial" w:hint="default"/>
        </w:rPr>
        <w:t>617.1</w:t>
      </w:r>
      <w:r>
        <w:rPr>
          <w:rFonts w:ascii="Arial" w:hAnsi="Arial" w:cs="Arial" w:eastAsia="Arial" w:hint="default"/>
          <w:spacing w:val="-8"/>
        </w:rPr>
        <w:t> </w:t>
      </w:r>
      <w:r>
        <w:rPr>
          <w:spacing w:val="-3"/>
        </w:rPr>
        <w:t>亿元；手机补贴占</w:t>
      </w:r>
      <w:r>
        <w:rPr>
          <w:spacing w:val="-57"/>
        </w:rPr>
        <w:t> </w:t>
      </w:r>
      <w:r>
        <w:rPr>
          <w:rFonts w:ascii="Arial" w:hAnsi="Arial" w:cs="Arial" w:eastAsia="Arial" w:hint="default"/>
        </w:rPr>
        <w:t>3G</w:t>
      </w:r>
      <w:r>
        <w:rPr>
          <w:rFonts w:ascii="Arial" w:hAnsi="Arial" w:cs="Arial" w:eastAsia="Arial" w:hint="default"/>
          <w:spacing w:val="-9"/>
        </w:rPr>
        <w:t> </w:t>
      </w:r>
      <w:r>
        <w:rPr/>
        <w:t>业务收入的比例由上年同期的</w:t>
      </w:r>
      <w:r>
        <w:rPr>
          <w:spacing w:val="-57"/>
        </w:rPr>
        <w:t> </w:t>
      </w:r>
      <w:r>
        <w:rPr>
          <w:rFonts w:ascii="Arial" w:hAnsi="Arial" w:cs="Arial" w:eastAsia="Arial" w:hint="default"/>
        </w:rPr>
        <w:t>17.1%</w:t>
      </w:r>
      <w:r>
        <w:rPr/>
        <w:t>下降至</w:t>
      </w:r>
      <w:r>
        <w:rPr>
          <w:w w:val="99"/>
        </w:rPr>
        <w:t> </w:t>
      </w:r>
      <w:r>
        <w:rPr>
          <w:rFonts w:ascii="Arial" w:hAnsi="Arial" w:cs="Arial" w:eastAsia="Arial" w:hint="default"/>
          <w:spacing w:val="5"/>
        </w:rPr>
        <w:t>9.9%</w:t>
      </w:r>
      <w:r>
        <w:rPr>
          <w:spacing w:val="5"/>
        </w:rPr>
        <w:t>，营销资源使用效率进一步提升。</w:t>
      </w:r>
      <w:r>
        <w:rPr>
          <w:rFonts w:ascii="Arial" w:hAnsi="Arial" w:cs="Arial" w:eastAsia="Arial" w:hint="default"/>
          <w:spacing w:val="5"/>
        </w:rPr>
        <w:t>GSM  </w:t>
      </w:r>
      <w:r>
        <w:rPr>
          <w:spacing w:val="6"/>
        </w:rPr>
        <w:t>用户全年累计同比增长</w:t>
      </w:r>
      <w:r>
        <w:rPr>
          <w:spacing w:val="-3"/>
        </w:rPr>
        <w:t> </w:t>
      </w:r>
      <w:r>
        <w:rPr>
          <w:rFonts w:ascii="Arial" w:hAnsi="Arial" w:cs="Arial" w:eastAsia="Arial" w:hint="default"/>
          <w:spacing w:val="4"/>
        </w:rPr>
        <w:t>2.0%</w:t>
      </w:r>
      <w:r>
        <w:rPr>
          <w:spacing w:val="4"/>
        </w:rPr>
        <w:t>，达到</w:t>
      </w:r>
      <w:r>
        <w:rPr/>
      </w:r>
    </w:p>
    <w:p>
      <w:pPr>
        <w:pStyle w:val="BodyText"/>
        <w:spacing w:line="286" w:lineRule="exact"/>
        <w:ind w:left="1532" w:right="208"/>
        <w:jc w:val="left"/>
      </w:pPr>
      <w:r>
        <w:rPr>
          <w:rFonts w:ascii="Arial" w:hAnsi="Arial" w:cs="Arial" w:eastAsia="Arial" w:hint="default"/>
        </w:rPr>
        <w:t>16,285.6</w:t>
      </w:r>
      <w:r>
        <w:rPr>
          <w:rFonts w:ascii="Arial" w:hAnsi="Arial" w:cs="Arial" w:eastAsia="Arial" w:hint="default"/>
          <w:spacing w:val="-7"/>
        </w:rPr>
        <w:t> </w:t>
      </w:r>
      <w:r>
        <w:rPr>
          <w:spacing w:val="-5"/>
        </w:rPr>
        <w:t>万户；</w:t>
      </w:r>
      <w:r>
        <w:rPr>
          <w:rFonts w:ascii="Arial" w:hAnsi="Arial" w:cs="Arial" w:eastAsia="Arial" w:hint="default"/>
          <w:spacing w:val="-5"/>
        </w:rPr>
        <w:t>GSM</w:t>
      </w:r>
      <w:r>
        <w:rPr>
          <w:rFonts w:ascii="Arial" w:hAnsi="Arial" w:cs="Arial" w:eastAsia="Arial" w:hint="default"/>
          <w:spacing w:val="-8"/>
        </w:rPr>
        <w:t> </w:t>
      </w:r>
      <w:r>
        <w:rPr/>
        <w:t>业务收入为人民币</w:t>
      </w:r>
      <w:r>
        <w:rPr>
          <w:spacing w:val="-56"/>
        </w:rPr>
        <w:t> </w:t>
      </w:r>
      <w:r>
        <w:rPr>
          <w:rFonts w:ascii="Arial" w:hAnsi="Arial" w:cs="Arial" w:eastAsia="Arial" w:hint="default"/>
        </w:rPr>
        <w:t>681.0</w:t>
      </w:r>
      <w:r>
        <w:rPr>
          <w:rFonts w:ascii="Arial" w:hAnsi="Arial" w:cs="Arial" w:eastAsia="Arial" w:hint="default"/>
          <w:spacing w:val="-7"/>
        </w:rPr>
        <w:t> </w:t>
      </w:r>
      <w:r>
        <w:rPr>
          <w:spacing w:val="-4"/>
        </w:rPr>
        <w:t>亿元，同比下降</w:t>
      </w:r>
      <w:r>
        <w:rPr>
          <w:spacing w:val="-56"/>
        </w:rPr>
        <w:t> </w:t>
      </w:r>
      <w:r>
        <w:rPr>
          <w:rFonts w:ascii="Arial" w:hAnsi="Arial" w:cs="Arial" w:eastAsia="Arial" w:hint="default"/>
          <w:spacing w:val="-3"/>
        </w:rPr>
        <w:t>6.1%</w:t>
      </w:r>
      <w:r>
        <w:rPr>
          <w:spacing w:val="-3"/>
        </w:rPr>
        <w:t>，收入下降主要</w:t>
      </w:r>
      <w:r>
        <w:rPr>
          <w:w w:val="99"/>
        </w:rPr>
        <w:t> </w:t>
      </w:r>
      <w:r>
        <w:rPr/>
        <w:t>源于语音、短信等传统业务的下滑。</w:t>
      </w:r>
    </w:p>
    <w:p>
      <w:pPr>
        <w:spacing w:after="0" w:line="286" w:lineRule="exact"/>
        <w:jc w:val="left"/>
        <w:sectPr>
          <w:pgSz w:w="11910" w:h="16840"/>
          <w:pgMar w:header="567" w:footer="745" w:top="800" w:bottom="940" w:left="1380" w:right="6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286" w:lineRule="exact" w:before="60"/>
        <w:ind w:left="1532" w:right="154"/>
        <w:jc w:val="both"/>
      </w:pPr>
      <w:r>
        <w:rPr>
          <w:w w:val="95"/>
        </w:rPr>
        <w:t>公司积极加强产业链合作，进一步提升智能终端性价比，持续开展体验营销，实施移</w:t>
      </w:r>
      <w:r>
        <w:rPr>
          <w:spacing w:val="41"/>
          <w:w w:val="95"/>
        </w:rPr>
        <w:t> </w:t>
      </w:r>
      <w:r>
        <w:rPr>
          <w:spacing w:val="41"/>
          <w:w w:val="95"/>
        </w:rPr>
      </w:r>
      <w:r>
        <w:rPr/>
        <w:t>动业务融合经营，驱动移动数据业务快速增长，全年移动数据流量同比增长</w:t>
      </w:r>
      <w:r>
        <w:rPr>
          <w:spacing w:val="-67"/>
        </w:rPr>
        <w:t> </w:t>
      </w:r>
      <w:r>
        <w:rPr>
          <w:rFonts w:ascii="Arial" w:hAnsi="Arial" w:cs="Arial" w:eastAsia="Arial" w:hint="default"/>
        </w:rPr>
        <w:t>92.0%</w:t>
      </w:r>
      <w:r>
        <w:rPr/>
        <w:t>。</w:t>
      </w:r>
    </w:p>
    <w:p>
      <w:pPr>
        <w:spacing w:line="240" w:lineRule="auto" w:before="1"/>
        <w:rPr>
          <w:rFonts w:ascii="宋体" w:hAnsi="宋体" w:cs="宋体" w:eastAsia="宋体" w:hint="default"/>
          <w:sz w:val="17"/>
          <w:szCs w:val="17"/>
        </w:rPr>
      </w:pPr>
    </w:p>
    <w:p>
      <w:pPr>
        <w:pStyle w:val="BodyText"/>
        <w:spacing w:line="240" w:lineRule="auto"/>
        <w:ind w:left="1002" w:right="0"/>
        <w:jc w:val="both"/>
      </w:pPr>
      <w:r>
        <w:rPr>
          <w:rFonts w:ascii="Arial" w:hAnsi="Arial" w:cs="Arial" w:eastAsia="Arial" w:hint="default"/>
        </w:rPr>
        <w:t>2.2  </w:t>
      </w:r>
      <w:r>
        <w:rPr>
          <w:rFonts w:ascii="Arial" w:hAnsi="Arial" w:cs="Arial" w:eastAsia="Arial" w:hint="default"/>
          <w:spacing w:val="41"/>
        </w:rPr>
        <w:t> </w:t>
      </w:r>
      <w:r>
        <w:rPr/>
        <w:t>固网宽带业务快速增长，带动固网业务平稳发展</w:t>
      </w:r>
    </w:p>
    <w:p>
      <w:pPr>
        <w:spacing w:line="240" w:lineRule="auto" w:before="13"/>
        <w:rPr>
          <w:rFonts w:ascii="宋体" w:hAnsi="宋体" w:cs="宋体" w:eastAsia="宋体" w:hint="default"/>
          <w:sz w:val="17"/>
          <w:szCs w:val="17"/>
        </w:rPr>
      </w:pPr>
    </w:p>
    <w:p>
      <w:pPr>
        <w:pStyle w:val="BodyText"/>
        <w:spacing w:line="295" w:lineRule="exact"/>
        <w:ind w:left="1532" w:right="0"/>
        <w:jc w:val="both"/>
        <w:rPr>
          <w:rFonts w:ascii="Arial" w:hAnsi="Arial" w:cs="Arial" w:eastAsia="Arial" w:hint="default"/>
        </w:rPr>
      </w:pPr>
      <w:r>
        <w:rPr>
          <w:rFonts w:ascii="Arial" w:hAnsi="Arial" w:cs="Arial" w:eastAsia="Arial" w:hint="default"/>
        </w:rPr>
        <w:t>2012</w:t>
      </w:r>
      <w:r>
        <w:rPr>
          <w:rFonts w:ascii="Arial" w:hAnsi="Arial" w:cs="Arial" w:eastAsia="Arial" w:hint="default"/>
          <w:spacing w:val="-4"/>
        </w:rPr>
        <w:t> </w:t>
      </w:r>
      <w:r>
        <w:rPr/>
        <w:t>年，公司固网业务平稳发展，主营业务收入同比增长</w:t>
      </w:r>
      <w:r>
        <w:rPr>
          <w:spacing w:val="-52"/>
        </w:rPr>
        <w:t> </w:t>
      </w:r>
      <w:r>
        <w:rPr>
          <w:rFonts w:ascii="Arial" w:hAnsi="Arial" w:cs="Arial" w:eastAsia="Arial" w:hint="default"/>
        </w:rPr>
        <w:t>1.9%</w:t>
      </w:r>
      <w:r>
        <w:rPr/>
        <w:t>，达到人民币</w:t>
      </w:r>
      <w:r>
        <w:rPr>
          <w:spacing w:val="-53"/>
        </w:rPr>
        <w:t> </w:t>
      </w:r>
      <w:r>
        <w:rPr>
          <w:rFonts w:ascii="Arial" w:hAnsi="Arial" w:cs="Arial" w:eastAsia="Arial" w:hint="default"/>
        </w:rPr>
        <w:t>860.1</w:t>
      </w:r>
    </w:p>
    <w:p>
      <w:pPr>
        <w:pStyle w:val="BodyText"/>
        <w:spacing w:line="295" w:lineRule="exact"/>
        <w:ind w:left="1532" w:right="0"/>
        <w:jc w:val="both"/>
      </w:pPr>
      <w:r>
        <w:rPr/>
        <w:t>亿元，其中非语音业务收入贡献达到</w:t>
      </w:r>
      <w:r>
        <w:rPr>
          <w:spacing w:val="-65"/>
        </w:rPr>
        <w:t> </w:t>
      </w:r>
      <w:r>
        <w:rPr>
          <w:rFonts w:ascii="Arial" w:hAnsi="Arial" w:cs="Arial" w:eastAsia="Arial" w:hint="default"/>
        </w:rPr>
        <w:t>70.0%</w:t>
      </w:r>
      <w:r>
        <w:rPr/>
        <w:t>，业务结构持续改善。</w:t>
      </w:r>
    </w:p>
    <w:p>
      <w:pPr>
        <w:spacing w:line="240" w:lineRule="auto" w:before="12"/>
        <w:rPr>
          <w:rFonts w:ascii="宋体" w:hAnsi="宋体" w:cs="宋体" w:eastAsia="宋体" w:hint="default"/>
          <w:sz w:val="18"/>
          <w:szCs w:val="18"/>
        </w:rPr>
      </w:pPr>
    </w:p>
    <w:p>
      <w:pPr>
        <w:pStyle w:val="BodyText"/>
        <w:spacing w:line="228" w:lineRule="auto"/>
        <w:ind w:left="1532" w:right="210"/>
        <w:jc w:val="both"/>
      </w:pPr>
      <w:r>
        <w:rPr>
          <w:spacing w:val="-1"/>
          <w:w w:val="95"/>
        </w:rPr>
        <w:t>年内，公司继续实施宽带升级提速，着力提升宽带服务体验。固网宽带用户全年累计</w:t>
      </w:r>
      <w:r>
        <w:rPr>
          <w:spacing w:val="78"/>
          <w:w w:val="95"/>
        </w:rPr>
        <w:t> </w:t>
      </w:r>
      <w:r>
        <w:rPr>
          <w:spacing w:val="78"/>
          <w:w w:val="95"/>
        </w:rPr>
      </w:r>
      <w:r>
        <w:rPr/>
        <w:t>同比增长</w:t>
      </w:r>
      <w:r>
        <w:rPr>
          <w:spacing w:val="-62"/>
        </w:rPr>
        <w:t> </w:t>
      </w:r>
      <w:r>
        <w:rPr>
          <w:rFonts w:ascii="Arial" w:hAnsi="Arial" w:cs="Arial" w:eastAsia="Arial" w:hint="default"/>
        </w:rPr>
        <w:t>14.8%</w:t>
      </w:r>
      <w:r>
        <w:rPr/>
        <w:t>，固网宽带业务收入同比增长</w:t>
      </w:r>
      <w:r>
        <w:rPr>
          <w:spacing w:val="-60"/>
        </w:rPr>
        <w:t> </w:t>
      </w:r>
      <w:r>
        <w:rPr>
          <w:rFonts w:ascii="Arial" w:hAnsi="Arial" w:cs="Arial" w:eastAsia="Arial" w:hint="default"/>
          <w:spacing w:val="-3"/>
        </w:rPr>
        <w:t>11.8%</w:t>
      </w:r>
      <w:r>
        <w:rPr>
          <w:spacing w:val="-3"/>
        </w:rPr>
        <w:t>，达到人民币</w:t>
      </w:r>
      <w:r>
        <w:rPr>
          <w:spacing w:val="-62"/>
        </w:rPr>
        <w:t> </w:t>
      </w:r>
      <w:r>
        <w:rPr>
          <w:rFonts w:ascii="Arial" w:hAnsi="Arial" w:cs="Arial" w:eastAsia="Arial" w:hint="default"/>
        </w:rPr>
        <w:t>407.3</w:t>
      </w:r>
      <w:r>
        <w:rPr>
          <w:rFonts w:ascii="Arial" w:hAnsi="Arial" w:cs="Arial" w:eastAsia="Arial" w:hint="default"/>
          <w:spacing w:val="-12"/>
        </w:rPr>
        <w:t> </w:t>
      </w:r>
      <w:r>
        <w:rPr>
          <w:spacing w:val="-6"/>
        </w:rPr>
        <w:t>亿元，占固</w:t>
      </w:r>
      <w:r>
        <w:rPr>
          <w:w w:val="99"/>
        </w:rPr>
        <w:t> </w:t>
      </w:r>
      <w:r>
        <w:rPr/>
        <w:t>网业务收入的比例达到</w:t>
      </w:r>
      <w:r>
        <w:rPr>
          <w:spacing w:val="-61"/>
        </w:rPr>
        <w:t> </w:t>
      </w:r>
      <w:r>
        <w:rPr>
          <w:rFonts w:ascii="Arial" w:hAnsi="Arial" w:cs="Arial" w:eastAsia="Arial" w:hint="default"/>
          <w:spacing w:val="-2"/>
        </w:rPr>
        <w:t>47.4%</w:t>
      </w:r>
      <w:r>
        <w:rPr>
          <w:spacing w:val="-2"/>
        </w:rPr>
        <w:t>。以固网宽带为核心，公司积极推广“沃家庭”融合业</w:t>
      </w:r>
      <w:r>
        <w:rPr>
          <w:w w:val="99"/>
        </w:rPr>
        <w:t> </w:t>
      </w:r>
      <w:r>
        <w:rPr/>
        <w:t>务，稳定固网业务发展。截至</w:t>
      </w:r>
      <w:r>
        <w:rPr>
          <w:spacing w:val="-49"/>
        </w:rPr>
        <w:t> </w:t>
      </w:r>
      <w:r>
        <w:rPr>
          <w:rFonts w:ascii="Arial" w:hAnsi="Arial" w:cs="Arial" w:eastAsia="Arial" w:hint="default"/>
        </w:rPr>
        <w:t>2012 </w:t>
      </w:r>
      <w:r>
        <w:rPr/>
        <w:t>年底，“沃家庭”用户在家庭宽带用户中的渗透</w:t>
      </w:r>
      <w:r>
        <w:rPr>
          <w:w w:val="99"/>
        </w:rPr>
        <w:t> </w:t>
      </w:r>
      <w:r>
        <w:rPr/>
        <w:t>率达到</w:t>
      </w:r>
      <w:r>
        <w:rPr>
          <w:spacing w:val="-58"/>
        </w:rPr>
        <w:t> </w:t>
      </w:r>
      <w:r>
        <w:rPr>
          <w:rFonts w:ascii="Arial" w:hAnsi="Arial" w:cs="Arial" w:eastAsia="Arial" w:hint="default"/>
        </w:rPr>
        <w:t>28.8%</w:t>
      </w:r>
      <w:r>
        <w:rPr/>
        <w:t>，同比提高</w:t>
      </w:r>
      <w:r>
        <w:rPr>
          <w:spacing w:val="-58"/>
        </w:rPr>
        <w:t> </w:t>
      </w:r>
      <w:r>
        <w:rPr>
          <w:rFonts w:ascii="Arial" w:hAnsi="Arial" w:cs="Arial" w:eastAsia="Arial" w:hint="default"/>
        </w:rPr>
        <w:t>10.2</w:t>
      </w:r>
      <w:r>
        <w:rPr>
          <w:rFonts w:ascii="Arial" w:hAnsi="Arial" w:cs="Arial" w:eastAsia="Arial" w:hint="default"/>
          <w:spacing w:val="-9"/>
        </w:rPr>
        <w:t> </w:t>
      </w:r>
      <w:r>
        <w:rPr/>
        <w:t>个百分点。</w:t>
      </w:r>
    </w:p>
    <w:p>
      <w:pPr>
        <w:spacing w:line="240" w:lineRule="auto" w:before="2"/>
        <w:rPr>
          <w:rFonts w:ascii="宋体" w:hAnsi="宋体" w:cs="宋体" w:eastAsia="宋体" w:hint="default"/>
          <w:sz w:val="18"/>
          <w:szCs w:val="18"/>
        </w:rPr>
      </w:pPr>
    </w:p>
    <w:p>
      <w:pPr>
        <w:pStyle w:val="BodyText"/>
        <w:spacing w:line="240" w:lineRule="auto"/>
        <w:ind w:left="1002" w:right="0"/>
        <w:jc w:val="both"/>
      </w:pPr>
      <w:r>
        <w:rPr>
          <w:rFonts w:ascii="Arial" w:hAnsi="Arial" w:cs="Arial" w:eastAsia="Arial" w:hint="default"/>
        </w:rPr>
        <w:t>2.3  </w:t>
      </w:r>
      <w:r>
        <w:rPr>
          <w:rFonts w:ascii="Arial" w:hAnsi="Arial" w:cs="Arial" w:eastAsia="Arial" w:hint="default"/>
          <w:spacing w:val="40"/>
        </w:rPr>
        <w:t> </w:t>
      </w:r>
      <w:r>
        <w:rPr/>
        <w:t>重点行业应用规模发展，服务集团客户能力不断增强</w:t>
      </w:r>
    </w:p>
    <w:p>
      <w:pPr>
        <w:spacing w:line="240" w:lineRule="auto" w:before="10"/>
        <w:rPr>
          <w:rFonts w:ascii="宋体" w:hAnsi="宋体" w:cs="宋体" w:eastAsia="宋体" w:hint="default"/>
          <w:sz w:val="18"/>
          <w:szCs w:val="18"/>
        </w:rPr>
      </w:pPr>
    </w:p>
    <w:p>
      <w:pPr>
        <w:pStyle w:val="BodyText"/>
        <w:spacing w:line="230" w:lineRule="auto"/>
        <w:ind w:left="1532" w:right="209"/>
        <w:jc w:val="both"/>
      </w:pPr>
      <w:r>
        <w:rPr>
          <w:rFonts w:ascii="Arial" w:hAnsi="Arial" w:cs="Arial" w:eastAsia="Arial" w:hint="default"/>
        </w:rPr>
        <w:t>2012</w:t>
      </w:r>
      <w:r>
        <w:rPr>
          <w:rFonts w:ascii="Arial" w:hAnsi="Arial" w:cs="Arial" w:eastAsia="Arial" w:hint="default"/>
          <w:spacing w:val="3"/>
        </w:rPr>
        <w:t> </w:t>
      </w:r>
      <w:r>
        <w:rPr/>
        <w:t>年，公司以“智慧城市”建设为契机，着力打造行业应用孵化平台，提升行业</w:t>
      </w:r>
      <w:r>
        <w:rPr>
          <w:w w:val="99"/>
        </w:rPr>
        <w:t> </w:t>
      </w:r>
      <w:r>
        <w:rPr>
          <w:spacing w:val="-1"/>
          <w:w w:val="95"/>
        </w:rPr>
        <w:t>应用产品开发及复制能力。同时，借助技术业务优势以及公司在重点行业领域积累的</w:t>
      </w:r>
      <w:r>
        <w:rPr>
          <w:spacing w:val="84"/>
          <w:w w:val="95"/>
        </w:rPr>
        <w:t> </w:t>
      </w:r>
      <w:r>
        <w:rPr>
          <w:spacing w:val="84"/>
          <w:w w:val="95"/>
        </w:rPr>
      </w:r>
      <w:r>
        <w:rPr/>
        <w:t>良好口碑，进一步推进战略合作，拓展行业应用用户规模。截至</w:t>
      </w:r>
      <w:r>
        <w:rPr>
          <w:spacing w:val="-48"/>
        </w:rPr>
        <w:t> </w:t>
      </w:r>
      <w:r>
        <w:rPr>
          <w:rFonts w:ascii="Arial" w:hAnsi="Arial" w:cs="Arial" w:eastAsia="Arial" w:hint="default"/>
        </w:rPr>
        <w:t>2012</w:t>
      </w:r>
      <w:r>
        <w:rPr>
          <w:rFonts w:ascii="Arial" w:hAnsi="Arial" w:cs="Arial" w:eastAsia="Arial" w:hint="default"/>
          <w:spacing w:val="-2"/>
        </w:rPr>
        <w:t> </w:t>
      </w:r>
      <w:r>
        <w:rPr/>
        <w:t>年底，公司重</w:t>
      </w:r>
    </w:p>
    <w:p>
      <w:pPr>
        <w:pStyle w:val="BodyText"/>
        <w:spacing w:line="286" w:lineRule="exact" w:before="12"/>
        <w:ind w:left="1532" w:right="212"/>
        <w:jc w:val="both"/>
      </w:pPr>
      <w:r>
        <w:rPr/>
        <w:t>点行业应用用户达到</w:t>
      </w:r>
      <w:r>
        <w:rPr>
          <w:spacing w:val="-78"/>
        </w:rPr>
        <w:t> </w:t>
      </w:r>
      <w:r>
        <w:rPr>
          <w:rFonts w:ascii="Arial" w:hAnsi="Arial" w:cs="Arial" w:eastAsia="Arial" w:hint="default"/>
        </w:rPr>
        <w:t>2,299</w:t>
      </w:r>
      <w:r>
        <w:rPr>
          <w:rFonts w:ascii="Arial" w:hAnsi="Arial" w:cs="Arial" w:eastAsia="Arial" w:hint="default"/>
          <w:spacing w:val="-28"/>
        </w:rPr>
        <w:t> </w:t>
      </w:r>
      <w:r>
        <w:rPr/>
        <w:t>万户，在移动办公、汽车信息化、无线监控等应用领域确</w:t>
      </w:r>
      <w:r>
        <w:rPr>
          <w:w w:val="99"/>
        </w:rPr>
        <w:t> </w:t>
      </w:r>
      <w:r>
        <w:rPr/>
        <w:t>立了领先地位。</w:t>
      </w:r>
    </w:p>
    <w:p>
      <w:pPr>
        <w:spacing w:line="240" w:lineRule="auto" w:before="1"/>
        <w:rPr>
          <w:rFonts w:ascii="宋体" w:hAnsi="宋体" w:cs="宋体" w:eastAsia="宋体" w:hint="default"/>
          <w:sz w:val="17"/>
          <w:szCs w:val="17"/>
        </w:rPr>
      </w:pPr>
    </w:p>
    <w:p>
      <w:pPr>
        <w:pStyle w:val="BodyText"/>
        <w:spacing w:line="240" w:lineRule="auto"/>
        <w:ind w:left="658" w:right="89"/>
        <w:jc w:val="left"/>
      </w:pPr>
      <w:r>
        <w:rPr>
          <w:rFonts w:ascii="Arial" w:hAnsi="Arial" w:cs="Arial" w:eastAsia="Arial" w:hint="default"/>
        </w:rPr>
        <w:t>3</w:t>
      </w:r>
      <w:r>
        <w:rPr/>
        <w:t>、网络建设</w:t>
      </w:r>
    </w:p>
    <w:p>
      <w:pPr>
        <w:spacing w:line="240" w:lineRule="auto" w:before="13"/>
        <w:rPr>
          <w:rFonts w:ascii="宋体" w:hAnsi="宋体" w:cs="宋体" w:eastAsia="宋体" w:hint="default"/>
          <w:sz w:val="17"/>
          <w:szCs w:val="17"/>
        </w:rPr>
      </w:pPr>
    </w:p>
    <w:p>
      <w:pPr>
        <w:pStyle w:val="BodyText"/>
        <w:spacing w:line="295" w:lineRule="exact"/>
        <w:ind w:left="1002" w:right="0"/>
        <w:jc w:val="both"/>
      </w:pPr>
      <w:r>
        <w:rPr>
          <w:rFonts w:ascii="Arial" w:hAnsi="Arial" w:cs="Arial" w:eastAsia="Arial" w:hint="default"/>
        </w:rPr>
        <w:t>2012</w:t>
      </w:r>
      <w:r>
        <w:rPr>
          <w:rFonts w:ascii="Arial" w:hAnsi="Arial" w:cs="Arial" w:eastAsia="Arial" w:hint="default"/>
          <w:spacing w:val="-17"/>
        </w:rPr>
        <w:t> </w:t>
      </w:r>
      <w:r>
        <w:rPr/>
        <w:t>年，公司积极打造面向未来的高速宽带网络，网络能力显著提升。全年新增</w:t>
      </w:r>
      <w:r>
        <w:rPr>
          <w:spacing w:val="-65"/>
        </w:rPr>
        <w:t> </w:t>
      </w:r>
      <w:r>
        <w:rPr>
          <w:rFonts w:ascii="Arial" w:hAnsi="Arial" w:cs="Arial" w:eastAsia="Arial" w:hint="default"/>
        </w:rPr>
        <w:t>3G</w:t>
      </w:r>
      <w:r>
        <w:rPr>
          <w:rFonts w:ascii="Arial" w:hAnsi="Arial" w:cs="Arial" w:eastAsia="Arial" w:hint="default"/>
          <w:spacing w:val="-17"/>
        </w:rPr>
        <w:t> </w:t>
      </w:r>
      <w:r>
        <w:rPr/>
        <w:t>基站</w:t>
      </w:r>
    </w:p>
    <w:p>
      <w:pPr>
        <w:pStyle w:val="BodyText"/>
        <w:spacing w:line="225" w:lineRule="auto" w:before="6"/>
        <w:ind w:left="1002" w:right="187"/>
        <w:jc w:val="both"/>
      </w:pPr>
      <w:r>
        <w:rPr>
          <w:rFonts w:ascii="Arial" w:hAnsi="Arial" w:cs="Arial" w:eastAsia="Arial" w:hint="default"/>
        </w:rPr>
        <w:t>9.2</w:t>
      </w:r>
      <w:r>
        <w:rPr>
          <w:rFonts w:ascii="Arial" w:hAnsi="Arial" w:cs="Arial" w:eastAsia="Arial" w:hint="default"/>
          <w:spacing w:val="-9"/>
        </w:rPr>
        <w:t> </w:t>
      </w:r>
      <w:r>
        <w:rPr/>
        <w:t>万个，达到</w:t>
      </w:r>
      <w:r>
        <w:rPr>
          <w:spacing w:val="-58"/>
        </w:rPr>
        <w:t> </w:t>
      </w:r>
      <w:r>
        <w:rPr>
          <w:rFonts w:ascii="Arial" w:hAnsi="Arial" w:cs="Arial" w:eastAsia="Arial" w:hint="default"/>
        </w:rPr>
        <w:t>33.1</w:t>
      </w:r>
      <w:r>
        <w:rPr>
          <w:rFonts w:ascii="Arial" w:hAnsi="Arial" w:cs="Arial" w:eastAsia="Arial" w:hint="default"/>
          <w:spacing w:val="-9"/>
        </w:rPr>
        <w:t> </w:t>
      </w:r>
      <w:r>
        <w:rPr/>
        <w:t>万个，</w:t>
      </w:r>
      <w:r>
        <w:rPr>
          <w:rFonts w:ascii="Arial" w:hAnsi="Arial" w:cs="Arial" w:eastAsia="Arial" w:hint="default"/>
        </w:rPr>
        <w:t>3G</w:t>
      </w:r>
      <w:r>
        <w:rPr>
          <w:rFonts w:ascii="Arial" w:hAnsi="Arial" w:cs="Arial" w:eastAsia="Arial" w:hint="default"/>
          <w:spacing w:val="-10"/>
        </w:rPr>
        <w:t> </w:t>
      </w:r>
      <w:r>
        <w:rPr/>
        <w:t>网络覆盖东、中部乡镇和西部发达乡镇；</w:t>
      </w:r>
      <w:r>
        <w:rPr>
          <w:rFonts w:ascii="Arial" w:hAnsi="Arial" w:cs="Arial" w:eastAsia="Arial" w:hint="default"/>
        </w:rPr>
        <w:t>3G</w:t>
      </w:r>
      <w:r>
        <w:rPr>
          <w:rFonts w:ascii="Arial" w:hAnsi="Arial" w:cs="Arial" w:eastAsia="Arial" w:hint="default"/>
          <w:spacing w:val="-10"/>
        </w:rPr>
        <w:t> </w:t>
      </w:r>
      <w:r>
        <w:rPr/>
        <w:t>基站全部升级</w:t>
      </w:r>
      <w:r>
        <w:rPr>
          <w:w w:val="99"/>
        </w:rPr>
        <w:t> </w:t>
      </w:r>
      <w:r>
        <w:rPr/>
        <w:t>到</w:t>
      </w:r>
      <w:r>
        <w:rPr>
          <w:spacing w:val="-63"/>
        </w:rPr>
        <w:t> </w:t>
      </w:r>
      <w:r>
        <w:rPr>
          <w:rFonts w:ascii="Arial" w:hAnsi="Arial" w:cs="Arial" w:eastAsia="Arial" w:hint="default"/>
        </w:rPr>
        <w:t>HSPA+</w:t>
      </w:r>
      <w:r>
        <w:rPr/>
        <w:t>，下行峰值速率可达</w:t>
      </w:r>
      <w:r>
        <w:rPr>
          <w:spacing w:val="-63"/>
        </w:rPr>
        <w:t> </w:t>
      </w:r>
      <w:r>
        <w:rPr>
          <w:rFonts w:ascii="Arial" w:hAnsi="Arial" w:cs="Arial" w:eastAsia="Arial" w:hint="default"/>
        </w:rPr>
        <w:t>21Mbps</w:t>
      </w:r>
      <w:r>
        <w:rPr/>
        <w:t>，继续保持网络领先优势。加快传输网升级改造，</w:t>
      </w:r>
      <w:r>
        <w:rPr>
          <w:w w:val="99"/>
        </w:rPr>
        <w:t> </w:t>
      </w:r>
      <w:r>
        <w:rPr/>
        <w:t>网络传输能力和业务承载能力显著增强。</w:t>
      </w:r>
    </w:p>
    <w:p>
      <w:pPr>
        <w:spacing w:line="240" w:lineRule="auto" w:before="1"/>
        <w:rPr>
          <w:rFonts w:ascii="宋体" w:hAnsi="宋体" w:cs="宋体" w:eastAsia="宋体" w:hint="default"/>
          <w:sz w:val="20"/>
          <w:szCs w:val="20"/>
        </w:rPr>
      </w:pPr>
    </w:p>
    <w:p>
      <w:pPr>
        <w:pStyle w:val="BodyText"/>
        <w:spacing w:line="230" w:lineRule="auto"/>
        <w:ind w:left="1002" w:right="211"/>
        <w:jc w:val="both"/>
      </w:pPr>
      <w:r>
        <w:rPr/>
        <w:t>公司以深入实施宽带升级提速工程为契机，继续推进宽带光纤网建设，提升宽带网络的竞</w:t>
      </w:r>
      <w:r>
        <w:rPr>
          <w:spacing w:val="-80"/>
        </w:rPr>
        <w:t> </w:t>
      </w:r>
      <w:r>
        <w:rPr>
          <w:spacing w:val="-80"/>
        </w:rPr>
      </w:r>
      <w:r>
        <w:rPr/>
        <w:t>争优势。固网宽带接入端口全年同比增长</w:t>
      </w:r>
      <w:r>
        <w:rPr>
          <w:spacing w:val="-61"/>
        </w:rPr>
        <w:t> </w:t>
      </w:r>
      <w:r>
        <w:rPr>
          <w:rFonts w:ascii="Arial" w:hAnsi="Arial" w:cs="Arial" w:eastAsia="Arial" w:hint="default"/>
          <w:spacing w:val="-4"/>
        </w:rPr>
        <w:t>23.9%</w:t>
      </w:r>
      <w:r>
        <w:rPr>
          <w:spacing w:val="-4"/>
        </w:rPr>
        <w:t>，达到</w:t>
      </w:r>
      <w:r>
        <w:rPr>
          <w:spacing w:val="-62"/>
        </w:rPr>
        <w:t> </w:t>
      </w:r>
      <w:r>
        <w:rPr>
          <w:rFonts w:ascii="Arial" w:hAnsi="Arial" w:cs="Arial" w:eastAsia="Arial" w:hint="default"/>
        </w:rPr>
        <w:t>10,646</w:t>
      </w:r>
      <w:r>
        <w:rPr>
          <w:rFonts w:ascii="Arial" w:hAnsi="Arial" w:cs="Arial" w:eastAsia="Arial" w:hint="default"/>
          <w:spacing w:val="-12"/>
        </w:rPr>
        <w:t> </w:t>
      </w:r>
      <w:r>
        <w:rPr>
          <w:spacing w:val="-6"/>
        </w:rPr>
        <w:t>万个，其中</w:t>
      </w:r>
      <w:r>
        <w:rPr>
          <w:spacing w:val="-62"/>
        </w:rPr>
        <w:t> </w:t>
      </w:r>
      <w:r>
        <w:rPr>
          <w:rFonts w:ascii="Arial" w:hAnsi="Arial" w:cs="Arial" w:eastAsia="Arial" w:hint="default"/>
        </w:rPr>
        <w:t>FTTH/B</w:t>
      </w:r>
      <w:r>
        <w:rPr>
          <w:rFonts w:ascii="Arial" w:hAnsi="Arial" w:cs="Arial" w:eastAsia="Arial" w:hint="default"/>
          <w:spacing w:val="-13"/>
        </w:rPr>
        <w:t> </w:t>
      </w:r>
      <w:r>
        <w:rPr>
          <w:spacing w:val="-2"/>
        </w:rPr>
        <w:t>端口占</w:t>
      </w:r>
      <w:r>
        <w:rPr>
          <w:spacing w:val="-2"/>
          <w:w w:val="99"/>
        </w:rPr>
        <w:t> </w:t>
      </w:r>
      <w:r>
        <w:rPr/>
        <w:t>比达到</w:t>
      </w:r>
      <w:r>
        <w:rPr>
          <w:spacing w:val="-57"/>
        </w:rPr>
        <w:t> </w:t>
      </w:r>
      <w:r>
        <w:rPr>
          <w:rFonts w:ascii="Arial" w:hAnsi="Arial" w:cs="Arial" w:eastAsia="Arial" w:hint="default"/>
        </w:rPr>
        <w:t>59%</w:t>
      </w:r>
      <w:r>
        <w:rPr/>
        <w:t>，同比提高</w:t>
      </w:r>
      <w:r>
        <w:rPr>
          <w:spacing w:val="-56"/>
        </w:rPr>
        <w:t> </w:t>
      </w:r>
      <w:r>
        <w:rPr>
          <w:rFonts w:ascii="Arial" w:hAnsi="Arial" w:cs="Arial" w:eastAsia="Arial" w:hint="default"/>
        </w:rPr>
        <w:t>14</w:t>
      </w:r>
      <w:r>
        <w:rPr>
          <w:rFonts w:ascii="Arial" w:hAnsi="Arial" w:cs="Arial" w:eastAsia="Arial" w:hint="default"/>
          <w:spacing w:val="-8"/>
        </w:rPr>
        <w:t> </w:t>
      </w:r>
      <w:r>
        <w:rPr/>
        <w:t>个百分点。</w:t>
      </w:r>
    </w:p>
    <w:p>
      <w:pPr>
        <w:spacing w:line="240" w:lineRule="auto" w:before="5"/>
        <w:rPr>
          <w:rFonts w:ascii="宋体" w:hAnsi="宋体" w:cs="宋体" w:eastAsia="宋体" w:hint="default"/>
          <w:sz w:val="20"/>
          <w:szCs w:val="20"/>
        </w:rPr>
      </w:pPr>
    </w:p>
    <w:p>
      <w:pPr>
        <w:pStyle w:val="BodyText"/>
        <w:spacing w:line="284" w:lineRule="exact"/>
        <w:ind w:left="1002" w:right="219"/>
        <w:jc w:val="both"/>
      </w:pPr>
      <w:r>
        <w:rPr/>
        <w:t>公司进一步加强基础网络建设，加快传输网升级改造，网络传输能力和业务承载能力显著</w:t>
      </w:r>
      <w:r>
        <w:rPr>
          <w:spacing w:val="-84"/>
        </w:rPr>
        <w:t> </w:t>
      </w:r>
      <w:r>
        <w:rPr>
          <w:spacing w:val="-84"/>
        </w:rPr>
      </w:r>
      <w:r>
        <w:rPr/>
        <w:t>增强，为数据业务的高速增长提供了保障。</w:t>
      </w:r>
    </w:p>
    <w:p>
      <w:pPr>
        <w:spacing w:line="240" w:lineRule="auto" w:before="3"/>
        <w:rPr>
          <w:rFonts w:ascii="宋体" w:hAnsi="宋体" w:cs="宋体" w:eastAsia="宋体" w:hint="default"/>
          <w:sz w:val="17"/>
          <w:szCs w:val="17"/>
        </w:rPr>
      </w:pPr>
    </w:p>
    <w:p>
      <w:pPr>
        <w:pStyle w:val="BodyText"/>
        <w:spacing w:line="240" w:lineRule="auto"/>
        <w:ind w:left="658" w:right="89"/>
        <w:jc w:val="left"/>
      </w:pPr>
      <w:r>
        <w:rPr>
          <w:rFonts w:ascii="Arial" w:hAnsi="Arial" w:cs="Arial" w:eastAsia="Arial" w:hint="default"/>
        </w:rPr>
        <w:t>4</w:t>
      </w:r>
      <w:r>
        <w:rPr/>
        <w:t>、管理变革</w:t>
      </w:r>
    </w:p>
    <w:p>
      <w:pPr>
        <w:spacing w:line="240" w:lineRule="auto" w:before="7"/>
        <w:rPr>
          <w:rFonts w:ascii="宋体" w:hAnsi="宋体" w:cs="宋体" w:eastAsia="宋体" w:hint="default"/>
          <w:sz w:val="18"/>
          <w:szCs w:val="18"/>
        </w:rPr>
      </w:pPr>
    </w:p>
    <w:p>
      <w:pPr>
        <w:pStyle w:val="BodyText"/>
        <w:spacing w:line="232" w:lineRule="auto"/>
        <w:ind w:left="1002" w:right="89"/>
        <w:jc w:val="left"/>
      </w:pPr>
      <w:r>
        <w:rPr>
          <w:rFonts w:ascii="Arial" w:hAnsi="Arial" w:cs="Arial" w:eastAsia="Arial" w:hint="default"/>
        </w:rPr>
        <w:t>2012</w:t>
      </w:r>
      <w:r>
        <w:rPr>
          <w:rFonts w:ascii="Arial" w:hAnsi="Arial" w:cs="Arial" w:eastAsia="Arial" w:hint="default"/>
          <w:spacing w:val="-27"/>
        </w:rPr>
        <w:t> </w:t>
      </w:r>
      <w:r>
        <w:rPr/>
        <w:t>年，公司持续推进重点领域的管理变革。进一步优化职能、整合资源，完善以市场为</w:t>
      </w:r>
      <w:r>
        <w:rPr>
          <w:w w:val="99"/>
        </w:rPr>
        <w:t> </w:t>
      </w:r>
      <w:r>
        <w:rPr>
          <w:spacing w:val="-2"/>
        </w:rPr>
        <w:t>导向和以客户为中心的一体化营销体系，积极探索建立适应电子商务发展的运营管理体制，</w:t>
      </w:r>
      <w:r>
        <w:rPr>
          <w:spacing w:val="-105"/>
        </w:rPr>
        <w:t> </w:t>
      </w:r>
      <w:r>
        <w:rPr>
          <w:spacing w:val="-105"/>
        </w:rPr>
      </w:r>
      <w:r>
        <w:rPr/>
        <w:t>着力提升销售服务能力；进一步推进</w:t>
      </w:r>
      <w:r>
        <w:rPr>
          <w:spacing w:val="-66"/>
        </w:rPr>
        <w:t> </w:t>
      </w:r>
      <w:r>
        <w:rPr>
          <w:rFonts w:ascii="Arial" w:hAnsi="Arial" w:cs="Arial" w:eastAsia="Arial" w:hint="default"/>
        </w:rPr>
        <w:t>IT</w:t>
      </w:r>
      <w:r>
        <w:rPr>
          <w:rFonts w:ascii="Arial" w:hAnsi="Arial" w:cs="Arial" w:eastAsia="Arial" w:hint="default"/>
          <w:spacing w:val="-17"/>
        </w:rPr>
        <w:t> </w:t>
      </w:r>
      <w:r>
        <w:rPr/>
        <w:t>系统的数据集中、统一与专业化管理，提升信息化</w:t>
      </w:r>
      <w:r>
        <w:rPr>
          <w:w w:val="99"/>
        </w:rPr>
        <w:t> </w:t>
      </w:r>
      <w:r>
        <w:rPr/>
        <w:t>支撑能力和经营管理透明度；进一步深化基于本地网的全成本评价和对标管理，优化以规</w:t>
      </w:r>
      <w:r>
        <w:rPr>
          <w:spacing w:val="-84"/>
        </w:rPr>
        <w:t> </w:t>
      </w:r>
      <w:r>
        <w:rPr>
          <w:spacing w:val="-84"/>
        </w:rPr>
      </w:r>
      <w:r>
        <w:rPr/>
        <w:t>模和效益为导向的薪酬激励机制，企业经营活力不断增强。</w:t>
      </w:r>
    </w:p>
    <w:p>
      <w:pPr>
        <w:spacing w:after="0" w:line="232" w:lineRule="auto"/>
        <w:jc w:val="left"/>
        <w:sectPr>
          <w:pgSz w:w="11910" w:h="16840"/>
          <w:pgMar w:header="567" w:footer="745" w:top="800" w:bottom="940" w:left="1380" w:right="6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240" w:lineRule="auto" w:before="31"/>
        <w:ind w:left="658" w:right="89"/>
        <w:jc w:val="left"/>
      </w:pPr>
      <w:r>
        <w:rPr>
          <w:rFonts w:ascii="Arial" w:hAnsi="Arial" w:cs="Arial" w:eastAsia="Arial" w:hint="default"/>
        </w:rPr>
        <w:t>5</w:t>
      </w:r>
      <w:r>
        <w:rPr/>
        <w:t>、企业社会责任</w:t>
      </w:r>
    </w:p>
    <w:p>
      <w:pPr>
        <w:spacing w:line="240" w:lineRule="auto" w:before="5"/>
        <w:rPr>
          <w:rFonts w:ascii="宋体" w:hAnsi="宋体" w:cs="宋体" w:eastAsia="宋体" w:hint="default"/>
          <w:sz w:val="18"/>
          <w:szCs w:val="18"/>
        </w:rPr>
      </w:pPr>
    </w:p>
    <w:p>
      <w:pPr>
        <w:pStyle w:val="BodyText"/>
        <w:spacing w:line="235" w:lineRule="auto"/>
        <w:ind w:left="1002" w:right="89"/>
        <w:jc w:val="left"/>
      </w:pPr>
      <w:r>
        <w:rPr>
          <w:spacing w:val="-2"/>
        </w:rPr>
        <w:t>公司致力于自身发展与社会责任的和谐统一，积极推动可持续发展，关爱员工，热心公益，</w:t>
      </w:r>
      <w:r>
        <w:rPr>
          <w:spacing w:val="-97"/>
        </w:rPr>
        <w:t> </w:t>
      </w:r>
      <w:r>
        <w:rPr>
          <w:spacing w:val="-97"/>
        </w:rPr>
      </w:r>
      <w:r>
        <w:rPr/>
        <w:t>竭力回馈社会。大力推广节能技术应用，推进电信基础设施共建共享，推动业务产品与服</w:t>
      </w:r>
      <w:r>
        <w:rPr>
          <w:spacing w:val="-84"/>
        </w:rPr>
        <w:t> </w:t>
      </w:r>
      <w:r>
        <w:rPr>
          <w:spacing w:val="-84"/>
        </w:rPr>
      </w:r>
      <w:r>
        <w:rPr/>
        <w:t>务电子化，全年移动网单载频能耗同比下降</w:t>
      </w:r>
      <w:r>
        <w:rPr>
          <w:spacing w:val="-57"/>
        </w:rPr>
        <w:t> </w:t>
      </w:r>
      <w:r>
        <w:rPr>
          <w:rFonts w:ascii="Arial" w:hAnsi="Arial" w:cs="Arial" w:eastAsia="Arial" w:hint="default"/>
        </w:rPr>
        <w:t>7.5%</w:t>
      </w:r>
      <w:r>
        <w:rPr/>
        <w:t>。在</w:t>
      </w:r>
      <w:r>
        <w:rPr>
          <w:spacing w:val="-58"/>
        </w:rPr>
        <w:t> </w:t>
      </w:r>
      <w:r>
        <w:rPr>
          <w:rFonts w:ascii="Arial" w:hAnsi="Arial" w:cs="Arial" w:eastAsia="Arial" w:hint="default"/>
        </w:rPr>
        <w:t>2012</w:t>
      </w:r>
      <w:r>
        <w:rPr>
          <w:rFonts w:ascii="Arial" w:hAnsi="Arial" w:cs="Arial" w:eastAsia="Arial" w:hint="default"/>
          <w:spacing w:val="-9"/>
        </w:rPr>
        <w:t> </w:t>
      </w:r>
      <w:r>
        <w:rPr/>
        <w:t>年南方洪涝灾害以及云南彝良</w:t>
      </w:r>
      <w:r>
        <w:rPr>
          <w:w w:val="99"/>
        </w:rPr>
        <w:t> </w:t>
      </w:r>
      <w:r>
        <w:rPr/>
        <w:t>地震等自然灾害期间，公司以高度的社会责任感，快速响应，确保通信安全与畅通。公司</w:t>
      </w:r>
      <w:r>
        <w:rPr>
          <w:spacing w:val="-76"/>
        </w:rPr>
        <w:t> </w:t>
      </w:r>
      <w:r>
        <w:rPr>
          <w:spacing w:val="-76"/>
        </w:rPr>
      </w:r>
      <w:r>
        <w:rPr/>
        <w:t>高度重视员工关怀，关注员工身心健康，持续增强员工满意度和归属感。</w:t>
      </w:r>
    </w:p>
    <w:p>
      <w:pPr>
        <w:spacing w:line="240" w:lineRule="auto" w:before="2"/>
        <w:rPr>
          <w:rFonts w:ascii="宋体" w:hAnsi="宋体" w:cs="宋体" w:eastAsia="宋体" w:hint="default"/>
          <w:sz w:val="19"/>
          <w:szCs w:val="19"/>
        </w:rPr>
      </w:pPr>
    </w:p>
    <w:p>
      <w:pPr>
        <w:pStyle w:val="Heading3"/>
        <w:spacing w:line="240" w:lineRule="auto" w:before="0"/>
        <w:ind w:left="641" w:right="89"/>
        <w:jc w:val="left"/>
        <w:rPr>
          <w:b w:val="0"/>
          <w:bCs w:val="0"/>
        </w:rPr>
      </w:pPr>
      <w:r>
        <w:rPr/>
        <w:t>第二部分：生产经营情况</w:t>
      </w:r>
      <w:r>
        <w:rPr>
          <w:b w:val="0"/>
          <w:bCs w:val="0"/>
        </w:rPr>
      </w:r>
    </w:p>
    <w:p>
      <w:pPr>
        <w:spacing w:line="240" w:lineRule="auto" w:before="4"/>
        <w:rPr>
          <w:rFonts w:ascii="宋体" w:hAnsi="宋体" w:cs="宋体" w:eastAsia="宋体" w:hint="default"/>
          <w:b/>
          <w:bCs/>
          <w:sz w:val="21"/>
          <w:szCs w:val="21"/>
        </w:rPr>
      </w:pPr>
    </w:p>
    <w:p>
      <w:pPr>
        <w:pStyle w:val="BodyText"/>
        <w:spacing w:line="286" w:lineRule="exact"/>
        <w:ind w:left="658" w:right="89"/>
        <w:jc w:val="left"/>
      </w:pPr>
      <w:r>
        <w:rPr>
          <w:rFonts w:ascii="Arial" w:hAnsi="Arial" w:cs="Arial" w:eastAsia="Arial" w:hint="default"/>
        </w:rPr>
        <w:t>2012</w:t>
      </w:r>
      <w:r>
        <w:rPr>
          <w:rFonts w:ascii="Arial" w:hAnsi="Arial" w:cs="Arial" w:eastAsia="Arial" w:hint="default"/>
          <w:spacing w:val="36"/>
        </w:rPr>
        <w:t> </w:t>
      </w:r>
      <w:r>
        <w:rPr/>
        <w:t>年，公司加大经营创新力度，建立纵向一体化的市场营销体系，不断提升销售能力，实</w:t>
      </w:r>
      <w:r>
        <w:rPr>
          <w:w w:val="99"/>
        </w:rPr>
        <w:t> </w:t>
      </w:r>
      <w:r>
        <w:rPr/>
        <w:t>现</w:t>
      </w:r>
      <w:r>
        <w:rPr>
          <w:spacing w:val="-63"/>
        </w:rPr>
        <w:t> </w:t>
      </w:r>
      <w:r>
        <w:rPr>
          <w:rFonts w:ascii="Arial" w:hAnsi="Arial" w:cs="Arial" w:eastAsia="Arial" w:hint="default"/>
        </w:rPr>
        <w:t>3G</w:t>
      </w:r>
      <w:r>
        <w:rPr>
          <w:rFonts w:ascii="Arial" w:hAnsi="Arial" w:cs="Arial" w:eastAsia="Arial" w:hint="default"/>
          <w:spacing w:val="-15"/>
        </w:rPr>
        <w:t> </w:t>
      </w:r>
      <w:r>
        <w:rPr/>
        <w:t>和宽带业务快速发展，收入增速持续领先行业平均水平，市场份额稳步提升。</w:t>
      </w:r>
    </w:p>
    <w:p>
      <w:pPr>
        <w:spacing w:line="240" w:lineRule="auto" w:before="1"/>
        <w:rPr>
          <w:rFonts w:ascii="宋体" w:hAnsi="宋体" w:cs="宋体" w:eastAsia="宋体" w:hint="default"/>
          <w:sz w:val="17"/>
          <w:szCs w:val="17"/>
        </w:rPr>
      </w:pPr>
    </w:p>
    <w:p>
      <w:pPr>
        <w:pStyle w:val="BodyText"/>
        <w:spacing w:line="240" w:lineRule="auto"/>
        <w:ind w:left="658" w:right="89"/>
        <w:jc w:val="left"/>
      </w:pPr>
      <w:r>
        <w:rPr>
          <w:rFonts w:ascii="Arial" w:hAnsi="Arial" w:cs="Arial" w:eastAsia="Arial" w:hint="default"/>
        </w:rPr>
        <w:t>1</w:t>
      </w:r>
      <w:r>
        <w:rPr/>
        <w:t>、移动业务</w:t>
      </w:r>
    </w:p>
    <w:p>
      <w:pPr>
        <w:spacing w:line="240" w:lineRule="auto" w:before="13"/>
        <w:rPr>
          <w:rFonts w:ascii="宋体" w:hAnsi="宋体" w:cs="宋体" w:eastAsia="宋体" w:hint="default"/>
          <w:sz w:val="17"/>
          <w:szCs w:val="17"/>
        </w:rPr>
      </w:pPr>
    </w:p>
    <w:p>
      <w:pPr>
        <w:pStyle w:val="BodyText"/>
        <w:tabs>
          <w:tab w:pos="1542" w:val="left" w:leader="none"/>
        </w:tabs>
        <w:spacing w:line="240" w:lineRule="auto"/>
        <w:ind w:left="1002" w:right="89"/>
        <w:jc w:val="left"/>
      </w:pPr>
      <w:r>
        <w:rPr>
          <w:rFonts w:ascii="Arial" w:hAnsi="Arial" w:cs="Arial" w:eastAsia="Arial" w:hint="default"/>
          <w:w w:val="95"/>
        </w:rPr>
        <w:t>1.1</w:t>
        <w:tab/>
      </w:r>
      <w:r>
        <w:rPr>
          <w:rFonts w:ascii="Arial" w:hAnsi="Arial" w:cs="Arial" w:eastAsia="Arial" w:hint="default"/>
        </w:rPr>
        <w:t>3G</w:t>
      </w:r>
      <w:r>
        <w:rPr>
          <w:rFonts w:ascii="Arial" w:hAnsi="Arial" w:cs="Arial" w:eastAsia="Arial" w:hint="default"/>
          <w:spacing w:val="-9"/>
        </w:rPr>
        <w:t> </w:t>
      </w:r>
      <w:r>
        <w:rPr/>
        <w:t>业务</w:t>
      </w:r>
    </w:p>
    <w:p>
      <w:pPr>
        <w:spacing w:line="240" w:lineRule="auto" w:before="9"/>
        <w:rPr>
          <w:rFonts w:ascii="宋体" w:hAnsi="宋体" w:cs="宋体" w:eastAsia="宋体" w:hint="default"/>
          <w:sz w:val="18"/>
          <w:szCs w:val="18"/>
        </w:rPr>
      </w:pPr>
    </w:p>
    <w:p>
      <w:pPr>
        <w:pStyle w:val="BodyText"/>
        <w:spacing w:line="230" w:lineRule="auto"/>
        <w:ind w:left="1542" w:right="95"/>
        <w:jc w:val="left"/>
      </w:pPr>
      <w:r>
        <w:rPr>
          <w:rFonts w:ascii="Arial" w:hAnsi="Arial" w:cs="Arial" w:eastAsia="Arial" w:hint="default"/>
        </w:rPr>
        <w:t>2012</w:t>
      </w:r>
      <w:r>
        <w:rPr>
          <w:rFonts w:ascii="Arial" w:hAnsi="Arial" w:cs="Arial" w:eastAsia="Arial" w:hint="default"/>
          <w:spacing w:val="41"/>
        </w:rPr>
        <w:t> </w:t>
      </w:r>
      <w:r>
        <w:rPr/>
        <w:t>年，公司发挥终端、渠道与应用的拉动作用，完善产品资费体系，优化合约计</w:t>
      </w:r>
      <w:r>
        <w:rPr>
          <w:w w:val="99"/>
        </w:rPr>
        <w:t> </w:t>
      </w:r>
      <w:r>
        <w:rPr>
          <w:spacing w:val="-10"/>
        </w:rPr>
        <w:t>划，推出</w:t>
      </w:r>
      <w:r>
        <w:rPr>
          <w:spacing w:val="-62"/>
        </w:rPr>
        <w:t> </w:t>
      </w:r>
      <w:r>
        <w:rPr>
          <w:rFonts w:ascii="Arial" w:hAnsi="Arial" w:cs="Arial" w:eastAsia="Arial" w:hint="default"/>
        </w:rPr>
        <w:t>2G/3G</w:t>
      </w:r>
      <w:r>
        <w:rPr>
          <w:rFonts w:ascii="Arial" w:hAnsi="Arial" w:cs="Arial" w:eastAsia="Arial" w:hint="default"/>
          <w:spacing w:val="-13"/>
        </w:rPr>
        <w:t> </w:t>
      </w:r>
      <w:r>
        <w:rPr>
          <w:spacing w:val="-5"/>
        </w:rPr>
        <w:t>融合产品，实现了</w:t>
      </w:r>
      <w:r>
        <w:rPr>
          <w:spacing w:val="-60"/>
        </w:rPr>
        <w:t> </w:t>
      </w:r>
      <w:r>
        <w:rPr>
          <w:rFonts w:ascii="Arial" w:hAnsi="Arial" w:cs="Arial" w:eastAsia="Arial" w:hint="default"/>
        </w:rPr>
        <w:t>3G</w:t>
      </w:r>
      <w:r>
        <w:rPr>
          <w:rFonts w:ascii="Arial" w:hAnsi="Arial" w:cs="Arial" w:eastAsia="Arial" w:hint="default"/>
          <w:spacing w:val="-14"/>
        </w:rPr>
        <w:t> </w:t>
      </w:r>
      <w:r>
        <w:rPr/>
        <w:t>业务的高速增长。通过战略终端的深度定制和</w:t>
      </w:r>
      <w:r>
        <w:rPr>
          <w:w w:val="99"/>
        </w:rPr>
        <w:t> </w:t>
      </w:r>
      <w:r>
        <w:rPr/>
        <w:t>专业化运营，实现了对终端产业链的引领和终端合约用户的规模增长；依托全国统一</w:t>
      </w:r>
      <w:r>
        <w:rPr>
          <w:w w:val="99"/>
        </w:rPr>
        <w:t> </w:t>
      </w:r>
      <w:r>
        <w:rPr/>
        <w:t>的电子化销售系统优势，有效扩大实体渠道和电子渠道的规模，实现了销售服务能力</w:t>
      </w:r>
      <w:r>
        <w:rPr>
          <w:w w:val="99"/>
        </w:rPr>
        <w:t> </w:t>
      </w:r>
      <w:r>
        <w:rPr/>
        <w:t>的提升；以体验营销培育用户需求，创新流量资费模式，促进流量价值增值，实现了</w:t>
      </w:r>
      <w:r>
        <w:rPr>
          <w:w w:val="99"/>
        </w:rPr>
        <w:t> </w:t>
      </w:r>
      <w:r>
        <w:rPr/>
        <w:t>流量规模和收入的双提升。建立</w:t>
      </w:r>
      <w:r>
        <w:rPr>
          <w:spacing w:val="-50"/>
        </w:rPr>
        <w:t> </w:t>
      </w:r>
      <w:r>
        <w:rPr>
          <w:rFonts w:ascii="Arial" w:hAnsi="Arial" w:cs="Arial" w:eastAsia="Arial" w:hint="default"/>
        </w:rPr>
        <w:t>3G</w:t>
      </w:r>
      <w:r>
        <w:rPr>
          <w:rFonts w:ascii="Arial" w:hAnsi="Arial" w:cs="Arial" w:eastAsia="Arial" w:hint="default"/>
          <w:spacing w:val="-3"/>
        </w:rPr>
        <w:t> </w:t>
      </w:r>
      <w:r>
        <w:rPr/>
        <w:t>用户全生命周期管理体系，推出</w:t>
      </w:r>
      <w:r>
        <w:rPr>
          <w:spacing w:val="-48"/>
        </w:rPr>
        <w:t> </w:t>
      </w:r>
      <w:r>
        <w:rPr>
          <w:rFonts w:ascii="Arial" w:hAnsi="Arial" w:cs="Arial" w:eastAsia="Arial" w:hint="default"/>
        </w:rPr>
        <w:t>3G</w:t>
      </w:r>
      <w:r>
        <w:rPr>
          <w:rFonts w:ascii="Arial" w:hAnsi="Arial" w:cs="Arial" w:eastAsia="Arial" w:hint="default"/>
          <w:spacing w:val="-3"/>
        </w:rPr>
        <w:t> </w:t>
      </w:r>
      <w:r>
        <w:rPr/>
        <w:t>手机流量网</w:t>
      </w:r>
      <w:r>
        <w:rPr>
          <w:w w:val="99"/>
        </w:rPr>
        <w:t> </w:t>
      </w:r>
      <w:r>
        <w:rPr/>
        <w:t>龄升级计划，强化用户保有。通过加强互联网应用能力建设，促进应用商店、手机音</w:t>
      </w:r>
      <w:r>
        <w:rPr>
          <w:w w:val="99"/>
        </w:rPr>
        <w:t> </w:t>
      </w:r>
      <w:r>
        <w:rPr/>
        <w:t>乐等重点业务推广。公司</w:t>
      </w:r>
      <w:r>
        <w:rPr>
          <w:spacing w:val="-46"/>
        </w:rPr>
        <w:t> </w:t>
      </w:r>
      <w:r>
        <w:rPr>
          <w:rFonts w:ascii="Arial" w:hAnsi="Arial" w:cs="Arial" w:eastAsia="Arial" w:hint="default"/>
        </w:rPr>
        <w:t>3G</w:t>
      </w:r>
      <w:r>
        <w:rPr>
          <w:rFonts w:ascii="Arial" w:hAnsi="Arial" w:cs="Arial" w:eastAsia="Arial" w:hint="default"/>
          <w:spacing w:val="1"/>
        </w:rPr>
        <w:t> </w:t>
      </w:r>
      <w:r>
        <w:rPr/>
        <w:t>用户净增</w:t>
      </w:r>
      <w:r>
        <w:rPr>
          <w:spacing w:val="-47"/>
        </w:rPr>
        <w:t> </w:t>
      </w:r>
      <w:r>
        <w:rPr>
          <w:rFonts w:ascii="Arial" w:hAnsi="Arial" w:cs="Arial" w:eastAsia="Arial" w:hint="default"/>
        </w:rPr>
        <w:t>3,643.7</w:t>
      </w:r>
      <w:r>
        <w:rPr>
          <w:rFonts w:ascii="Arial" w:hAnsi="Arial" w:cs="Arial" w:eastAsia="Arial" w:hint="default"/>
          <w:spacing w:val="2"/>
        </w:rPr>
        <w:t> </w:t>
      </w:r>
      <w:r>
        <w:rPr/>
        <w:t>万户，达到</w:t>
      </w:r>
      <w:r>
        <w:rPr>
          <w:spacing w:val="-47"/>
        </w:rPr>
        <w:t> </w:t>
      </w:r>
      <w:r>
        <w:rPr>
          <w:rFonts w:ascii="Arial" w:hAnsi="Arial" w:cs="Arial" w:eastAsia="Arial" w:hint="default"/>
        </w:rPr>
        <w:t>7,645.6</w:t>
      </w:r>
      <w:r>
        <w:rPr>
          <w:rFonts w:ascii="Arial" w:hAnsi="Arial" w:cs="Arial" w:eastAsia="Arial" w:hint="default"/>
          <w:spacing w:val="1"/>
        </w:rPr>
        <w:t> </w:t>
      </w:r>
      <w:r>
        <w:rPr/>
        <w:t>万户，其中，无</w:t>
      </w:r>
      <w:r>
        <w:rPr>
          <w:w w:val="99"/>
        </w:rPr>
        <w:t> 线上网卡用户达到</w:t>
      </w:r>
      <w:r>
        <w:rPr>
          <w:spacing w:val="-74"/>
          <w:w w:val="99"/>
        </w:rPr>
        <w:t> </w:t>
      </w:r>
      <w:r>
        <w:rPr>
          <w:rFonts w:ascii="Arial" w:hAnsi="Arial" w:cs="Arial" w:eastAsia="Arial" w:hint="default"/>
          <w:w w:val="99"/>
        </w:rPr>
        <w:t>564.9</w:t>
      </w:r>
      <w:r>
        <w:rPr>
          <w:rFonts w:ascii="Arial" w:hAnsi="Arial" w:cs="Arial" w:eastAsia="Arial" w:hint="default"/>
          <w:spacing w:val="-25"/>
          <w:w w:val="99"/>
        </w:rPr>
        <w:t> </w:t>
      </w:r>
      <w:r>
        <w:rPr>
          <w:spacing w:val="-23"/>
          <w:w w:val="99"/>
        </w:rPr>
        <w:t>万户；</w:t>
      </w:r>
      <w:r>
        <w:rPr>
          <w:rFonts w:ascii="Arial" w:hAnsi="Arial" w:cs="Arial" w:eastAsia="Arial" w:hint="default"/>
          <w:spacing w:val="-23"/>
          <w:w w:val="99"/>
        </w:rPr>
        <w:t>3G</w:t>
      </w:r>
      <w:r>
        <w:rPr>
          <w:rFonts w:ascii="Arial" w:hAnsi="Arial" w:cs="Arial" w:eastAsia="Arial" w:hint="default"/>
          <w:spacing w:val="-25"/>
          <w:w w:val="99"/>
        </w:rPr>
        <w:t> </w:t>
      </w:r>
      <w:r>
        <w:rPr>
          <w:w w:val="99"/>
        </w:rPr>
        <w:t>手机数据流量达到</w:t>
      </w:r>
      <w:r>
        <w:rPr>
          <w:spacing w:val="-74"/>
          <w:w w:val="99"/>
        </w:rPr>
        <w:t> </w:t>
      </w:r>
      <w:r>
        <w:rPr>
          <w:rFonts w:ascii="Arial" w:hAnsi="Arial" w:cs="Arial" w:eastAsia="Arial" w:hint="default"/>
          <w:w w:val="99"/>
        </w:rPr>
        <w:t>939.9</w:t>
      </w:r>
      <w:r>
        <w:rPr>
          <w:rFonts w:ascii="Arial" w:hAnsi="Arial" w:cs="Arial" w:eastAsia="Arial" w:hint="default"/>
          <w:spacing w:val="-25"/>
          <w:w w:val="99"/>
        </w:rPr>
        <w:t> </w:t>
      </w:r>
      <w:r>
        <w:rPr>
          <w:w w:val="99"/>
        </w:rPr>
        <w:t>亿</w:t>
      </w:r>
      <w:r>
        <w:rPr>
          <w:spacing w:val="-75"/>
          <w:w w:val="99"/>
        </w:rPr>
        <w:t> </w:t>
      </w:r>
      <w:r>
        <w:rPr>
          <w:rFonts w:ascii="Arial" w:hAnsi="Arial" w:cs="Arial" w:eastAsia="Arial" w:hint="default"/>
          <w:spacing w:val="-16"/>
          <w:w w:val="99"/>
        </w:rPr>
        <w:t>MB</w:t>
      </w:r>
      <w:r>
        <w:rPr>
          <w:spacing w:val="-16"/>
          <w:w w:val="99"/>
        </w:rPr>
        <w:t>，同比增长</w:t>
      </w:r>
      <w:r>
        <w:rPr>
          <w:spacing w:val="-74"/>
          <w:w w:val="99"/>
        </w:rPr>
        <w:t> </w:t>
      </w:r>
      <w:r>
        <w:rPr>
          <w:rFonts w:ascii="Arial" w:hAnsi="Arial" w:cs="Arial" w:eastAsia="Arial" w:hint="default"/>
          <w:spacing w:val="-1"/>
          <w:w w:val="99"/>
        </w:rPr>
        <w:t>185.0%</w:t>
      </w:r>
      <w:r>
        <w:rPr>
          <w:spacing w:val="-1"/>
          <w:w w:val="99"/>
        </w:rPr>
        <w:t>，</w:t>
      </w:r>
      <w:r>
        <w:rPr>
          <w:w w:val="99"/>
        </w:rPr>
        <w:t> </w:t>
      </w:r>
      <w:r>
        <w:rPr>
          <w:rFonts w:ascii="Arial" w:hAnsi="Arial" w:cs="Arial" w:eastAsia="Arial" w:hint="default"/>
        </w:rPr>
        <w:t>3G</w:t>
      </w:r>
      <w:r>
        <w:rPr>
          <w:rFonts w:ascii="Arial" w:hAnsi="Arial" w:cs="Arial" w:eastAsia="Arial" w:hint="default"/>
          <w:spacing w:val="6"/>
        </w:rPr>
        <w:t> </w:t>
      </w:r>
      <w:r>
        <w:rPr/>
        <w:t>智能手机用户月户均数据流量达到</w:t>
      </w:r>
      <w:r>
        <w:rPr>
          <w:spacing w:val="-41"/>
        </w:rPr>
        <w:t> </w:t>
      </w:r>
      <w:r>
        <w:rPr>
          <w:rFonts w:ascii="Arial" w:hAnsi="Arial" w:cs="Arial" w:eastAsia="Arial" w:hint="default"/>
        </w:rPr>
        <w:t>256MB</w:t>
      </w:r>
      <w:r>
        <w:rPr/>
        <w:t>，</w:t>
      </w:r>
      <w:r>
        <w:rPr>
          <w:rFonts w:ascii="Arial" w:hAnsi="Arial" w:cs="Arial" w:eastAsia="Arial" w:hint="default"/>
        </w:rPr>
        <w:t>3G</w:t>
      </w:r>
      <w:r>
        <w:rPr>
          <w:rFonts w:ascii="Arial" w:hAnsi="Arial" w:cs="Arial" w:eastAsia="Arial" w:hint="default"/>
          <w:spacing w:val="6"/>
        </w:rPr>
        <w:t> </w:t>
      </w:r>
      <w:r>
        <w:rPr/>
        <w:t>用户</w:t>
      </w:r>
      <w:r>
        <w:rPr>
          <w:spacing w:val="-41"/>
        </w:rPr>
        <w:t> </w:t>
      </w:r>
      <w:r>
        <w:rPr>
          <w:rFonts w:ascii="Arial" w:hAnsi="Arial" w:cs="Arial" w:eastAsia="Arial" w:hint="default"/>
        </w:rPr>
        <w:t>ARPU</w:t>
      </w:r>
      <w:r>
        <w:rPr>
          <w:rFonts w:ascii="Arial" w:hAnsi="Arial" w:cs="Arial" w:eastAsia="Arial" w:hint="default"/>
          <w:spacing w:val="6"/>
        </w:rPr>
        <w:t> </w:t>
      </w:r>
      <w:r>
        <w:rPr/>
        <w:t>为人民币</w:t>
      </w:r>
      <w:r>
        <w:rPr>
          <w:spacing w:val="-42"/>
        </w:rPr>
        <w:t> </w:t>
      </w:r>
      <w:r>
        <w:rPr>
          <w:rFonts w:ascii="Arial" w:hAnsi="Arial" w:cs="Arial" w:eastAsia="Arial" w:hint="default"/>
        </w:rPr>
        <w:t>86.1</w:t>
      </w:r>
      <w:r>
        <w:rPr>
          <w:rFonts w:ascii="Arial" w:hAnsi="Arial" w:cs="Arial" w:eastAsia="Arial" w:hint="default"/>
          <w:spacing w:val="5"/>
        </w:rPr>
        <w:t> </w:t>
      </w:r>
      <w:r>
        <w:rPr/>
        <w:t>元；</w:t>
      </w:r>
      <w:r>
        <w:rPr>
          <w:spacing w:val="-2"/>
          <w:w w:val="99"/>
        </w:rPr>
        <w:t> </w:t>
      </w:r>
      <w:r>
        <w:rPr/>
        <w:t>应用商店、手机音乐注册用户分别达到</w:t>
      </w:r>
      <w:r>
        <w:rPr>
          <w:spacing w:val="-57"/>
        </w:rPr>
        <w:t> </w:t>
      </w:r>
      <w:r>
        <w:rPr>
          <w:rFonts w:ascii="Arial" w:hAnsi="Arial" w:cs="Arial" w:eastAsia="Arial" w:hint="default"/>
        </w:rPr>
        <w:t>1,894</w:t>
      </w:r>
      <w:r>
        <w:rPr>
          <w:rFonts w:ascii="Arial" w:hAnsi="Arial" w:cs="Arial" w:eastAsia="Arial" w:hint="default"/>
          <w:spacing w:val="-10"/>
        </w:rPr>
        <w:t> </w:t>
      </w:r>
      <w:r>
        <w:rPr/>
        <w:t>万户、</w:t>
      </w:r>
      <w:r>
        <w:rPr>
          <w:rFonts w:ascii="Arial" w:hAnsi="Arial" w:cs="Arial" w:eastAsia="Arial" w:hint="default"/>
        </w:rPr>
        <w:t>2,215</w:t>
      </w:r>
      <w:r>
        <w:rPr>
          <w:rFonts w:ascii="Arial" w:hAnsi="Arial" w:cs="Arial" w:eastAsia="Arial" w:hint="default"/>
          <w:spacing w:val="-10"/>
        </w:rPr>
        <w:t> </w:t>
      </w:r>
      <w:r>
        <w:rPr/>
        <w:t>万户。</w:t>
      </w:r>
    </w:p>
    <w:p>
      <w:pPr>
        <w:spacing w:line="240" w:lineRule="auto" w:before="2"/>
        <w:rPr>
          <w:rFonts w:ascii="宋体" w:hAnsi="宋体" w:cs="宋体" w:eastAsia="宋体" w:hint="default"/>
          <w:sz w:val="18"/>
          <w:szCs w:val="18"/>
        </w:rPr>
      </w:pPr>
    </w:p>
    <w:p>
      <w:pPr>
        <w:pStyle w:val="BodyText"/>
        <w:tabs>
          <w:tab w:pos="1542" w:val="left" w:leader="none"/>
        </w:tabs>
        <w:spacing w:line="240" w:lineRule="auto"/>
        <w:ind w:left="1002" w:right="89"/>
        <w:jc w:val="left"/>
      </w:pPr>
      <w:r>
        <w:rPr>
          <w:rFonts w:ascii="Arial" w:hAnsi="Arial" w:cs="Arial" w:eastAsia="Arial" w:hint="default"/>
          <w:w w:val="95"/>
        </w:rPr>
        <w:t>1.2</w:t>
        <w:tab/>
      </w:r>
      <w:r>
        <w:rPr>
          <w:rFonts w:ascii="Arial" w:hAnsi="Arial" w:cs="Arial" w:eastAsia="Arial" w:hint="default"/>
        </w:rPr>
        <w:t>GSM</w:t>
      </w:r>
      <w:r>
        <w:rPr>
          <w:rFonts w:ascii="Arial" w:hAnsi="Arial" w:cs="Arial" w:eastAsia="Arial" w:hint="default"/>
          <w:spacing w:val="-8"/>
        </w:rPr>
        <w:t> </w:t>
      </w:r>
      <w:r>
        <w:rPr/>
        <w:t>业务</w:t>
      </w:r>
    </w:p>
    <w:p>
      <w:pPr>
        <w:spacing w:line="240" w:lineRule="auto" w:before="0"/>
        <w:rPr>
          <w:rFonts w:ascii="宋体" w:hAnsi="宋体" w:cs="宋体" w:eastAsia="宋体" w:hint="default"/>
          <w:sz w:val="20"/>
          <w:szCs w:val="20"/>
        </w:rPr>
      </w:pPr>
    </w:p>
    <w:p>
      <w:pPr>
        <w:pStyle w:val="BodyText"/>
        <w:spacing w:line="286" w:lineRule="exact"/>
        <w:ind w:left="1542" w:right="91"/>
        <w:jc w:val="left"/>
        <w:rPr>
          <w:rFonts w:ascii="Arial" w:hAnsi="Arial" w:cs="Arial" w:eastAsia="Arial" w:hint="default"/>
        </w:rPr>
      </w:pPr>
      <w:r>
        <w:rPr>
          <w:rFonts w:ascii="Arial" w:hAnsi="Arial" w:cs="Arial" w:eastAsia="Arial" w:hint="default"/>
        </w:rPr>
        <w:t>2012</w:t>
      </w:r>
      <w:r>
        <w:rPr>
          <w:rFonts w:ascii="Arial" w:hAnsi="Arial" w:cs="Arial" w:eastAsia="Arial" w:hint="default"/>
          <w:spacing w:val="-5"/>
        </w:rPr>
        <w:t> </w:t>
      </w:r>
      <w:r>
        <w:rPr>
          <w:spacing w:val="-4"/>
        </w:rPr>
        <w:t>年，公司通过渠道集中管理系统的建设，持续推进</w:t>
      </w:r>
      <w:r>
        <w:rPr>
          <w:spacing w:val="-50"/>
        </w:rPr>
        <w:t> </w:t>
      </w:r>
      <w:r>
        <w:rPr>
          <w:rFonts w:ascii="Arial" w:hAnsi="Arial" w:cs="Arial" w:eastAsia="Arial" w:hint="default"/>
        </w:rPr>
        <w:t>GSM</w:t>
      </w:r>
      <w:r>
        <w:rPr>
          <w:rFonts w:ascii="Arial" w:hAnsi="Arial" w:cs="Arial" w:eastAsia="Arial" w:hint="default"/>
          <w:spacing w:val="-6"/>
        </w:rPr>
        <w:t> </w:t>
      </w:r>
      <w:r>
        <w:rPr>
          <w:spacing w:val="-4"/>
        </w:rPr>
        <w:t>业务渠道扁平化、规范</w:t>
      </w:r>
      <w:r>
        <w:rPr>
          <w:spacing w:val="-106"/>
        </w:rPr>
        <w:t> </w:t>
      </w:r>
      <w:r>
        <w:rPr>
          <w:spacing w:val="-106"/>
        </w:rPr>
      </w:r>
      <w:r>
        <w:rPr/>
        <w:t>化，保证用户规模稳定与扩大；强化</w:t>
      </w:r>
      <w:r>
        <w:rPr>
          <w:spacing w:val="-67"/>
        </w:rPr>
        <w:t> </w:t>
      </w:r>
      <w:r>
        <w:rPr>
          <w:rFonts w:ascii="Arial" w:hAnsi="Arial" w:cs="Arial" w:eastAsia="Arial" w:hint="default"/>
        </w:rPr>
        <w:t>GPRS</w:t>
      </w:r>
      <w:r>
        <w:rPr>
          <w:rFonts w:ascii="Arial" w:hAnsi="Arial" w:cs="Arial" w:eastAsia="Arial" w:hint="default"/>
          <w:spacing w:val="-19"/>
        </w:rPr>
        <w:t> </w:t>
      </w:r>
      <w:r>
        <w:rPr/>
        <w:t>流量经营和组合营销，全网开通</w:t>
      </w:r>
      <w:r>
        <w:rPr>
          <w:spacing w:val="-67"/>
        </w:rPr>
        <w:t> </w:t>
      </w:r>
      <w:r>
        <w:rPr>
          <w:rFonts w:ascii="Arial" w:hAnsi="Arial" w:cs="Arial" w:eastAsia="Arial" w:hint="default"/>
        </w:rPr>
        <w:t>EDGE</w:t>
      </w:r>
      <w:r>
        <w:rPr/>
        <w:t>、</w:t>
      </w:r>
      <w:r>
        <w:rPr>
          <w:w w:val="99"/>
        </w:rPr>
        <w:t> </w:t>
      </w:r>
      <w:r>
        <w:rPr>
          <w:rFonts w:ascii="Arial" w:hAnsi="Arial" w:cs="Arial" w:eastAsia="Arial" w:hint="default"/>
        </w:rPr>
        <w:t>AMR</w:t>
      </w:r>
      <w:r>
        <w:rPr>
          <w:rFonts w:ascii="Arial" w:hAnsi="Arial" w:cs="Arial" w:eastAsia="Arial" w:hint="default"/>
          <w:spacing w:val="-7"/>
        </w:rPr>
        <w:t> </w:t>
      </w:r>
      <w:r>
        <w:rPr>
          <w:spacing w:val="-5"/>
        </w:rPr>
        <w:t>和联合寻呼功能，促进数据流量增长；同时开展了</w:t>
      </w:r>
      <w:r>
        <w:rPr>
          <w:spacing w:val="-54"/>
        </w:rPr>
        <w:t> </w:t>
      </w:r>
      <w:r>
        <w:rPr>
          <w:rFonts w:ascii="Arial" w:hAnsi="Arial" w:cs="Arial" w:eastAsia="Arial" w:hint="default"/>
        </w:rPr>
        <w:t>2G/3G</w:t>
      </w:r>
      <w:r>
        <w:rPr>
          <w:rFonts w:ascii="Arial" w:hAnsi="Arial" w:cs="Arial" w:eastAsia="Arial" w:hint="default"/>
          <w:spacing w:val="-8"/>
        </w:rPr>
        <w:t> </w:t>
      </w:r>
      <w:r>
        <w:rPr>
          <w:spacing w:val="-7"/>
        </w:rPr>
        <w:t>融合发展，加大了</w:t>
      </w:r>
      <w:r>
        <w:rPr>
          <w:spacing w:val="-55"/>
        </w:rPr>
        <w:t> </w:t>
      </w:r>
      <w:r>
        <w:rPr>
          <w:rFonts w:ascii="Arial" w:hAnsi="Arial" w:cs="Arial" w:eastAsia="Arial" w:hint="default"/>
        </w:rPr>
        <w:t>2G</w:t>
      </w:r>
    </w:p>
    <w:p>
      <w:pPr>
        <w:pStyle w:val="BodyText"/>
        <w:spacing w:line="265" w:lineRule="exact"/>
        <w:ind w:left="1542" w:right="89"/>
        <w:jc w:val="left"/>
        <w:rPr>
          <w:rFonts w:ascii="Arial" w:hAnsi="Arial" w:cs="Arial" w:eastAsia="Arial" w:hint="default"/>
        </w:rPr>
      </w:pPr>
      <w:r>
        <w:rPr/>
        <w:t>用户向 </w:t>
      </w:r>
      <w:r>
        <w:rPr>
          <w:rFonts w:ascii="Arial" w:hAnsi="Arial" w:cs="Arial" w:eastAsia="Arial" w:hint="default"/>
        </w:rPr>
        <w:t>3G </w:t>
      </w:r>
      <w:r>
        <w:rPr>
          <w:rFonts w:ascii="Arial" w:hAnsi="Arial" w:cs="Arial" w:eastAsia="Arial" w:hint="default"/>
          <w:spacing w:val="8"/>
        </w:rPr>
        <w:t> </w:t>
      </w:r>
      <w:r>
        <w:rPr/>
        <w:t>网络迁移的力度；对存量用户开展网龄升级计划，提升客户感知。</w:t>
      </w:r>
      <w:r>
        <w:rPr>
          <w:rFonts w:ascii="Arial" w:hAnsi="Arial" w:cs="Arial" w:eastAsia="Arial" w:hint="default"/>
        </w:rPr>
        <w:t>GSM</w:t>
      </w:r>
    </w:p>
    <w:p>
      <w:pPr>
        <w:pStyle w:val="BodyText"/>
        <w:spacing w:line="286" w:lineRule="exact" w:before="19"/>
        <w:ind w:left="1542" w:right="94"/>
        <w:jc w:val="left"/>
      </w:pPr>
      <w:r>
        <w:rPr/>
        <w:t>用户净增</w:t>
      </w:r>
      <w:r>
        <w:rPr>
          <w:spacing w:val="-56"/>
        </w:rPr>
        <w:t> </w:t>
      </w:r>
      <w:r>
        <w:rPr>
          <w:rFonts w:ascii="Arial" w:hAnsi="Arial" w:cs="Arial" w:eastAsia="Arial" w:hint="default"/>
        </w:rPr>
        <w:t>321.5</w:t>
      </w:r>
      <w:r>
        <w:rPr>
          <w:rFonts w:ascii="Arial" w:hAnsi="Arial" w:cs="Arial" w:eastAsia="Arial" w:hint="default"/>
          <w:spacing w:val="-6"/>
        </w:rPr>
        <w:t> </w:t>
      </w:r>
      <w:r>
        <w:rPr>
          <w:spacing w:val="-15"/>
        </w:rPr>
        <w:t>万户，达到</w:t>
      </w:r>
      <w:r>
        <w:rPr>
          <w:spacing w:val="-56"/>
        </w:rPr>
        <w:t> </w:t>
      </w:r>
      <w:r>
        <w:rPr>
          <w:rFonts w:ascii="Arial" w:hAnsi="Arial" w:cs="Arial" w:eastAsia="Arial" w:hint="default"/>
        </w:rPr>
        <w:t>16,285.6</w:t>
      </w:r>
      <w:r>
        <w:rPr>
          <w:rFonts w:ascii="Arial" w:hAnsi="Arial" w:cs="Arial" w:eastAsia="Arial" w:hint="default"/>
          <w:spacing w:val="-7"/>
        </w:rPr>
        <w:t> </w:t>
      </w:r>
      <w:r>
        <w:rPr>
          <w:spacing w:val="-12"/>
        </w:rPr>
        <w:t>万户。</w:t>
      </w:r>
      <w:r>
        <w:rPr>
          <w:rFonts w:ascii="Arial" w:hAnsi="Arial" w:cs="Arial" w:eastAsia="Arial" w:hint="default"/>
          <w:spacing w:val="-12"/>
        </w:rPr>
        <w:t>GSM</w:t>
      </w:r>
      <w:r>
        <w:rPr>
          <w:rFonts w:ascii="Arial" w:hAnsi="Arial" w:cs="Arial" w:eastAsia="Arial" w:hint="default"/>
          <w:spacing w:val="-6"/>
        </w:rPr>
        <w:t> </w:t>
      </w:r>
      <w:r>
        <w:rPr/>
        <w:t>用户通话总时长达到</w:t>
      </w:r>
      <w:r>
        <w:rPr>
          <w:spacing w:val="-56"/>
        </w:rPr>
        <w:t> </w:t>
      </w:r>
      <w:r>
        <w:rPr>
          <w:rFonts w:ascii="Arial" w:hAnsi="Arial" w:cs="Arial" w:eastAsia="Arial" w:hint="default"/>
        </w:rPr>
        <w:t>4,757</w:t>
      </w:r>
      <w:r>
        <w:rPr>
          <w:rFonts w:ascii="Arial" w:hAnsi="Arial" w:cs="Arial" w:eastAsia="Arial" w:hint="default"/>
          <w:spacing w:val="-7"/>
        </w:rPr>
        <w:t> </w:t>
      </w:r>
      <w:r>
        <w:rPr/>
        <w:t>亿分钟，</w:t>
      </w:r>
      <w:r>
        <w:rPr>
          <w:w w:val="99"/>
        </w:rPr>
        <w:t> 同比下降</w:t>
      </w:r>
      <w:r>
        <w:rPr>
          <w:spacing w:val="-53"/>
          <w:w w:val="99"/>
        </w:rPr>
        <w:t> </w:t>
      </w:r>
      <w:r>
        <w:rPr>
          <w:rFonts w:ascii="Arial" w:hAnsi="Arial" w:cs="Arial" w:eastAsia="Arial" w:hint="default"/>
          <w:spacing w:val="-11"/>
          <w:w w:val="99"/>
        </w:rPr>
        <w:t>1.9%</w:t>
      </w:r>
      <w:r>
        <w:rPr>
          <w:spacing w:val="-11"/>
          <w:w w:val="99"/>
        </w:rPr>
        <w:t>，</w:t>
      </w:r>
      <w:r>
        <w:rPr>
          <w:rFonts w:ascii="Arial" w:hAnsi="Arial" w:cs="Arial" w:eastAsia="Arial" w:hint="default"/>
          <w:spacing w:val="-11"/>
          <w:w w:val="99"/>
        </w:rPr>
        <w:t>ARPU</w:t>
      </w:r>
      <w:r>
        <w:rPr>
          <w:rFonts w:ascii="Arial" w:hAnsi="Arial" w:cs="Arial" w:eastAsia="Arial" w:hint="default"/>
          <w:spacing w:val="-4"/>
          <w:w w:val="99"/>
        </w:rPr>
        <w:t> </w:t>
      </w:r>
      <w:r>
        <w:rPr>
          <w:w w:val="99"/>
        </w:rPr>
        <w:t>为人民币</w:t>
      </w:r>
      <w:r>
        <w:rPr>
          <w:spacing w:val="-53"/>
          <w:w w:val="99"/>
        </w:rPr>
        <w:t> </w:t>
      </w:r>
      <w:r>
        <w:rPr>
          <w:rFonts w:ascii="Arial" w:hAnsi="Arial" w:cs="Arial" w:eastAsia="Arial" w:hint="default"/>
          <w:w w:val="99"/>
        </w:rPr>
        <w:t>34.2</w:t>
      </w:r>
      <w:r>
        <w:rPr>
          <w:rFonts w:ascii="Arial" w:hAnsi="Arial" w:cs="Arial" w:eastAsia="Arial" w:hint="default"/>
          <w:spacing w:val="-5"/>
          <w:w w:val="99"/>
        </w:rPr>
        <w:t> </w:t>
      </w:r>
      <w:r>
        <w:rPr>
          <w:spacing w:val="-17"/>
          <w:w w:val="99"/>
        </w:rPr>
        <w:t>元，同比下降</w:t>
      </w:r>
      <w:r>
        <w:rPr>
          <w:spacing w:val="-52"/>
          <w:w w:val="99"/>
        </w:rPr>
        <w:t> </w:t>
      </w:r>
      <w:r>
        <w:rPr>
          <w:rFonts w:ascii="Arial" w:hAnsi="Arial" w:cs="Arial" w:eastAsia="Arial" w:hint="default"/>
          <w:spacing w:val="-8"/>
          <w:w w:val="99"/>
        </w:rPr>
        <w:t>8.6%</w:t>
      </w:r>
      <w:r>
        <w:rPr>
          <w:spacing w:val="-8"/>
          <w:w w:val="99"/>
        </w:rPr>
        <w:t>；手机上网用户净增</w:t>
      </w:r>
      <w:r>
        <w:rPr>
          <w:spacing w:val="-53"/>
          <w:w w:val="99"/>
        </w:rPr>
        <w:t> </w:t>
      </w:r>
      <w:r>
        <w:rPr>
          <w:rFonts w:ascii="Arial" w:hAnsi="Arial" w:cs="Arial" w:eastAsia="Arial" w:hint="default"/>
          <w:w w:val="99"/>
        </w:rPr>
        <w:t>1,146.7</w:t>
      </w:r>
      <w:r>
        <w:rPr>
          <w:rFonts w:ascii="Arial" w:hAnsi="Arial" w:cs="Arial" w:eastAsia="Arial" w:hint="default"/>
          <w:spacing w:val="-57"/>
          <w:w w:val="99"/>
        </w:rPr>
        <w:t> </w:t>
      </w:r>
      <w:r>
        <w:rPr>
          <w:rFonts w:ascii="Arial" w:hAnsi="Arial" w:cs="Arial" w:eastAsia="Arial" w:hint="default"/>
          <w:spacing w:val="-57"/>
          <w:w w:val="99"/>
        </w:rPr>
      </w:r>
      <w:r>
        <w:rPr>
          <w:spacing w:val="-12"/>
        </w:rPr>
        <w:t>万户，达到</w:t>
      </w:r>
      <w:r>
        <w:rPr>
          <w:spacing w:val="-57"/>
        </w:rPr>
        <w:t> </w:t>
      </w:r>
      <w:r>
        <w:rPr>
          <w:rFonts w:ascii="Arial" w:hAnsi="Arial" w:cs="Arial" w:eastAsia="Arial" w:hint="default"/>
        </w:rPr>
        <w:t>7,506.6</w:t>
      </w:r>
      <w:r>
        <w:rPr>
          <w:rFonts w:ascii="Arial" w:hAnsi="Arial" w:cs="Arial" w:eastAsia="Arial" w:hint="default"/>
          <w:spacing w:val="-8"/>
        </w:rPr>
        <w:t> </w:t>
      </w:r>
      <w:r>
        <w:rPr>
          <w:spacing w:val="-6"/>
        </w:rPr>
        <w:t>万户，用户渗透率达到</w:t>
      </w:r>
      <w:r>
        <w:rPr>
          <w:spacing w:val="-56"/>
        </w:rPr>
        <w:t> </w:t>
      </w:r>
      <w:r>
        <w:rPr>
          <w:rFonts w:ascii="Arial" w:hAnsi="Arial" w:cs="Arial" w:eastAsia="Arial" w:hint="default"/>
          <w:spacing w:val="-6"/>
        </w:rPr>
        <w:t>46.1%</w:t>
      </w:r>
      <w:r>
        <w:rPr>
          <w:spacing w:val="-6"/>
        </w:rPr>
        <w:t>；</w:t>
      </w:r>
      <w:r>
        <w:rPr>
          <w:rFonts w:ascii="Arial" w:hAnsi="Arial" w:cs="Arial" w:eastAsia="Arial" w:hint="default"/>
          <w:spacing w:val="-6"/>
        </w:rPr>
        <w:t>GPRS</w:t>
      </w:r>
      <w:r>
        <w:rPr>
          <w:rFonts w:ascii="Arial" w:hAnsi="Arial" w:cs="Arial" w:eastAsia="Arial" w:hint="default"/>
          <w:spacing w:val="-7"/>
        </w:rPr>
        <w:t> </w:t>
      </w:r>
      <w:r>
        <w:rPr/>
        <w:t>数据流量同比增长</w:t>
      </w:r>
      <w:r>
        <w:rPr>
          <w:spacing w:val="-57"/>
        </w:rPr>
        <w:t> </w:t>
      </w:r>
      <w:r>
        <w:rPr>
          <w:rFonts w:ascii="Arial" w:hAnsi="Arial" w:cs="Arial" w:eastAsia="Arial" w:hint="default"/>
        </w:rPr>
        <w:t>77.4%</w:t>
      </w:r>
      <w:r>
        <w:rPr/>
        <w:t>。</w:t>
      </w:r>
    </w:p>
    <w:p>
      <w:pPr>
        <w:spacing w:after="0" w:line="286" w:lineRule="exact"/>
        <w:jc w:val="left"/>
        <w:sectPr>
          <w:pgSz w:w="11910" w:h="16840"/>
          <w:pgMar w:header="567" w:footer="745" w:top="800" w:bottom="940" w:left="1380" w:right="680"/>
        </w:sectPr>
      </w:pPr>
    </w:p>
    <w:p>
      <w:pPr>
        <w:spacing w:line="240" w:lineRule="auto" w:before="8"/>
        <w:rPr>
          <w:rFonts w:ascii="宋体" w:hAnsi="宋体" w:cs="宋体" w:eastAsia="宋体" w:hint="default"/>
          <w:sz w:val="22"/>
          <w:szCs w:val="22"/>
        </w:rPr>
      </w:pPr>
    </w:p>
    <w:p>
      <w:pPr>
        <w:pStyle w:val="BodyText"/>
        <w:spacing w:line="240" w:lineRule="auto" w:before="31"/>
        <w:ind w:left="658" w:right="89"/>
        <w:jc w:val="left"/>
      </w:pPr>
      <w:r>
        <w:rPr>
          <w:rFonts w:ascii="Arial" w:hAnsi="Arial" w:cs="Arial" w:eastAsia="Arial" w:hint="default"/>
        </w:rPr>
        <w:t>2</w:t>
      </w:r>
      <w:r>
        <w:rPr/>
        <w:t>、固网业务</w:t>
      </w:r>
    </w:p>
    <w:p>
      <w:pPr>
        <w:spacing w:line="240" w:lineRule="auto" w:before="13"/>
        <w:rPr>
          <w:rFonts w:ascii="宋体" w:hAnsi="宋体" w:cs="宋体" w:eastAsia="宋体" w:hint="default"/>
          <w:sz w:val="18"/>
          <w:szCs w:val="18"/>
        </w:rPr>
      </w:pPr>
    </w:p>
    <w:p>
      <w:pPr>
        <w:pStyle w:val="BodyText"/>
        <w:spacing w:line="228" w:lineRule="auto"/>
        <w:ind w:left="1019" w:right="154"/>
        <w:jc w:val="both"/>
      </w:pPr>
      <w:r>
        <w:rPr>
          <w:rFonts w:ascii="Arial" w:hAnsi="Arial" w:cs="Arial" w:eastAsia="Arial" w:hint="default"/>
        </w:rPr>
        <w:t>2012</w:t>
      </w:r>
      <w:r>
        <w:rPr>
          <w:rFonts w:ascii="Arial" w:hAnsi="Arial" w:cs="Arial" w:eastAsia="Arial" w:hint="default"/>
          <w:spacing w:val="-42"/>
        </w:rPr>
        <w:t> </w:t>
      </w:r>
      <w:r>
        <w:rPr/>
        <w:t>年，公司深入开展宽带普及提速工程，优化固网营销体系，改善客户感知，强化维系</w:t>
      </w:r>
      <w:r>
        <w:rPr>
          <w:w w:val="99"/>
        </w:rPr>
        <w:t> </w:t>
      </w:r>
      <w:r>
        <w:rPr/>
        <w:t>保有，提升服务能力，促进固网宽带业务快速发展；充分发挥光纤宽带和移动业务的融合</w:t>
      </w:r>
      <w:r>
        <w:rPr>
          <w:w w:val="99"/>
        </w:rPr>
        <w:t> </w:t>
      </w:r>
      <w:r>
        <w:rPr/>
        <w:t>营销优势，引导用户向高价值产品迁移，固网收入结构进一步改善。宽带用户净增</w:t>
      </w:r>
      <w:r>
        <w:rPr>
          <w:spacing w:val="11"/>
        </w:rPr>
        <w:t> </w:t>
      </w:r>
      <w:r>
        <w:rPr>
          <w:rFonts w:ascii="Arial" w:hAnsi="Arial" w:cs="Arial" w:eastAsia="Arial" w:hint="default"/>
        </w:rPr>
        <w:t>821.8</w:t>
      </w:r>
      <w:r>
        <w:rPr>
          <w:rFonts w:ascii="Arial" w:hAnsi="Arial" w:cs="Arial" w:eastAsia="Arial" w:hint="default"/>
          <w:w w:val="99"/>
        </w:rPr>
        <w:t> </w:t>
      </w:r>
      <w:r>
        <w:rPr/>
        <w:t>万户，达到</w:t>
      </w:r>
      <w:r>
        <w:rPr>
          <w:spacing w:val="-51"/>
        </w:rPr>
        <w:t> </w:t>
      </w:r>
      <w:r>
        <w:rPr>
          <w:rFonts w:ascii="Arial" w:hAnsi="Arial" w:cs="Arial" w:eastAsia="Arial" w:hint="default"/>
        </w:rPr>
        <w:t>6,386.9</w:t>
      </w:r>
      <w:r>
        <w:rPr>
          <w:rFonts w:ascii="Arial" w:hAnsi="Arial" w:cs="Arial" w:eastAsia="Arial" w:hint="default"/>
          <w:spacing w:val="-3"/>
        </w:rPr>
        <w:t> </w:t>
      </w:r>
      <w:r>
        <w:rPr/>
        <w:t>万户；</w:t>
      </w:r>
      <w:r>
        <w:rPr>
          <w:rFonts w:ascii="Arial" w:hAnsi="Arial" w:cs="Arial" w:eastAsia="Arial" w:hint="default"/>
        </w:rPr>
        <w:t>4M</w:t>
      </w:r>
      <w:r>
        <w:rPr>
          <w:rFonts w:ascii="Arial" w:hAnsi="Arial" w:cs="Arial" w:eastAsia="Arial" w:hint="default"/>
          <w:spacing w:val="-4"/>
        </w:rPr>
        <w:t> </w:t>
      </w:r>
      <w:r>
        <w:rPr/>
        <w:t>及以上速率宽带用户占比达到</w:t>
      </w:r>
      <w:r>
        <w:rPr>
          <w:spacing w:val="-50"/>
        </w:rPr>
        <w:t> </w:t>
      </w:r>
      <w:r>
        <w:rPr>
          <w:rFonts w:ascii="Arial" w:hAnsi="Arial" w:cs="Arial" w:eastAsia="Arial" w:hint="default"/>
        </w:rPr>
        <w:t>63.8%</w:t>
      </w:r>
      <w:r>
        <w:rPr/>
        <w:t>，同比提高</w:t>
      </w:r>
      <w:r>
        <w:rPr>
          <w:spacing w:val="-51"/>
        </w:rPr>
        <w:t> </w:t>
      </w:r>
      <w:r>
        <w:rPr>
          <w:rFonts w:ascii="Arial" w:hAnsi="Arial" w:cs="Arial" w:eastAsia="Arial" w:hint="default"/>
        </w:rPr>
        <w:t>22.5</w:t>
      </w:r>
      <w:r>
        <w:rPr>
          <w:rFonts w:ascii="Arial" w:hAnsi="Arial" w:cs="Arial" w:eastAsia="Arial" w:hint="default"/>
          <w:spacing w:val="-3"/>
        </w:rPr>
        <w:t> </w:t>
      </w:r>
      <w:r>
        <w:rPr/>
        <w:t>个百</w:t>
      </w:r>
      <w:r>
        <w:rPr>
          <w:w w:val="99"/>
        </w:rPr>
        <w:t> </w:t>
      </w:r>
      <w:r>
        <w:rPr/>
        <w:t>分点；宽带内容和应用业务用户达到 </w:t>
      </w:r>
      <w:r>
        <w:rPr>
          <w:rFonts w:ascii="Arial" w:hAnsi="Arial" w:cs="Arial" w:eastAsia="Arial" w:hint="default"/>
        </w:rPr>
        <w:t>1,905.8 </w:t>
      </w:r>
      <w:r>
        <w:rPr/>
        <w:t>万户，占宽带用户比例达到</w:t>
      </w:r>
      <w:r>
        <w:rPr>
          <w:spacing w:val="-71"/>
        </w:rPr>
        <w:t> </w:t>
      </w:r>
      <w:r>
        <w:rPr>
          <w:rFonts w:ascii="Arial" w:hAnsi="Arial" w:cs="Arial" w:eastAsia="Arial" w:hint="default"/>
        </w:rPr>
        <w:t>29.8%</w:t>
      </w:r>
      <w:r>
        <w:rPr/>
        <w:t>；宽带用</w:t>
      </w:r>
      <w:r>
        <w:rPr>
          <w:w w:val="99"/>
        </w:rPr>
        <w:t> </w:t>
      </w:r>
      <w:r>
        <w:rPr/>
        <w:t>户</w:t>
      </w:r>
      <w:r>
        <w:rPr>
          <w:spacing w:val="-58"/>
        </w:rPr>
        <w:t> </w:t>
      </w:r>
      <w:r>
        <w:rPr>
          <w:rFonts w:ascii="Arial" w:hAnsi="Arial" w:cs="Arial" w:eastAsia="Arial" w:hint="default"/>
        </w:rPr>
        <w:t>ARPU</w:t>
      </w:r>
      <w:r>
        <w:rPr>
          <w:rFonts w:ascii="Arial" w:hAnsi="Arial" w:cs="Arial" w:eastAsia="Arial" w:hint="default"/>
          <w:spacing w:val="-8"/>
        </w:rPr>
        <w:t> </w:t>
      </w:r>
      <w:r>
        <w:rPr/>
        <w:t>为人民币</w:t>
      </w:r>
      <w:r>
        <w:rPr>
          <w:spacing w:val="-58"/>
        </w:rPr>
        <w:t> </w:t>
      </w:r>
      <w:r>
        <w:rPr>
          <w:rFonts w:ascii="Arial" w:hAnsi="Arial" w:cs="Arial" w:eastAsia="Arial" w:hint="default"/>
        </w:rPr>
        <w:t>54.4</w:t>
      </w:r>
      <w:r>
        <w:rPr>
          <w:rFonts w:ascii="Arial" w:hAnsi="Arial" w:cs="Arial" w:eastAsia="Arial" w:hint="default"/>
          <w:spacing w:val="-9"/>
        </w:rPr>
        <w:t> </w:t>
      </w:r>
      <w:r>
        <w:rPr/>
        <w:t>元，同比下降</w:t>
      </w:r>
      <w:r>
        <w:rPr>
          <w:spacing w:val="-58"/>
        </w:rPr>
        <w:t> </w:t>
      </w:r>
      <w:r>
        <w:rPr>
          <w:rFonts w:ascii="Arial" w:hAnsi="Arial" w:cs="Arial" w:eastAsia="Arial" w:hint="default"/>
        </w:rPr>
        <w:t>3.5%</w:t>
      </w:r>
      <w:r>
        <w:rPr/>
        <w:t>；“沃家庭”用户净增</w:t>
      </w:r>
      <w:r>
        <w:rPr>
          <w:spacing w:val="-58"/>
        </w:rPr>
        <w:t> </w:t>
      </w:r>
      <w:r>
        <w:rPr>
          <w:rFonts w:ascii="Arial" w:hAnsi="Arial" w:cs="Arial" w:eastAsia="Arial" w:hint="default"/>
        </w:rPr>
        <w:t>650</w:t>
      </w:r>
      <w:r>
        <w:rPr>
          <w:rFonts w:ascii="Arial" w:hAnsi="Arial" w:cs="Arial" w:eastAsia="Arial" w:hint="default"/>
          <w:spacing w:val="-8"/>
        </w:rPr>
        <w:t> </w:t>
      </w:r>
      <w:r>
        <w:rPr/>
        <w:t>万户，带动宽带、</w:t>
      </w:r>
      <w:r>
        <w:rPr>
          <w:w w:val="99"/>
        </w:rPr>
        <w:t> </w:t>
      </w:r>
      <w:r>
        <w:rPr/>
        <w:t>固话新入网用户分别为</w:t>
      </w:r>
      <w:r>
        <w:rPr>
          <w:spacing w:val="-56"/>
        </w:rPr>
        <w:t> </w:t>
      </w:r>
      <w:r>
        <w:rPr>
          <w:rFonts w:ascii="Arial" w:hAnsi="Arial" w:cs="Arial" w:eastAsia="Arial" w:hint="default"/>
        </w:rPr>
        <w:t>495</w:t>
      </w:r>
      <w:r>
        <w:rPr>
          <w:rFonts w:ascii="Arial" w:hAnsi="Arial" w:cs="Arial" w:eastAsia="Arial" w:hint="default"/>
          <w:spacing w:val="-9"/>
        </w:rPr>
        <w:t> </w:t>
      </w:r>
      <w:r>
        <w:rPr/>
        <w:t>万户、</w:t>
      </w:r>
      <w:r>
        <w:rPr>
          <w:rFonts w:ascii="Arial" w:hAnsi="Arial" w:cs="Arial" w:eastAsia="Arial" w:hint="default"/>
        </w:rPr>
        <w:t>325</w:t>
      </w:r>
      <w:r>
        <w:rPr>
          <w:rFonts w:ascii="Arial" w:hAnsi="Arial" w:cs="Arial" w:eastAsia="Arial" w:hint="default"/>
          <w:spacing w:val="-9"/>
        </w:rPr>
        <w:t> </w:t>
      </w:r>
      <w:r>
        <w:rPr/>
        <w:t>万户。</w:t>
      </w:r>
    </w:p>
    <w:p>
      <w:pPr>
        <w:spacing w:line="240" w:lineRule="auto" w:before="2"/>
        <w:rPr>
          <w:rFonts w:ascii="宋体" w:hAnsi="宋体" w:cs="宋体" w:eastAsia="宋体" w:hint="default"/>
          <w:sz w:val="18"/>
          <w:szCs w:val="18"/>
        </w:rPr>
      </w:pPr>
    </w:p>
    <w:p>
      <w:pPr>
        <w:pStyle w:val="BodyText"/>
        <w:spacing w:line="295" w:lineRule="exact"/>
        <w:ind w:left="1019" w:right="0"/>
        <w:jc w:val="both"/>
      </w:pPr>
      <w:r>
        <w:rPr>
          <w:rFonts w:ascii="Arial" w:hAnsi="Arial" w:cs="Arial" w:eastAsia="Arial" w:hint="default"/>
        </w:rPr>
        <w:t>2012</w:t>
      </w:r>
      <w:r>
        <w:rPr>
          <w:rFonts w:ascii="Arial" w:hAnsi="Arial" w:cs="Arial" w:eastAsia="Arial" w:hint="default"/>
          <w:spacing w:val="9"/>
        </w:rPr>
        <w:t> </w:t>
      </w:r>
      <w:r>
        <w:rPr/>
        <w:t>年，公司本地电话用户流失</w:t>
      </w:r>
      <w:r>
        <w:rPr>
          <w:spacing w:val="-39"/>
        </w:rPr>
        <w:t> </w:t>
      </w:r>
      <w:r>
        <w:rPr>
          <w:rFonts w:ascii="Arial" w:hAnsi="Arial" w:cs="Arial" w:eastAsia="Arial" w:hint="default"/>
        </w:rPr>
        <w:t>89.4</w:t>
      </w:r>
      <w:r>
        <w:rPr>
          <w:rFonts w:ascii="Arial" w:hAnsi="Arial" w:cs="Arial" w:eastAsia="Arial" w:hint="default"/>
          <w:spacing w:val="9"/>
        </w:rPr>
        <w:t> </w:t>
      </w:r>
      <w:r>
        <w:rPr/>
        <w:t>万户，用户总数达到</w:t>
      </w:r>
      <w:r>
        <w:rPr>
          <w:spacing w:val="-38"/>
        </w:rPr>
        <w:t> </w:t>
      </w:r>
      <w:r>
        <w:rPr>
          <w:rFonts w:ascii="Arial" w:hAnsi="Arial" w:cs="Arial" w:eastAsia="Arial" w:hint="default"/>
        </w:rPr>
        <w:t>9,195.7</w:t>
      </w:r>
      <w:r>
        <w:rPr>
          <w:rFonts w:ascii="Arial" w:hAnsi="Arial" w:cs="Arial" w:eastAsia="Arial" w:hint="default"/>
          <w:spacing w:val="9"/>
        </w:rPr>
        <w:t> </w:t>
      </w:r>
      <w:r>
        <w:rPr/>
        <w:t>万户，其中无线市话</w:t>
      </w:r>
    </w:p>
    <w:p>
      <w:pPr>
        <w:pStyle w:val="BodyText"/>
        <w:spacing w:line="286" w:lineRule="exact" w:before="19"/>
        <w:ind w:left="1019" w:right="97"/>
        <w:jc w:val="left"/>
      </w:pPr>
      <w:r>
        <w:rPr/>
        <w:t>用户流失</w:t>
      </w:r>
      <w:r>
        <w:rPr>
          <w:spacing w:val="-59"/>
        </w:rPr>
        <w:t> </w:t>
      </w:r>
      <w:r>
        <w:rPr>
          <w:rFonts w:ascii="Arial" w:hAnsi="Arial" w:cs="Arial" w:eastAsia="Arial" w:hint="default"/>
        </w:rPr>
        <w:t>236.5</w:t>
      </w:r>
      <w:r>
        <w:rPr>
          <w:rFonts w:ascii="Arial" w:hAnsi="Arial" w:cs="Arial" w:eastAsia="Arial" w:hint="default"/>
          <w:spacing w:val="-9"/>
        </w:rPr>
        <w:t> </w:t>
      </w:r>
      <w:r>
        <w:rPr/>
        <w:t>万户，用户总数达到</w:t>
      </w:r>
      <w:r>
        <w:rPr>
          <w:spacing w:val="-59"/>
        </w:rPr>
        <w:t> </w:t>
      </w:r>
      <w:r>
        <w:rPr>
          <w:rFonts w:ascii="Arial" w:hAnsi="Arial" w:cs="Arial" w:eastAsia="Arial" w:hint="default"/>
        </w:rPr>
        <w:t>542.2</w:t>
      </w:r>
      <w:r>
        <w:rPr>
          <w:rFonts w:ascii="Arial" w:hAnsi="Arial" w:cs="Arial" w:eastAsia="Arial" w:hint="default"/>
          <w:spacing w:val="-10"/>
        </w:rPr>
        <w:t> </w:t>
      </w:r>
      <w:r>
        <w:rPr/>
        <w:t>万户；本地电话用户</w:t>
      </w:r>
      <w:r>
        <w:rPr>
          <w:spacing w:val="-58"/>
        </w:rPr>
        <w:t> </w:t>
      </w:r>
      <w:r>
        <w:rPr>
          <w:rFonts w:ascii="Arial" w:hAnsi="Arial" w:cs="Arial" w:eastAsia="Arial" w:hint="default"/>
        </w:rPr>
        <w:t>ARPU</w:t>
      </w:r>
      <w:r>
        <w:rPr>
          <w:rFonts w:ascii="Arial" w:hAnsi="Arial" w:cs="Arial" w:eastAsia="Arial" w:hint="default"/>
          <w:spacing w:val="-10"/>
        </w:rPr>
        <w:t> </w:t>
      </w:r>
      <w:r>
        <w:rPr/>
        <w:t>为人民币</w:t>
      </w:r>
      <w:r>
        <w:rPr>
          <w:spacing w:val="-58"/>
        </w:rPr>
        <w:t> </w:t>
      </w:r>
      <w:r>
        <w:rPr>
          <w:rFonts w:ascii="Arial" w:hAnsi="Arial" w:cs="Arial" w:eastAsia="Arial" w:hint="default"/>
        </w:rPr>
        <w:t>22.6</w:t>
      </w:r>
      <w:r>
        <w:rPr>
          <w:rFonts w:ascii="Arial" w:hAnsi="Arial" w:cs="Arial" w:eastAsia="Arial" w:hint="default"/>
          <w:spacing w:val="-10"/>
        </w:rPr>
        <w:t> </w:t>
      </w:r>
      <w:r>
        <w:rPr/>
        <w:t>元，</w:t>
      </w:r>
      <w:r>
        <w:rPr>
          <w:w w:val="99"/>
        </w:rPr>
        <w:t> </w:t>
      </w:r>
      <w:r>
        <w:rPr/>
        <w:t>同比下降</w:t>
      </w:r>
      <w:r>
        <w:rPr>
          <w:spacing w:val="-58"/>
        </w:rPr>
        <w:t> </w:t>
      </w:r>
      <w:r>
        <w:rPr>
          <w:rFonts w:ascii="Arial" w:hAnsi="Arial" w:cs="Arial" w:eastAsia="Arial" w:hint="default"/>
        </w:rPr>
        <w:t>12.1%</w:t>
      </w:r>
      <w:r>
        <w:rPr/>
        <w:t>。</w:t>
      </w:r>
    </w:p>
    <w:p>
      <w:pPr>
        <w:spacing w:line="240" w:lineRule="auto" w:before="1"/>
        <w:rPr>
          <w:rFonts w:ascii="宋体" w:hAnsi="宋体" w:cs="宋体" w:eastAsia="宋体" w:hint="default"/>
          <w:sz w:val="17"/>
          <w:szCs w:val="17"/>
        </w:rPr>
      </w:pPr>
    </w:p>
    <w:p>
      <w:pPr>
        <w:pStyle w:val="BodyText"/>
        <w:spacing w:line="240" w:lineRule="auto"/>
        <w:ind w:left="658" w:right="89"/>
        <w:jc w:val="left"/>
      </w:pPr>
      <w:r>
        <w:rPr>
          <w:rFonts w:ascii="Arial" w:hAnsi="Arial" w:cs="Arial" w:eastAsia="Arial" w:hint="default"/>
        </w:rPr>
        <w:t>3</w:t>
      </w:r>
      <w:r>
        <w:rPr/>
        <w:t>、网络能力</w:t>
      </w:r>
    </w:p>
    <w:p>
      <w:pPr>
        <w:spacing w:line="240" w:lineRule="auto" w:before="2"/>
        <w:rPr>
          <w:rFonts w:ascii="宋体" w:hAnsi="宋体" w:cs="宋体" w:eastAsia="宋体" w:hint="default"/>
          <w:sz w:val="19"/>
          <w:szCs w:val="19"/>
        </w:rPr>
      </w:pPr>
    </w:p>
    <w:p>
      <w:pPr>
        <w:pStyle w:val="BodyText"/>
        <w:spacing w:line="225" w:lineRule="auto"/>
        <w:ind w:left="1019" w:right="95"/>
        <w:jc w:val="left"/>
      </w:pPr>
      <w:r>
        <w:rPr>
          <w:rFonts w:ascii="Arial" w:hAnsi="Arial" w:cs="Arial" w:eastAsia="Arial" w:hint="default"/>
        </w:rPr>
        <w:t>2012</w:t>
      </w:r>
      <w:r>
        <w:rPr>
          <w:rFonts w:ascii="Arial" w:hAnsi="Arial" w:cs="Arial" w:eastAsia="Arial" w:hint="default"/>
          <w:spacing w:val="-8"/>
        </w:rPr>
        <w:t> </w:t>
      </w:r>
      <w:r>
        <w:rPr/>
        <w:t>年，公司网络建设以</w:t>
      </w:r>
      <w:r>
        <w:rPr>
          <w:spacing w:val="-56"/>
        </w:rPr>
        <w:t> </w:t>
      </w:r>
      <w:r>
        <w:rPr>
          <w:rFonts w:ascii="Arial" w:hAnsi="Arial" w:cs="Arial" w:eastAsia="Arial" w:hint="default"/>
        </w:rPr>
        <w:t>3G</w:t>
      </w:r>
      <w:r>
        <w:rPr>
          <w:rFonts w:ascii="Arial" w:hAnsi="Arial" w:cs="Arial" w:eastAsia="Arial" w:hint="default"/>
          <w:spacing w:val="-9"/>
        </w:rPr>
        <w:t> </w:t>
      </w:r>
      <w:r>
        <w:rPr/>
        <w:t>为主，快速扩大</w:t>
      </w:r>
      <w:r>
        <w:rPr>
          <w:spacing w:val="-55"/>
        </w:rPr>
        <w:t> </w:t>
      </w:r>
      <w:r>
        <w:rPr>
          <w:rFonts w:ascii="Arial" w:hAnsi="Arial" w:cs="Arial" w:eastAsia="Arial" w:hint="default"/>
        </w:rPr>
        <w:t>3G</w:t>
      </w:r>
      <w:r>
        <w:rPr>
          <w:rFonts w:ascii="Arial" w:hAnsi="Arial" w:cs="Arial" w:eastAsia="Arial" w:hint="default"/>
          <w:spacing w:val="-9"/>
        </w:rPr>
        <w:t> </w:t>
      </w:r>
      <w:r>
        <w:rPr/>
        <w:t>广域覆盖，完善城区深度覆盖，审慎进</w:t>
      </w:r>
      <w:r>
        <w:rPr>
          <w:w w:val="99"/>
        </w:rPr>
        <w:t> </w:t>
      </w:r>
      <w:r>
        <w:rPr/>
        <w:t>行 </w:t>
      </w:r>
      <w:r>
        <w:rPr>
          <w:rFonts w:ascii="Arial" w:hAnsi="Arial" w:cs="Arial" w:eastAsia="Arial" w:hint="default"/>
        </w:rPr>
        <w:t>2G</w:t>
      </w:r>
      <w:r>
        <w:rPr>
          <w:rFonts w:ascii="Arial" w:hAnsi="Arial" w:cs="Arial" w:eastAsia="Arial" w:hint="default"/>
          <w:spacing w:val="1"/>
        </w:rPr>
        <w:t> </w:t>
      </w:r>
      <w:r>
        <w:rPr/>
        <w:t>网络覆盖和容量建设。同时，加快宽带网络普及提速，网络能力不断增强。全年新</w:t>
      </w:r>
      <w:r>
        <w:rPr>
          <w:w w:val="99"/>
        </w:rPr>
        <w:t> </w:t>
      </w:r>
      <w:r>
        <w:rPr/>
        <w:t>增</w:t>
      </w:r>
      <w:r>
        <w:rPr>
          <w:spacing w:val="-44"/>
        </w:rPr>
        <w:t> </w:t>
      </w:r>
      <w:r>
        <w:rPr>
          <w:rFonts w:ascii="Arial" w:hAnsi="Arial" w:cs="Arial" w:eastAsia="Arial" w:hint="default"/>
        </w:rPr>
        <w:t>3G</w:t>
      </w:r>
      <w:r>
        <w:rPr>
          <w:rFonts w:ascii="Arial" w:hAnsi="Arial" w:cs="Arial" w:eastAsia="Arial" w:hint="default"/>
          <w:spacing w:val="4"/>
        </w:rPr>
        <w:t> </w:t>
      </w:r>
      <w:r>
        <w:rPr/>
        <w:t>基站</w:t>
      </w:r>
      <w:r>
        <w:rPr>
          <w:spacing w:val="-43"/>
        </w:rPr>
        <w:t> </w:t>
      </w:r>
      <w:r>
        <w:rPr>
          <w:rFonts w:ascii="Arial" w:hAnsi="Arial" w:cs="Arial" w:eastAsia="Arial" w:hint="default"/>
        </w:rPr>
        <w:t>9.2</w:t>
      </w:r>
      <w:r>
        <w:rPr>
          <w:rFonts w:ascii="Arial" w:hAnsi="Arial" w:cs="Arial" w:eastAsia="Arial" w:hint="default"/>
          <w:spacing w:val="5"/>
        </w:rPr>
        <w:t> </w:t>
      </w:r>
      <w:r>
        <w:rPr/>
        <w:t>万个，基站数量达到</w:t>
      </w:r>
      <w:r>
        <w:rPr>
          <w:spacing w:val="-43"/>
        </w:rPr>
        <w:t> </w:t>
      </w:r>
      <w:r>
        <w:rPr>
          <w:rFonts w:ascii="Arial" w:hAnsi="Arial" w:cs="Arial" w:eastAsia="Arial" w:hint="default"/>
        </w:rPr>
        <w:t>33.1</w:t>
      </w:r>
      <w:r>
        <w:rPr>
          <w:rFonts w:ascii="Arial" w:hAnsi="Arial" w:cs="Arial" w:eastAsia="Arial" w:hint="default"/>
          <w:spacing w:val="5"/>
        </w:rPr>
        <w:t> </w:t>
      </w:r>
      <w:r>
        <w:rPr/>
        <w:t>万个，</w:t>
      </w:r>
      <w:r>
        <w:rPr>
          <w:rFonts w:ascii="Arial" w:hAnsi="Arial" w:cs="Arial" w:eastAsia="Arial" w:hint="default"/>
        </w:rPr>
        <w:t>3G</w:t>
      </w:r>
      <w:r>
        <w:rPr>
          <w:rFonts w:ascii="Arial" w:hAnsi="Arial" w:cs="Arial" w:eastAsia="Arial" w:hint="default"/>
          <w:spacing w:val="4"/>
        </w:rPr>
        <w:t> </w:t>
      </w:r>
      <w:r>
        <w:rPr/>
        <w:t>网络已覆盖全国县级以上城市，乡镇</w:t>
      </w:r>
      <w:r>
        <w:rPr>
          <w:w w:val="99"/>
        </w:rPr>
        <w:t> </w:t>
      </w:r>
      <w:r>
        <w:rPr/>
        <w:t>覆盖率提升</w:t>
      </w:r>
      <w:r>
        <w:rPr>
          <w:spacing w:val="6"/>
        </w:rPr>
        <w:t> </w:t>
      </w:r>
      <w:r>
        <w:rPr>
          <w:rFonts w:ascii="Arial" w:hAnsi="Arial" w:cs="Arial" w:eastAsia="Arial" w:hint="default"/>
        </w:rPr>
        <w:t>44</w:t>
      </w:r>
      <w:r>
        <w:rPr>
          <w:rFonts w:ascii="Arial" w:hAnsi="Arial" w:cs="Arial" w:eastAsia="Arial" w:hint="default"/>
          <w:spacing w:val="54"/>
        </w:rPr>
        <w:t> </w:t>
      </w:r>
      <w:r>
        <w:rPr/>
        <w:t>个百分点，基本覆盖东、中部乡镇及西部发达乡镇。</w:t>
      </w:r>
      <w:r>
        <w:rPr>
          <w:rFonts w:ascii="Arial" w:hAnsi="Arial" w:cs="Arial" w:eastAsia="Arial" w:hint="default"/>
        </w:rPr>
        <w:t>3G</w:t>
      </w:r>
      <w:r>
        <w:rPr>
          <w:rFonts w:ascii="Arial" w:hAnsi="Arial" w:cs="Arial" w:eastAsia="Arial" w:hint="default"/>
          <w:spacing w:val="53"/>
        </w:rPr>
        <w:t> </w:t>
      </w:r>
      <w:r>
        <w:rPr/>
        <w:t>网络全部升级到</w:t>
      </w:r>
      <w:r>
        <w:rPr>
          <w:spacing w:val="-105"/>
        </w:rPr>
        <w:t> </w:t>
      </w:r>
      <w:r>
        <w:rPr>
          <w:spacing w:val="-105"/>
        </w:rPr>
      </w:r>
      <w:r>
        <w:rPr>
          <w:rFonts w:ascii="Arial" w:hAnsi="Arial" w:cs="Arial" w:eastAsia="Arial" w:hint="default"/>
        </w:rPr>
        <w:t>HSPA+</w:t>
      </w:r>
      <w:r>
        <w:rPr/>
        <w:t>，继续保持</w:t>
      </w:r>
      <w:r>
        <w:rPr>
          <w:spacing w:val="-52"/>
        </w:rPr>
        <w:t> </w:t>
      </w:r>
      <w:r>
        <w:rPr>
          <w:rFonts w:ascii="Arial" w:hAnsi="Arial" w:cs="Arial" w:eastAsia="Arial" w:hint="default"/>
        </w:rPr>
        <w:t>3G</w:t>
      </w:r>
      <w:r>
        <w:rPr>
          <w:rFonts w:ascii="Arial" w:hAnsi="Arial" w:cs="Arial" w:eastAsia="Arial" w:hint="default"/>
          <w:spacing w:val="-3"/>
        </w:rPr>
        <w:t> </w:t>
      </w:r>
      <w:r>
        <w:rPr/>
        <w:t>网络速率领先优势。新增</w:t>
      </w:r>
      <w:r>
        <w:rPr>
          <w:spacing w:val="-51"/>
        </w:rPr>
        <w:t> </w:t>
      </w:r>
      <w:r>
        <w:rPr>
          <w:rFonts w:ascii="Arial" w:hAnsi="Arial" w:cs="Arial" w:eastAsia="Arial" w:hint="default"/>
        </w:rPr>
        <w:t>GSM</w:t>
      </w:r>
      <w:r>
        <w:rPr>
          <w:rFonts w:ascii="Arial" w:hAnsi="Arial" w:cs="Arial" w:eastAsia="Arial" w:hint="default"/>
          <w:spacing w:val="-4"/>
        </w:rPr>
        <w:t> </w:t>
      </w:r>
      <w:r>
        <w:rPr/>
        <w:t>基站</w:t>
      </w:r>
      <w:r>
        <w:rPr>
          <w:spacing w:val="-52"/>
        </w:rPr>
        <w:t> </w:t>
      </w:r>
      <w:r>
        <w:rPr>
          <w:rFonts w:ascii="Arial" w:hAnsi="Arial" w:cs="Arial" w:eastAsia="Arial" w:hint="default"/>
        </w:rPr>
        <w:t>3.6</w:t>
      </w:r>
      <w:r>
        <w:rPr>
          <w:rFonts w:ascii="Arial" w:hAnsi="Arial" w:cs="Arial" w:eastAsia="Arial" w:hint="default"/>
          <w:spacing w:val="-3"/>
        </w:rPr>
        <w:t> </w:t>
      </w:r>
      <w:r>
        <w:rPr/>
        <w:t>万个，基站数量达到</w:t>
      </w:r>
      <w:r>
        <w:rPr>
          <w:spacing w:val="-52"/>
        </w:rPr>
        <w:t> </w:t>
      </w:r>
      <w:r>
        <w:rPr>
          <w:rFonts w:ascii="Arial" w:hAnsi="Arial" w:cs="Arial" w:eastAsia="Arial" w:hint="default"/>
        </w:rPr>
        <w:t>41.1</w:t>
      </w:r>
      <w:r>
        <w:rPr>
          <w:rFonts w:ascii="Arial" w:hAnsi="Arial" w:cs="Arial" w:eastAsia="Arial" w:hint="default"/>
          <w:w w:val="99"/>
        </w:rPr>
        <w:t> </w:t>
      </w:r>
      <w:r>
        <w:rPr>
          <w:spacing w:val="-7"/>
        </w:rPr>
        <w:t>万个，除西部部分地区外，</w:t>
      </w:r>
      <w:r>
        <w:rPr>
          <w:rFonts w:ascii="Arial" w:hAnsi="Arial" w:cs="Arial" w:eastAsia="Arial" w:hint="default"/>
          <w:spacing w:val="-7"/>
        </w:rPr>
        <w:t>GSM </w:t>
      </w:r>
      <w:r>
        <w:rPr>
          <w:spacing w:val="-3"/>
        </w:rPr>
        <w:t>网络基本覆盖了所有乡镇。</w:t>
      </w:r>
      <w:r>
        <w:rPr>
          <w:rFonts w:ascii="Arial" w:hAnsi="Arial" w:cs="Arial" w:eastAsia="Arial" w:hint="default"/>
          <w:spacing w:val="-3"/>
        </w:rPr>
        <w:t>WCDMA </w:t>
      </w:r>
      <w:r>
        <w:rPr/>
        <w:t>网络接通率</w:t>
      </w:r>
      <w:r>
        <w:rPr>
          <w:spacing w:val="-55"/>
        </w:rPr>
        <w:t> </w:t>
      </w:r>
      <w:r>
        <w:rPr>
          <w:rFonts w:ascii="Arial" w:hAnsi="Arial" w:cs="Arial" w:eastAsia="Arial" w:hint="default"/>
        </w:rPr>
        <w:t>98.12%</w:t>
      </w:r>
      <w:r>
        <w:rPr/>
        <w:t>、</w:t>
      </w:r>
      <w:r>
        <w:rPr>
          <w:w w:val="99"/>
        </w:rPr>
        <w:t> </w:t>
      </w:r>
      <w:r>
        <w:rPr/>
        <w:t>掉话率</w:t>
      </w:r>
      <w:r>
        <w:rPr>
          <w:spacing w:val="-64"/>
        </w:rPr>
        <w:t> </w:t>
      </w:r>
      <w:r>
        <w:rPr>
          <w:rFonts w:ascii="Arial" w:hAnsi="Arial" w:cs="Arial" w:eastAsia="Arial" w:hint="default"/>
        </w:rPr>
        <w:t>0.16%</w:t>
      </w:r>
      <w:r>
        <w:rPr/>
        <w:t>，</w:t>
      </w:r>
      <w:r>
        <w:rPr>
          <w:rFonts w:ascii="Arial" w:hAnsi="Arial" w:cs="Arial" w:eastAsia="Arial" w:hint="default"/>
        </w:rPr>
        <w:t>GSM</w:t>
      </w:r>
      <w:r>
        <w:rPr>
          <w:rFonts w:ascii="Arial" w:hAnsi="Arial" w:cs="Arial" w:eastAsia="Arial" w:hint="default"/>
          <w:spacing w:val="-15"/>
        </w:rPr>
        <w:t> </w:t>
      </w:r>
      <w:r>
        <w:rPr/>
        <w:t>网络接通率</w:t>
      </w:r>
      <w:r>
        <w:rPr>
          <w:spacing w:val="-64"/>
        </w:rPr>
        <w:t> </w:t>
      </w:r>
      <w:r>
        <w:rPr>
          <w:rFonts w:ascii="Arial" w:hAnsi="Arial" w:cs="Arial" w:eastAsia="Arial" w:hint="default"/>
        </w:rPr>
        <w:t>96.34%</w:t>
      </w:r>
      <w:r>
        <w:rPr/>
        <w:t>、掉话率</w:t>
      </w:r>
      <w:r>
        <w:rPr>
          <w:spacing w:val="-63"/>
        </w:rPr>
        <w:t> </w:t>
      </w:r>
      <w:r>
        <w:rPr>
          <w:rFonts w:ascii="Arial" w:hAnsi="Arial" w:cs="Arial" w:eastAsia="Arial" w:hint="default"/>
        </w:rPr>
        <w:t>0.23%</w:t>
      </w:r>
      <w:r>
        <w:rPr/>
        <w:t>，整体性能指标良好。全年新增</w:t>
      </w:r>
      <w:r>
        <w:rPr>
          <w:w w:val="99"/>
        </w:rPr>
        <w:t> </w:t>
      </w:r>
      <w:r>
        <w:rPr/>
        <w:t>宽带接入端口</w:t>
      </w:r>
      <w:r>
        <w:rPr>
          <w:spacing w:val="-57"/>
        </w:rPr>
        <w:t> </w:t>
      </w:r>
      <w:r>
        <w:rPr>
          <w:rFonts w:ascii="Arial" w:hAnsi="Arial" w:cs="Arial" w:eastAsia="Arial" w:hint="default"/>
        </w:rPr>
        <w:t>2,054</w:t>
      </w:r>
      <w:r>
        <w:rPr>
          <w:rFonts w:ascii="Arial" w:hAnsi="Arial" w:cs="Arial" w:eastAsia="Arial" w:hint="default"/>
          <w:spacing w:val="-8"/>
        </w:rPr>
        <w:t> </w:t>
      </w:r>
      <w:r>
        <w:rPr/>
        <w:t>万个，达到</w:t>
      </w:r>
      <w:r>
        <w:rPr>
          <w:spacing w:val="-57"/>
        </w:rPr>
        <w:t> </w:t>
      </w:r>
      <w:r>
        <w:rPr>
          <w:rFonts w:ascii="Arial" w:hAnsi="Arial" w:cs="Arial" w:eastAsia="Arial" w:hint="default"/>
        </w:rPr>
        <w:t>10,646</w:t>
      </w:r>
      <w:r>
        <w:rPr>
          <w:rFonts w:ascii="Arial" w:hAnsi="Arial" w:cs="Arial" w:eastAsia="Arial" w:hint="default"/>
          <w:spacing w:val="-8"/>
        </w:rPr>
        <w:t> </w:t>
      </w:r>
      <w:r>
        <w:rPr/>
        <w:t>万个，其中</w:t>
      </w:r>
      <w:r>
        <w:rPr>
          <w:spacing w:val="-57"/>
        </w:rPr>
        <w:t> </w:t>
      </w:r>
      <w:r>
        <w:rPr>
          <w:rFonts w:ascii="Arial" w:hAnsi="Arial" w:cs="Arial" w:eastAsia="Arial" w:hint="default"/>
        </w:rPr>
        <w:t>FTTH/B</w:t>
      </w:r>
      <w:r>
        <w:rPr>
          <w:rFonts w:ascii="Arial" w:hAnsi="Arial" w:cs="Arial" w:eastAsia="Arial" w:hint="default"/>
          <w:spacing w:val="-8"/>
        </w:rPr>
        <w:t> </w:t>
      </w:r>
      <w:r>
        <w:rPr/>
        <w:t>端口占比达到</w:t>
      </w:r>
      <w:r>
        <w:rPr>
          <w:spacing w:val="-57"/>
        </w:rPr>
        <w:t> </w:t>
      </w:r>
      <w:r>
        <w:rPr>
          <w:rFonts w:ascii="Arial" w:hAnsi="Arial" w:cs="Arial" w:eastAsia="Arial" w:hint="default"/>
        </w:rPr>
        <w:t>59%</w:t>
      </w:r>
      <w:r>
        <w:rPr/>
        <w:t>。</w:t>
      </w:r>
    </w:p>
    <w:p>
      <w:pPr>
        <w:spacing w:line="240" w:lineRule="auto" w:before="5"/>
        <w:rPr>
          <w:rFonts w:ascii="宋体" w:hAnsi="宋体" w:cs="宋体" w:eastAsia="宋体" w:hint="default"/>
          <w:sz w:val="19"/>
          <w:szCs w:val="19"/>
        </w:rPr>
      </w:pPr>
    </w:p>
    <w:p>
      <w:pPr>
        <w:pStyle w:val="BodyText"/>
        <w:spacing w:line="225" w:lineRule="auto"/>
        <w:ind w:left="1019" w:right="210"/>
        <w:jc w:val="both"/>
      </w:pPr>
      <w:r>
        <w:rPr/>
        <w:t>公司继续扩大国际网络覆盖范围，优化国际网络布局。截至 </w:t>
      </w:r>
      <w:r>
        <w:rPr>
          <w:rFonts w:ascii="Arial" w:hAnsi="Arial" w:cs="Arial" w:eastAsia="Arial" w:hint="default"/>
        </w:rPr>
        <w:t>2012</w:t>
      </w:r>
      <w:r>
        <w:rPr>
          <w:rFonts w:ascii="Arial" w:hAnsi="Arial" w:cs="Arial" w:eastAsia="Arial" w:hint="default"/>
          <w:spacing w:val="23"/>
        </w:rPr>
        <w:t> </w:t>
      </w:r>
      <w:r>
        <w:rPr/>
        <w:t>年底，互联网国际出口</w:t>
      </w:r>
      <w:r>
        <w:rPr>
          <w:w w:val="99"/>
        </w:rPr>
        <w:t> </w:t>
      </w:r>
      <w:r>
        <w:rPr/>
        <w:t>带宽达到</w:t>
      </w:r>
      <w:r>
        <w:rPr>
          <w:spacing w:val="-30"/>
        </w:rPr>
        <w:t> </w:t>
      </w:r>
      <w:r>
        <w:rPr>
          <w:rFonts w:ascii="Arial" w:hAnsi="Arial" w:cs="Arial" w:eastAsia="Arial" w:hint="default"/>
        </w:rPr>
        <w:t>642G</w:t>
      </w:r>
      <w:r>
        <w:rPr/>
        <w:t>，国际海缆总容量达到</w:t>
      </w:r>
      <w:r>
        <w:rPr>
          <w:spacing w:val="-29"/>
        </w:rPr>
        <w:t> </w:t>
      </w:r>
      <w:r>
        <w:rPr>
          <w:rFonts w:ascii="Arial" w:hAnsi="Arial" w:cs="Arial" w:eastAsia="Arial" w:hint="default"/>
        </w:rPr>
        <w:t>2,066G</w:t>
      </w:r>
      <w:r>
        <w:rPr/>
        <w:t>，国际陆缆总容量达到</w:t>
      </w:r>
      <w:r>
        <w:rPr>
          <w:spacing w:val="-28"/>
        </w:rPr>
        <w:t> </w:t>
      </w:r>
      <w:r>
        <w:rPr>
          <w:rFonts w:ascii="Arial" w:hAnsi="Arial" w:cs="Arial" w:eastAsia="Arial" w:hint="default"/>
        </w:rPr>
        <w:t>2,490G</w:t>
      </w:r>
      <w:r>
        <w:rPr/>
        <w:t>，境外网络</w:t>
      </w:r>
      <w:r>
        <w:rPr>
          <w:w w:val="99"/>
        </w:rPr>
        <w:t> </w:t>
      </w:r>
      <w:r>
        <w:rPr/>
        <w:t>节点达到</w:t>
      </w:r>
      <w:r>
        <w:rPr>
          <w:spacing w:val="-57"/>
        </w:rPr>
        <w:t> </w:t>
      </w:r>
      <w:r>
        <w:rPr>
          <w:rFonts w:ascii="Arial" w:hAnsi="Arial" w:cs="Arial" w:eastAsia="Arial" w:hint="default"/>
        </w:rPr>
        <w:t>82</w:t>
      </w:r>
      <w:r>
        <w:rPr>
          <w:rFonts w:ascii="Arial" w:hAnsi="Arial" w:cs="Arial" w:eastAsia="Arial" w:hint="default"/>
          <w:spacing w:val="-8"/>
        </w:rPr>
        <w:t> </w:t>
      </w:r>
      <w:r>
        <w:rPr/>
        <w:t>个，国际漫游覆盖达到</w:t>
      </w:r>
      <w:r>
        <w:rPr>
          <w:spacing w:val="-56"/>
        </w:rPr>
        <w:t> </w:t>
      </w:r>
      <w:r>
        <w:rPr>
          <w:rFonts w:ascii="Arial" w:hAnsi="Arial" w:cs="Arial" w:eastAsia="Arial" w:hint="default"/>
        </w:rPr>
        <w:t>247</w:t>
      </w:r>
      <w:r>
        <w:rPr>
          <w:rFonts w:ascii="Arial" w:hAnsi="Arial" w:cs="Arial" w:eastAsia="Arial" w:hint="default"/>
          <w:spacing w:val="-8"/>
        </w:rPr>
        <w:t> </w:t>
      </w:r>
      <w:r>
        <w:rPr/>
        <w:t>个国家和地区的</w:t>
      </w:r>
      <w:r>
        <w:rPr>
          <w:spacing w:val="-55"/>
        </w:rPr>
        <w:t> </w:t>
      </w:r>
      <w:r>
        <w:rPr>
          <w:rFonts w:ascii="Arial" w:hAnsi="Arial" w:cs="Arial" w:eastAsia="Arial" w:hint="default"/>
        </w:rPr>
        <w:t>567</w:t>
      </w:r>
      <w:r>
        <w:rPr>
          <w:rFonts w:ascii="Arial" w:hAnsi="Arial" w:cs="Arial" w:eastAsia="Arial" w:hint="default"/>
          <w:spacing w:val="-8"/>
        </w:rPr>
        <w:t> </w:t>
      </w:r>
      <w:r>
        <w:rPr/>
        <w:t>家运营商。</w:t>
      </w:r>
    </w:p>
    <w:p>
      <w:pPr>
        <w:spacing w:line="240" w:lineRule="auto" w:before="2"/>
        <w:rPr>
          <w:rFonts w:ascii="宋体" w:hAnsi="宋体" w:cs="宋体" w:eastAsia="宋体" w:hint="default"/>
          <w:sz w:val="18"/>
          <w:szCs w:val="18"/>
        </w:rPr>
      </w:pPr>
    </w:p>
    <w:p>
      <w:pPr>
        <w:pStyle w:val="BodyText"/>
        <w:spacing w:line="240" w:lineRule="auto"/>
        <w:ind w:left="658" w:right="89"/>
        <w:jc w:val="left"/>
      </w:pPr>
      <w:r>
        <w:rPr>
          <w:rFonts w:ascii="Arial" w:hAnsi="Arial" w:cs="Arial" w:eastAsia="Arial" w:hint="default"/>
        </w:rPr>
        <w:t>4</w:t>
      </w:r>
      <w:r>
        <w:rPr/>
        <w:t>、市场营销</w:t>
      </w:r>
    </w:p>
    <w:p>
      <w:pPr>
        <w:spacing w:line="240" w:lineRule="auto" w:before="12"/>
        <w:rPr>
          <w:rFonts w:ascii="宋体" w:hAnsi="宋体" w:cs="宋体" w:eastAsia="宋体" w:hint="default"/>
          <w:sz w:val="17"/>
          <w:szCs w:val="17"/>
        </w:rPr>
      </w:pPr>
    </w:p>
    <w:p>
      <w:pPr>
        <w:pStyle w:val="BodyText"/>
        <w:spacing w:line="240" w:lineRule="auto"/>
        <w:ind w:left="1002" w:right="0"/>
        <w:jc w:val="both"/>
      </w:pPr>
      <w:r>
        <w:rPr>
          <w:rFonts w:ascii="Arial" w:hAnsi="Arial" w:cs="Arial" w:eastAsia="Arial" w:hint="default"/>
        </w:rPr>
        <w:t>4.1  </w:t>
      </w:r>
      <w:r>
        <w:rPr>
          <w:rFonts w:ascii="Arial" w:hAnsi="Arial" w:cs="Arial" w:eastAsia="Arial" w:hint="default"/>
          <w:spacing w:val="47"/>
        </w:rPr>
        <w:t> </w:t>
      </w:r>
      <w:r>
        <w:rPr/>
        <w:t>品牌策略</w:t>
      </w:r>
    </w:p>
    <w:p>
      <w:pPr>
        <w:spacing w:line="240" w:lineRule="auto" w:before="10"/>
        <w:rPr>
          <w:rFonts w:ascii="宋体" w:hAnsi="宋体" w:cs="宋体" w:eastAsia="宋体" w:hint="default"/>
          <w:sz w:val="18"/>
          <w:szCs w:val="18"/>
        </w:rPr>
      </w:pPr>
    </w:p>
    <w:p>
      <w:pPr>
        <w:pStyle w:val="BodyText"/>
        <w:spacing w:line="230" w:lineRule="auto"/>
        <w:ind w:left="1559" w:right="211"/>
        <w:jc w:val="both"/>
      </w:pPr>
      <w:r>
        <w:rPr>
          <w:rFonts w:ascii="Arial" w:hAnsi="Arial" w:cs="Arial" w:eastAsia="Arial" w:hint="default"/>
        </w:rPr>
        <w:t>2012</w:t>
      </w:r>
      <w:r>
        <w:rPr>
          <w:rFonts w:ascii="Arial" w:hAnsi="Arial" w:cs="Arial" w:eastAsia="Arial" w:hint="default"/>
          <w:spacing w:val="-18"/>
        </w:rPr>
        <w:t> </w:t>
      </w:r>
      <w:r>
        <w:rPr/>
        <w:t>年，公司坚持“</w:t>
      </w:r>
      <w:r>
        <w:rPr>
          <w:rFonts w:ascii="Arial" w:hAnsi="Arial" w:cs="Arial" w:eastAsia="Arial" w:hint="default"/>
        </w:rPr>
        <w:t>3G</w:t>
      </w:r>
      <w:r>
        <w:rPr>
          <w:rFonts w:ascii="Arial" w:hAnsi="Arial" w:cs="Arial" w:eastAsia="Arial" w:hint="default"/>
          <w:spacing w:val="-19"/>
        </w:rPr>
        <w:t> </w:t>
      </w:r>
      <w:r>
        <w:rPr/>
        <w:t>领先与一体化创新”战略，聚焦</w:t>
      </w:r>
      <w:r>
        <w:rPr>
          <w:spacing w:val="-66"/>
        </w:rPr>
        <w:t> </w:t>
      </w:r>
      <w:r>
        <w:rPr>
          <w:rFonts w:ascii="Arial" w:hAnsi="Arial" w:cs="Arial" w:eastAsia="Arial" w:hint="default"/>
        </w:rPr>
        <w:t>3G</w:t>
      </w:r>
      <w:r>
        <w:rPr>
          <w:rFonts w:ascii="Arial" w:hAnsi="Arial" w:cs="Arial" w:eastAsia="Arial" w:hint="default"/>
          <w:spacing w:val="-19"/>
        </w:rPr>
        <w:t> </w:t>
      </w:r>
      <w:r>
        <w:rPr/>
        <w:t>网速快、覆盖广、终端</w:t>
      </w:r>
      <w:r>
        <w:rPr>
          <w:w w:val="99"/>
        </w:rPr>
        <w:t> </w:t>
      </w:r>
      <w:r>
        <w:rPr>
          <w:spacing w:val="-2"/>
        </w:rPr>
        <w:t>多、应用丰富、国际漫游广，以及智慧城市、光纤网络等差异化优势进行宣传，扩大</w:t>
      </w:r>
      <w:r>
        <w:rPr>
          <w:w w:val="99"/>
        </w:rPr>
        <w:t> </w:t>
      </w:r>
      <w:r>
        <w:rPr/>
        <w:t>品牌影响力。通过强化宣传</w:t>
      </w:r>
      <w:r>
        <w:rPr>
          <w:spacing w:val="-32"/>
        </w:rPr>
        <w:t> </w:t>
      </w:r>
      <w:r>
        <w:rPr>
          <w:rFonts w:ascii="Arial" w:hAnsi="Arial" w:cs="Arial" w:eastAsia="Arial" w:hint="default"/>
        </w:rPr>
        <w:t>HSPA+</w:t>
      </w:r>
      <w:r>
        <w:rPr/>
        <w:t>与明星智能终端的完美结合，彰显了中国联通移</w:t>
      </w:r>
      <w:r>
        <w:rPr>
          <w:w w:val="99"/>
        </w:rPr>
        <w:t> </w:t>
      </w:r>
      <w:r>
        <w:rPr/>
        <w:t>动互联网高速品质，实现了沃品牌及企业品牌价值的提升。</w:t>
      </w:r>
    </w:p>
    <w:p>
      <w:pPr>
        <w:spacing w:line="240" w:lineRule="auto" w:before="4"/>
        <w:rPr>
          <w:rFonts w:ascii="宋体" w:hAnsi="宋体" w:cs="宋体" w:eastAsia="宋体" w:hint="default"/>
          <w:sz w:val="19"/>
          <w:szCs w:val="19"/>
        </w:rPr>
      </w:pPr>
    </w:p>
    <w:p>
      <w:pPr>
        <w:pStyle w:val="BodyText"/>
        <w:spacing w:line="240" w:lineRule="auto"/>
        <w:ind w:left="1002" w:right="0"/>
        <w:jc w:val="both"/>
      </w:pPr>
      <w:r>
        <w:rPr>
          <w:rFonts w:ascii="Arial" w:hAnsi="Arial" w:cs="Arial" w:eastAsia="Arial" w:hint="default"/>
        </w:rPr>
        <w:t>4.2  </w:t>
      </w:r>
      <w:r>
        <w:rPr>
          <w:rFonts w:ascii="Arial" w:hAnsi="Arial" w:cs="Arial" w:eastAsia="Arial" w:hint="default"/>
          <w:spacing w:val="47"/>
        </w:rPr>
        <w:t> </w:t>
      </w:r>
      <w:r>
        <w:rPr/>
        <w:t>营销策略</w:t>
      </w:r>
    </w:p>
    <w:p>
      <w:pPr>
        <w:spacing w:line="240" w:lineRule="auto" w:before="6"/>
        <w:rPr>
          <w:rFonts w:ascii="宋体" w:hAnsi="宋体" w:cs="宋体" w:eastAsia="宋体" w:hint="default"/>
          <w:sz w:val="18"/>
          <w:szCs w:val="18"/>
        </w:rPr>
      </w:pPr>
    </w:p>
    <w:p>
      <w:pPr>
        <w:pStyle w:val="BodyText"/>
        <w:spacing w:line="232" w:lineRule="auto"/>
        <w:ind w:left="1559" w:right="210"/>
        <w:jc w:val="both"/>
      </w:pPr>
      <w:r>
        <w:rPr>
          <w:rFonts w:ascii="Arial" w:hAnsi="Arial" w:cs="Arial" w:eastAsia="Arial" w:hint="default"/>
        </w:rPr>
        <w:t>2012 </w:t>
      </w:r>
      <w:r>
        <w:rPr/>
        <w:t>年，公司持续坚持 </w:t>
      </w:r>
      <w:r>
        <w:rPr>
          <w:rFonts w:ascii="Arial" w:hAnsi="Arial" w:cs="Arial" w:eastAsia="Arial" w:hint="default"/>
        </w:rPr>
        <w:t>3G</w:t>
      </w:r>
      <w:r>
        <w:rPr>
          <w:rFonts w:ascii="Arial" w:hAnsi="Arial" w:cs="Arial" w:eastAsia="Arial" w:hint="default"/>
          <w:spacing w:val="6"/>
        </w:rPr>
        <w:t> </w:t>
      </w:r>
      <w:r>
        <w:rPr/>
        <w:t>六统一营销策略，深化流量经营，根据用户需求，不断</w:t>
      </w:r>
      <w:r>
        <w:rPr>
          <w:w w:val="99"/>
        </w:rPr>
        <w:t> </w:t>
      </w:r>
      <w:r>
        <w:rPr/>
        <w:t>创新</w:t>
      </w:r>
      <w:r>
        <w:rPr>
          <w:spacing w:val="-35"/>
        </w:rPr>
        <w:t> </w:t>
      </w:r>
      <w:r>
        <w:rPr>
          <w:rFonts w:ascii="Arial" w:hAnsi="Arial" w:cs="Arial" w:eastAsia="Arial" w:hint="default"/>
        </w:rPr>
        <w:t>3G</w:t>
      </w:r>
      <w:r>
        <w:rPr>
          <w:rFonts w:ascii="Arial" w:hAnsi="Arial" w:cs="Arial" w:eastAsia="Arial" w:hint="default"/>
          <w:spacing w:val="13"/>
        </w:rPr>
        <w:t> </w:t>
      </w:r>
      <w:r>
        <w:rPr/>
        <w:t>产品，优化合约计划，开展</w:t>
      </w:r>
      <w:r>
        <w:rPr>
          <w:spacing w:val="-34"/>
        </w:rPr>
        <w:t> </w:t>
      </w:r>
      <w:r>
        <w:rPr>
          <w:rFonts w:ascii="Arial" w:hAnsi="Arial" w:cs="Arial" w:eastAsia="Arial" w:hint="default"/>
        </w:rPr>
        <w:t>2G/3G</w:t>
      </w:r>
      <w:r>
        <w:rPr>
          <w:rFonts w:ascii="Arial" w:hAnsi="Arial" w:cs="Arial" w:eastAsia="Arial" w:hint="default"/>
          <w:spacing w:val="15"/>
        </w:rPr>
        <w:t> </w:t>
      </w:r>
      <w:r>
        <w:rPr/>
        <w:t>融合营销，深化终端定制，提升产品竞</w:t>
      </w:r>
      <w:r>
        <w:rPr>
          <w:w w:val="99"/>
        </w:rPr>
        <w:t> </w:t>
      </w:r>
      <w:r>
        <w:rPr>
          <w:spacing w:val="-2"/>
        </w:rPr>
        <w:t>争力；深化体验式营销，推广电子商务营销服务模式，提升销售服务能力；优化“沃</w:t>
      </w:r>
      <w:r>
        <w:rPr>
          <w:w w:val="99"/>
        </w:rPr>
        <w:t> </w:t>
      </w:r>
      <w:r>
        <w:rPr>
          <w:spacing w:val="-2"/>
        </w:rPr>
        <w:t>家庭”、“沃商务”融合套餐，加大加快光纤接入能力建设与宽带提速营销，提升宽</w:t>
      </w:r>
      <w:r>
        <w:rPr>
          <w:w w:val="99"/>
        </w:rPr>
        <w:t> </w:t>
      </w:r>
      <w:r>
        <w:rPr/>
        <w:t>带资源和营销服务能力。</w:t>
      </w:r>
    </w:p>
    <w:p>
      <w:pPr>
        <w:spacing w:after="0" w:line="232" w:lineRule="auto"/>
        <w:jc w:val="both"/>
        <w:sectPr>
          <w:pgSz w:w="11910" w:h="16840"/>
          <w:pgMar w:header="567" w:footer="745" w:top="800" w:bottom="940" w:left="1380" w:right="6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232" w:lineRule="auto" w:before="39"/>
        <w:ind w:left="1559" w:right="151"/>
        <w:jc w:val="both"/>
      </w:pPr>
      <w:r>
        <w:rPr>
          <w:rFonts w:ascii="Arial" w:hAnsi="Arial" w:cs="Arial" w:eastAsia="Arial" w:hint="default"/>
        </w:rPr>
        <w:t>2012</w:t>
      </w:r>
      <w:r>
        <w:rPr>
          <w:rFonts w:ascii="Arial" w:hAnsi="Arial" w:cs="Arial" w:eastAsia="Arial" w:hint="default"/>
          <w:spacing w:val="37"/>
        </w:rPr>
        <w:t> </w:t>
      </w:r>
      <w:r>
        <w:rPr/>
        <w:t>年，公司制定了完善的战略终端产品体系，深化终端产业链的战略合作，通过</w:t>
      </w:r>
      <w:r>
        <w:rPr>
          <w:w w:val="99"/>
        </w:rPr>
        <w:t> </w:t>
      </w:r>
      <w:r>
        <w:rPr>
          <w:spacing w:val="-2"/>
        </w:rPr>
        <w:t>千元智能机和明星终端的双拉动，提升产品性价比和竞争力；推进各终端品牌协同发</w:t>
      </w:r>
      <w:r>
        <w:rPr>
          <w:w w:val="99"/>
        </w:rPr>
        <w:t> </w:t>
      </w:r>
      <w:r>
        <w:rPr>
          <w:w w:val="95"/>
        </w:rPr>
        <w:t>展，有效整合厂商渠道资源；优化终端定制策略和销售政策，强化终端专业化运营，</w:t>
      </w:r>
      <w:r>
        <w:rPr>
          <w:spacing w:val="76"/>
          <w:w w:val="95"/>
        </w:rPr>
        <w:t> </w:t>
      </w:r>
      <w:r>
        <w:rPr>
          <w:spacing w:val="76"/>
          <w:w w:val="95"/>
        </w:rPr>
      </w:r>
      <w:r>
        <w:rPr/>
        <w:t>确保终端合约用户规模增长和终端运营效益提升。</w:t>
      </w:r>
    </w:p>
    <w:p>
      <w:pPr>
        <w:spacing w:line="240" w:lineRule="auto" w:before="5"/>
        <w:rPr>
          <w:rFonts w:ascii="宋体" w:hAnsi="宋体" w:cs="宋体" w:eastAsia="宋体" w:hint="default"/>
          <w:sz w:val="21"/>
          <w:szCs w:val="21"/>
        </w:rPr>
      </w:pPr>
    </w:p>
    <w:p>
      <w:pPr>
        <w:pStyle w:val="BodyText"/>
        <w:spacing w:line="286" w:lineRule="exact"/>
        <w:ind w:left="1559" w:right="211"/>
        <w:jc w:val="both"/>
      </w:pPr>
      <w:r>
        <w:rPr>
          <w:rFonts w:ascii="Arial" w:hAnsi="Arial" w:cs="Arial" w:eastAsia="Arial" w:hint="default"/>
        </w:rPr>
        <w:t>2012</w:t>
      </w:r>
      <w:r>
        <w:rPr>
          <w:rFonts w:ascii="Arial" w:hAnsi="Arial" w:cs="Arial" w:eastAsia="Arial" w:hint="default"/>
          <w:spacing w:val="32"/>
        </w:rPr>
        <w:t> </w:t>
      </w:r>
      <w:r>
        <w:rPr/>
        <w:t>年，公司继续加强互联网应用的整合，强化线上线下一体化应用能力建设，创</w:t>
      </w:r>
      <w:r>
        <w:rPr>
          <w:w w:val="99"/>
        </w:rPr>
        <w:t> </w:t>
      </w:r>
      <w:r>
        <w:rPr/>
        <w:t>新应用，深化重点业务运营，推动</w:t>
      </w:r>
      <w:r>
        <w:rPr>
          <w:spacing w:val="-31"/>
        </w:rPr>
        <w:t> </w:t>
      </w:r>
      <w:r>
        <w:rPr>
          <w:rFonts w:ascii="Arial" w:hAnsi="Arial" w:cs="Arial" w:eastAsia="Arial" w:hint="default"/>
        </w:rPr>
        <w:t>WO+</w:t>
      </w:r>
      <w:r>
        <w:rPr/>
        <w:t>开放体系的实施，促进移动互联网业务快速</w:t>
      </w:r>
      <w:r>
        <w:rPr>
          <w:w w:val="99"/>
        </w:rPr>
        <w:t> </w:t>
      </w:r>
      <w:r>
        <w:rPr/>
        <w:t>发展和流量提升。</w:t>
      </w:r>
    </w:p>
    <w:p>
      <w:pPr>
        <w:spacing w:line="240" w:lineRule="auto" w:before="9"/>
        <w:rPr>
          <w:rFonts w:ascii="宋体" w:hAnsi="宋体" w:cs="宋体" w:eastAsia="宋体" w:hint="default"/>
          <w:sz w:val="17"/>
          <w:szCs w:val="17"/>
        </w:rPr>
      </w:pPr>
    </w:p>
    <w:p>
      <w:pPr>
        <w:pStyle w:val="BodyText"/>
        <w:spacing w:line="232" w:lineRule="auto"/>
        <w:ind w:left="1559" w:right="99"/>
        <w:jc w:val="left"/>
      </w:pPr>
      <w:r>
        <w:rPr>
          <w:rFonts w:ascii="Arial" w:hAnsi="Arial" w:cs="Arial" w:eastAsia="Arial" w:hint="default"/>
        </w:rPr>
        <w:t>2012</w:t>
      </w:r>
      <w:r>
        <w:rPr>
          <w:rFonts w:ascii="Arial" w:hAnsi="Arial" w:cs="Arial" w:eastAsia="Arial" w:hint="default"/>
          <w:spacing w:val="42"/>
        </w:rPr>
        <w:t> </w:t>
      </w:r>
      <w:r>
        <w:rPr/>
        <w:t>年，公司以行业应用优秀解决方案为驱动，实施“智慧城市”战略，面向集团</w:t>
      </w:r>
      <w:r>
        <w:rPr>
          <w:w w:val="99"/>
        </w:rPr>
        <w:t> </w:t>
      </w:r>
      <w:r>
        <w:rPr>
          <w:spacing w:val="-5"/>
        </w:rPr>
        <w:t>客户提供行业信息化工程，形成了行业垂直营销机制；同时以战略协议带动业务发展，</w:t>
      </w:r>
      <w:r>
        <w:rPr>
          <w:w w:val="99"/>
        </w:rPr>
        <w:t> </w:t>
      </w:r>
      <w:r>
        <w:rPr/>
        <w:t>有力地提升了在政府、金融、汽车、互联网、传媒等众多行业领域的市场影响力。集</w:t>
      </w:r>
      <w:r>
        <w:rPr>
          <w:w w:val="99"/>
        </w:rPr>
        <w:t> </w:t>
      </w:r>
      <w:r>
        <w:rPr/>
        <w:t>团客户服务收入同比增长</w:t>
      </w:r>
      <w:r>
        <w:rPr>
          <w:spacing w:val="-61"/>
        </w:rPr>
        <w:t> </w:t>
      </w:r>
      <w:r>
        <w:rPr>
          <w:rFonts w:ascii="Arial" w:hAnsi="Arial" w:cs="Arial" w:eastAsia="Arial" w:hint="default"/>
        </w:rPr>
        <w:t>24.4%</w:t>
      </w:r>
      <w:r>
        <w:rPr/>
        <w:t>。</w:t>
      </w:r>
    </w:p>
    <w:p>
      <w:pPr>
        <w:spacing w:line="240" w:lineRule="auto" w:before="1"/>
        <w:rPr>
          <w:rFonts w:ascii="宋体" w:hAnsi="宋体" w:cs="宋体" w:eastAsia="宋体" w:hint="default"/>
          <w:sz w:val="18"/>
          <w:szCs w:val="18"/>
        </w:rPr>
      </w:pPr>
    </w:p>
    <w:p>
      <w:pPr>
        <w:pStyle w:val="BodyText"/>
        <w:tabs>
          <w:tab w:pos="1542" w:val="left" w:leader="none"/>
        </w:tabs>
        <w:spacing w:line="240" w:lineRule="auto"/>
        <w:ind w:left="1002" w:right="89"/>
        <w:jc w:val="left"/>
      </w:pPr>
      <w:r>
        <w:rPr>
          <w:rFonts w:ascii="Arial" w:hAnsi="Arial" w:cs="Arial" w:eastAsia="Arial" w:hint="default"/>
          <w:w w:val="95"/>
        </w:rPr>
        <w:t>4.3</w:t>
        <w:tab/>
      </w:r>
      <w:r>
        <w:rPr/>
        <w:t>营销渠道</w:t>
      </w:r>
    </w:p>
    <w:p>
      <w:pPr>
        <w:spacing w:line="240" w:lineRule="auto" w:before="10"/>
        <w:rPr>
          <w:rFonts w:ascii="宋体" w:hAnsi="宋体" w:cs="宋体" w:eastAsia="宋体" w:hint="default"/>
          <w:sz w:val="18"/>
          <w:szCs w:val="18"/>
        </w:rPr>
      </w:pPr>
    </w:p>
    <w:p>
      <w:pPr>
        <w:pStyle w:val="BodyText"/>
        <w:spacing w:line="230" w:lineRule="auto"/>
        <w:ind w:left="1559" w:right="207"/>
        <w:jc w:val="both"/>
      </w:pPr>
      <w:r>
        <w:rPr>
          <w:rFonts w:ascii="Arial" w:hAnsi="Arial" w:cs="Arial" w:eastAsia="Arial" w:hint="default"/>
        </w:rPr>
        <w:t>2012</w:t>
      </w:r>
      <w:r>
        <w:rPr>
          <w:rFonts w:ascii="Arial" w:hAnsi="Arial" w:cs="Arial" w:eastAsia="Arial" w:hint="default"/>
          <w:spacing w:val="33"/>
        </w:rPr>
        <w:t> </w:t>
      </w:r>
      <w:r>
        <w:rPr/>
        <w:t>年，公司继续完善面向全业务的营销渠道体系建设，实现产能提升。深入开展</w:t>
      </w:r>
      <w:r>
        <w:rPr>
          <w:w w:val="99"/>
        </w:rPr>
        <w:t> </w:t>
      </w:r>
      <w:r>
        <w:rPr>
          <w:spacing w:val="-2"/>
        </w:rPr>
        <w:t>体验式营销，强化店面现场管理，提高销售效率，激发销售活力，核心自有营业厅销</w:t>
      </w:r>
      <w:r>
        <w:rPr>
          <w:w w:val="99"/>
        </w:rPr>
        <w:t> </w:t>
      </w:r>
      <w:r>
        <w:rPr/>
        <w:t>售产能同比提升</w:t>
      </w:r>
      <w:r>
        <w:rPr>
          <w:spacing w:val="14"/>
        </w:rPr>
        <w:t> </w:t>
      </w:r>
      <w:r>
        <w:rPr>
          <w:rFonts w:ascii="Arial" w:hAnsi="Arial" w:cs="Arial" w:eastAsia="Arial" w:hint="default"/>
        </w:rPr>
        <w:t>62%</w:t>
      </w:r>
      <w:r>
        <w:rPr/>
        <w:t>；全面实现了与全国级连锁渠道的战略合作，扩大了社会渠道</w:t>
      </w:r>
      <w:r>
        <w:rPr>
          <w:spacing w:val="-107"/>
        </w:rPr>
        <w:t> </w:t>
      </w:r>
      <w:r>
        <w:rPr>
          <w:spacing w:val="-107"/>
        </w:rPr>
      </w:r>
      <w:r>
        <w:rPr/>
        <w:t>规模，落实了人、店、商对应服务支撑，核心社会渠道单店产能同比提升</w:t>
      </w:r>
      <w:r>
        <w:rPr>
          <w:spacing w:val="24"/>
        </w:rPr>
        <w:t> </w:t>
      </w:r>
      <w:r>
        <w:rPr>
          <w:rFonts w:ascii="Arial" w:hAnsi="Arial" w:cs="Arial" w:eastAsia="Arial" w:hint="default"/>
        </w:rPr>
        <w:t>65%</w:t>
      </w:r>
      <w:r>
        <w:rPr/>
        <w:t>。适</w:t>
      </w:r>
      <w:r>
        <w:rPr>
          <w:spacing w:val="-107"/>
        </w:rPr>
        <w:t> </w:t>
      </w:r>
      <w:r>
        <w:rPr>
          <w:spacing w:val="-2"/>
        </w:rPr>
        <w:t>应移动互联网发展趋势，建立电子商务一体化管理体制和运营机制，全面升级网上营</w:t>
      </w:r>
      <w:r>
        <w:rPr>
          <w:w w:val="99"/>
        </w:rPr>
        <w:t> </w:t>
      </w:r>
      <w:r>
        <w:rPr>
          <w:spacing w:val="-2"/>
        </w:rPr>
        <w:t>业厅，创新网上营销模式推出中国联通官方旗舰店，不断创新手机营业厅功能，加强</w:t>
      </w:r>
      <w:r>
        <w:rPr>
          <w:w w:val="99"/>
        </w:rPr>
        <w:t> </w:t>
      </w:r>
      <w:r>
        <w:rPr/>
        <w:t>自助终端布放，提升电子商务销售及服务的承载能力。</w:t>
      </w:r>
      <w:r>
        <w:rPr>
          <w:rFonts w:ascii="Arial" w:hAnsi="Arial" w:cs="Arial" w:eastAsia="Arial" w:hint="default"/>
        </w:rPr>
        <w:t>2012</w:t>
      </w:r>
      <w:r>
        <w:rPr>
          <w:rFonts w:ascii="Arial" w:hAnsi="Arial" w:cs="Arial" w:eastAsia="Arial" w:hint="default"/>
          <w:spacing w:val="35"/>
        </w:rPr>
        <w:t> </w:t>
      </w:r>
      <w:r>
        <w:rPr/>
        <w:t>年电子商务营业额实现</w:t>
      </w:r>
      <w:r>
        <w:rPr>
          <w:w w:val="99"/>
        </w:rPr>
        <w:t> </w:t>
      </w:r>
      <w:r>
        <w:rPr>
          <w:rFonts w:ascii="Arial" w:hAnsi="Arial" w:cs="Arial" w:eastAsia="Arial" w:hint="default"/>
        </w:rPr>
        <w:t>358</w:t>
      </w:r>
      <w:r>
        <w:rPr>
          <w:rFonts w:ascii="Arial" w:hAnsi="Arial" w:cs="Arial" w:eastAsia="Arial" w:hint="default"/>
          <w:spacing w:val="-9"/>
        </w:rPr>
        <w:t> </w:t>
      </w:r>
      <w:r>
        <w:rPr/>
        <w:t>亿元，同比增长</w:t>
      </w:r>
      <w:r>
        <w:rPr>
          <w:spacing w:val="-58"/>
        </w:rPr>
        <w:t> </w:t>
      </w:r>
      <w:r>
        <w:rPr>
          <w:rFonts w:ascii="Arial" w:hAnsi="Arial" w:cs="Arial" w:eastAsia="Arial" w:hint="default"/>
        </w:rPr>
        <w:t>55%</w:t>
      </w:r>
      <w:r>
        <w:rPr/>
        <w:t>，服务量承载比例达到</w:t>
      </w:r>
      <w:r>
        <w:rPr>
          <w:spacing w:val="-57"/>
        </w:rPr>
        <w:t> </w:t>
      </w:r>
      <w:r>
        <w:rPr>
          <w:rFonts w:ascii="Arial" w:hAnsi="Arial" w:cs="Arial" w:eastAsia="Arial" w:hint="default"/>
        </w:rPr>
        <w:t>34%</w:t>
      </w:r>
      <w:r>
        <w:rPr/>
        <w:t>。</w:t>
      </w:r>
    </w:p>
    <w:p>
      <w:pPr>
        <w:spacing w:line="240" w:lineRule="auto" w:before="0"/>
        <w:rPr>
          <w:rFonts w:ascii="宋体" w:hAnsi="宋体" w:cs="宋体" w:eastAsia="宋体" w:hint="default"/>
          <w:sz w:val="18"/>
          <w:szCs w:val="18"/>
        </w:rPr>
      </w:pPr>
    </w:p>
    <w:p>
      <w:pPr>
        <w:pStyle w:val="BodyText"/>
        <w:tabs>
          <w:tab w:pos="1542" w:val="left" w:leader="none"/>
        </w:tabs>
        <w:spacing w:line="240" w:lineRule="auto"/>
        <w:ind w:left="1002" w:right="89"/>
        <w:jc w:val="left"/>
      </w:pPr>
      <w:r>
        <w:rPr>
          <w:rFonts w:ascii="Arial" w:hAnsi="Arial" w:cs="Arial" w:eastAsia="Arial" w:hint="default"/>
          <w:w w:val="95"/>
        </w:rPr>
        <w:t>4.4</w:t>
        <w:tab/>
      </w:r>
      <w:r>
        <w:rPr/>
        <w:t>客户服务</w:t>
      </w:r>
    </w:p>
    <w:p>
      <w:pPr>
        <w:spacing w:line="240" w:lineRule="auto" w:before="13"/>
        <w:rPr>
          <w:rFonts w:ascii="宋体" w:hAnsi="宋体" w:cs="宋体" w:eastAsia="宋体" w:hint="default"/>
          <w:sz w:val="18"/>
          <w:szCs w:val="18"/>
        </w:rPr>
      </w:pPr>
    </w:p>
    <w:p>
      <w:pPr>
        <w:pStyle w:val="BodyText"/>
        <w:spacing w:line="228" w:lineRule="auto"/>
        <w:ind w:left="1559" w:right="210"/>
        <w:jc w:val="both"/>
      </w:pPr>
      <w:r>
        <w:rPr>
          <w:rFonts w:ascii="Arial" w:hAnsi="Arial" w:cs="Arial" w:eastAsia="Arial" w:hint="default"/>
        </w:rPr>
        <w:t>2012</w:t>
      </w:r>
      <w:r>
        <w:rPr>
          <w:rFonts w:ascii="Arial" w:hAnsi="Arial" w:cs="Arial" w:eastAsia="Arial" w:hint="default"/>
          <w:spacing w:val="33"/>
        </w:rPr>
        <w:t> </w:t>
      </w:r>
      <w:r>
        <w:rPr/>
        <w:t>年，公司通过开展营业服务提升工程，优化业务规则，缩短营业厅用户排队等</w:t>
      </w:r>
      <w:r>
        <w:rPr>
          <w:w w:val="99"/>
        </w:rPr>
        <w:t> </w:t>
      </w:r>
      <w:r>
        <w:rPr>
          <w:spacing w:val="-3"/>
        </w:rPr>
        <w:t>候时长；开通交通枢纽绿色通道管理系统，提升</w:t>
      </w:r>
      <w:r>
        <w:rPr>
          <w:spacing w:val="-52"/>
        </w:rPr>
        <w:t> </w:t>
      </w:r>
      <w:r>
        <w:rPr>
          <w:rFonts w:ascii="Arial" w:hAnsi="Arial" w:cs="Arial" w:eastAsia="Arial" w:hint="default"/>
        </w:rPr>
        <w:t>VIP</w:t>
      </w:r>
      <w:r>
        <w:rPr>
          <w:rFonts w:ascii="Arial" w:hAnsi="Arial" w:cs="Arial" w:eastAsia="Arial" w:hint="default"/>
          <w:spacing w:val="-5"/>
        </w:rPr>
        <w:t> </w:t>
      </w:r>
      <w:r>
        <w:rPr>
          <w:spacing w:val="-3"/>
        </w:rPr>
        <w:t>服务能力；加快面向移动互联网</w:t>
      </w:r>
      <w:r>
        <w:rPr>
          <w:w w:val="99"/>
        </w:rPr>
        <w:t> </w:t>
      </w:r>
      <w:r>
        <w:rPr>
          <w:spacing w:val="-2"/>
        </w:rPr>
        <w:t>的服务转型和流程再造，建立差异化的服务优势，深化微博客服，规模启动网厅在线</w:t>
      </w:r>
      <w:r>
        <w:rPr>
          <w:w w:val="99"/>
        </w:rPr>
        <w:t> </w:t>
      </w:r>
      <w:r>
        <w:rPr>
          <w:rFonts w:ascii="Arial" w:hAnsi="Arial" w:cs="Arial" w:eastAsia="Arial" w:hint="default"/>
        </w:rPr>
        <w:t>3G</w:t>
      </w:r>
      <w:r>
        <w:rPr>
          <w:rFonts w:ascii="Arial" w:hAnsi="Arial" w:cs="Arial" w:eastAsia="Arial" w:hint="default"/>
          <w:spacing w:val="3"/>
        </w:rPr>
        <w:t> </w:t>
      </w:r>
      <w:r>
        <w:rPr/>
        <w:t>客服，服务时间延长至</w:t>
      </w:r>
      <w:r>
        <w:rPr>
          <w:spacing w:val="-44"/>
        </w:rPr>
        <w:t> </w:t>
      </w:r>
      <w:r>
        <w:rPr>
          <w:rFonts w:ascii="Arial" w:hAnsi="Arial" w:cs="Arial" w:eastAsia="Arial" w:hint="default"/>
        </w:rPr>
        <w:t>7x24</w:t>
      </w:r>
      <w:r>
        <w:rPr>
          <w:rFonts w:ascii="Arial" w:hAnsi="Arial" w:cs="Arial" w:eastAsia="Arial" w:hint="default"/>
          <w:spacing w:val="5"/>
        </w:rPr>
        <w:t> </w:t>
      </w:r>
      <w:r>
        <w:rPr/>
        <w:t>小时，日均服务量</w:t>
      </w:r>
      <w:r>
        <w:rPr>
          <w:spacing w:val="-44"/>
        </w:rPr>
        <w:t> </w:t>
      </w:r>
      <w:r>
        <w:rPr>
          <w:rFonts w:ascii="Arial" w:hAnsi="Arial" w:cs="Arial" w:eastAsia="Arial" w:hint="default"/>
        </w:rPr>
        <w:t>12</w:t>
      </w:r>
      <w:r>
        <w:rPr>
          <w:rFonts w:ascii="Arial" w:hAnsi="Arial" w:cs="Arial" w:eastAsia="Arial" w:hint="default"/>
          <w:spacing w:val="5"/>
        </w:rPr>
        <w:t> </w:t>
      </w:r>
      <w:r>
        <w:rPr/>
        <w:t>月底达</w:t>
      </w:r>
      <w:r>
        <w:rPr>
          <w:spacing w:val="-45"/>
        </w:rPr>
        <w:t> </w:t>
      </w:r>
      <w:r>
        <w:rPr>
          <w:rFonts w:ascii="Arial" w:hAnsi="Arial" w:cs="Arial" w:eastAsia="Arial" w:hint="default"/>
        </w:rPr>
        <w:t>33.8</w:t>
      </w:r>
      <w:r>
        <w:rPr>
          <w:rFonts w:ascii="Arial" w:hAnsi="Arial" w:cs="Arial" w:eastAsia="Arial" w:hint="default"/>
          <w:spacing w:val="5"/>
        </w:rPr>
        <w:t> </w:t>
      </w:r>
      <w:r>
        <w:rPr/>
        <w:t>万次，在线客服</w:t>
      </w:r>
      <w:r>
        <w:rPr>
          <w:w w:val="99"/>
        </w:rPr>
        <w:t> </w:t>
      </w:r>
      <w:r>
        <w:rPr/>
        <w:t>接通率达到</w:t>
      </w:r>
      <w:r>
        <w:rPr>
          <w:spacing w:val="13"/>
        </w:rPr>
        <w:t> </w:t>
      </w:r>
      <w:r>
        <w:rPr>
          <w:rFonts w:ascii="Arial" w:hAnsi="Arial" w:cs="Arial" w:eastAsia="Arial" w:hint="default"/>
        </w:rPr>
        <w:t>94%</w:t>
      </w:r>
      <w:r>
        <w:rPr/>
        <w:t>；推进全业务消费提醒服务，规范客户流量争议解决，有效提升客</w:t>
      </w:r>
      <w:r>
        <w:rPr>
          <w:spacing w:val="-107"/>
        </w:rPr>
        <w:t> </w:t>
      </w:r>
      <w:r>
        <w:rPr>
          <w:spacing w:val="-107"/>
        </w:rPr>
      </w:r>
      <w:r>
        <w:rPr/>
        <w:t>户服务水平。</w:t>
      </w:r>
    </w:p>
    <w:p>
      <w:pPr>
        <w:spacing w:line="240" w:lineRule="auto" w:before="3"/>
        <w:rPr>
          <w:rFonts w:ascii="宋体" w:hAnsi="宋体" w:cs="宋体" w:eastAsia="宋体" w:hint="default"/>
          <w:sz w:val="19"/>
          <w:szCs w:val="19"/>
        </w:rPr>
      </w:pPr>
    </w:p>
    <w:p>
      <w:pPr>
        <w:pStyle w:val="Heading3"/>
        <w:spacing w:line="240" w:lineRule="auto" w:before="0"/>
        <w:ind w:left="641" w:right="89"/>
        <w:jc w:val="left"/>
        <w:rPr>
          <w:b w:val="0"/>
          <w:bCs w:val="0"/>
        </w:rPr>
      </w:pPr>
      <w:r>
        <w:rPr/>
        <w:t>第三部分：财务情况讨论与分析</w:t>
      </w:r>
      <w:r>
        <w:rPr>
          <w:b w:val="0"/>
          <w:bCs w:val="0"/>
        </w:rPr>
      </w:r>
    </w:p>
    <w:p>
      <w:pPr>
        <w:spacing w:line="240" w:lineRule="auto" w:before="2"/>
        <w:rPr>
          <w:rFonts w:ascii="宋体" w:hAnsi="宋体" w:cs="宋体" w:eastAsia="宋体" w:hint="default"/>
          <w:b/>
          <w:bCs/>
          <w:sz w:val="19"/>
          <w:szCs w:val="19"/>
        </w:rPr>
      </w:pPr>
    </w:p>
    <w:p>
      <w:pPr>
        <w:pStyle w:val="BodyText"/>
        <w:spacing w:line="240" w:lineRule="auto"/>
        <w:ind w:left="658" w:right="89"/>
        <w:jc w:val="left"/>
      </w:pPr>
      <w:r>
        <w:rPr>
          <w:rFonts w:ascii="Arial" w:hAnsi="Arial" w:cs="Arial" w:eastAsia="Arial" w:hint="default"/>
        </w:rPr>
        <w:t>1</w:t>
      </w:r>
      <w:r>
        <w:rPr/>
        <w:t>、概述</w:t>
      </w:r>
    </w:p>
    <w:p>
      <w:pPr>
        <w:spacing w:line="240" w:lineRule="auto" w:before="13"/>
        <w:rPr>
          <w:rFonts w:ascii="宋体" w:hAnsi="宋体" w:cs="宋体" w:eastAsia="宋体" w:hint="default"/>
          <w:sz w:val="17"/>
          <w:szCs w:val="17"/>
        </w:rPr>
      </w:pPr>
    </w:p>
    <w:p>
      <w:pPr>
        <w:pStyle w:val="BodyText"/>
        <w:spacing w:line="240" w:lineRule="auto"/>
        <w:ind w:left="1019" w:right="89"/>
        <w:jc w:val="left"/>
      </w:pPr>
      <w:r>
        <w:rPr>
          <w:rFonts w:ascii="Arial" w:hAnsi="Arial" w:cs="Arial" w:eastAsia="Arial" w:hint="default"/>
        </w:rPr>
        <w:t>2012</w:t>
      </w:r>
      <w:r>
        <w:rPr>
          <w:rFonts w:ascii="Arial" w:hAnsi="Arial" w:cs="Arial" w:eastAsia="Arial" w:hint="default"/>
          <w:spacing w:val="-20"/>
        </w:rPr>
        <w:t> </w:t>
      </w:r>
      <w:r>
        <w:rPr/>
        <w:t>年公司营业收入继续保持较快增长，业务结构不断优化，盈利水平稳步提升。</w:t>
      </w:r>
    </w:p>
    <w:p>
      <w:pPr>
        <w:spacing w:line="240" w:lineRule="auto" w:before="0"/>
        <w:rPr>
          <w:rFonts w:ascii="宋体" w:hAnsi="宋体" w:cs="宋体" w:eastAsia="宋体" w:hint="default"/>
          <w:sz w:val="20"/>
          <w:szCs w:val="20"/>
        </w:rPr>
      </w:pPr>
    </w:p>
    <w:p>
      <w:pPr>
        <w:pStyle w:val="BodyText"/>
        <w:spacing w:line="286" w:lineRule="exact"/>
        <w:ind w:left="1019" w:right="89"/>
        <w:jc w:val="left"/>
      </w:pPr>
      <w:r>
        <w:rPr>
          <w:rFonts w:ascii="Arial" w:hAnsi="Arial" w:cs="Arial" w:eastAsia="Arial" w:hint="default"/>
        </w:rPr>
        <w:t>2012</w:t>
      </w:r>
      <w:r>
        <w:rPr>
          <w:rFonts w:ascii="Arial" w:hAnsi="Arial" w:cs="Arial" w:eastAsia="Arial" w:hint="default"/>
          <w:spacing w:val="4"/>
        </w:rPr>
        <w:t> </w:t>
      </w:r>
      <w:r>
        <w:rPr/>
        <w:t>年公司营业收入实现</w:t>
      </w:r>
      <w:r>
        <w:rPr>
          <w:spacing w:val="-44"/>
        </w:rPr>
        <w:t> </w:t>
      </w:r>
      <w:r>
        <w:rPr>
          <w:rFonts w:ascii="Arial" w:hAnsi="Arial" w:cs="Arial" w:eastAsia="Arial" w:hint="default"/>
        </w:rPr>
        <w:t>2,562.6</w:t>
      </w:r>
      <w:r>
        <w:rPr>
          <w:rFonts w:ascii="Arial" w:hAnsi="Arial" w:cs="Arial" w:eastAsia="Arial" w:hint="default"/>
          <w:spacing w:val="4"/>
        </w:rPr>
        <w:t> </w:t>
      </w:r>
      <w:r>
        <w:rPr/>
        <w:t>亿元，同比增长</w:t>
      </w:r>
      <w:r>
        <w:rPr>
          <w:spacing w:val="-44"/>
        </w:rPr>
        <w:t> </w:t>
      </w:r>
      <w:r>
        <w:rPr>
          <w:rFonts w:ascii="Arial" w:hAnsi="Arial" w:cs="Arial" w:eastAsia="Arial" w:hint="default"/>
        </w:rPr>
        <w:t>18.9%</w:t>
      </w:r>
      <w:r>
        <w:rPr/>
        <w:t>，实现净利润</w:t>
      </w:r>
      <w:r>
        <w:rPr>
          <w:spacing w:val="-45"/>
        </w:rPr>
        <w:t> </w:t>
      </w:r>
      <w:r>
        <w:rPr>
          <w:rFonts w:ascii="Arial" w:hAnsi="Arial" w:cs="Arial" w:eastAsia="Arial" w:hint="default"/>
        </w:rPr>
        <w:t>70.3</w:t>
      </w:r>
      <w:r>
        <w:rPr>
          <w:rFonts w:ascii="Arial" w:hAnsi="Arial" w:cs="Arial" w:eastAsia="Arial" w:hint="default"/>
          <w:spacing w:val="4"/>
        </w:rPr>
        <w:t> </w:t>
      </w:r>
      <w:r>
        <w:rPr/>
        <w:t>亿元，同比</w:t>
      </w:r>
      <w:r>
        <w:rPr>
          <w:w w:val="99"/>
        </w:rPr>
        <w:t> </w:t>
      </w:r>
      <w:r>
        <w:rPr/>
        <w:t>增长</w:t>
      </w:r>
      <w:r>
        <w:rPr>
          <w:spacing w:val="-54"/>
        </w:rPr>
        <w:t> </w:t>
      </w:r>
      <w:r>
        <w:rPr>
          <w:rFonts w:ascii="Arial" w:hAnsi="Arial" w:cs="Arial" w:eastAsia="Arial" w:hint="default"/>
          <w:spacing w:val="-3"/>
        </w:rPr>
        <w:t>68.4%</w:t>
      </w:r>
      <w:r>
        <w:rPr>
          <w:spacing w:val="-3"/>
        </w:rPr>
        <w:t>，其中归属于母公司的净利润</w:t>
      </w:r>
      <w:r>
        <w:rPr>
          <w:spacing w:val="-53"/>
        </w:rPr>
        <w:t> </w:t>
      </w:r>
      <w:r>
        <w:rPr>
          <w:rFonts w:ascii="Arial" w:hAnsi="Arial" w:cs="Arial" w:eastAsia="Arial" w:hint="default"/>
        </w:rPr>
        <w:t>23.7</w:t>
      </w:r>
      <w:r>
        <w:rPr>
          <w:rFonts w:ascii="Arial" w:hAnsi="Arial" w:cs="Arial" w:eastAsia="Arial" w:hint="default"/>
          <w:spacing w:val="-5"/>
        </w:rPr>
        <w:t> </w:t>
      </w:r>
      <w:r>
        <w:rPr>
          <w:spacing w:val="-7"/>
        </w:rPr>
        <w:t>亿元，基本每股收益（附注</w:t>
      </w:r>
      <w:r>
        <w:rPr>
          <w:spacing w:val="-53"/>
        </w:rPr>
        <w:t> </w:t>
      </w:r>
      <w:r>
        <w:rPr>
          <w:rFonts w:ascii="Arial" w:hAnsi="Arial" w:cs="Arial" w:eastAsia="Arial" w:hint="default"/>
          <w:spacing w:val="-13"/>
        </w:rPr>
        <w:t>1</w:t>
      </w:r>
      <w:r>
        <w:rPr>
          <w:spacing w:val="-13"/>
        </w:rPr>
        <w:t>）为</w:t>
      </w:r>
      <w:r>
        <w:rPr>
          <w:spacing w:val="-54"/>
        </w:rPr>
        <w:t> </w:t>
      </w:r>
      <w:r>
        <w:rPr>
          <w:rFonts w:ascii="Arial" w:hAnsi="Arial" w:cs="Arial" w:eastAsia="Arial" w:hint="default"/>
        </w:rPr>
        <w:t>0.112</w:t>
      </w:r>
      <w:r>
        <w:rPr>
          <w:rFonts w:ascii="Arial" w:hAnsi="Arial" w:cs="Arial" w:eastAsia="Arial" w:hint="default"/>
          <w:spacing w:val="-5"/>
        </w:rPr>
        <w:t> </w:t>
      </w:r>
      <w:r>
        <w:rPr/>
        <w:t>元，</w:t>
      </w:r>
      <w:r>
        <w:rPr>
          <w:w w:val="99"/>
        </w:rPr>
        <w:t> </w:t>
      </w:r>
      <w:r>
        <w:rPr/>
        <w:t>同比增长</w:t>
      </w:r>
      <w:r>
        <w:rPr>
          <w:spacing w:val="-58"/>
        </w:rPr>
        <w:t> </w:t>
      </w:r>
      <w:r>
        <w:rPr>
          <w:rFonts w:ascii="Arial" w:hAnsi="Arial" w:cs="Arial" w:eastAsia="Arial" w:hint="default"/>
        </w:rPr>
        <w:t>67.7%</w:t>
      </w:r>
      <w:r>
        <w:rPr/>
        <w:t>。</w:t>
      </w:r>
    </w:p>
    <w:p>
      <w:pPr>
        <w:spacing w:line="240" w:lineRule="auto" w:before="3"/>
        <w:rPr>
          <w:rFonts w:ascii="宋体" w:hAnsi="宋体" w:cs="宋体" w:eastAsia="宋体" w:hint="default"/>
          <w:sz w:val="19"/>
          <w:szCs w:val="19"/>
        </w:rPr>
      </w:pPr>
    </w:p>
    <w:p>
      <w:pPr>
        <w:pStyle w:val="BodyText"/>
        <w:spacing w:line="286" w:lineRule="exact"/>
        <w:ind w:left="1019" w:right="89"/>
        <w:jc w:val="left"/>
      </w:pPr>
      <w:r>
        <w:rPr>
          <w:rFonts w:ascii="Arial" w:hAnsi="Arial" w:cs="Arial" w:eastAsia="Arial" w:hint="default"/>
        </w:rPr>
        <w:t>2012</w:t>
      </w:r>
      <w:r>
        <w:rPr>
          <w:rFonts w:ascii="Arial" w:hAnsi="Arial" w:cs="Arial" w:eastAsia="Arial" w:hint="default"/>
          <w:spacing w:val="-10"/>
        </w:rPr>
        <w:t> </w:t>
      </w:r>
      <w:r>
        <w:rPr/>
        <w:t>年公司经营活动现金流量净额为</w:t>
      </w:r>
      <w:r>
        <w:rPr>
          <w:spacing w:val="-58"/>
        </w:rPr>
        <w:t> </w:t>
      </w:r>
      <w:r>
        <w:rPr>
          <w:rFonts w:ascii="Arial" w:hAnsi="Arial" w:cs="Arial" w:eastAsia="Arial" w:hint="default"/>
        </w:rPr>
        <w:t>747.4</w:t>
      </w:r>
      <w:r>
        <w:rPr>
          <w:rFonts w:ascii="Arial" w:hAnsi="Arial" w:cs="Arial" w:eastAsia="Arial" w:hint="default"/>
          <w:spacing w:val="-10"/>
        </w:rPr>
        <w:t> </w:t>
      </w:r>
      <w:r>
        <w:rPr/>
        <w:t>亿元，资本开支为</w:t>
      </w:r>
      <w:r>
        <w:rPr>
          <w:spacing w:val="-59"/>
        </w:rPr>
        <w:t> </w:t>
      </w:r>
      <w:r>
        <w:rPr>
          <w:rFonts w:ascii="Arial" w:hAnsi="Arial" w:cs="Arial" w:eastAsia="Arial" w:hint="default"/>
        </w:rPr>
        <w:t>997.9</w:t>
      </w:r>
      <w:r>
        <w:rPr>
          <w:rFonts w:ascii="Arial" w:hAnsi="Arial" w:cs="Arial" w:eastAsia="Arial" w:hint="default"/>
          <w:spacing w:val="-10"/>
        </w:rPr>
        <w:t> </w:t>
      </w:r>
      <w:r>
        <w:rPr/>
        <w:t>亿元。截至</w:t>
      </w:r>
      <w:r>
        <w:rPr>
          <w:spacing w:val="-58"/>
        </w:rPr>
        <w:t> </w:t>
      </w:r>
      <w:r>
        <w:rPr>
          <w:rFonts w:ascii="Arial" w:hAnsi="Arial" w:cs="Arial" w:eastAsia="Arial" w:hint="default"/>
        </w:rPr>
        <w:t>2012</w:t>
      </w:r>
      <w:r>
        <w:rPr>
          <w:rFonts w:ascii="Arial" w:hAnsi="Arial" w:cs="Arial" w:eastAsia="Arial" w:hint="default"/>
          <w:spacing w:val="-10"/>
        </w:rPr>
        <w:t> </w:t>
      </w:r>
      <w:r>
        <w:rPr/>
        <w:t>年</w:t>
      </w:r>
      <w:r>
        <w:rPr>
          <w:w w:val="99"/>
        </w:rPr>
        <w:t> </w:t>
      </w:r>
      <w:r>
        <w:rPr/>
        <w:t>底，公司的资产负债率为</w:t>
      </w:r>
      <w:r>
        <w:rPr>
          <w:spacing w:val="-61"/>
        </w:rPr>
        <w:t> </w:t>
      </w:r>
      <w:r>
        <w:rPr>
          <w:rFonts w:ascii="Arial" w:hAnsi="Arial" w:cs="Arial" w:eastAsia="Arial" w:hint="default"/>
        </w:rPr>
        <w:t>59.1%</w:t>
      </w:r>
      <w:r>
        <w:rPr/>
        <w:t>。</w:t>
      </w:r>
    </w:p>
    <w:p>
      <w:pPr>
        <w:spacing w:after="0" w:line="286" w:lineRule="exact"/>
        <w:jc w:val="left"/>
        <w:sectPr>
          <w:pgSz w:w="11910" w:h="16840"/>
          <w:pgMar w:header="567" w:footer="745" w:top="800" w:bottom="940" w:left="1380" w:right="6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240" w:lineRule="auto" w:before="31"/>
        <w:ind w:left="658" w:right="89"/>
        <w:jc w:val="left"/>
      </w:pPr>
      <w:r>
        <w:rPr>
          <w:rFonts w:ascii="Arial" w:hAnsi="Arial" w:cs="Arial" w:eastAsia="Arial" w:hint="default"/>
        </w:rPr>
        <w:t>2</w:t>
      </w:r>
      <w:r>
        <w:rPr/>
        <w:t>、营业收入</w:t>
      </w:r>
    </w:p>
    <w:p>
      <w:pPr>
        <w:spacing w:line="240" w:lineRule="auto" w:before="13"/>
        <w:rPr>
          <w:rFonts w:ascii="宋体" w:hAnsi="宋体" w:cs="宋体" w:eastAsia="宋体" w:hint="default"/>
          <w:sz w:val="17"/>
          <w:szCs w:val="17"/>
        </w:rPr>
      </w:pPr>
    </w:p>
    <w:p>
      <w:pPr>
        <w:pStyle w:val="BodyText"/>
        <w:spacing w:line="294" w:lineRule="exact"/>
        <w:ind w:left="1019" w:right="89"/>
        <w:jc w:val="left"/>
      </w:pPr>
      <w:r>
        <w:rPr>
          <w:rFonts w:ascii="Arial" w:hAnsi="Arial" w:cs="Arial" w:eastAsia="Arial" w:hint="default"/>
        </w:rPr>
        <w:t>2012</w:t>
      </w:r>
      <w:r>
        <w:rPr>
          <w:rFonts w:ascii="Arial" w:hAnsi="Arial" w:cs="Arial" w:eastAsia="Arial" w:hint="default"/>
          <w:spacing w:val="-9"/>
        </w:rPr>
        <w:t> </w:t>
      </w:r>
      <w:r>
        <w:rPr/>
        <w:t>年公司营业收入实现</w:t>
      </w:r>
      <w:r>
        <w:rPr>
          <w:spacing w:val="-57"/>
        </w:rPr>
        <w:t> </w:t>
      </w:r>
      <w:r>
        <w:rPr>
          <w:rFonts w:ascii="Arial" w:hAnsi="Arial" w:cs="Arial" w:eastAsia="Arial" w:hint="default"/>
        </w:rPr>
        <w:t>2,562.6</w:t>
      </w:r>
      <w:r>
        <w:rPr>
          <w:rFonts w:ascii="Arial" w:hAnsi="Arial" w:cs="Arial" w:eastAsia="Arial" w:hint="default"/>
          <w:spacing w:val="-9"/>
        </w:rPr>
        <w:t> </w:t>
      </w:r>
      <w:r>
        <w:rPr/>
        <w:t>亿元，其中，主营业务收入为</w:t>
      </w:r>
      <w:r>
        <w:rPr>
          <w:spacing w:val="-56"/>
        </w:rPr>
        <w:t> </w:t>
      </w:r>
      <w:r>
        <w:rPr>
          <w:rFonts w:ascii="Arial" w:hAnsi="Arial" w:cs="Arial" w:eastAsia="Arial" w:hint="default"/>
        </w:rPr>
        <w:t>2,167.9</w:t>
      </w:r>
      <w:r>
        <w:rPr>
          <w:rFonts w:ascii="Arial" w:hAnsi="Arial" w:cs="Arial" w:eastAsia="Arial" w:hint="default"/>
          <w:spacing w:val="-9"/>
        </w:rPr>
        <w:t> </w:t>
      </w:r>
      <w:r>
        <w:rPr/>
        <w:t>亿元，同比增长</w:t>
      </w:r>
    </w:p>
    <w:p>
      <w:pPr>
        <w:pStyle w:val="BodyText"/>
        <w:spacing w:line="294" w:lineRule="exact"/>
        <w:ind w:left="1019" w:right="89"/>
        <w:jc w:val="left"/>
      </w:pPr>
      <w:r>
        <w:rPr>
          <w:rFonts w:ascii="Arial" w:hAnsi="Arial" w:cs="Arial" w:eastAsia="Arial" w:hint="default"/>
        </w:rPr>
        <w:t>13.1%</w:t>
      </w:r>
      <w:r>
        <w:rPr/>
        <w:t>，销售通信产品收入为</w:t>
      </w:r>
      <w:r>
        <w:rPr>
          <w:spacing w:val="-59"/>
        </w:rPr>
        <w:t> </w:t>
      </w:r>
      <w:r>
        <w:rPr>
          <w:rFonts w:ascii="Arial" w:hAnsi="Arial" w:cs="Arial" w:eastAsia="Arial" w:hint="default"/>
        </w:rPr>
        <w:t>394.8</w:t>
      </w:r>
      <w:r>
        <w:rPr>
          <w:rFonts w:ascii="Arial" w:hAnsi="Arial" w:cs="Arial" w:eastAsia="Arial" w:hint="default"/>
          <w:spacing w:val="-10"/>
        </w:rPr>
        <w:t> </w:t>
      </w:r>
      <w:r>
        <w:rPr/>
        <w:t>亿元。</w:t>
      </w:r>
    </w:p>
    <w:p>
      <w:pPr>
        <w:spacing w:line="240" w:lineRule="auto" w:before="2"/>
        <w:rPr>
          <w:rFonts w:ascii="宋体" w:hAnsi="宋体" w:cs="宋体" w:eastAsia="宋体" w:hint="default"/>
          <w:sz w:val="20"/>
          <w:szCs w:val="20"/>
        </w:rPr>
      </w:pPr>
    </w:p>
    <w:p>
      <w:pPr>
        <w:pStyle w:val="BodyText"/>
        <w:spacing w:line="286" w:lineRule="exact"/>
        <w:ind w:left="1019" w:right="209"/>
        <w:jc w:val="left"/>
      </w:pPr>
      <w:r>
        <w:rPr/>
        <w:t>下表反映了公司</w:t>
      </w:r>
      <w:r>
        <w:rPr>
          <w:spacing w:val="-74"/>
        </w:rPr>
        <w:t> </w:t>
      </w:r>
      <w:r>
        <w:rPr>
          <w:rFonts w:ascii="Arial" w:hAnsi="Arial" w:cs="Arial" w:eastAsia="Arial" w:hint="default"/>
        </w:rPr>
        <w:t>2012</w:t>
      </w:r>
      <w:r>
        <w:rPr>
          <w:rFonts w:ascii="Arial" w:hAnsi="Arial" w:cs="Arial" w:eastAsia="Arial" w:hint="default"/>
          <w:spacing w:val="-26"/>
        </w:rPr>
        <w:t> </w:t>
      </w:r>
      <w:r>
        <w:rPr/>
        <w:t>年和</w:t>
      </w:r>
      <w:r>
        <w:rPr>
          <w:spacing w:val="-75"/>
        </w:rPr>
        <w:t> </w:t>
      </w:r>
      <w:r>
        <w:rPr>
          <w:rFonts w:ascii="Arial" w:hAnsi="Arial" w:cs="Arial" w:eastAsia="Arial" w:hint="default"/>
        </w:rPr>
        <w:t>2011</w:t>
      </w:r>
      <w:r>
        <w:rPr>
          <w:rFonts w:ascii="Arial" w:hAnsi="Arial" w:cs="Arial" w:eastAsia="Arial" w:hint="default"/>
          <w:spacing w:val="-26"/>
        </w:rPr>
        <w:t> </w:t>
      </w:r>
      <w:r>
        <w:rPr/>
        <w:t>年主营业务收入构成及各业务收入所占主营业务收入百分</w:t>
      </w:r>
      <w:r>
        <w:rPr>
          <w:w w:val="99"/>
        </w:rPr>
        <w:t> </w:t>
      </w:r>
      <w:r>
        <w:rPr/>
        <w:t>比变化情况。</w:t>
      </w:r>
    </w:p>
    <w:p>
      <w:pPr>
        <w:spacing w:line="240" w:lineRule="auto" w:before="11"/>
        <w:rPr>
          <w:rFonts w:ascii="宋体" w:hAnsi="宋体" w:cs="宋体" w:eastAsia="宋体" w:hint="default"/>
          <w:sz w:val="19"/>
          <w:szCs w:val="19"/>
        </w:rPr>
      </w:pPr>
    </w:p>
    <w:tbl>
      <w:tblPr>
        <w:tblW w:w="0" w:type="auto"/>
        <w:jc w:val="left"/>
        <w:tblInd w:w="989" w:type="dxa"/>
        <w:tblLayout w:type="fixed"/>
        <w:tblCellMar>
          <w:top w:w="0" w:type="dxa"/>
          <w:left w:w="0" w:type="dxa"/>
          <w:bottom w:w="0" w:type="dxa"/>
          <w:right w:w="0" w:type="dxa"/>
        </w:tblCellMar>
        <w:tblLook w:val="01E0"/>
      </w:tblPr>
      <w:tblGrid>
        <w:gridCol w:w="2393"/>
        <w:gridCol w:w="1260"/>
        <w:gridCol w:w="1828"/>
        <w:gridCol w:w="1388"/>
        <w:gridCol w:w="1780"/>
      </w:tblGrid>
      <w:tr>
        <w:trPr>
          <w:trHeight w:val="29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2"/>
                <w:szCs w:val="22"/>
              </w:rPr>
            </w:pPr>
            <w:r>
              <w:rPr>
                <w:rFonts w:ascii="宋体" w:hAnsi="宋体" w:cs="宋体" w:eastAsia="宋体" w:hint="default"/>
                <w:sz w:val="22"/>
                <w:szCs w:val="22"/>
              </w:rPr>
              <w:t>（单位：人民币亿元）</w:t>
            </w:r>
          </w:p>
        </w:tc>
        <w:tc>
          <w:tcPr>
            <w:tcW w:w="30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3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
              <w:jc w:val="center"/>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81" w:hRule="exact"/>
        </w:trPr>
        <w:tc>
          <w:tcPr>
            <w:tcW w:w="23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宋体" w:hAnsi="宋体" w:cs="宋体" w:eastAsia="宋体" w:hint="default"/>
                <w:sz w:val="22"/>
                <w:szCs w:val="22"/>
              </w:rPr>
            </w:pPr>
            <w:r>
              <w:rPr>
                <w:rFonts w:ascii="宋体" w:hAnsi="宋体" w:cs="宋体" w:eastAsia="宋体" w:hint="default"/>
                <w:w w:val="95"/>
                <w:sz w:val="22"/>
                <w:szCs w:val="22"/>
              </w:rPr>
              <w:t>累计完成</w:t>
            </w:r>
            <w:r>
              <w:rPr>
                <w:rFonts w:ascii="宋体" w:hAnsi="宋体" w:cs="宋体" w:eastAsia="宋体" w:hint="default"/>
                <w:sz w:val="22"/>
                <w:szCs w:val="22"/>
              </w:rPr>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614" w:right="0" w:hanging="220"/>
              <w:jc w:val="left"/>
              <w:rPr>
                <w:rFonts w:ascii="宋体" w:hAnsi="宋体" w:cs="宋体" w:eastAsia="宋体" w:hint="default"/>
                <w:sz w:val="22"/>
                <w:szCs w:val="22"/>
              </w:rPr>
            </w:pPr>
            <w:r>
              <w:rPr>
                <w:rFonts w:ascii="宋体" w:hAnsi="宋体" w:cs="宋体" w:eastAsia="宋体" w:hint="default"/>
                <w:sz w:val="22"/>
                <w:szCs w:val="22"/>
              </w:rPr>
              <w:t>所占主营业务</w:t>
            </w:r>
          </w:p>
          <w:p>
            <w:pPr>
              <w:pStyle w:val="TableParagraph"/>
              <w:spacing w:line="287" w:lineRule="exact"/>
              <w:ind w:left="614" w:right="0"/>
              <w:jc w:val="left"/>
              <w:rPr>
                <w:rFonts w:ascii="宋体" w:hAnsi="宋体" w:cs="宋体" w:eastAsia="宋体" w:hint="default"/>
                <w:sz w:val="22"/>
                <w:szCs w:val="22"/>
              </w:rPr>
            </w:pPr>
            <w:r>
              <w:rPr>
                <w:rFonts w:ascii="宋体" w:hAnsi="宋体" w:cs="宋体" w:eastAsia="宋体" w:hint="default"/>
                <w:sz w:val="22"/>
                <w:szCs w:val="22"/>
              </w:rPr>
              <w:t>收入百分比</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宋体" w:hAnsi="宋体" w:cs="宋体" w:eastAsia="宋体" w:hint="default"/>
                <w:sz w:val="22"/>
                <w:szCs w:val="22"/>
              </w:rPr>
            </w:pPr>
            <w:r>
              <w:rPr>
                <w:rFonts w:ascii="宋体" w:hAnsi="宋体" w:cs="宋体" w:eastAsia="宋体" w:hint="default"/>
                <w:w w:val="95"/>
                <w:sz w:val="22"/>
                <w:szCs w:val="22"/>
              </w:rPr>
              <w:t>累计完成</w:t>
            </w:r>
            <w:r>
              <w:rPr>
                <w:rFonts w:ascii="宋体" w:hAnsi="宋体" w:cs="宋体" w:eastAsia="宋体" w:hint="default"/>
                <w:sz w:val="22"/>
                <w:szCs w:val="22"/>
              </w:rPr>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65" w:right="0" w:hanging="220"/>
              <w:jc w:val="left"/>
              <w:rPr>
                <w:rFonts w:ascii="宋体" w:hAnsi="宋体" w:cs="宋体" w:eastAsia="宋体" w:hint="default"/>
                <w:sz w:val="22"/>
                <w:szCs w:val="22"/>
              </w:rPr>
            </w:pPr>
            <w:r>
              <w:rPr>
                <w:rFonts w:ascii="宋体" w:hAnsi="宋体" w:cs="宋体" w:eastAsia="宋体" w:hint="default"/>
                <w:sz w:val="22"/>
                <w:szCs w:val="22"/>
              </w:rPr>
              <w:t>所占主营业务</w:t>
            </w:r>
          </w:p>
          <w:p>
            <w:pPr>
              <w:pStyle w:val="TableParagraph"/>
              <w:spacing w:line="287" w:lineRule="exact"/>
              <w:ind w:left="565" w:right="0"/>
              <w:jc w:val="left"/>
              <w:rPr>
                <w:rFonts w:ascii="宋体" w:hAnsi="宋体" w:cs="宋体" w:eastAsia="宋体" w:hint="default"/>
                <w:sz w:val="22"/>
                <w:szCs w:val="22"/>
              </w:rPr>
            </w:pPr>
            <w:r>
              <w:rPr>
                <w:rFonts w:ascii="宋体" w:hAnsi="宋体" w:cs="宋体" w:eastAsia="宋体" w:hint="default"/>
                <w:sz w:val="22"/>
                <w:szCs w:val="22"/>
              </w:rPr>
              <w:t>收入百分比</w:t>
            </w:r>
          </w:p>
        </w:tc>
      </w:tr>
      <w:tr>
        <w:trPr>
          <w:trHeight w:val="29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2"/>
                <w:szCs w:val="22"/>
              </w:rPr>
            </w:pPr>
            <w:r>
              <w:rPr>
                <w:rFonts w:ascii="宋体" w:hAnsi="宋体" w:cs="宋体" w:eastAsia="宋体" w:hint="default"/>
                <w:sz w:val="22"/>
                <w:szCs w:val="22"/>
              </w:rPr>
              <w:t>主营业务收入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Arial" w:hAnsi="Arial" w:cs="Arial" w:eastAsia="Arial" w:hint="default"/>
                <w:sz w:val="22"/>
                <w:szCs w:val="22"/>
              </w:rPr>
            </w:pPr>
            <w:r>
              <w:rPr>
                <w:rFonts w:ascii="Arial"/>
                <w:w w:val="95"/>
                <w:sz w:val="22"/>
              </w:rPr>
              <w:t>2,167.9</w:t>
            </w:r>
            <w:r>
              <w:rPr>
                <w:rFonts w:ascii="Arial"/>
                <w:sz w:val="22"/>
              </w:rPr>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Arial" w:hAnsi="Arial" w:cs="Arial" w:eastAsia="Arial" w:hint="default"/>
                <w:sz w:val="22"/>
                <w:szCs w:val="22"/>
              </w:rPr>
            </w:pPr>
            <w:r>
              <w:rPr>
                <w:rFonts w:ascii="Arial"/>
                <w:w w:val="95"/>
                <w:sz w:val="22"/>
              </w:rPr>
              <w:t>100.0%</w:t>
            </w:r>
            <w:r>
              <w:rPr>
                <w:rFonts w:ascii="Arial"/>
                <w:sz w:val="22"/>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Arial" w:hAnsi="Arial" w:cs="Arial" w:eastAsia="Arial" w:hint="default"/>
                <w:sz w:val="22"/>
                <w:szCs w:val="22"/>
              </w:rPr>
            </w:pPr>
            <w:r>
              <w:rPr>
                <w:rFonts w:ascii="Arial"/>
                <w:w w:val="95"/>
                <w:sz w:val="22"/>
              </w:rPr>
              <w:t>1,917.6</w:t>
            </w:r>
            <w:r>
              <w:rPr>
                <w:rFonts w:ascii="Arial"/>
                <w:sz w:val="22"/>
              </w:rPr>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Arial" w:hAnsi="Arial" w:cs="Arial" w:eastAsia="Arial" w:hint="default"/>
                <w:sz w:val="22"/>
                <w:szCs w:val="22"/>
              </w:rPr>
            </w:pPr>
            <w:r>
              <w:rPr>
                <w:rFonts w:ascii="Arial"/>
                <w:w w:val="95"/>
                <w:sz w:val="22"/>
              </w:rPr>
              <w:t>100.0%</w:t>
            </w:r>
            <w:r>
              <w:rPr>
                <w:rFonts w:ascii="Arial"/>
                <w:sz w:val="22"/>
              </w:rPr>
            </w:r>
          </w:p>
        </w:tc>
      </w:tr>
      <w:tr>
        <w:trPr>
          <w:trHeight w:val="29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37" w:right="0"/>
              <w:jc w:val="left"/>
              <w:rPr>
                <w:rFonts w:ascii="宋体" w:hAnsi="宋体" w:cs="宋体" w:eastAsia="宋体" w:hint="default"/>
                <w:sz w:val="22"/>
                <w:szCs w:val="22"/>
              </w:rPr>
            </w:pPr>
            <w:r>
              <w:rPr>
                <w:rFonts w:ascii="宋体" w:hAnsi="宋体" w:cs="宋体" w:eastAsia="宋体" w:hint="default"/>
                <w:sz w:val="22"/>
                <w:szCs w:val="22"/>
              </w:rPr>
              <w:t>其中：移动业务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Arial" w:hAnsi="Arial" w:cs="Arial" w:eastAsia="Arial" w:hint="default"/>
                <w:sz w:val="22"/>
                <w:szCs w:val="22"/>
              </w:rPr>
            </w:pPr>
            <w:r>
              <w:rPr>
                <w:rFonts w:ascii="Arial"/>
                <w:w w:val="95"/>
                <w:sz w:val="22"/>
              </w:rPr>
              <w:t>1,298.1</w:t>
            </w:r>
            <w:r>
              <w:rPr>
                <w:rFonts w:ascii="Arial"/>
                <w:sz w:val="22"/>
              </w:rPr>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Arial" w:hAnsi="Arial" w:cs="Arial" w:eastAsia="Arial" w:hint="default"/>
                <w:sz w:val="22"/>
                <w:szCs w:val="22"/>
              </w:rPr>
            </w:pPr>
            <w:r>
              <w:rPr>
                <w:rFonts w:ascii="Arial"/>
                <w:w w:val="95"/>
                <w:sz w:val="22"/>
              </w:rPr>
              <w:t>59.9%</w:t>
            </w:r>
            <w:r>
              <w:rPr>
                <w:rFonts w:ascii="Arial"/>
                <w:sz w:val="22"/>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Arial" w:hAnsi="Arial" w:cs="Arial" w:eastAsia="Arial" w:hint="default"/>
                <w:sz w:val="22"/>
                <w:szCs w:val="22"/>
              </w:rPr>
            </w:pPr>
            <w:r>
              <w:rPr>
                <w:rFonts w:ascii="Arial"/>
                <w:w w:val="95"/>
                <w:sz w:val="22"/>
              </w:rPr>
              <w:t>1,063.3</w:t>
            </w:r>
            <w:r>
              <w:rPr>
                <w:rFonts w:ascii="Arial"/>
                <w:sz w:val="22"/>
              </w:rPr>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Arial" w:hAnsi="Arial" w:cs="Arial" w:eastAsia="Arial" w:hint="default"/>
                <w:sz w:val="22"/>
                <w:szCs w:val="22"/>
              </w:rPr>
            </w:pPr>
            <w:r>
              <w:rPr>
                <w:rFonts w:ascii="Arial"/>
                <w:w w:val="95"/>
                <w:sz w:val="22"/>
              </w:rPr>
              <w:t>55.5%</w:t>
            </w:r>
            <w:r>
              <w:rPr>
                <w:rFonts w:ascii="Arial"/>
                <w:sz w:val="22"/>
              </w:rPr>
            </w:r>
          </w:p>
        </w:tc>
      </w:tr>
      <w:tr>
        <w:trPr>
          <w:trHeight w:val="29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11" w:right="0"/>
              <w:jc w:val="left"/>
              <w:rPr>
                <w:rFonts w:ascii="Arial" w:hAnsi="Arial" w:cs="Arial" w:eastAsia="Arial" w:hint="default"/>
                <w:sz w:val="22"/>
                <w:szCs w:val="22"/>
              </w:rPr>
            </w:pPr>
            <w:r>
              <w:rPr>
                <w:rFonts w:ascii="宋体" w:hAnsi="宋体" w:cs="宋体" w:eastAsia="宋体" w:hint="default"/>
                <w:sz w:val="22"/>
                <w:szCs w:val="22"/>
              </w:rPr>
              <w:t>其中：</w:t>
            </w:r>
            <w:r>
              <w:rPr>
                <w:rFonts w:ascii="Arial" w:hAnsi="Arial" w:cs="Arial" w:eastAsia="Arial" w:hint="default"/>
                <w:sz w:val="22"/>
                <w:szCs w:val="22"/>
              </w:rPr>
              <w:t>3G</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Arial" w:hAnsi="Arial" w:cs="Arial" w:eastAsia="Arial" w:hint="default"/>
                <w:sz w:val="22"/>
                <w:szCs w:val="22"/>
              </w:rPr>
            </w:pPr>
            <w:r>
              <w:rPr>
                <w:rFonts w:ascii="Arial"/>
                <w:w w:val="95"/>
                <w:sz w:val="22"/>
              </w:rPr>
              <w:t>617.1</w:t>
            </w:r>
            <w:r>
              <w:rPr>
                <w:rFonts w:ascii="Arial"/>
                <w:sz w:val="22"/>
              </w:rPr>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Arial" w:hAnsi="Arial" w:cs="Arial" w:eastAsia="Arial" w:hint="default"/>
                <w:sz w:val="22"/>
                <w:szCs w:val="22"/>
              </w:rPr>
            </w:pPr>
            <w:r>
              <w:rPr>
                <w:rFonts w:ascii="Arial"/>
                <w:w w:val="95"/>
                <w:sz w:val="22"/>
              </w:rPr>
              <w:t>28.5%</w:t>
            </w:r>
            <w:r>
              <w:rPr>
                <w:rFonts w:ascii="Arial"/>
                <w:sz w:val="22"/>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Arial" w:hAnsi="Arial" w:cs="Arial" w:eastAsia="Arial" w:hint="default"/>
                <w:sz w:val="22"/>
                <w:szCs w:val="22"/>
              </w:rPr>
            </w:pPr>
            <w:r>
              <w:rPr>
                <w:rFonts w:ascii="Arial"/>
                <w:w w:val="95"/>
                <w:sz w:val="22"/>
              </w:rPr>
              <w:t>337.9</w:t>
            </w:r>
            <w:r>
              <w:rPr>
                <w:rFonts w:ascii="Arial"/>
                <w:sz w:val="22"/>
              </w:rPr>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Arial" w:hAnsi="Arial" w:cs="Arial" w:eastAsia="Arial" w:hint="default"/>
                <w:sz w:val="22"/>
                <w:szCs w:val="22"/>
              </w:rPr>
            </w:pPr>
            <w:r>
              <w:rPr>
                <w:rFonts w:ascii="Arial"/>
                <w:w w:val="95"/>
                <w:sz w:val="22"/>
              </w:rPr>
              <w:t>17.6%</w:t>
            </w:r>
            <w:r>
              <w:rPr>
                <w:rFonts w:ascii="Arial"/>
                <w:sz w:val="22"/>
              </w:rPr>
            </w:r>
          </w:p>
        </w:tc>
      </w:tr>
      <w:tr>
        <w:trPr>
          <w:trHeight w:val="29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11" w:right="0"/>
              <w:jc w:val="left"/>
              <w:rPr>
                <w:rFonts w:ascii="宋体" w:hAnsi="宋体" w:cs="宋体" w:eastAsia="宋体" w:hint="default"/>
                <w:sz w:val="22"/>
                <w:szCs w:val="22"/>
              </w:rPr>
            </w:pPr>
            <w:r>
              <w:rPr>
                <w:rFonts w:ascii="宋体" w:hAnsi="宋体" w:cs="宋体" w:eastAsia="宋体" w:hint="default"/>
                <w:sz w:val="22"/>
                <w:szCs w:val="22"/>
              </w:rPr>
              <w:t>固网业务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Arial" w:hAnsi="Arial" w:cs="Arial" w:eastAsia="Arial" w:hint="default"/>
                <w:sz w:val="22"/>
                <w:szCs w:val="22"/>
              </w:rPr>
            </w:pPr>
            <w:r>
              <w:rPr>
                <w:rFonts w:ascii="Arial"/>
                <w:w w:val="95"/>
                <w:sz w:val="22"/>
              </w:rPr>
              <w:t>860.1</w:t>
            </w:r>
            <w:r>
              <w:rPr>
                <w:rFonts w:ascii="Arial"/>
                <w:sz w:val="22"/>
              </w:rPr>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Arial" w:hAnsi="Arial" w:cs="Arial" w:eastAsia="Arial" w:hint="default"/>
                <w:sz w:val="22"/>
                <w:szCs w:val="22"/>
              </w:rPr>
            </w:pPr>
            <w:r>
              <w:rPr>
                <w:rFonts w:ascii="Arial"/>
                <w:w w:val="95"/>
                <w:sz w:val="22"/>
              </w:rPr>
              <w:t>39.7%</w:t>
            </w:r>
            <w:r>
              <w:rPr>
                <w:rFonts w:ascii="Arial"/>
                <w:sz w:val="22"/>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Arial" w:hAnsi="Arial" w:cs="Arial" w:eastAsia="Arial" w:hint="default"/>
                <w:sz w:val="22"/>
                <w:szCs w:val="22"/>
              </w:rPr>
            </w:pPr>
            <w:r>
              <w:rPr>
                <w:rFonts w:ascii="Arial"/>
                <w:w w:val="95"/>
                <w:sz w:val="22"/>
              </w:rPr>
              <w:t>843.8</w:t>
            </w:r>
            <w:r>
              <w:rPr>
                <w:rFonts w:ascii="Arial"/>
                <w:sz w:val="22"/>
              </w:rPr>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Arial" w:hAnsi="Arial" w:cs="Arial" w:eastAsia="Arial" w:hint="default"/>
                <w:sz w:val="22"/>
                <w:szCs w:val="22"/>
              </w:rPr>
            </w:pPr>
            <w:r>
              <w:rPr>
                <w:rFonts w:ascii="Arial"/>
                <w:w w:val="95"/>
                <w:sz w:val="22"/>
              </w:rPr>
              <w:t>44.0%</w:t>
            </w:r>
            <w:r>
              <w:rPr>
                <w:rFonts w:ascii="Arial"/>
                <w:sz w:val="22"/>
              </w:rPr>
            </w:r>
          </w:p>
        </w:tc>
      </w:tr>
      <w:tr>
        <w:trPr>
          <w:trHeight w:val="29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11" w:right="0"/>
              <w:jc w:val="left"/>
              <w:rPr>
                <w:rFonts w:ascii="宋体" w:hAnsi="宋体" w:cs="宋体" w:eastAsia="宋体" w:hint="default"/>
                <w:sz w:val="22"/>
                <w:szCs w:val="22"/>
              </w:rPr>
            </w:pPr>
            <w:r>
              <w:rPr>
                <w:rFonts w:ascii="宋体" w:hAnsi="宋体" w:cs="宋体" w:eastAsia="宋体" w:hint="default"/>
                <w:sz w:val="22"/>
                <w:szCs w:val="22"/>
              </w:rPr>
              <w:t>其中：宽带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Arial" w:hAnsi="Arial" w:cs="Arial" w:eastAsia="Arial" w:hint="default"/>
                <w:sz w:val="22"/>
                <w:szCs w:val="22"/>
              </w:rPr>
            </w:pPr>
            <w:r>
              <w:rPr>
                <w:rFonts w:ascii="Arial"/>
                <w:w w:val="95"/>
                <w:sz w:val="22"/>
              </w:rPr>
              <w:t>407.3</w:t>
            </w:r>
            <w:r>
              <w:rPr>
                <w:rFonts w:ascii="Arial"/>
                <w:sz w:val="22"/>
              </w:rPr>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Arial" w:hAnsi="Arial" w:cs="Arial" w:eastAsia="Arial" w:hint="default"/>
                <w:sz w:val="22"/>
                <w:szCs w:val="22"/>
              </w:rPr>
            </w:pPr>
            <w:r>
              <w:rPr>
                <w:rFonts w:ascii="Arial"/>
                <w:w w:val="95"/>
                <w:sz w:val="22"/>
              </w:rPr>
              <w:t>18.8%</w:t>
            </w:r>
            <w:r>
              <w:rPr>
                <w:rFonts w:ascii="Arial"/>
                <w:sz w:val="22"/>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Arial" w:hAnsi="Arial" w:cs="Arial" w:eastAsia="Arial" w:hint="default"/>
                <w:sz w:val="22"/>
                <w:szCs w:val="22"/>
              </w:rPr>
            </w:pPr>
            <w:r>
              <w:rPr>
                <w:rFonts w:ascii="Arial"/>
                <w:w w:val="95"/>
                <w:sz w:val="22"/>
              </w:rPr>
              <w:t>364.3</w:t>
            </w:r>
            <w:r>
              <w:rPr>
                <w:rFonts w:ascii="Arial"/>
                <w:sz w:val="22"/>
              </w:rPr>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Arial" w:hAnsi="Arial" w:cs="Arial" w:eastAsia="Arial" w:hint="default"/>
                <w:sz w:val="22"/>
                <w:szCs w:val="22"/>
              </w:rPr>
            </w:pPr>
            <w:r>
              <w:rPr>
                <w:rFonts w:ascii="Arial"/>
                <w:w w:val="95"/>
                <w:sz w:val="22"/>
              </w:rPr>
              <w:t>19.0%</w:t>
            </w:r>
            <w:r>
              <w:rPr>
                <w:rFonts w:ascii="Arial"/>
                <w:sz w:val="22"/>
              </w:rPr>
            </w:r>
          </w:p>
        </w:tc>
      </w:tr>
    </w:tbl>
    <w:p>
      <w:pPr>
        <w:spacing w:line="240" w:lineRule="auto" w:before="2"/>
        <w:rPr>
          <w:rFonts w:ascii="宋体" w:hAnsi="宋体" w:cs="宋体" w:eastAsia="宋体" w:hint="default"/>
          <w:sz w:val="14"/>
          <w:szCs w:val="14"/>
        </w:rPr>
      </w:pPr>
    </w:p>
    <w:p>
      <w:pPr>
        <w:pStyle w:val="BodyText"/>
        <w:spacing w:line="240" w:lineRule="auto" w:before="31"/>
        <w:ind w:left="1002" w:right="0"/>
        <w:jc w:val="both"/>
      </w:pPr>
      <w:r>
        <w:rPr>
          <w:rFonts w:ascii="Arial" w:hAnsi="Arial" w:cs="Arial" w:eastAsia="Arial" w:hint="default"/>
        </w:rPr>
        <w:t>2.1  </w:t>
      </w:r>
      <w:r>
        <w:rPr>
          <w:rFonts w:ascii="Arial" w:hAnsi="Arial" w:cs="Arial" w:eastAsia="Arial" w:hint="default"/>
          <w:spacing w:val="47"/>
        </w:rPr>
        <w:t> </w:t>
      </w:r>
      <w:r>
        <w:rPr/>
        <w:t>移动业务</w:t>
      </w:r>
    </w:p>
    <w:p>
      <w:pPr>
        <w:spacing w:line="240" w:lineRule="auto" w:before="2"/>
        <w:rPr>
          <w:rFonts w:ascii="宋体" w:hAnsi="宋体" w:cs="宋体" w:eastAsia="宋体" w:hint="default"/>
          <w:sz w:val="19"/>
          <w:szCs w:val="19"/>
        </w:rPr>
      </w:pPr>
    </w:p>
    <w:p>
      <w:pPr>
        <w:pStyle w:val="BodyText"/>
        <w:spacing w:line="225" w:lineRule="auto"/>
        <w:ind w:left="1559" w:right="210"/>
        <w:jc w:val="both"/>
      </w:pPr>
      <w:r>
        <w:rPr>
          <w:rFonts w:ascii="Arial" w:hAnsi="Arial" w:cs="Arial" w:eastAsia="Arial" w:hint="default"/>
        </w:rPr>
        <w:t>2012</w:t>
      </w:r>
      <w:r>
        <w:rPr>
          <w:rFonts w:ascii="Arial" w:hAnsi="Arial" w:cs="Arial" w:eastAsia="Arial" w:hint="default"/>
          <w:spacing w:val="9"/>
        </w:rPr>
        <w:t> </w:t>
      </w:r>
      <w:r>
        <w:rPr/>
        <w:t>年公司移动业务主营业务收入为</w:t>
      </w:r>
      <w:r>
        <w:rPr>
          <w:spacing w:val="-39"/>
        </w:rPr>
        <w:t> </w:t>
      </w:r>
      <w:r>
        <w:rPr>
          <w:rFonts w:ascii="Arial" w:hAnsi="Arial" w:cs="Arial" w:eastAsia="Arial" w:hint="default"/>
        </w:rPr>
        <w:t>1,298.1</w:t>
      </w:r>
      <w:r>
        <w:rPr>
          <w:rFonts w:ascii="Arial" w:hAnsi="Arial" w:cs="Arial" w:eastAsia="Arial" w:hint="default"/>
          <w:spacing w:val="8"/>
        </w:rPr>
        <w:t> </w:t>
      </w:r>
      <w:r>
        <w:rPr/>
        <w:t>亿元，同比增长</w:t>
      </w:r>
      <w:r>
        <w:rPr>
          <w:spacing w:val="-40"/>
        </w:rPr>
        <w:t> </w:t>
      </w:r>
      <w:r>
        <w:rPr>
          <w:rFonts w:ascii="Arial" w:hAnsi="Arial" w:cs="Arial" w:eastAsia="Arial" w:hint="default"/>
        </w:rPr>
        <w:t>22.1%</w:t>
      </w:r>
      <w:r>
        <w:rPr/>
        <w:t>，其中</w:t>
      </w:r>
      <w:r>
        <w:rPr>
          <w:spacing w:val="-40"/>
        </w:rPr>
        <w:t> </w:t>
      </w:r>
      <w:r>
        <w:rPr>
          <w:rFonts w:ascii="Arial" w:hAnsi="Arial" w:cs="Arial" w:eastAsia="Arial" w:hint="default"/>
        </w:rPr>
        <w:t>3G</w:t>
      </w:r>
      <w:r>
        <w:rPr>
          <w:rFonts w:ascii="Arial" w:hAnsi="Arial" w:cs="Arial" w:eastAsia="Arial" w:hint="default"/>
          <w:spacing w:val="9"/>
        </w:rPr>
        <w:t> </w:t>
      </w:r>
      <w:r>
        <w:rPr/>
        <w:t>业</w:t>
      </w:r>
      <w:r>
        <w:rPr>
          <w:w w:val="99"/>
        </w:rPr>
        <w:t> </w:t>
      </w:r>
      <w:r>
        <w:rPr/>
        <w:t>务收入为</w:t>
      </w:r>
      <w:r>
        <w:rPr>
          <w:spacing w:val="-71"/>
        </w:rPr>
        <w:t> </w:t>
      </w:r>
      <w:r>
        <w:rPr>
          <w:rFonts w:ascii="Arial" w:hAnsi="Arial" w:cs="Arial" w:eastAsia="Arial" w:hint="default"/>
        </w:rPr>
        <w:t>617.1</w:t>
      </w:r>
      <w:r>
        <w:rPr>
          <w:rFonts w:ascii="Arial" w:hAnsi="Arial" w:cs="Arial" w:eastAsia="Arial" w:hint="default"/>
          <w:spacing w:val="-22"/>
        </w:rPr>
        <w:t> </w:t>
      </w:r>
      <w:r>
        <w:rPr>
          <w:spacing w:val="-6"/>
        </w:rPr>
        <w:t>亿元，同比增长</w:t>
      </w:r>
      <w:r>
        <w:rPr>
          <w:spacing w:val="-71"/>
        </w:rPr>
        <w:t> </w:t>
      </w:r>
      <w:r>
        <w:rPr>
          <w:rFonts w:ascii="Arial" w:hAnsi="Arial" w:cs="Arial" w:eastAsia="Arial" w:hint="default"/>
        </w:rPr>
        <w:t>82.6%</w:t>
      </w:r>
      <w:r>
        <w:rPr/>
        <w:t>，所占移动业务主营业务收入的比重由上年的</w:t>
      </w:r>
      <w:r>
        <w:rPr>
          <w:w w:val="99"/>
        </w:rPr>
        <w:t> </w:t>
      </w:r>
      <w:r>
        <w:rPr>
          <w:rFonts w:ascii="Arial" w:hAnsi="Arial" w:cs="Arial" w:eastAsia="Arial" w:hint="default"/>
        </w:rPr>
        <w:t>31.8%</w:t>
      </w:r>
      <w:r>
        <w:rPr/>
        <w:t>上升至</w:t>
      </w:r>
      <w:r>
        <w:rPr>
          <w:spacing w:val="-60"/>
        </w:rPr>
        <w:t> </w:t>
      </w:r>
      <w:r>
        <w:rPr>
          <w:rFonts w:ascii="Arial" w:hAnsi="Arial" w:cs="Arial" w:eastAsia="Arial" w:hint="default"/>
        </w:rPr>
        <w:t>47.5%</w:t>
      </w:r>
      <w:r>
        <w:rPr/>
        <w:t>。</w:t>
      </w:r>
    </w:p>
    <w:p>
      <w:pPr>
        <w:spacing w:line="240" w:lineRule="auto" w:before="2"/>
        <w:rPr>
          <w:rFonts w:ascii="宋体" w:hAnsi="宋体" w:cs="宋体" w:eastAsia="宋体" w:hint="default"/>
          <w:sz w:val="18"/>
          <w:szCs w:val="18"/>
        </w:rPr>
      </w:pPr>
    </w:p>
    <w:p>
      <w:pPr>
        <w:pStyle w:val="BodyText"/>
        <w:spacing w:line="240" w:lineRule="auto"/>
        <w:ind w:left="1002" w:right="0"/>
        <w:jc w:val="both"/>
      </w:pPr>
      <w:r>
        <w:rPr>
          <w:rFonts w:ascii="Arial" w:hAnsi="Arial" w:cs="Arial" w:eastAsia="Arial" w:hint="default"/>
        </w:rPr>
        <w:t>2.2  </w:t>
      </w:r>
      <w:r>
        <w:rPr>
          <w:rFonts w:ascii="Arial" w:hAnsi="Arial" w:cs="Arial" w:eastAsia="Arial" w:hint="default"/>
          <w:spacing w:val="47"/>
        </w:rPr>
        <w:t> </w:t>
      </w:r>
      <w:r>
        <w:rPr/>
        <w:t>固网业务</w:t>
      </w:r>
    </w:p>
    <w:p>
      <w:pPr>
        <w:spacing w:line="240" w:lineRule="auto" w:before="0"/>
        <w:rPr>
          <w:rFonts w:ascii="宋体" w:hAnsi="宋体" w:cs="宋体" w:eastAsia="宋体" w:hint="default"/>
          <w:sz w:val="20"/>
          <w:szCs w:val="20"/>
        </w:rPr>
      </w:pPr>
    </w:p>
    <w:p>
      <w:pPr>
        <w:pStyle w:val="BodyText"/>
        <w:spacing w:line="286" w:lineRule="exact"/>
        <w:ind w:left="1559" w:right="209"/>
        <w:jc w:val="both"/>
      </w:pPr>
      <w:r>
        <w:rPr>
          <w:rFonts w:ascii="Arial" w:hAnsi="Arial" w:cs="Arial" w:eastAsia="Arial" w:hint="default"/>
        </w:rPr>
        <w:t>2012</w:t>
      </w:r>
      <w:r>
        <w:rPr>
          <w:rFonts w:ascii="Arial" w:hAnsi="Arial" w:cs="Arial" w:eastAsia="Arial" w:hint="default"/>
          <w:spacing w:val="-9"/>
        </w:rPr>
        <w:t> </w:t>
      </w:r>
      <w:r>
        <w:rPr/>
        <w:t>年公司固网业务主营业务收入为</w:t>
      </w:r>
      <w:r>
        <w:rPr>
          <w:spacing w:val="-57"/>
        </w:rPr>
        <w:t> </w:t>
      </w:r>
      <w:r>
        <w:rPr>
          <w:rFonts w:ascii="Arial" w:hAnsi="Arial" w:cs="Arial" w:eastAsia="Arial" w:hint="default"/>
        </w:rPr>
        <w:t>860.1</w:t>
      </w:r>
      <w:r>
        <w:rPr>
          <w:rFonts w:ascii="Arial" w:hAnsi="Arial" w:cs="Arial" w:eastAsia="Arial" w:hint="default"/>
          <w:spacing w:val="-9"/>
        </w:rPr>
        <w:t> </w:t>
      </w:r>
      <w:r>
        <w:rPr>
          <w:spacing w:val="-5"/>
        </w:rPr>
        <w:t>亿元，同比增长</w:t>
      </w:r>
      <w:r>
        <w:rPr>
          <w:spacing w:val="-58"/>
        </w:rPr>
        <w:t> </w:t>
      </w:r>
      <w:r>
        <w:rPr>
          <w:rFonts w:ascii="Arial" w:hAnsi="Arial" w:cs="Arial" w:eastAsia="Arial" w:hint="default"/>
          <w:spacing w:val="-3"/>
        </w:rPr>
        <w:t>1.9%</w:t>
      </w:r>
      <w:r>
        <w:rPr>
          <w:spacing w:val="-3"/>
        </w:rPr>
        <w:t>，其中固网宽带业</w:t>
      </w:r>
      <w:r>
        <w:rPr>
          <w:w w:val="99"/>
        </w:rPr>
        <w:t> </w:t>
      </w:r>
      <w:r>
        <w:rPr/>
        <w:t>务收入为</w:t>
      </w:r>
      <w:r>
        <w:rPr>
          <w:spacing w:val="-71"/>
        </w:rPr>
        <w:t> </w:t>
      </w:r>
      <w:r>
        <w:rPr>
          <w:rFonts w:ascii="Arial" w:hAnsi="Arial" w:cs="Arial" w:eastAsia="Arial" w:hint="default"/>
        </w:rPr>
        <w:t>407.3</w:t>
      </w:r>
      <w:r>
        <w:rPr>
          <w:rFonts w:ascii="Arial" w:hAnsi="Arial" w:cs="Arial" w:eastAsia="Arial" w:hint="default"/>
          <w:spacing w:val="-22"/>
        </w:rPr>
        <w:t> </w:t>
      </w:r>
      <w:r>
        <w:rPr>
          <w:spacing w:val="-6"/>
        </w:rPr>
        <w:t>亿元，同比增长</w:t>
      </w:r>
      <w:r>
        <w:rPr>
          <w:spacing w:val="-71"/>
        </w:rPr>
        <w:t> </w:t>
      </w:r>
      <w:r>
        <w:rPr>
          <w:rFonts w:ascii="Arial" w:hAnsi="Arial" w:cs="Arial" w:eastAsia="Arial" w:hint="default"/>
        </w:rPr>
        <w:t>11.8%</w:t>
      </w:r>
      <w:r>
        <w:rPr/>
        <w:t>，所占固网业务主营业务收入的比重由上年的</w:t>
      </w:r>
      <w:r>
        <w:rPr>
          <w:w w:val="99"/>
        </w:rPr>
        <w:t> </w:t>
      </w:r>
      <w:r>
        <w:rPr>
          <w:rFonts w:ascii="Arial" w:hAnsi="Arial" w:cs="Arial" w:eastAsia="Arial" w:hint="default"/>
        </w:rPr>
        <w:t>43.2%</w:t>
      </w:r>
      <w:r>
        <w:rPr/>
        <w:t>上升至</w:t>
      </w:r>
      <w:r>
        <w:rPr>
          <w:spacing w:val="-60"/>
        </w:rPr>
        <w:t> </w:t>
      </w:r>
      <w:r>
        <w:rPr>
          <w:rFonts w:ascii="Arial" w:hAnsi="Arial" w:cs="Arial" w:eastAsia="Arial" w:hint="default"/>
        </w:rPr>
        <w:t>47.4%</w:t>
      </w:r>
      <w:r>
        <w:rPr/>
        <w:t>。</w:t>
      </w:r>
    </w:p>
    <w:p>
      <w:pPr>
        <w:spacing w:line="240" w:lineRule="auto" w:before="1"/>
        <w:rPr>
          <w:rFonts w:ascii="宋体" w:hAnsi="宋体" w:cs="宋体" w:eastAsia="宋体" w:hint="default"/>
          <w:sz w:val="17"/>
          <w:szCs w:val="17"/>
        </w:rPr>
      </w:pPr>
    </w:p>
    <w:p>
      <w:pPr>
        <w:pStyle w:val="BodyText"/>
        <w:spacing w:line="240" w:lineRule="auto"/>
        <w:ind w:left="658" w:right="89"/>
        <w:jc w:val="left"/>
      </w:pPr>
      <w:r>
        <w:rPr>
          <w:rFonts w:ascii="Arial" w:hAnsi="Arial" w:cs="Arial" w:eastAsia="Arial" w:hint="default"/>
        </w:rPr>
        <w:t>3</w:t>
      </w:r>
      <w:r>
        <w:rPr/>
        <w:t>、成本费用</w:t>
      </w:r>
    </w:p>
    <w:p>
      <w:pPr>
        <w:spacing w:line="240" w:lineRule="auto" w:before="13"/>
        <w:rPr>
          <w:rFonts w:ascii="宋体" w:hAnsi="宋体" w:cs="宋体" w:eastAsia="宋体" w:hint="default"/>
          <w:sz w:val="17"/>
          <w:szCs w:val="17"/>
        </w:rPr>
      </w:pPr>
    </w:p>
    <w:p>
      <w:pPr>
        <w:pStyle w:val="BodyText"/>
        <w:spacing w:line="295" w:lineRule="exact"/>
        <w:ind w:left="1002" w:right="0"/>
        <w:jc w:val="both"/>
      </w:pPr>
      <w:r>
        <w:rPr>
          <w:rFonts w:ascii="Arial" w:hAnsi="Arial" w:cs="Arial" w:eastAsia="Arial" w:hint="default"/>
        </w:rPr>
        <w:t>2012</w:t>
      </w:r>
      <w:r>
        <w:rPr>
          <w:rFonts w:ascii="Arial" w:hAnsi="Arial" w:cs="Arial" w:eastAsia="Arial" w:hint="default"/>
          <w:spacing w:val="-8"/>
        </w:rPr>
        <w:t> </w:t>
      </w:r>
      <w:r>
        <w:rPr/>
        <w:t>年公司成本费用（附注</w:t>
      </w:r>
      <w:r>
        <w:rPr>
          <w:spacing w:val="-56"/>
        </w:rPr>
        <w:t> </w:t>
      </w:r>
      <w:r>
        <w:rPr>
          <w:rFonts w:ascii="Arial" w:hAnsi="Arial" w:cs="Arial" w:eastAsia="Arial" w:hint="default"/>
        </w:rPr>
        <w:t>2</w:t>
      </w:r>
      <w:r>
        <w:rPr/>
        <w:t>）合计为</w:t>
      </w:r>
      <w:r>
        <w:rPr>
          <w:spacing w:val="-57"/>
        </w:rPr>
        <w:t> </w:t>
      </w:r>
      <w:r>
        <w:rPr>
          <w:rFonts w:ascii="Arial" w:hAnsi="Arial" w:cs="Arial" w:eastAsia="Arial" w:hint="default"/>
        </w:rPr>
        <w:t>2,380.5</w:t>
      </w:r>
      <w:r>
        <w:rPr>
          <w:rFonts w:ascii="Arial" w:hAnsi="Arial" w:cs="Arial" w:eastAsia="Arial" w:hint="default"/>
          <w:spacing w:val="-7"/>
        </w:rPr>
        <w:t> </w:t>
      </w:r>
      <w:r>
        <w:rPr/>
        <w:t>亿元，同比增长</w:t>
      </w:r>
      <w:r>
        <w:rPr>
          <w:spacing w:val="-57"/>
        </w:rPr>
        <w:t> </w:t>
      </w:r>
      <w:r>
        <w:rPr>
          <w:rFonts w:ascii="Arial" w:hAnsi="Arial" w:cs="Arial" w:eastAsia="Arial" w:hint="default"/>
        </w:rPr>
        <w:t>17.5%</w:t>
      </w:r>
      <w:r>
        <w:rPr/>
        <w:t>，低于同期营业收</w:t>
      </w:r>
    </w:p>
    <w:p>
      <w:pPr>
        <w:pStyle w:val="BodyText"/>
        <w:spacing w:line="285" w:lineRule="exact"/>
        <w:ind w:left="1002" w:right="0"/>
        <w:jc w:val="both"/>
      </w:pPr>
      <w:r>
        <w:rPr/>
        <w:t>入增幅</w:t>
      </w:r>
      <w:r>
        <w:rPr>
          <w:spacing w:val="-41"/>
        </w:rPr>
        <w:t> </w:t>
      </w:r>
      <w:r>
        <w:rPr>
          <w:rFonts w:ascii="Arial" w:hAnsi="Arial" w:cs="Arial" w:eastAsia="Arial" w:hint="default"/>
        </w:rPr>
        <w:t>1.4</w:t>
      </w:r>
      <w:r>
        <w:rPr>
          <w:rFonts w:ascii="Arial" w:hAnsi="Arial" w:cs="Arial" w:eastAsia="Arial" w:hint="default"/>
          <w:spacing w:val="9"/>
        </w:rPr>
        <w:t> </w:t>
      </w:r>
      <w:r>
        <w:rPr/>
        <w:t>个百分点。其中：全年销售通信产品成本发生</w:t>
      </w:r>
      <w:r>
        <w:rPr>
          <w:spacing w:val="-37"/>
        </w:rPr>
        <w:t> </w:t>
      </w:r>
      <w:r>
        <w:rPr>
          <w:rFonts w:ascii="Arial" w:hAnsi="Arial" w:cs="Arial" w:eastAsia="Arial" w:hint="default"/>
        </w:rPr>
        <w:t>450.4</w:t>
      </w:r>
      <w:r>
        <w:rPr>
          <w:rFonts w:ascii="Arial" w:hAnsi="Arial" w:cs="Arial" w:eastAsia="Arial" w:hint="default"/>
          <w:spacing w:val="8"/>
        </w:rPr>
        <w:t> </w:t>
      </w:r>
      <w:r>
        <w:rPr/>
        <w:t>亿元，同期销售通信产品</w:t>
      </w:r>
    </w:p>
    <w:p>
      <w:pPr>
        <w:pStyle w:val="BodyText"/>
        <w:spacing w:line="294" w:lineRule="exact"/>
        <w:ind w:left="1002" w:right="0"/>
        <w:jc w:val="both"/>
      </w:pPr>
      <w:r>
        <w:rPr/>
        <w:t>收入为</w:t>
      </w:r>
      <w:r>
        <w:rPr>
          <w:spacing w:val="-57"/>
        </w:rPr>
        <w:t> </w:t>
      </w:r>
      <w:r>
        <w:rPr>
          <w:rFonts w:ascii="Arial" w:hAnsi="Arial" w:cs="Arial" w:eastAsia="Arial" w:hint="default"/>
        </w:rPr>
        <w:t>394.8</w:t>
      </w:r>
      <w:r>
        <w:rPr>
          <w:rFonts w:ascii="Arial" w:hAnsi="Arial" w:cs="Arial" w:eastAsia="Arial" w:hint="default"/>
          <w:spacing w:val="-8"/>
        </w:rPr>
        <w:t> </w:t>
      </w:r>
      <w:r>
        <w:rPr/>
        <w:t>亿元，销售通信产品亏损为</w:t>
      </w:r>
      <w:r>
        <w:rPr>
          <w:spacing w:val="-56"/>
        </w:rPr>
        <w:t> </w:t>
      </w:r>
      <w:r>
        <w:rPr>
          <w:rFonts w:ascii="Arial" w:hAnsi="Arial" w:cs="Arial" w:eastAsia="Arial" w:hint="default"/>
        </w:rPr>
        <w:t>55.6</w:t>
      </w:r>
      <w:r>
        <w:rPr>
          <w:rFonts w:ascii="Arial" w:hAnsi="Arial" w:cs="Arial" w:eastAsia="Arial" w:hint="default"/>
          <w:spacing w:val="-8"/>
        </w:rPr>
        <w:t> </w:t>
      </w:r>
      <w:r>
        <w:rPr/>
        <w:t>亿元，其中</w:t>
      </w:r>
      <w:r>
        <w:rPr>
          <w:spacing w:val="-56"/>
        </w:rPr>
        <w:t> </w:t>
      </w:r>
      <w:r>
        <w:rPr>
          <w:rFonts w:ascii="Arial" w:hAnsi="Arial" w:cs="Arial" w:eastAsia="Arial" w:hint="default"/>
        </w:rPr>
        <w:t>3G</w:t>
      </w:r>
      <w:r>
        <w:rPr>
          <w:rFonts w:ascii="Arial" w:hAnsi="Arial" w:cs="Arial" w:eastAsia="Arial" w:hint="default"/>
          <w:spacing w:val="-9"/>
        </w:rPr>
        <w:t> </w:t>
      </w:r>
      <w:r>
        <w:rPr/>
        <w:t>终端补贴成本为</w:t>
      </w:r>
      <w:r>
        <w:rPr>
          <w:spacing w:val="-57"/>
        </w:rPr>
        <w:t> </w:t>
      </w:r>
      <w:r>
        <w:rPr>
          <w:rFonts w:ascii="Arial" w:hAnsi="Arial" w:cs="Arial" w:eastAsia="Arial" w:hint="default"/>
        </w:rPr>
        <w:t>61.0</w:t>
      </w:r>
      <w:r>
        <w:rPr>
          <w:rFonts w:ascii="Arial" w:hAnsi="Arial" w:cs="Arial" w:eastAsia="Arial" w:hint="default"/>
          <w:spacing w:val="-8"/>
        </w:rPr>
        <w:t> </w:t>
      </w:r>
      <w:r>
        <w:rPr/>
        <w:t>亿元。</w:t>
      </w:r>
    </w:p>
    <w:p>
      <w:pPr>
        <w:spacing w:line="240" w:lineRule="auto" w:before="2"/>
        <w:rPr>
          <w:rFonts w:ascii="宋体" w:hAnsi="宋体" w:cs="宋体" w:eastAsia="宋体" w:hint="default"/>
          <w:sz w:val="19"/>
          <w:szCs w:val="19"/>
        </w:rPr>
      </w:pPr>
    </w:p>
    <w:p>
      <w:pPr>
        <w:pStyle w:val="BodyText"/>
        <w:spacing w:line="225" w:lineRule="auto"/>
        <w:ind w:left="1002" w:right="210"/>
        <w:jc w:val="both"/>
      </w:pPr>
      <w:r>
        <w:rPr>
          <w:spacing w:val="-3"/>
        </w:rPr>
        <w:t>经调整的成本费用（附注</w:t>
      </w:r>
      <w:r>
        <w:rPr>
          <w:spacing w:val="-62"/>
        </w:rPr>
        <w:t> </w:t>
      </w:r>
      <w:r>
        <w:rPr>
          <w:rFonts w:ascii="Arial" w:hAnsi="Arial" w:cs="Arial" w:eastAsia="Arial" w:hint="default"/>
          <w:spacing w:val="-10"/>
        </w:rPr>
        <w:t>3</w:t>
      </w:r>
      <w:r>
        <w:rPr>
          <w:spacing w:val="-10"/>
        </w:rPr>
        <w:t>）为</w:t>
      </w:r>
      <w:r>
        <w:rPr>
          <w:spacing w:val="-63"/>
        </w:rPr>
        <w:t> </w:t>
      </w:r>
      <w:r>
        <w:rPr>
          <w:rFonts w:ascii="Arial" w:hAnsi="Arial" w:cs="Arial" w:eastAsia="Arial" w:hint="default"/>
        </w:rPr>
        <w:t>1,991.2</w:t>
      </w:r>
      <w:r>
        <w:rPr>
          <w:rFonts w:ascii="Arial" w:hAnsi="Arial" w:cs="Arial" w:eastAsia="Arial" w:hint="default"/>
          <w:spacing w:val="-14"/>
        </w:rPr>
        <w:t> </w:t>
      </w:r>
      <w:r>
        <w:rPr>
          <w:spacing w:val="-4"/>
        </w:rPr>
        <w:t>亿元，同比增长</w:t>
      </w:r>
      <w:r>
        <w:rPr>
          <w:spacing w:val="-63"/>
        </w:rPr>
        <w:t> </w:t>
      </w:r>
      <w:r>
        <w:rPr>
          <w:rFonts w:ascii="Arial" w:hAnsi="Arial" w:cs="Arial" w:eastAsia="Arial" w:hint="default"/>
        </w:rPr>
        <w:t>11.4%</w:t>
      </w:r>
      <w:r>
        <w:rPr/>
        <w:t>，低于同期主营业务收入增</w:t>
      </w:r>
      <w:r>
        <w:rPr>
          <w:w w:val="99"/>
        </w:rPr>
        <w:t> </w:t>
      </w:r>
      <w:r>
        <w:rPr/>
        <w:t>幅</w:t>
      </w:r>
      <w:r>
        <w:rPr>
          <w:spacing w:val="-56"/>
        </w:rPr>
        <w:t> </w:t>
      </w:r>
      <w:r>
        <w:rPr>
          <w:rFonts w:ascii="Arial" w:hAnsi="Arial" w:cs="Arial" w:eastAsia="Arial" w:hint="default"/>
        </w:rPr>
        <w:t>1.7</w:t>
      </w:r>
      <w:r>
        <w:rPr>
          <w:rFonts w:ascii="Arial" w:hAnsi="Arial" w:cs="Arial" w:eastAsia="Arial" w:hint="default"/>
          <w:spacing w:val="-7"/>
        </w:rPr>
        <w:t> </w:t>
      </w:r>
      <w:r>
        <w:rPr>
          <w:spacing w:val="-3"/>
        </w:rPr>
        <w:t>个百分点。下表列出了</w:t>
      </w:r>
      <w:r>
        <w:rPr>
          <w:spacing w:val="-56"/>
        </w:rPr>
        <w:t> </w:t>
      </w:r>
      <w:r>
        <w:rPr>
          <w:rFonts w:ascii="Arial" w:hAnsi="Arial" w:cs="Arial" w:eastAsia="Arial" w:hint="default"/>
        </w:rPr>
        <w:t>2012</w:t>
      </w:r>
      <w:r>
        <w:rPr>
          <w:rFonts w:ascii="Arial" w:hAnsi="Arial" w:cs="Arial" w:eastAsia="Arial" w:hint="default"/>
          <w:spacing w:val="-7"/>
        </w:rPr>
        <w:t> </w:t>
      </w:r>
      <w:r>
        <w:rPr/>
        <w:t>年和</w:t>
      </w:r>
      <w:r>
        <w:rPr>
          <w:spacing w:val="-56"/>
        </w:rPr>
        <w:t> </w:t>
      </w:r>
      <w:r>
        <w:rPr>
          <w:rFonts w:ascii="Arial" w:hAnsi="Arial" w:cs="Arial" w:eastAsia="Arial" w:hint="default"/>
        </w:rPr>
        <w:t>2011</w:t>
      </w:r>
      <w:r>
        <w:rPr>
          <w:rFonts w:ascii="Arial" w:hAnsi="Arial" w:cs="Arial" w:eastAsia="Arial" w:hint="default"/>
          <w:spacing w:val="-7"/>
        </w:rPr>
        <w:t> </w:t>
      </w:r>
      <w:r>
        <w:rPr/>
        <w:t>年公司经调整的成本费用项目以及每个项目</w:t>
      </w:r>
      <w:r>
        <w:rPr>
          <w:w w:val="99"/>
        </w:rPr>
        <w:t> </w:t>
      </w:r>
      <w:r>
        <w:rPr/>
        <w:t>所占主营业务收入的百分比变化情况：</w:t>
      </w:r>
    </w:p>
    <w:p>
      <w:pPr>
        <w:spacing w:after="0" w:line="225" w:lineRule="auto"/>
        <w:jc w:val="both"/>
        <w:sectPr>
          <w:pgSz w:w="11910" w:h="16840"/>
          <w:pgMar w:header="567" w:footer="745" w:top="800" w:bottom="940" w:left="1380" w:right="6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tbl>
      <w:tblPr>
        <w:tblW w:w="0" w:type="auto"/>
        <w:jc w:val="left"/>
        <w:tblInd w:w="1015" w:type="dxa"/>
        <w:tblLayout w:type="fixed"/>
        <w:tblCellMar>
          <w:top w:w="0" w:type="dxa"/>
          <w:left w:w="0" w:type="dxa"/>
          <w:bottom w:w="0" w:type="dxa"/>
          <w:right w:w="0" w:type="dxa"/>
        </w:tblCellMar>
        <w:tblLook w:val="01E0"/>
      </w:tblPr>
      <w:tblGrid>
        <w:gridCol w:w="2636"/>
        <w:gridCol w:w="1440"/>
        <w:gridCol w:w="1512"/>
        <w:gridCol w:w="1476"/>
        <w:gridCol w:w="1548"/>
      </w:tblGrid>
      <w:tr>
        <w:trPr>
          <w:trHeight w:val="269" w:hRule="exact"/>
        </w:trPr>
        <w:tc>
          <w:tcPr>
            <w:tcW w:w="263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1" w:right="0"/>
              <w:jc w:val="left"/>
              <w:rPr>
                <w:rFonts w:ascii="宋体" w:hAnsi="宋体" w:cs="宋体" w:eastAsia="宋体" w:hint="default"/>
                <w:sz w:val="20"/>
                <w:szCs w:val="20"/>
              </w:rPr>
            </w:pPr>
            <w:r>
              <w:rPr>
                <w:rFonts w:ascii="宋体" w:hAnsi="宋体" w:cs="宋体" w:eastAsia="宋体" w:hint="default"/>
                <w:sz w:val="20"/>
                <w:szCs w:val="20"/>
              </w:rPr>
              <w:t>（单位：人民币亿元）</w:t>
            </w:r>
          </w:p>
        </w:tc>
        <w:tc>
          <w:tcPr>
            <w:tcW w:w="2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30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p>
        </w:tc>
      </w:tr>
      <w:tr>
        <w:trPr>
          <w:trHeight w:val="529" w:hRule="exact"/>
        </w:trPr>
        <w:tc>
          <w:tcPr>
            <w:tcW w:w="2636"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526" w:right="0"/>
              <w:jc w:val="left"/>
              <w:rPr>
                <w:rFonts w:ascii="宋体" w:hAnsi="宋体" w:cs="宋体" w:eastAsia="宋体" w:hint="default"/>
                <w:sz w:val="20"/>
                <w:szCs w:val="20"/>
              </w:rPr>
            </w:pPr>
            <w:r>
              <w:rPr>
                <w:rFonts w:ascii="宋体" w:hAnsi="宋体" w:cs="宋体" w:eastAsia="宋体" w:hint="default"/>
                <w:sz w:val="20"/>
                <w:szCs w:val="20"/>
              </w:rPr>
              <w:t>累计发生</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99" w:right="0" w:hanging="201"/>
              <w:jc w:val="left"/>
              <w:rPr>
                <w:rFonts w:ascii="宋体" w:hAnsi="宋体" w:cs="宋体" w:eastAsia="宋体" w:hint="default"/>
                <w:sz w:val="20"/>
                <w:szCs w:val="20"/>
              </w:rPr>
            </w:pPr>
            <w:r>
              <w:rPr>
                <w:rFonts w:ascii="宋体" w:hAnsi="宋体" w:cs="宋体" w:eastAsia="宋体" w:hint="default"/>
                <w:sz w:val="20"/>
                <w:szCs w:val="20"/>
              </w:rPr>
              <w:t>所占主营业务</w:t>
            </w:r>
          </w:p>
          <w:p>
            <w:pPr>
              <w:pStyle w:val="TableParagraph"/>
              <w:spacing w:line="260" w:lineRule="exact"/>
              <w:ind w:left="399" w:right="0"/>
              <w:jc w:val="left"/>
              <w:rPr>
                <w:rFonts w:ascii="宋体" w:hAnsi="宋体" w:cs="宋体" w:eastAsia="宋体" w:hint="default"/>
                <w:sz w:val="20"/>
                <w:szCs w:val="20"/>
              </w:rPr>
            </w:pPr>
            <w:r>
              <w:rPr>
                <w:rFonts w:ascii="宋体" w:hAnsi="宋体" w:cs="宋体" w:eastAsia="宋体" w:hint="default"/>
                <w:sz w:val="20"/>
                <w:szCs w:val="20"/>
              </w:rPr>
              <w:t>收入百分比</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20"/>
                <w:szCs w:val="20"/>
              </w:rPr>
            </w:pPr>
            <w:r>
              <w:rPr>
                <w:rFonts w:ascii="宋体" w:hAnsi="宋体" w:cs="宋体" w:eastAsia="宋体" w:hint="default"/>
                <w:sz w:val="20"/>
                <w:szCs w:val="20"/>
              </w:rPr>
              <w:t>累计发生</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35" w:right="0" w:hanging="201"/>
              <w:jc w:val="left"/>
              <w:rPr>
                <w:rFonts w:ascii="宋体" w:hAnsi="宋体" w:cs="宋体" w:eastAsia="宋体" w:hint="default"/>
                <w:sz w:val="20"/>
                <w:szCs w:val="20"/>
              </w:rPr>
            </w:pPr>
            <w:r>
              <w:rPr>
                <w:rFonts w:ascii="宋体" w:hAnsi="宋体" w:cs="宋体" w:eastAsia="宋体" w:hint="default"/>
                <w:sz w:val="20"/>
                <w:szCs w:val="20"/>
              </w:rPr>
              <w:t>所占主营业务</w:t>
            </w:r>
          </w:p>
          <w:p>
            <w:pPr>
              <w:pStyle w:val="TableParagraph"/>
              <w:spacing w:line="260" w:lineRule="exact"/>
              <w:ind w:left="435" w:right="0"/>
              <w:jc w:val="left"/>
              <w:rPr>
                <w:rFonts w:ascii="宋体" w:hAnsi="宋体" w:cs="宋体" w:eastAsia="宋体" w:hint="default"/>
                <w:sz w:val="20"/>
                <w:szCs w:val="20"/>
              </w:rPr>
            </w:pPr>
            <w:r>
              <w:rPr>
                <w:rFonts w:ascii="宋体" w:hAnsi="宋体" w:cs="宋体" w:eastAsia="宋体" w:hint="default"/>
                <w:sz w:val="20"/>
                <w:szCs w:val="20"/>
              </w:rPr>
              <w:t>收入百分比</w:t>
            </w:r>
          </w:p>
        </w:tc>
      </w:tr>
      <w:tr>
        <w:trPr>
          <w:trHeight w:val="270"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经调整的成本费用项目合计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65" w:right="0"/>
              <w:jc w:val="left"/>
              <w:rPr>
                <w:rFonts w:ascii="Arial" w:hAnsi="Arial" w:cs="Arial" w:eastAsia="Arial" w:hint="default"/>
                <w:sz w:val="20"/>
                <w:szCs w:val="20"/>
              </w:rPr>
            </w:pPr>
            <w:r>
              <w:rPr>
                <w:rFonts w:ascii="Arial"/>
                <w:sz w:val="20"/>
              </w:rPr>
              <w:t>1,991.2</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72"/>
              <w:jc w:val="right"/>
              <w:rPr>
                <w:rFonts w:ascii="Arial" w:hAnsi="Arial" w:cs="Arial" w:eastAsia="Arial" w:hint="default"/>
                <w:sz w:val="20"/>
                <w:szCs w:val="20"/>
              </w:rPr>
            </w:pPr>
            <w:r>
              <w:rPr>
                <w:rFonts w:ascii="Arial"/>
                <w:sz w:val="20"/>
              </w:rPr>
              <w:t>91.9%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4"/>
              <w:jc w:val="right"/>
              <w:rPr>
                <w:rFonts w:ascii="Arial" w:hAnsi="Arial" w:cs="Arial" w:eastAsia="Arial" w:hint="default"/>
                <w:sz w:val="20"/>
                <w:szCs w:val="20"/>
              </w:rPr>
            </w:pPr>
            <w:r>
              <w:rPr>
                <w:rFonts w:ascii="Arial"/>
                <w:spacing w:val="-1"/>
                <w:sz w:val="20"/>
              </w:rPr>
              <w:t>1,786.6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z w:val="20"/>
              </w:rPr>
              <w:t>93.1%</w:t>
            </w:r>
          </w:p>
        </w:tc>
      </w:tr>
      <w:tr>
        <w:trPr>
          <w:trHeight w:val="270"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其中：网间结算成本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32" w:right="0"/>
              <w:jc w:val="left"/>
              <w:rPr>
                <w:rFonts w:ascii="Arial" w:hAnsi="Arial" w:cs="Arial" w:eastAsia="Arial" w:hint="default"/>
                <w:sz w:val="20"/>
                <w:szCs w:val="20"/>
              </w:rPr>
            </w:pPr>
            <w:r>
              <w:rPr>
                <w:rFonts w:ascii="Arial"/>
                <w:sz w:val="20"/>
              </w:rPr>
              <w:t>186.8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2"/>
              <w:jc w:val="right"/>
              <w:rPr>
                <w:rFonts w:ascii="Arial" w:hAnsi="Arial" w:cs="Arial" w:eastAsia="Arial" w:hint="default"/>
                <w:sz w:val="20"/>
                <w:szCs w:val="20"/>
              </w:rPr>
            </w:pPr>
            <w:r>
              <w:rPr>
                <w:rFonts w:ascii="Arial"/>
                <w:spacing w:val="-1"/>
                <w:sz w:val="20"/>
              </w:rPr>
              <w:t>8.6%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4"/>
              <w:jc w:val="right"/>
              <w:rPr>
                <w:rFonts w:ascii="Arial" w:hAnsi="Arial" w:cs="Arial" w:eastAsia="Arial" w:hint="default"/>
                <w:sz w:val="20"/>
                <w:szCs w:val="20"/>
              </w:rPr>
            </w:pPr>
            <w:r>
              <w:rPr>
                <w:rFonts w:ascii="Arial"/>
                <w:sz w:val="20"/>
              </w:rPr>
              <w:t>163.8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pacing w:val="-1"/>
                <w:sz w:val="20"/>
              </w:rPr>
              <w:t>8.5%</w:t>
            </w:r>
          </w:p>
        </w:tc>
      </w:tr>
      <w:tr>
        <w:trPr>
          <w:trHeight w:val="269"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2"/>
              <w:jc w:val="right"/>
              <w:rPr>
                <w:rFonts w:ascii="宋体" w:hAnsi="宋体" w:cs="宋体" w:eastAsia="宋体" w:hint="default"/>
                <w:sz w:val="20"/>
                <w:szCs w:val="20"/>
              </w:rPr>
            </w:pPr>
            <w:r>
              <w:rPr>
                <w:rFonts w:ascii="宋体" w:hAnsi="宋体" w:cs="宋体" w:eastAsia="宋体" w:hint="default"/>
                <w:sz w:val="20"/>
                <w:szCs w:val="20"/>
              </w:rPr>
              <w:t>折旧及摊销（注</w:t>
            </w:r>
            <w:r>
              <w:rPr>
                <w:rFonts w:ascii="宋体" w:hAnsi="宋体" w:cs="宋体" w:eastAsia="宋体" w:hint="default"/>
                <w:spacing w:val="-51"/>
                <w:sz w:val="20"/>
                <w:szCs w:val="20"/>
              </w:rPr>
              <w:t> </w:t>
            </w:r>
            <w:r>
              <w:rPr>
                <w:rFonts w:ascii="Arial" w:hAnsi="Arial" w:cs="Arial" w:eastAsia="Arial" w:hint="default"/>
                <w:sz w:val="20"/>
                <w:szCs w:val="20"/>
              </w:rPr>
              <w:t>1</w:t>
            </w:r>
            <w:r>
              <w:rPr>
                <w:rFonts w:ascii="宋体" w:hAnsi="宋体" w:cs="宋体" w:eastAsia="宋体" w:hint="default"/>
                <w:sz w:val="20"/>
                <w:szCs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32" w:right="0"/>
              <w:jc w:val="left"/>
              <w:rPr>
                <w:rFonts w:ascii="Arial" w:hAnsi="Arial" w:cs="Arial" w:eastAsia="Arial" w:hint="default"/>
                <w:sz w:val="20"/>
                <w:szCs w:val="20"/>
              </w:rPr>
            </w:pPr>
            <w:r>
              <w:rPr>
                <w:rFonts w:ascii="Arial"/>
                <w:sz w:val="20"/>
              </w:rPr>
              <w:t>612.8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2"/>
              <w:jc w:val="right"/>
              <w:rPr>
                <w:rFonts w:ascii="Arial" w:hAnsi="Arial" w:cs="Arial" w:eastAsia="Arial" w:hint="default"/>
                <w:sz w:val="20"/>
                <w:szCs w:val="20"/>
              </w:rPr>
            </w:pPr>
            <w:r>
              <w:rPr>
                <w:rFonts w:ascii="Arial"/>
                <w:sz w:val="20"/>
              </w:rPr>
              <w:t>28.3%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4"/>
              <w:jc w:val="right"/>
              <w:rPr>
                <w:rFonts w:ascii="Arial" w:hAnsi="Arial" w:cs="Arial" w:eastAsia="Arial" w:hint="default"/>
                <w:sz w:val="20"/>
                <w:szCs w:val="20"/>
              </w:rPr>
            </w:pPr>
            <w:r>
              <w:rPr>
                <w:rFonts w:ascii="Arial"/>
                <w:sz w:val="20"/>
              </w:rPr>
              <w:t>581.9</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z w:val="20"/>
              </w:rPr>
              <w:t>30.3%</w:t>
            </w:r>
          </w:p>
        </w:tc>
      </w:tr>
      <w:tr>
        <w:trPr>
          <w:trHeight w:val="270"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54"/>
              <w:jc w:val="right"/>
              <w:rPr>
                <w:rFonts w:ascii="宋体" w:hAnsi="宋体" w:cs="宋体" w:eastAsia="宋体" w:hint="default"/>
                <w:sz w:val="20"/>
                <w:szCs w:val="20"/>
              </w:rPr>
            </w:pPr>
            <w:r>
              <w:rPr>
                <w:rFonts w:ascii="宋体" w:hAnsi="宋体" w:cs="宋体" w:eastAsia="宋体" w:hint="default"/>
                <w:spacing w:val="-1"/>
                <w:sz w:val="20"/>
                <w:szCs w:val="20"/>
              </w:rPr>
              <w:t>网络运行及支撑成本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632" w:right="0"/>
              <w:jc w:val="left"/>
              <w:rPr>
                <w:rFonts w:ascii="Arial" w:hAnsi="Arial" w:cs="Arial" w:eastAsia="Arial" w:hint="default"/>
                <w:sz w:val="20"/>
                <w:szCs w:val="20"/>
              </w:rPr>
            </w:pPr>
            <w:r>
              <w:rPr>
                <w:rFonts w:ascii="Arial"/>
                <w:sz w:val="20"/>
              </w:rPr>
              <w:t>325.2</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72"/>
              <w:jc w:val="right"/>
              <w:rPr>
                <w:rFonts w:ascii="Arial" w:hAnsi="Arial" w:cs="Arial" w:eastAsia="Arial" w:hint="default"/>
                <w:sz w:val="20"/>
                <w:szCs w:val="20"/>
              </w:rPr>
            </w:pPr>
            <w:r>
              <w:rPr>
                <w:rFonts w:ascii="Arial"/>
                <w:sz w:val="20"/>
              </w:rPr>
              <w:t>15.0%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4"/>
              <w:jc w:val="right"/>
              <w:rPr>
                <w:rFonts w:ascii="Arial" w:hAnsi="Arial" w:cs="Arial" w:eastAsia="Arial" w:hint="default"/>
                <w:sz w:val="20"/>
                <w:szCs w:val="20"/>
              </w:rPr>
            </w:pPr>
            <w:r>
              <w:rPr>
                <w:rFonts w:ascii="Arial"/>
                <w:sz w:val="20"/>
              </w:rPr>
              <w:t>294.5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z w:val="20"/>
              </w:rPr>
              <w:t>15.4%</w:t>
            </w:r>
          </w:p>
        </w:tc>
      </w:tr>
      <w:tr>
        <w:trPr>
          <w:trHeight w:val="269"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69" w:right="0"/>
              <w:jc w:val="left"/>
              <w:rPr>
                <w:rFonts w:ascii="宋体" w:hAnsi="宋体" w:cs="宋体" w:eastAsia="宋体" w:hint="default"/>
                <w:sz w:val="20"/>
                <w:szCs w:val="20"/>
              </w:rPr>
            </w:pPr>
            <w:r>
              <w:rPr>
                <w:rFonts w:ascii="宋体" w:hAnsi="宋体" w:cs="宋体" w:eastAsia="宋体" w:hint="default"/>
                <w:sz w:val="20"/>
                <w:szCs w:val="20"/>
              </w:rPr>
              <w:t>人工成本（注</w:t>
            </w:r>
            <w:r>
              <w:rPr>
                <w:rFonts w:ascii="宋体" w:hAnsi="宋体" w:cs="宋体" w:eastAsia="宋体" w:hint="default"/>
                <w:spacing w:val="-51"/>
                <w:sz w:val="20"/>
                <w:szCs w:val="20"/>
              </w:rPr>
              <w:t> </w:t>
            </w:r>
            <w:r>
              <w:rPr>
                <w:rFonts w:ascii="Arial" w:hAnsi="Arial" w:cs="Arial" w:eastAsia="Arial" w:hint="default"/>
                <w:sz w:val="20"/>
                <w:szCs w:val="20"/>
              </w:rPr>
              <w:t>1</w:t>
            </w:r>
            <w:r>
              <w:rPr>
                <w:rFonts w:ascii="宋体" w:hAnsi="宋体" w:cs="宋体" w:eastAsia="宋体" w:hint="default"/>
                <w:sz w:val="20"/>
                <w:szCs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32" w:right="0"/>
              <w:jc w:val="left"/>
              <w:rPr>
                <w:rFonts w:ascii="Arial" w:hAnsi="Arial" w:cs="Arial" w:eastAsia="Arial" w:hint="default"/>
                <w:sz w:val="20"/>
                <w:szCs w:val="20"/>
              </w:rPr>
            </w:pPr>
            <w:r>
              <w:rPr>
                <w:rFonts w:ascii="Arial"/>
                <w:sz w:val="20"/>
              </w:rPr>
              <w:t>287.8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2"/>
              <w:jc w:val="right"/>
              <w:rPr>
                <w:rFonts w:ascii="Arial" w:hAnsi="Arial" w:cs="Arial" w:eastAsia="Arial" w:hint="default"/>
                <w:sz w:val="20"/>
                <w:szCs w:val="20"/>
              </w:rPr>
            </w:pPr>
            <w:r>
              <w:rPr>
                <w:rFonts w:ascii="Arial"/>
                <w:sz w:val="20"/>
              </w:rPr>
              <w:t>13.3%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4"/>
              <w:jc w:val="right"/>
              <w:rPr>
                <w:rFonts w:ascii="Arial" w:hAnsi="Arial" w:cs="Arial" w:eastAsia="Arial" w:hint="default"/>
                <w:sz w:val="20"/>
                <w:szCs w:val="20"/>
              </w:rPr>
            </w:pPr>
            <w:r>
              <w:rPr>
                <w:rFonts w:ascii="Arial"/>
                <w:sz w:val="20"/>
              </w:rPr>
              <w:t>266.0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z w:val="20"/>
              </w:rPr>
              <w:t>13.9%</w:t>
            </w:r>
          </w:p>
        </w:tc>
      </w:tr>
      <w:tr>
        <w:trPr>
          <w:trHeight w:val="269"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69"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632" w:right="0"/>
              <w:jc w:val="left"/>
              <w:rPr>
                <w:rFonts w:ascii="Arial" w:hAnsi="Arial" w:cs="Arial" w:eastAsia="Arial" w:hint="default"/>
                <w:sz w:val="20"/>
                <w:szCs w:val="20"/>
              </w:rPr>
            </w:pPr>
            <w:r>
              <w:rPr>
                <w:rFonts w:ascii="Arial"/>
                <w:sz w:val="20"/>
              </w:rPr>
              <w:t>350.4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72"/>
              <w:jc w:val="right"/>
              <w:rPr>
                <w:rFonts w:ascii="Arial" w:hAnsi="Arial" w:cs="Arial" w:eastAsia="Arial" w:hint="default"/>
                <w:sz w:val="20"/>
                <w:szCs w:val="20"/>
              </w:rPr>
            </w:pPr>
            <w:r>
              <w:rPr>
                <w:rFonts w:ascii="Arial"/>
                <w:sz w:val="20"/>
              </w:rPr>
              <w:t>16.2%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4"/>
              <w:jc w:val="right"/>
              <w:rPr>
                <w:rFonts w:ascii="Arial" w:hAnsi="Arial" w:cs="Arial" w:eastAsia="Arial" w:hint="default"/>
                <w:sz w:val="20"/>
                <w:szCs w:val="20"/>
              </w:rPr>
            </w:pPr>
            <w:r>
              <w:rPr>
                <w:rFonts w:ascii="Arial"/>
                <w:sz w:val="20"/>
              </w:rPr>
              <w:t>287.5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z w:val="20"/>
              </w:rPr>
              <w:t>15.0%</w:t>
            </w:r>
          </w:p>
        </w:tc>
      </w:tr>
      <w:tr>
        <w:trPr>
          <w:trHeight w:val="270"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669" w:right="0"/>
              <w:jc w:val="left"/>
              <w:rPr>
                <w:rFonts w:ascii="宋体" w:hAnsi="宋体" w:cs="宋体" w:eastAsia="宋体" w:hint="default"/>
                <w:sz w:val="20"/>
                <w:szCs w:val="20"/>
              </w:rPr>
            </w:pPr>
            <w:r>
              <w:rPr>
                <w:rFonts w:ascii="Arial" w:hAnsi="Arial" w:cs="Arial" w:eastAsia="Arial" w:hint="default"/>
                <w:sz w:val="20"/>
                <w:szCs w:val="20"/>
              </w:rPr>
              <w:t>3G</w:t>
            </w:r>
            <w:r>
              <w:rPr>
                <w:rFonts w:ascii="Arial" w:hAnsi="Arial" w:cs="Arial" w:eastAsia="Arial" w:hint="default"/>
                <w:spacing w:val="-8"/>
                <w:sz w:val="20"/>
                <w:szCs w:val="20"/>
              </w:rPr>
              <w:t> </w:t>
            </w:r>
            <w:r>
              <w:rPr>
                <w:rFonts w:ascii="宋体" w:hAnsi="宋体" w:cs="宋体" w:eastAsia="宋体" w:hint="default"/>
                <w:sz w:val="20"/>
                <w:szCs w:val="20"/>
              </w:rPr>
              <w:t>终端补贴成本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743" w:right="0"/>
              <w:jc w:val="left"/>
              <w:rPr>
                <w:rFonts w:ascii="Arial" w:hAnsi="Arial" w:cs="Arial" w:eastAsia="Arial" w:hint="default"/>
                <w:sz w:val="20"/>
                <w:szCs w:val="20"/>
              </w:rPr>
            </w:pPr>
            <w:r>
              <w:rPr>
                <w:rFonts w:ascii="Arial"/>
                <w:sz w:val="20"/>
              </w:rPr>
              <w:t>61.0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72"/>
              <w:jc w:val="right"/>
              <w:rPr>
                <w:rFonts w:ascii="Arial" w:hAnsi="Arial" w:cs="Arial" w:eastAsia="Arial" w:hint="default"/>
                <w:sz w:val="20"/>
                <w:szCs w:val="20"/>
              </w:rPr>
            </w:pPr>
            <w:r>
              <w:rPr>
                <w:rFonts w:ascii="Arial"/>
                <w:spacing w:val="-1"/>
                <w:sz w:val="20"/>
              </w:rPr>
              <w:t>2.8%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4"/>
              <w:jc w:val="right"/>
              <w:rPr>
                <w:rFonts w:ascii="Arial" w:hAnsi="Arial" w:cs="Arial" w:eastAsia="Arial" w:hint="default"/>
                <w:sz w:val="20"/>
                <w:szCs w:val="20"/>
              </w:rPr>
            </w:pPr>
            <w:r>
              <w:rPr>
                <w:rFonts w:ascii="Arial"/>
                <w:sz w:val="20"/>
              </w:rPr>
              <w:t>57.9</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3.0%</w:t>
            </w:r>
          </w:p>
        </w:tc>
      </w:tr>
      <w:tr>
        <w:trPr>
          <w:trHeight w:val="529"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669" w:right="0"/>
              <w:jc w:val="left"/>
              <w:rPr>
                <w:rFonts w:ascii="宋体" w:hAnsi="宋体" w:cs="宋体" w:eastAsia="宋体" w:hint="default"/>
                <w:sz w:val="20"/>
                <w:szCs w:val="20"/>
              </w:rPr>
            </w:pPr>
            <w:r>
              <w:rPr>
                <w:rFonts w:ascii="宋体" w:hAnsi="宋体" w:cs="宋体" w:eastAsia="宋体" w:hint="default"/>
                <w:sz w:val="20"/>
                <w:szCs w:val="20"/>
              </w:rPr>
              <w:t>其他营业成本及管理</w:t>
            </w:r>
          </w:p>
          <w:p>
            <w:pPr>
              <w:pStyle w:val="TableParagraph"/>
              <w:spacing w:line="275" w:lineRule="exact"/>
              <w:ind w:left="875" w:right="0"/>
              <w:jc w:val="left"/>
              <w:rPr>
                <w:rFonts w:ascii="宋体" w:hAnsi="宋体" w:cs="宋体" w:eastAsia="宋体" w:hint="default"/>
                <w:sz w:val="20"/>
                <w:szCs w:val="20"/>
              </w:rPr>
            </w:pPr>
            <w:r>
              <w:rPr>
                <w:rFonts w:ascii="宋体" w:hAnsi="宋体" w:cs="宋体" w:eastAsia="宋体" w:hint="default"/>
                <w:sz w:val="20"/>
                <w:szCs w:val="20"/>
              </w:rPr>
              <w:t>费用（注</w:t>
            </w:r>
            <w:r>
              <w:rPr>
                <w:rFonts w:ascii="宋体" w:hAnsi="宋体" w:cs="宋体" w:eastAsia="宋体" w:hint="default"/>
                <w:spacing w:val="-50"/>
                <w:sz w:val="20"/>
                <w:szCs w:val="20"/>
              </w:rPr>
              <w:t> </w:t>
            </w:r>
            <w:r>
              <w:rPr>
                <w:rFonts w:ascii="Arial" w:hAnsi="Arial" w:cs="Arial" w:eastAsia="Arial" w:hint="default"/>
                <w:sz w:val="20"/>
                <w:szCs w:val="20"/>
              </w:rPr>
              <w:t>2</w:t>
            </w:r>
            <w:r>
              <w:rPr>
                <w:rFonts w:ascii="宋体" w:hAnsi="宋体" w:cs="宋体" w:eastAsia="宋体" w:hint="default"/>
                <w:sz w:val="20"/>
                <w:szCs w:val="20"/>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632" w:right="0"/>
              <w:jc w:val="left"/>
              <w:rPr>
                <w:rFonts w:ascii="Arial" w:hAnsi="Arial" w:cs="Arial" w:eastAsia="Arial" w:hint="default"/>
                <w:sz w:val="20"/>
                <w:szCs w:val="20"/>
              </w:rPr>
            </w:pPr>
            <w:r>
              <w:rPr>
                <w:rFonts w:ascii="Arial"/>
                <w:sz w:val="20"/>
              </w:rPr>
              <w:t>133.0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72"/>
              <w:jc w:val="right"/>
              <w:rPr>
                <w:rFonts w:ascii="Arial" w:hAnsi="Arial" w:cs="Arial" w:eastAsia="Arial" w:hint="default"/>
                <w:sz w:val="20"/>
                <w:szCs w:val="20"/>
              </w:rPr>
            </w:pPr>
            <w:r>
              <w:rPr>
                <w:rFonts w:ascii="Arial"/>
                <w:spacing w:val="-1"/>
                <w:sz w:val="20"/>
              </w:rPr>
              <w:t>6.1%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4"/>
              <w:jc w:val="right"/>
              <w:rPr>
                <w:rFonts w:ascii="Arial" w:hAnsi="Arial" w:cs="Arial" w:eastAsia="Arial" w:hint="default"/>
                <w:sz w:val="20"/>
                <w:szCs w:val="20"/>
              </w:rPr>
            </w:pPr>
            <w:r>
              <w:rPr>
                <w:rFonts w:ascii="Arial"/>
                <w:sz w:val="20"/>
              </w:rPr>
              <w:t>122.6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Arial" w:hAnsi="Arial" w:cs="Arial" w:eastAsia="Arial" w:hint="default"/>
                <w:sz w:val="20"/>
                <w:szCs w:val="20"/>
              </w:rPr>
            </w:pPr>
            <w:r>
              <w:rPr>
                <w:rFonts w:ascii="Arial"/>
                <w:spacing w:val="-1"/>
                <w:sz w:val="20"/>
              </w:rPr>
              <w:t>6.4%</w:t>
            </w:r>
          </w:p>
        </w:tc>
      </w:tr>
      <w:tr>
        <w:trPr>
          <w:trHeight w:val="269"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69"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43" w:right="0"/>
              <w:jc w:val="left"/>
              <w:rPr>
                <w:rFonts w:ascii="Arial" w:hAnsi="Arial" w:cs="Arial" w:eastAsia="Arial" w:hint="default"/>
                <w:sz w:val="20"/>
                <w:szCs w:val="20"/>
              </w:rPr>
            </w:pPr>
            <w:r>
              <w:rPr>
                <w:rFonts w:ascii="Arial"/>
                <w:sz w:val="20"/>
              </w:rPr>
              <w:t>34.2</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2"/>
              <w:jc w:val="right"/>
              <w:rPr>
                <w:rFonts w:ascii="Arial" w:hAnsi="Arial" w:cs="Arial" w:eastAsia="Arial" w:hint="default"/>
                <w:sz w:val="20"/>
                <w:szCs w:val="20"/>
              </w:rPr>
            </w:pPr>
            <w:r>
              <w:rPr>
                <w:rFonts w:ascii="Arial"/>
                <w:spacing w:val="-1"/>
                <w:sz w:val="20"/>
              </w:rPr>
              <w:t>1.6%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4"/>
              <w:jc w:val="right"/>
              <w:rPr>
                <w:rFonts w:ascii="Arial" w:hAnsi="Arial" w:cs="Arial" w:eastAsia="Arial" w:hint="default"/>
                <w:sz w:val="20"/>
                <w:szCs w:val="20"/>
              </w:rPr>
            </w:pPr>
            <w:r>
              <w:rPr>
                <w:rFonts w:ascii="Arial"/>
                <w:sz w:val="20"/>
              </w:rPr>
              <w:t>12.4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pacing w:val="-1"/>
                <w:sz w:val="20"/>
              </w:rPr>
              <w:t>0.6%</w:t>
            </w:r>
          </w:p>
        </w:tc>
      </w:tr>
    </w:tbl>
    <w:p>
      <w:pPr>
        <w:spacing w:line="240" w:lineRule="auto" w:before="5"/>
        <w:rPr>
          <w:rFonts w:ascii="宋体" w:hAnsi="宋体" w:cs="宋体" w:eastAsia="宋体" w:hint="default"/>
          <w:sz w:val="12"/>
          <w:szCs w:val="12"/>
        </w:rPr>
      </w:pPr>
    </w:p>
    <w:p>
      <w:pPr>
        <w:pStyle w:val="BodyText"/>
        <w:spacing w:line="286" w:lineRule="exact" w:before="60"/>
        <w:ind w:left="1668" w:right="89" w:hanging="650"/>
        <w:jc w:val="left"/>
      </w:pPr>
      <w:r>
        <w:rPr/>
        <w:t>注</w:t>
      </w:r>
      <w:r>
        <w:rPr>
          <w:spacing w:val="-2"/>
        </w:rPr>
        <w:t> </w:t>
      </w:r>
      <w:r>
        <w:rPr>
          <w:rFonts w:ascii="Arial" w:hAnsi="Arial" w:cs="Arial" w:eastAsia="Arial" w:hint="default"/>
        </w:rPr>
        <w:t>1</w:t>
      </w:r>
      <w:r>
        <w:rPr/>
        <w:t>：上述“折旧及摊销”和“人工成本”为营业成本和管理费用中相同性质的数据的总</w:t>
      </w:r>
      <w:r>
        <w:rPr>
          <w:w w:val="99"/>
        </w:rPr>
        <w:t> </w:t>
      </w:r>
      <w:r>
        <w:rPr/>
        <w:t>额。</w:t>
      </w:r>
    </w:p>
    <w:p>
      <w:pPr>
        <w:spacing w:line="240" w:lineRule="auto" w:before="3"/>
        <w:rPr>
          <w:rFonts w:ascii="宋体" w:hAnsi="宋体" w:cs="宋体" w:eastAsia="宋体" w:hint="default"/>
          <w:sz w:val="19"/>
          <w:szCs w:val="19"/>
        </w:rPr>
      </w:pPr>
    </w:p>
    <w:p>
      <w:pPr>
        <w:pStyle w:val="BodyText"/>
        <w:spacing w:line="286" w:lineRule="exact"/>
        <w:ind w:left="1649" w:right="89" w:hanging="630"/>
        <w:jc w:val="left"/>
      </w:pPr>
      <w:r>
        <w:rPr/>
        <w:t>注</w:t>
      </w:r>
      <w:r>
        <w:rPr>
          <w:spacing w:val="-4"/>
        </w:rPr>
        <w:t> </w:t>
      </w:r>
      <w:r>
        <w:rPr>
          <w:rFonts w:ascii="Arial" w:hAnsi="Arial" w:cs="Arial" w:eastAsia="Arial" w:hint="default"/>
        </w:rPr>
        <w:t>2</w:t>
      </w:r>
      <w:r>
        <w:rPr/>
        <w:t>：上述“其他营业成本及管理费用”为营业成本和管理费用合计扣除网间结算支出、</w:t>
      </w:r>
      <w:r>
        <w:rPr>
          <w:w w:val="99"/>
        </w:rPr>
        <w:t> </w:t>
      </w:r>
      <w:r>
        <w:rPr/>
        <w:t>折旧及摊销、网络运行及支撑成本、人工成本及销售通信产品成本后的数据。</w:t>
      </w:r>
    </w:p>
    <w:p>
      <w:pPr>
        <w:spacing w:line="240" w:lineRule="auto" w:before="2"/>
        <w:rPr>
          <w:rFonts w:ascii="宋体" w:hAnsi="宋体" w:cs="宋体" w:eastAsia="宋体" w:hint="default"/>
          <w:sz w:val="17"/>
          <w:szCs w:val="17"/>
        </w:rPr>
      </w:pPr>
    </w:p>
    <w:p>
      <w:pPr>
        <w:pStyle w:val="BodyText"/>
        <w:tabs>
          <w:tab w:pos="1542" w:val="left" w:leader="none"/>
        </w:tabs>
        <w:spacing w:line="240" w:lineRule="auto"/>
        <w:ind w:left="1002" w:right="89"/>
        <w:jc w:val="left"/>
      </w:pPr>
      <w:r>
        <w:rPr>
          <w:rFonts w:ascii="Arial" w:hAnsi="Arial" w:cs="Arial" w:eastAsia="Arial" w:hint="default"/>
          <w:w w:val="95"/>
        </w:rPr>
        <w:t>3.1</w:t>
        <w:tab/>
      </w:r>
      <w:r>
        <w:rPr/>
        <w:t>网间结算成本</w:t>
      </w:r>
    </w:p>
    <w:p>
      <w:pPr>
        <w:spacing w:line="240" w:lineRule="auto" w:before="0"/>
        <w:rPr>
          <w:rFonts w:ascii="宋体" w:hAnsi="宋体" w:cs="宋体" w:eastAsia="宋体" w:hint="default"/>
          <w:sz w:val="20"/>
          <w:szCs w:val="20"/>
        </w:rPr>
      </w:pPr>
    </w:p>
    <w:p>
      <w:pPr>
        <w:pStyle w:val="BodyText"/>
        <w:spacing w:line="286" w:lineRule="exact"/>
        <w:ind w:left="1559" w:right="209"/>
        <w:jc w:val="both"/>
      </w:pPr>
      <w:r>
        <w:rPr>
          <w:rFonts w:ascii="Arial" w:hAnsi="Arial" w:cs="Arial" w:eastAsia="Arial" w:hint="default"/>
        </w:rPr>
        <w:t>2012</w:t>
      </w:r>
      <w:r>
        <w:rPr>
          <w:rFonts w:ascii="Arial" w:hAnsi="Arial" w:cs="Arial" w:eastAsia="Arial" w:hint="default"/>
          <w:spacing w:val="33"/>
        </w:rPr>
        <w:t> </w:t>
      </w:r>
      <w:r>
        <w:rPr/>
        <w:t>年随着公司用户和收入的快速增长，网间去话量同步增长，全年网间结算成本</w:t>
      </w:r>
      <w:r>
        <w:rPr>
          <w:w w:val="99"/>
        </w:rPr>
        <w:t> </w:t>
      </w:r>
      <w:r>
        <w:rPr/>
        <w:t>发生</w:t>
      </w:r>
      <w:r>
        <w:rPr>
          <w:spacing w:val="-54"/>
        </w:rPr>
        <w:t> </w:t>
      </w:r>
      <w:r>
        <w:rPr>
          <w:rFonts w:ascii="Arial" w:hAnsi="Arial" w:cs="Arial" w:eastAsia="Arial" w:hint="default"/>
        </w:rPr>
        <w:t>186.8</w:t>
      </w:r>
      <w:r>
        <w:rPr>
          <w:rFonts w:ascii="Arial" w:hAnsi="Arial" w:cs="Arial" w:eastAsia="Arial" w:hint="default"/>
          <w:spacing w:val="-4"/>
        </w:rPr>
        <w:t> </w:t>
      </w:r>
      <w:r>
        <w:rPr/>
        <w:t>亿元，同比增长</w:t>
      </w:r>
      <w:r>
        <w:rPr>
          <w:spacing w:val="-54"/>
        </w:rPr>
        <w:t> </w:t>
      </w:r>
      <w:r>
        <w:rPr>
          <w:rFonts w:ascii="Arial" w:hAnsi="Arial" w:cs="Arial" w:eastAsia="Arial" w:hint="default"/>
        </w:rPr>
        <w:t>14.1%</w:t>
      </w:r>
      <w:r>
        <w:rPr/>
        <w:t>，所占主营业务收入的比重由上年的</w:t>
      </w:r>
      <w:r>
        <w:rPr>
          <w:spacing w:val="-52"/>
        </w:rPr>
        <w:t> </w:t>
      </w:r>
      <w:r>
        <w:rPr>
          <w:rFonts w:ascii="Arial" w:hAnsi="Arial" w:cs="Arial" w:eastAsia="Arial" w:hint="default"/>
        </w:rPr>
        <w:t>8.5%</w:t>
      </w:r>
      <w:r>
        <w:rPr/>
        <w:t>变化至</w:t>
      </w:r>
      <w:r>
        <w:rPr>
          <w:w w:val="99"/>
        </w:rPr>
        <w:t> </w:t>
      </w:r>
      <w:r>
        <w:rPr>
          <w:rFonts w:ascii="Arial" w:hAnsi="Arial" w:cs="Arial" w:eastAsia="Arial" w:hint="default"/>
        </w:rPr>
        <w:t>8.6%</w:t>
      </w:r>
      <w:r>
        <w:rPr/>
        <w:t>。</w:t>
      </w:r>
    </w:p>
    <w:p>
      <w:pPr>
        <w:spacing w:line="240" w:lineRule="auto" w:before="1"/>
        <w:rPr>
          <w:rFonts w:ascii="宋体" w:hAnsi="宋体" w:cs="宋体" w:eastAsia="宋体" w:hint="default"/>
          <w:sz w:val="17"/>
          <w:szCs w:val="17"/>
        </w:rPr>
      </w:pPr>
    </w:p>
    <w:p>
      <w:pPr>
        <w:pStyle w:val="BodyText"/>
        <w:tabs>
          <w:tab w:pos="1542" w:val="left" w:leader="none"/>
        </w:tabs>
        <w:spacing w:line="240" w:lineRule="auto"/>
        <w:ind w:left="1002" w:right="89"/>
        <w:jc w:val="left"/>
      </w:pPr>
      <w:r>
        <w:rPr>
          <w:rFonts w:ascii="Arial" w:hAnsi="Arial" w:cs="Arial" w:eastAsia="Arial" w:hint="default"/>
          <w:w w:val="95"/>
        </w:rPr>
        <w:t>3.2</w:t>
        <w:tab/>
      </w:r>
      <w:r>
        <w:rPr/>
        <w:t>折旧及摊销</w:t>
      </w:r>
    </w:p>
    <w:p>
      <w:pPr>
        <w:spacing w:line="240" w:lineRule="auto" w:before="13"/>
        <w:rPr>
          <w:rFonts w:ascii="宋体" w:hAnsi="宋体" w:cs="宋体" w:eastAsia="宋体" w:hint="default"/>
          <w:sz w:val="17"/>
          <w:szCs w:val="17"/>
        </w:rPr>
      </w:pPr>
    </w:p>
    <w:p>
      <w:pPr>
        <w:pStyle w:val="BodyText"/>
        <w:spacing w:line="295" w:lineRule="exact"/>
        <w:ind w:left="1559" w:right="0"/>
        <w:jc w:val="both"/>
      </w:pPr>
      <w:r>
        <w:rPr>
          <w:rFonts w:ascii="Arial" w:hAnsi="Arial" w:cs="Arial" w:eastAsia="Arial" w:hint="default"/>
        </w:rPr>
        <w:t>2012</w:t>
      </w:r>
      <w:r>
        <w:rPr>
          <w:rFonts w:ascii="Arial" w:hAnsi="Arial" w:cs="Arial" w:eastAsia="Arial" w:hint="default"/>
          <w:spacing w:val="30"/>
        </w:rPr>
        <w:t> </w:t>
      </w:r>
      <w:r>
        <w:rPr/>
        <w:t>年公司进一步扩大网络覆盖、提升网络质量，增强网络能力，全年资产的折旧</w:t>
      </w:r>
    </w:p>
    <w:p>
      <w:pPr>
        <w:pStyle w:val="BodyText"/>
        <w:spacing w:line="285" w:lineRule="exact"/>
        <w:ind w:left="1559" w:right="0"/>
        <w:jc w:val="both"/>
        <w:rPr>
          <w:rFonts w:ascii="Arial" w:hAnsi="Arial" w:cs="Arial" w:eastAsia="Arial" w:hint="default"/>
        </w:rPr>
      </w:pPr>
      <w:r>
        <w:rPr/>
        <w:t>及摊销发生</w:t>
      </w:r>
      <w:r>
        <w:rPr>
          <w:spacing w:val="-53"/>
        </w:rPr>
        <w:t> </w:t>
      </w:r>
      <w:r>
        <w:rPr>
          <w:rFonts w:ascii="Arial" w:hAnsi="Arial" w:cs="Arial" w:eastAsia="Arial" w:hint="default"/>
        </w:rPr>
        <w:t>612.8</w:t>
      </w:r>
      <w:r>
        <w:rPr>
          <w:rFonts w:ascii="Arial" w:hAnsi="Arial" w:cs="Arial" w:eastAsia="Arial" w:hint="default"/>
          <w:spacing w:val="-5"/>
        </w:rPr>
        <w:t> </w:t>
      </w:r>
      <w:r>
        <w:rPr/>
        <w:t>亿元，同比增长</w:t>
      </w:r>
      <w:r>
        <w:rPr>
          <w:spacing w:val="-53"/>
        </w:rPr>
        <w:t> </w:t>
      </w:r>
      <w:r>
        <w:rPr>
          <w:rFonts w:ascii="Arial" w:hAnsi="Arial" w:cs="Arial" w:eastAsia="Arial" w:hint="default"/>
        </w:rPr>
        <w:t>5.3%</w:t>
      </w:r>
      <w:r>
        <w:rPr/>
        <w:t>，所占主营业务收入的比重由上年的</w:t>
      </w:r>
      <w:r>
        <w:rPr>
          <w:spacing w:val="-52"/>
        </w:rPr>
        <w:t> </w:t>
      </w:r>
      <w:r>
        <w:rPr>
          <w:rFonts w:ascii="Arial" w:hAnsi="Arial" w:cs="Arial" w:eastAsia="Arial" w:hint="default"/>
        </w:rPr>
        <w:t>30.3%</w:t>
      </w:r>
    </w:p>
    <w:p>
      <w:pPr>
        <w:pStyle w:val="BodyText"/>
        <w:spacing w:line="294" w:lineRule="exact"/>
        <w:ind w:left="1559" w:right="0"/>
        <w:jc w:val="both"/>
      </w:pPr>
      <w:r>
        <w:rPr/>
        <w:t>下降至</w:t>
      </w:r>
      <w:r>
        <w:rPr>
          <w:spacing w:val="-57"/>
        </w:rPr>
        <w:t> </w:t>
      </w:r>
      <w:r>
        <w:rPr>
          <w:rFonts w:ascii="Arial" w:hAnsi="Arial" w:cs="Arial" w:eastAsia="Arial" w:hint="default"/>
        </w:rPr>
        <w:t>28.3%</w:t>
      </w:r>
      <w:r>
        <w:rPr/>
        <w:t>。</w:t>
      </w:r>
    </w:p>
    <w:p>
      <w:pPr>
        <w:spacing w:line="240" w:lineRule="auto" w:before="13"/>
        <w:rPr>
          <w:rFonts w:ascii="宋体" w:hAnsi="宋体" w:cs="宋体" w:eastAsia="宋体" w:hint="default"/>
          <w:sz w:val="17"/>
          <w:szCs w:val="17"/>
        </w:rPr>
      </w:pPr>
    </w:p>
    <w:p>
      <w:pPr>
        <w:pStyle w:val="BodyText"/>
        <w:tabs>
          <w:tab w:pos="1542" w:val="left" w:leader="none"/>
        </w:tabs>
        <w:spacing w:line="240" w:lineRule="auto"/>
        <w:ind w:left="1002" w:right="89"/>
        <w:jc w:val="left"/>
      </w:pPr>
      <w:r>
        <w:rPr>
          <w:rFonts w:ascii="Arial" w:hAnsi="Arial" w:cs="Arial" w:eastAsia="Arial" w:hint="default"/>
          <w:w w:val="95"/>
        </w:rPr>
        <w:t>3.3</w:t>
        <w:tab/>
      </w:r>
      <w:r>
        <w:rPr/>
        <w:t>网络运行及支撑成本</w:t>
      </w:r>
    </w:p>
    <w:p>
      <w:pPr>
        <w:spacing w:line="240" w:lineRule="auto" w:before="10"/>
        <w:rPr>
          <w:rFonts w:ascii="宋体" w:hAnsi="宋体" w:cs="宋体" w:eastAsia="宋体" w:hint="default"/>
          <w:sz w:val="18"/>
          <w:szCs w:val="18"/>
        </w:rPr>
      </w:pPr>
    </w:p>
    <w:p>
      <w:pPr>
        <w:pStyle w:val="BodyText"/>
        <w:spacing w:line="230" w:lineRule="auto"/>
        <w:ind w:left="1559" w:right="209"/>
        <w:jc w:val="both"/>
      </w:pPr>
      <w:r>
        <w:rPr>
          <w:spacing w:val="-2"/>
        </w:rPr>
        <w:t>在网络覆盖扩大、网络资产增加及能源、物业租金等基础价格上涨的同时，公司持续</w:t>
      </w:r>
      <w:r>
        <w:rPr>
          <w:w w:val="99"/>
        </w:rPr>
        <w:t> </w:t>
      </w:r>
      <w:r>
        <w:rPr/>
        <w:t>加强成本控制，积极开展节能减排，</w:t>
      </w:r>
      <w:r>
        <w:rPr>
          <w:rFonts w:ascii="Arial" w:hAnsi="Arial" w:cs="Arial" w:eastAsia="Arial" w:hint="default"/>
        </w:rPr>
        <w:t>2012 </w:t>
      </w:r>
      <w:r>
        <w:rPr/>
        <w:t>年网络运行及支撑成本发生 </w:t>
      </w:r>
      <w:r>
        <w:rPr>
          <w:rFonts w:ascii="Arial" w:hAnsi="Arial" w:cs="Arial" w:eastAsia="Arial" w:hint="default"/>
        </w:rPr>
        <w:t>325.2</w:t>
      </w:r>
      <w:r>
        <w:rPr>
          <w:rFonts w:ascii="Arial" w:hAnsi="Arial" w:cs="Arial" w:eastAsia="Arial" w:hint="default"/>
          <w:spacing w:val="-27"/>
        </w:rPr>
        <w:t> </w:t>
      </w:r>
      <w:r>
        <w:rPr/>
        <w:t>亿元，</w:t>
      </w:r>
      <w:r>
        <w:rPr>
          <w:w w:val="99"/>
        </w:rPr>
        <w:t> </w:t>
      </w:r>
      <w:r>
        <w:rPr/>
        <w:t>同比增长</w:t>
      </w:r>
      <w:r>
        <w:rPr>
          <w:spacing w:val="-59"/>
        </w:rPr>
        <w:t> </w:t>
      </w:r>
      <w:r>
        <w:rPr>
          <w:rFonts w:ascii="Arial" w:hAnsi="Arial" w:cs="Arial" w:eastAsia="Arial" w:hint="default"/>
        </w:rPr>
        <w:t>10.4%</w:t>
      </w:r>
      <w:r>
        <w:rPr/>
        <w:t>，所占主营业务收入的比重由上年的</w:t>
      </w:r>
      <w:r>
        <w:rPr>
          <w:spacing w:val="-57"/>
        </w:rPr>
        <w:t> </w:t>
      </w:r>
      <w:r>
        <w:rPr>
          <w:rFonts w:ascii="Arial" w:hAnsi="Arial" w:cs="Arial" w:eastAsia="Arial" w:hint="default"/>
        </w:rPr>
        <w:t>15.4%</w:t>
      </w:r>
      <w:r>
        <w:rPr/>
        <w:t>下降至</w:t>
      </w:r>
      <w:r>
        <w:rPr>
          <w:spacing w:val="-59"/>
        </w:rPr>
        <w:t> </w:t>
      </w:r>
      <w:r>
        <w:rPr>
          <w:rFonts w:ascii="Arial" w:hAnsi="Arial" w:cs="Arial" w:eastAsia="Arial" w:hint="default"/>
        </w:rPr>
        <w:t>15.0%</w:t>
      </w:r>
      <w:r>
        <w:rPr/>
        <w:t>。</w:t>
      </w:r>
    </w:p>
    <w:p>
      <w:pPr>
        <w:spacing w:line="240" w:lineRule="auto" w:before="2"/>
        <w:rPr>
          <w:rFonts w:ascii="宋体" w:hAnsi="宋体" w:cs="宋体" w:eastAsia="宋体" w:hint="default"/>
          <w:sz w:val="18"/>
          <w:szCs w:val="18"/>
        </w:rPr>
      </w:pPr>
    </w:p>
    <w:p>
      <w:pPr>
        <w:pStyle w:val="BodyText"/>
        <w:tabs>
          <w:tab w:pos="1542" w:val="left" w:leader="none"/>
        </w:tabs>
        <w:spacing w:line="240" w:lineRule="auto"/>
        <w:ind w:left="1002" w:right="89"/>
        <w:jc w:val="left"/>
      </w:pPr>
      <w:r>
        <w:rPr>
          <w:rFonts w:ascii="Arial" w:hAnsi="Arial" w:cs="Arial" w:eastAsia="Arial" w:hint="default"/>
          <w:w w:val="95"/>
        </w:rPr>
        <w:t>3.4</w:t>
        <w:tab/>
      </w:r>
      <w:r>
        <w:rPr/>
        <w:t>人工成本</w:t>
      </w:r>
    </w:p>
    <w:p>
      <w:pPr>
        <w:spacing w:line="240" w:lineRule="auto" w:before="12"/>
        <w:rPr>
          <w:rFonts w:ascii="宋体" w:hAnsi="宋体" w:cs="宋体" w:eastAsia="宋体" w:hint="default"/>
          <w:sz w:val="17"/>
          <w:szCs w:val="17"/>
        </w:rPr>
      </w:pPr>
    </w:p>
    <w:p>
      <w:pPr>
        <w:pStyle w:val="BodyText"/>
        <w:spacing w:line="295" w:lineRule="exact"/>
        <w:ind w:left="1559" w:right="0"/>
        <w:jc w:val="both"/>
      </w:pPr>
      <w:r>
        <w:rPr>
          <w:rFonts w:ascii="Arial" w:hAnsi="Arial" w:cs="Arial" w:eastAsia="Arial" w:hint="default"/>
        </w:rPr>
        <w:t>2012</w:t>
      </w:r>
      <w:r>
        <w:rPr>
          <w:rFonts w:ascii="Arial" w:hAnsi="Arial" w:cs="Arial" w:eastAsia="Arial" w:hint="default"/>
          <w:spacing w:val="32"/>
        </w:rPr>
        <w:t> </w:t>
      </w:r>
      <w:r>
        <w:rPr/>
        <w:t>年公司坚持人工成本总量与业务收入和经营效益双重挂钩，全年人工成本发生</w:t>
      </w:r>
    </w:p>
    <w:p>
      <w:pPr>
        <w:pStyle w:val="BodyText"/>
        <w:spacing w:line="295" w:lineRule="exact"/>
        <w:ind w:left="1559" w:right="0"/>
        <w:jc w:val="both"/>
      </w:pPr>
      <w:r>
        <w:rPr>
          <w:rFonts w:ascii="Arial" w:hAnsi="Arial" w:cs="Arial" w:eastAsia="Arial" w:hint="default"/>
          <w:w w:val="99"/>
        </w:rPr>
        <w:t>287.8</w:t>
      </w:r>
      <w:r>
        <w:rPr>
          <w:rFonts w:ascii="Arial" w:hAnsi="Arial" w:cs="Arial" w:eastAsia="Arial" w:hint="default"/>
          <w:spacing w:val="-19"/>
        </w:rPr>
        <w:t> </w:t>
      </w:r>
      <w:r>
        <w:rPr>
          <w:w w:val="99"/>
        </w:rPr>
        <w:t>亿元</w:t>
      </w:r>
      <w:r>
        <w:rPr>
          <w:spacing w:val="-110"/>
          <w:w w:val="99"/>
        </w:rPr>
        <w:t>，</w:t>
      </w:r>
      <w:r>
        <w:rPr>
          <w:w w:val="99"/>
        </w:rPr>
        <w:t>同比增长</w:t>
      </w:r>
      <w:r>
        <w:rPr>
          <w:spacing w:val="-69"/>
        </w:rPr>
        <w:t> </w:t>
      </w:r>
      <w:r>
        <w:rPr>
          <w:rFonts w:ascii="Arial" w:hAnsi="Arial" w:cs="Arial" w:eastAsia="Arial" w:hint="default"/>
          <w:w w:val="99"/>
        </w:rPr>
        <w:t>8.</w:t>
      </w:r>
      <w:r>
        <w:rPr>
          <w:rFonts w:ascii="Arial" w:hAnsi="Arial" w:cs="Arial" w:eastAsia="Arial" w:hint="default"/>
          <w:spacing w:val="1"/>
          <w:w w:val="99"/>
        </w:rPr>
        <w:t>2</w:t>
      </w:r>
      <w:r>
        <w:rPr>
          <w:rFonts w:ascii="Arial" w:hAnsi="Arial" w:cs="Arial" w:eastAsia="Arial" w:hint="default"/>
          <w:w w:val="99"/>
        </w:rPr>
        <w:t>%</w:t>
      </w:r>
      <w:r>
        <w:rPr>
          <w:spacing w:val="-111"/>
          <w:w w:val="99"/>
        </w:rPr>
        <w:t>，</w:t>
      </w:r>
      <w:r>
        <w:rPr>
          <w:w w:val="99"/>
        </w:rPr>
        <w:t>所占主营业务收入的比重由上年的</w:t>
      </w:r>
      <w:r>
        <w:rPr>
          <w:spacing w:val="-66"/>
        </w:rPr>
        <w:t> </w:t>
      </w:r>
      <w:r>
        <w:rPr>
          <w:rFonts w:ascii="Arial" w:hAnsi="Arial" w:cs="Arial" w:eastAsia="Arial" w:hint="default"/>
          <w:w w:val="99"/>
        </w:rPr>
        <w:t>13.9%</w:t>
      </w:r>
      <w:r>
        <w:rPr>
          <w:w w:val="99"/>
        </w:rPr>
        <w:t>下降至</w:t>
      </w:r>
      <w:r>
        <w:rPr>
          <w:spacing w:val="-68"/>
        </w:rPr>
        <w:t> </w:t>
      </w:r>
      <w:r>
        <w:rPr>
          <w:rFonts w:ascii="Arial" w:hAnsi="Arial" w:cs="Arial" w:eastAsia="Arial" w:hint="default"/>
          <w:w w:val="99"/>
        </w:rPr>
        <w:t>13.3%</w:t>
      </w:r>
      <w:r>
        <w:rPr>
          <w:w w:val="99"/>
        </w:rPr>
        <w:t>。</w:t>
      </w:r>
      <w:r>
        <w:rPr/>
      </w:r>
    </w:p>
    <w:p>
      <w:pPr>
        <w:spacing w:line="240" w:lineRule="auto" w:before="13"/>
        <w:rPr>
          <w:rFonts w:ascii="宋体" w:hAnsi="宋体" w:cs="宋体" w:eastAsia="宋体" w:hint="default"/>
          <w:sz w:val="17"/>
          <w:szCs w:val="17"/>
        </w:rPr>
      </w:pPr>
    </w:p>
    <w:p>
      <w:pPr>
        <w:pStyle w:val="BodyText"/>
        <w:tabs>
          <w:tab w:pos="1542" w:val="left" w:leader="none"/>
        </w:tabs>
        <w:spacing w:line="240" w:lineRule="auto"/>
        <w:ind w:left="1002" w:right="89"/>
        <w:jc w:val="left"/>
      </w:pPr>
      <w:r>
        <w:rPr>
          <w:rFonts w:ascii="Arial" w:hAnsi="Arial" w:cs="Arial" w:eastAsia="Arial" w:hint="default"/>
          <w:w w:val="95"/>
        </w:rPr>
        <w:t>3.5</w:t>
        <w:tab/>
      </w:r>
      <w:r>
        <w:rPr/>
        <w:t>销售费用</w:t>
      </w:r>
    </w:p>
    <w:p>
      <w:pPr>
        <w:spacing w:line="240" w:lineRule="auto" w:before="0"/>
        <w:rPr>
          <w:rFonts w:ascii="宋体" w:hAnsi="宋体" w:cs="宋体" w:eastAsia="宋体" w:hint="default"/>
          <w:sz w:val="20"/>
          <w:szCs w:val="20"/>
        </w:rPr>
      </w:pPr>
    </w:p>
    <w:p>
      <w:pPr>
        <w:pStyle w:val="BodyText"/>
        <w:spacing w:line="286" w:lineRule="exact"/>
        <w:ind w:left="1559" w:right="210"/>
        <w:jc w:val="both"/>
      </w:pPr>
      <w:r>
        <w:rPr>
          <w:rFonts w:ascii="Arial" w:hAnsi="Arial" w:cs="Arial" w:eastAsia="Arial" w:hint="default"/>
        </w:rPr>
        <w:t>2012</w:t>
      </w:r>
      <w:r>
        <w:rPr>
          <w:rFonts w:ascii="Arial" w:hAnsi="Arial" w:cs="Arial" w:eastAsia="Arial" w:hint="default"/>
          <w:spacing w:val="33"/>
        </w:rPr>
        <w:t> </w:t>
      </w:r>
      <w:r>
        <w:rPr/>
        <w:t>年公司积极应对市场竞争，加快重点业务发展，并充分发挥渠道与应用对业务</w:t>
      </w:r>
      <w:r>
        <w:rPr>
          <w:w w:val="99"/>
        </w:rPr>
        <w:t> </w:t>
      </w:r>
      <w:r>
        <w:rPr/>
        <w:t>发展的拉动作用，全年销售费用发生</w:t>
      </w:r>
      <w:r>
        <w:rPr>
          <w:spacing w:val="-61"/>
        </w:rPr>
        <w:t> </w:t>
      </w:r>
      <w:r>
        <w:rPr>
          <w:rFonts w:ascii="Arial" w:hAnsi="Arial" w:cs="Arial" w:eastAsia="Arial" w:hint="default"/>
        </w:rPr>
        <w:t>350.4</w:t>
      </w:r>
      <w:r>
        <w:rPr>
          <w:rFonts w:ascii="Arial" w:hAnsi="Arial" w:cs="Arial" w:eastAsia="Arial" w:hint="default"/>
          <w:spacing w:val="-14"/>
        </w:rPr>
        <w:t> </w:t>
      </w:r>
      <w:r>
        <w:rPr>
          <w:spacing w:val="-5"/>
        </w:rPr>
        <w:t>亿元，同比增长</w:t>
      </w:r>
      <w:r>
        <w:rPr>
          <w:spacing w:val="-63"/>
        </w:rPr>
        <w:t> </w:t>
      </w:r>
      <w:r>
        <w:rPr>
          <w:rFonts w:ascii="Arial" w:hAnsi="Arial" w:cs="Arial" w:eastAsia="Arial" w:hint="default"/>
          <w:spacing w:val="-3"/>
        </w:rPr>
        <w:t>21.9%</w:t>
      </w:r>
      <w:r>
        <w:rPr>
          <w:spacing w:val="-3"/>
        </w:rPr>
        <w:t>，所占主营业务收</w:t>
      </w:r>
      <w:r>
        <w:rPr>
          <w:w w:val="99"/>
        </w:rPr>
        <w:t> </w:t>
      </w:r>
      <w:r>
        <w:rPr/>
        <w:t>入的比重由上年的</w:t>
      </w:r>
      <w:r>
        <w:rPr>
          <w:spacing w:val="-58"/>
        </w:rPr>
        <w:t> </w:t>
      </w:r>
      <w:r>
        <w:rPr>
          <w:rFonts w:ascii="Arial" w:hAnsi="Arial" w:cs="Arial" w:eastAsia="Arial" w:hint="default"/>
        </w:rPr>
        <w:t>15.0%</w:t>
      </w:r>
      <w:r>
        <w:rPr/>
        <w:t>变化至</w:t>
      </w:r>
      <w:r>
        <w:rPr>
          <w:spacing w:val="-58"/>
        </w:rPr>
        <w:t> </w:t>
      </w:r>
      <w:r>
        <w:rPr>
          <w:rFonts w:ascii="Arial" w:hAnsi="Arial" w:cs="Arial" w:eastAsia="Arial" w:hint="default"/>
        </w:rPr>
        <w:t>16.2%</w:t>
      </w:r>
      <w:r>
        <w:rPr/>
        <w:t>。</w:t>
      </w:r>
    </w:p>
    <w:p>
      <w:pPr>
        <w:spacing w:after="0" w:line="286" w:lineRule="exact"/>
        <w:jc w:val="both"/>
        <w:sectPr>
          <w:pgSz w:w="11910" w:h="16840"/>
          <w:pgMar w:header="567" w:footer="745" w:top="800" w:bottom="940" w:left="1380" w:right="680"/>
        </w:sectPr>
      </w:pPr>
    </w:p>
    <w:p>
      <w:pPr>
        <w:spacing w:line="240" w:lineRule="auto" w:before="8"/>
        <w:rPr>
          <w:rFonts w:ascii="宋体" w:hAnsi="宋体" w:cs="宋体" w:eastAsia="宋体" w:hint="default"/>
          <w:sz w:val="22"/>
          <w:szCs w:val="22"/>
        </w:rPr>
      </w:pPr>
    </w:p>
    <w:p>
      <w:pPr>
        <w:pStyle w:val="BodyText"/>
        <w:tabs>
          <w:tab w:pos="1542" w:val="left" w:leader="none"/>
        </w:tabs>
        <w:spacing w:line="240" w:lineRule="auto" w:before="31"/>
        <w:ind w:left="1002" w:right="0"/>
        <w:jc w:val="left"/>
      </w:pPr>
      <w:r>
        <w:rPr>
          <w:rFonts w:ascii="Arial" w:hAnsi="Arial" w:cs="Arial" w:eastAsia="Arial" w:hint="default"/>
          <w:w w:val="95"/>
        </w:rPr>
        <w:t>3.6</w:t>
        <w:tab/>
      </w:r>
      <w:r>
        <w:rPr>
          <w:rFonts w:ascii="Arial" w:hAnsi="Arial" w:cs="Arial" w:eastAsia="Arial" w:hint="default"/>
        </w:rPr>
        <w:t>3G</w:t>
      </w:r>
      <w:r>
        <w:rPr>
          <w:rFonts w:ascii="Arial" w:hAnsi="Arial" w:cs="Arial" w:eastAsia="Arial" w:hint="default"/>
          <w:spacing w:val="-10"/>
        </w:rPr>
        <w:t> </w:t>
      </w:r>
      <w:r>
        <w:rPr/>
        <w:t>终端补贴成本</w:t>
      </w:r>
    </w:p>
    <w:p>
      <w:pPr>
        <w:spacing w:line="240" w:lineRule="auto" w:before="2"/>
        <w:rPr>
          <w:rFonts w:ascii="宋体" w:hAnsi="宋体" w:cs="宋体" w:eastAsia="宋体" w:hint="default"/>
          <w:sz w:val="19"/>
          <w:szCs w:val="19"/>
        </w:rPr>
      </w:pPr>
    </w:p>
    <w:p>
      <w:pPr>
        <w:pStyle w:val="BodyText"/>
        <w:spacing w:line="225" w:lineRule="auto"/>
        <w:ind w:left="1559" w:right="150"/>
        <w:jc w:val="both"/>
      </w:pPr>
      <w:r>
        <w:rPr>
          <w:rFonts w:ascii="Arial" w:hAnsi="Arial" w:cs="Arial" w:eastAsia="Arial" w:hint="default"/>
        </w:rPr>
        <w:t>2012</w:t>
      </w:r>
      <w:r>
        <w:rPr>
          <w:rFonts w:ascii="Arial" w:hAnsi="Arial" w:cs="Arial" w:eastAsia="Arial" w:hint="default"/>
          <w:spacing w:val="-6"/>
        </w:rPr>
        <w:t> </w:t>
      </w:r>
      <w:r>
        <w:rPr/>
        <w:t>年公司持续优化</w:t>
      </w:r>
      <w:r>
        <w:rPr>
          <w:spacing w:val="-55"/>
        </w:rPr>
        <w:t> </w:t>
      </w:r>
      <w:r>
        <w:rPr>
          <w:rFonts w:ascii="Arial" w:hAnsi="Arial" w:cs="Arial" w:eastAsia="Arial" w:hint="default"/>
        </w:rPr>
        <w:t>3G</w:t>
      </w:r>
      <w:r>
        <w:rPr>
          <w:rFonts w:ascii="Arial" w:hAnsi="Arial" w:cs="Arial" w:eastAsia="Arial" w:hint="default"/>
          <w:spacing w:val="-7"/>
        </w:rPr>
        <w:t> </w:t>
      </w:r>
      <w:r>
        <w:rPr>
          <w:spacing w:val="-6"/>
        </w:rPr>
        <w:t>合约政策，加快扩展合约用户数量，全年</w:t>
      </w:r>
      <w:r>
        <w:rPr>
          <w:spacing w:val="-53"/>
        </w:rPr>
        <w:t> </w:t>
      </w:r>
      <w:r>
        <w:rPr>
          <w:rFonts w:ascii="Arial" w:hAnsi="Arial" w:cs="Arial" w:eastAsia="Arial" w:hint="default"/>
        </w:rPr>
        <w:t>3G</w:t>
      </w:r>
      <w:r>
        <w:rPr>
          <w:rFonts w:ascii="Arial" w:hAnsi="Arial" w:cs="Arial" w:eastAsia="Arial" w:hint="default"/>
          <w:spacing w:val="-7"/>
        </w:rPr>
        <w:t> </w:t>
      </w:r>
      <w:r>
        <w:rPr/>
        <w:t>终端补贴成本</w:t>
      </w:r>
      <w:r>
        <w:rPr>
          <w:w w:val="99"/>
        </w:rPr>
        <w:t> </w:t>
      </w:r>
      <w:r>
        <w:rPr/>
        <w:t>发生 </w:t>
      </w:r>
      <w:r>
        <w:rPr>
          <w:rFonts w:ascii="Arial" w:hAnsi="Arial" w:cs="Arial" w:eastAsia="Arial" w:hint="default"/>
        </w:rPr>
        <w:t>61.0 </w:t>
      </w:r>
      <w:r>
        <w:rPr/>
        <w:t>亿元，同比增长 </w:t>
      </w:r>
      <w:r>
        <w:rPr>
          <w:rFonts w:ascii="Arial" w:hAnsi="Arial" w:cs="Arial" w:eastAsia="Arial" w:hint="default"/>
        </w:rPr>
        <w:t>5.4%</w:t>
      </w:r>
      <w:r>
        <w:rPr/>
        <w:t>，所占主营业务收入的比重由上年的</w:t>
      </w:r>
      <w:r>
        <w:rPr>
          <w:spacing w:val="14"/>
        </w:rPr>
        <w:t> </w:t>
      </w:r>
      <w:r>
        <w:rPr>
          <w:rFonts w:ascii="Arial" w:hAnsi="Arial" w:cs="Arial" w:eastAsia="Arial" w:hint="default"/>
        </w:rPr>
        <w:t>3.0%</w:t>
      </w:r>
      <w:r>
        <w:rPr/>
        <w:t>下降至</w:t>
      </w:r>
      <w:r>
        <w:rPr>
          <w:w w:val="99"/>
        </w:rPr>
        <w:t> </w:t>
      </w:r>
      <w:r>
        <w:rPr>
          <w:rFonts w:ascii="Arial" w:hAnsi="Arial" w:cs="Arial" w:eastAsia="Arial" w:hint="default"/>
        </w:rPr>
        <w:t>2.8%</w:t>
      </w:r>
      <w:r>
        <w:rPr/>
        <w:t>，占</w:t>
      </w:r>
      <w:r>
        <w:rPr>
          <w:spacing w:val="-58"/>
        </w:rPr>
        <w:t> </w:t>
      </w:r>
      <w:r>
        <w:rPr>
          <w:rFonts w:ascii="Arial" w:hAnsi="Arial" w:cs="Arial" w:eastAsia="Arial" w:hint="default"/>
        </w:rPr>
        <w:t>3G</w:t>
      </w:r>
      <w:r>
        <w:rPr>
          <w:rFonts w:ascii="Arial" w:hAnsi="Arial" w:cs="Arial" w:eastAsia="Arial" w:hint="default"/>
          <w:spacing w:val="-10"/>
        </w:rPr>
        <w:t> </w:t>
      </w:r>
      <w:r>
        <w:rPr/>
        <w:t>业务主营业务收入的比重由上年的</w:t>
      </w:r>
      <w:r>
        <w:rPr>
          <w:spacing w:val="-57"/>
        </w:rPr>
        <w:t> </w:t>
      </w:r>
      <w:r>
        <w:rPr>
          <w:rFonts w:ascii="Arial" w:hAnsi="Arial" w:cs="Arial" w:eastAsia="Arial" w:hint="default"/>
        </w:rPr>
        <w:t>17.1%</w:t>
      </w:r>
      <w:r>
        <w:rPr/>
        <w:t>下降至</w:t>
      </w:r>
      <w:r>
        <w:rPr>
          <w:spacing w:val="-58"/>
        </w:rPr>
        <w:t> </w:t>
      </w:r>
      <w:r>
        <w:rPr>
          <w:rFonts w:ascii="Arial" w:hAnsi="Arial" w:cs="Arial" w:eastAsia="Arial" w:hint="default"/>
        </w:rPr>
        <w:t>9.9%</w:t>
      </w:r>
      <w:r>
        <w:rPr/>
        <w:t>。</w:t>
      </w:r>
    </w:p>
    <w:p>
      <w:pPr>
        <w:spacing w:line="240" w:lineRule="auto" w:before="2"/>
        <w:rPr>
          <w:rFonts w:ascii="宋体" w:hAnsi="宋体" w:cs="宋体" w:eastAsia="宋体" w:hint="default"/>
          <w:sz w:val="18"/>
          <w:szCs w:val="18"/>
        </w:rPr>
      </w:pPr>
    </w:p>
    <w:p>
      <w:pPr>
        <w:pStyle w:val="BodyText"/>
        <w:tabs>
          <w:tab w:pos="1542" w:val="left" w:leader="none"/>
        </w:tabs>
        <w:spacing w:line="240" w:lineRule="auto"/>
        <w:ind w:left="1002" w:right="0"/>
        <w:jc w:val="left"/>
      </w:pPr>
      <w:r>
        <w:rPr>
          <w:rFonts w:ascii="Arial" w:hAnsi="Arial" w:cs="Arial" w:eastAsia="Arial" w:hint="default"/>
          <w:w w:val="95"/>
        </w:rPr>
        <w:t>3.7</w:t>
        <w:tab/>
      </w:r>
      <w:r>
        <w:rPr/>
        <w:t>其他营业成本及管理费用</w:t>
      </w:r>
    </w:p>
    <w:p>
      <w:pPr>
        <w:spacing w:line="240" w:lineRule="auto" w:before="3"/>
        <w:rPr>
          <w:rFonts w:ascii="宋体" w:hAnsi="宋体" w:cs="宋体" w:eastAsia="宋体" w:hint="default"/>
          <w:sz w:val="20"/>
          <w:szCs w:val="20"/>
        </w:rPr>
      </w:pPr>
    </w:p>
    <w:p>
      <w:pPr>
        <w:pStyle w:val="BodyText"/>
        <w:spacing w:line="284" w:lineRule="exact"/>
        <w:ind w:left="1559" w:right="149"/>
        <w:jc w:val="both"/>
      </w:pPr>
      <w:r>
        <w:rPr>
          <w:rFonts w:ascii="Arial" w:hAnsi="Arial" w:cs="Arial" w:eastAsia="Arial" w:hint="default"/>
        </w:rPr>
        <w:t>2012</w:t>
      </w:r>
      <w:r>
        <w:rPr>
          <w:rFonts w:ascii="Arial" w:hAnsi="Arial" w:cs="Arial" w:eastAsia="Arial" w:hint="default"/>
          <w:spacing w:val="-7"/>
        </w:rPr>
        <w:t> </w:t>
      </w:r>
      <w:r>
        <w:rPr/>
        <w:t>年公司其他营业成本及管理费用发生</w:t>
      </w:r>
      <w:r>
        <w:rPr>
          <w:spacing w:val="-54"/>
        </w:rPr>
        <w:t> </w:t>
      </w:r>
      <w:r>
        <w:rPr>
          <w:rFonts w:ascii="Arial" w:hAnsi="Arial" w:cs="Arial" w:eastAsia="Arial" w:hint="default"/>
        </w:rPr>
        <w:t>133.0</w:t>
      </w:r>
      <w:r>
        <w:rPr>
          <w:rFonts w:ascii="Arial" w:hAnsi="Arial" w:cs="Arial" w:eastAsia="Arial" w:hint="default"/>
          <w:spacing w:val="-7"/>
        </w:rPr>
        <w:t> </w:t>
      </w:r>
      <w:r>
        <w:rPr>
          <w:spacing w:val="-5"/>
        </w:rPr>
        <w:t>亿元，同比增长</w:t>
      </w:r>
      <w:r>
        <w:rPr>
          <w:spacing w:val="-56"/>
        </w:rPr>
        <w:t> </w:t>
      </w:r>
      <w:r>
        <w:rPr>
          <w:rFonts w:ascii="Arial" w:hAnsi="Arial" w:cs="Arial" w:eastAsia="Arial" w:hint="default"/>
          <w:spacing w:val="-4"/>
        </w:rPr>
        <w:t>8.6%</w:t>
      </w:r>
      <w:r>
        <w:rPr>
          <w:spacing w:val="-4"/>
        </w:rPr>
        <w:t>，所占主营业</w:t>
      </w:r>
      <w:r>
        <w:rPr>
          <w:w w:val="99"/>
        </w:rPr>
        <w:t> </w:t>
      </w:r>
      <w:r>
        <w:rPr/>
        <w:t>务收入的比重由上年的</w:t>
      </w:r>
      <w:r>
        <w:rPr>
          <w:spacing w:val="-57"/>
        </w:rPr>
        <w:t> </w:t>
      </w:r>
      <w:r>
        <w:rPr>
          <w:rFonts w:ascii="Arial" w:hAnsi="Arial" w:cs="Arial" w:eastAsia="Arial" w:hint="default"/>
        </w:rPr>
        <w:t>6.4%</w:t>
      </w:r>
      <w:r>
        <w:rPr/>
        <w:t>下降至</w:t>
      </w:r>
      <w:r>
        <w:rPr>
          <w:spacing w:val="-58"/>
        </w:rPr>
        <w:t> </w:t>
      </w:r>
      <w:r>
        <w:rPr>
          <w:rFonts w:ascii="Arial" w:hAnsi="Arial" w:cs="Arial" w:eastAsia="Arial" w:hint="default"/>
        </w:rPr>
        <w:t>6.1%</w:t>
      </w:r>
      <w:r>
        <w:rPr/>
        <w:t>。</w:t>
      </w:r>
    </w:p>
    <w:p>
      <w:pPr>
        <w:spacing w:line="240" w:lineRule="auto" w:before="3"/>
        <w:rPr>
          <w:rFonts w:ascii="宋体" w:hAnsi="宋体" w:cs="宋体" w:eastAsia="宋体" w:hint="default"/>
          <w:sz w:val="17"/>
          <w:szCs w:val="17"/>
        </w:rPr>
      </w:pPr>
    </w:p>
    <w:p>
      <w:pPr>
        <w:pStyle w:val="BodyText"/>
        <w:tabs>
          <w:tab w:pos="1542" w:val="left" w:leader="none"/>
        </w:tabs>
        <w:spacing w:line="240" w:lineRule="auto"/>
        <w:ind w:left="1002" w:right="0"/>
        <w:jc w:val="left"/>
      </w:pPr>
      <w:r>
        <w:rPr>
          <w:rFonts w:ascii="Arial" w:hAnsi="Arial" w:cs="Arial" w:eastAsia="Arial" w:hint="default"/>
          <w:w w:val="95"/>
        </w:rPr>
        <w:t>3.8</w:t>
        <w:tab/>
      </w:r>
      <w:r>
        <w:rPr/>
        <w:t>财务费用</w:t>
      </w:r>
    </w:p>
    <w:p>
      <w:pPr>
        <w:spacing w:line="240" w:lineRule="auto" w:before="12"/>
        <w:rPr>
          <w:rFonts w:ascii="宋体" w:hAnsi="宋体" w:cs="宋体" w:eastAsia="宋体" w:hint="default"/>
          <w:sz w:val="17"/>
          <w:szCs w:val="17"/>
        </w:rPr>
      </w:pPr>
    </w:p>
    <w:p>
      <w:pPr>
        <w:pStyle w:val="BodyText"/>
        <w:spacing w:line="295" w:lineRule="exact"/>
        <w:ind w:left="1559" w:right="0"/>
        <w:jc w:val="both"/>
      </w:pPr>
      <w:r>
        <w:rPr>
          <w:rFonts w:ascii="Arial" w:hAnsi="Arial" w:cs="Arial" w:eastAsia="Arial" w:hint="default"/>
        </w:rPr>
        <w:t>2012</w:t>
      </w:r>
      <w:r>
        <w:rPr>
          <w:rFonts w:ascii="Arial" w:hAnsi="Arial" w:cs="Arial" w:eastAsia="Arial" w:hint="default"/>
          <w:spacing w:val="-11"/>
        </w:rPr>
        <w:t> </w:t>
      </w:r>
      <w:r>
        <w:rPr/>
        <w:t>年受带息债务增加、汇兑收益减少等因素影响，公司财务费用发生</w:t>
      </w:r>
      <w:r>
        <w:rPr>
          <w:spacing w:val="-57"/>
        </w:rPr>
        <w:t> </w:t>
      </w:r>
      <w:r>
        <w:rPr>
          <w:rFonts w:ascii="Arial" w:hAnsi="Arial" w:cs="Arial" w:eastAsia="Arial" w:hint="default"/>
        </w:rPr>
        <w:t>34.2</w:t>
      </w:r>
      <w:r>
        <w:rPr>
          <w:rFonts w:ascii="Arial" w:hAnsi="Arial" w:cs="Arial" w:eastAsia="Arial" w:hint="default"/>
          <w:spacing w:val="-11"/>
        </w:rPr>
        <w:t> </w:t>
      </w:r>
      <w:r>
        <w:rPr/>
        <w:t>亿元，</w:t>
      </w:r>
    </w:p>
    <w:p>
      <w:pPr>
        <w:pStyle w:val="BodyText"/>
        <w:spacing w:line="295" w:lineRule="exact"/>
        <w:ind w:left="1559" w:right="0"/>
        <w:jc w:val="both"/>
      </w:pPr>
      <w:r>
        <w:rPr/>
        <w:t>比上年增加</w:t>
      </w:r>
      <w:r>
        <w:rPr>
          <w:spacing w:val="-57"/>
        </w:rPr>
        <w:t> </w:t>
      </w:r>
      <w:r>
        <w:rPr>
          <w:rFonts w:ascii="Arial" w:hAnsi="Arial" w:cs="Arial" w:eastAsia="Arial" w:hint="default"/>
        </w:rPr>
        <w:t>21.8</w:t>
      </w:r>
      <w:r>
        <w:rPr>
          <w:rFonts w:ascii="Arial" w:hAnsi="Arial" w:cs="Arial" w:eastAsia="Arial" w:hint="default"/>
          <w:spacing w:val="-8"/>
        </w:rPr>
        <w:t> </w:t>
      </w:r>
      <w:r>
        <w:rPr/>
        <w:t>亿元。</w:t>
      </w:r>
    </w:p>
    <w:p>
      <w:pPr>
        <w:spacing w:line="240" w:lineRule="auto" w:before="13"/>
        <w:rPr>
          <w:rFonts w:ascii="宋体" w:hAnsi="宋体" w:cs="宋体" w:eastAsia="宋体" w:hint="default"/>
          <w:sz w:val="17"/>
          <w:szCs w:val="17"/>
        </w:rPr>
      </w:pPr>
    </w:p>
    <w:p>
      <w:pPr>
        <w:pStyle w:val="BodyText"/>
        <w:spacing w:line="240" w:lineRule="auto"/>
        <w:ind w:left="658" w:right="0"/>
        <w:jc w:val="left"/>
      </w:pPr>
      <w:r>
        <w:rPr>
          <w:rFonts w:ascii="Arial" w:hAnsi="Arial" w:cs="Arial" w:eastAsia="Arial" w:hint="default"/>
        </w:rPr>
        <w:t>4</w:t>
      </w:r>
      <w:r>
        <w:rPr/>
        <w:t>、盈利水平</w:t>
      </w:r>
    </w:p>
    <w:p>
      <w:pPr>
        <w:spacing w:line="240" w:lineRule="auto" w:before="12"/>
        <w:rPr>
          <w:rFonts w:ascii="宋体" w:hAnsi="宋体" w:cs="宋体" w:eastAsia="宋体" w:hint="default"/>
          <w:sz w:val="17"/>
          <w:szCs w:val="17"/>
        </w:rPr>
      </w:pPr>
    </w:p>
    <w:p>
      <w:pPr>
        <w:pStyle w:val="BodyText"/>
        <w:tabs>
          <w:tab w:pos="1542" w:val="left" w:leader="none"/>
        </w:tabs>
        <w:spacing w:line="240" w:lineRule="auto"/>
        <w:ind w:left="1002" w:right="0"/>
        <w:jc w:val="left"/>
      </w:pPr>
      <w:r>
        <w:rPr>
          <w:rFonts w:ascii="Arial" w:hAnsi="Arial" w:cs="Arial" w:eastAsia="Arial" w:hint="default"/>
          <w:w w:val="95"/>
        </w:rPr>
        <w:t>4.1</w:t>
        <w:tab/>
      </w:r>
      <w:r>
        <w:rPr/>
        <w:t>税前利润</w:t>
      </w:r>
    </w:p>
    <w:p>
      <w:pPr>
        <w:spacing w:line="240" w:lineRule="auto" w:before="2"/>
        <w:rPr>
          <w:rFonts w:ascii="宋体" w:hAnsi="宋体" w:cs="宋体" w:eastAsia="宋体" w:hint="default"/>
          <w:sz w:val="20"/>
          <w:szCs w:val="20"/>
        </w:rPr>
      </w:pPr>
    </w:p>
    <w:p>
      <w:pPr>
        <w:pStyle w:val="BodyText"/>
        <w:spacing w:line="286" w:lineRule="exact"/>
        <w:ind w:left="1542" w:right="149"/>
        <w:jc w:val="both"/>
      </w:pPr>
      <w:r>
        <w:rPr/>
        <w:t>随着业务的快速发展和收入的规模增长，公司盈利状况得到显著改善，</w:t>
      </w:r>
      <w:r>
        <w:rPr>
          <w:rFonts w:ascii="Arial" w:hAnsi="Arial" w:cs="Arial" w:eastAsia="Arial" w:hint="default"/>
        </w:rPr>
        <w:t>2012</w:t>
      </w:r>
      <w:r>
        <w:rPr>
          <w:rFonts w:ascii="Arial" w:hAnsi="Arial" w:cs="Arial" w:eastAsia="Arial" w:hint="default"/>
          <w:spacing w:val="42"/>
        </w:rPr>
        <w:t> </w:t>
      </w:r>
      <w:r>
        <w:rPr/>
        <w:t>年税前</w:t>
      </w:r>
      <w:r>
        <w:rPr>
          <w:w w:val="99"/>
        </w:rPr>
        <w:t> </w:t>
      </w:r>
      <w:r>
        <w:rPr/>
        <w:t>利润实现</w:t>
      </w:r>
      <w:r>
        <w:rPr>
          <w:spacing w:val="-57"/>
        </w:rPr>
        <w:t> </w:t>
      </w:r>
      <w:r>
        <w:rPr>
          <w:rFonts w:ascii="Arial" w:hAnsi="Arial" w:cs="Arial" w:eastAsia="Arial" w:hint="default"/>
        </w:rPr>
        <w:t>95.4</w:t>
      </w:r>
      <w:r>
        <w:rPr>
          <w:rFonts w:ascii="Arial" w:hAnsi="Arial" w:cs="Arial" w:eastAsia="Arial" w:hint="default"/>
          <w:spacing w:val="-8"/>
        </w:rPr>
        <w:t> </w:t>
      </w:r>
      <w:r>
        <w:rPr/>
        <w:t>亿元，同比增长</w:t>
      </w:r>
      <w:r>
        <w:rPr>
          <w:spacing w:val="-57"/>
        </w:rPr>
        <w:t> </w:t>
      </w:r>
      <w:r>
        <w:rPr>
          <w:rFonts w:ascii="Arial" w:hAnsi="Arial" w:cs="Arial" w:eastAsia="Arial" w:hint="default"/>
        </w:rPr>
        <w:t>69.0%</w:t>
      </w:r>
      <w:r>
        <w:rPr/>
        <w:t>。</w:t>
      </w:r>
    </w:p>
    <w:p>
      <w:pPr>
        <w:spacing w:line="240" w:lineRule="auto" w:before="1"/>
        <w:rPr>
          <w:rFonts w:ascii="宋体" w:hAnsi="宋体" w:cs="宋体" w:eastAsia="宋体" w:hint="default"/>
          <w:sz w:val="17"/>
          <w:szCs w:val="17"/>
        </w:rPr>
      </w:pPr>
    </w:p>
    <w:p>
      <w:pPr>
        <w:pStyle w:val="BodyText"/>
        <w:tabs>
          <w:tab w:pos="1542" w:val="left" w:leader="none"/>
        </w:tabs>
        <w:spacing w:line="240" w:lineRule="auto"/>
        <w:ind w:left="1002" w:right="0"/>
        <w:jc w:val="left"/>
      </w:pPr>
      <w:r>
        <w:rPr>
          <w:rFonts w:ascii="Arial" w:hAnsi="Arial" w:cs="Arial" w:eastAsia="Arial" w:hint="default"/>
          <w:w w:val="95"/>
        </w:rPr>
        <w:t>4.2</w:t>
        <w:tab/>
      </w:r>
      <w:r>
        <w:rPr/>
        <w:t>所得税</w:t>
      </w:r>
    </w:p>
    <w:p>
      <w:pPr>
        <w:spacing w:line="240" w:lineRule="auto" w:before="13"/>
        <w:rPr>
          <w:rFonts w:ascii="宋体" w:hAnsi="宋体" w:cs="宋体" w:eastAsia="宋体" w:hint="default"/>
          <w:sz w:val="17"/>
          <w:szCs w:val="17"/>
        </w:rPr>
      </w:pPr>
    </w:p>
    <w:p>
      <w:pPr>
        <w:pStyle w:val="BodyText"/>
        <w:spacing w:line="240" w:lineRule="auto"/>
        <w:ind w:left="1542" w:right="0"/>
        <w:jc w:val="both"/>
      </w:pPr>
      <w:r>
        <w:rPr>
          <w:rFonts w:ascii="Arial" w:hAnsi="Arial" w:cs="Arial" w:eastAsia="Arial" w:hint="default"/>
        </w:rPr>
        <w:t>2012</w:t>
      </w:r>
      <w:r>
        <w:rPr>
          <w:rFonts w:ascii="Arial" w:hAnsi="Arial" w:cs="Arial" w:eastAsia="Arial" w:hint="default"/>
          <w:spacing w:val="-9"/>
        </w:rPr>
        <w:t> </w:t>
      </w:r>
      <w:r>
        <w:rPr/>
        <w:t>年公司的所得税为</w:t>
      </w:r>
      <w:r>
        <w:rPr>
          <w:spacing w:val="-57"/>
        </w:rPr>
        <w:t> </w:t>
      </w:r>
      <w:r>
        <w:rPr>
          <w:rFonts w:ascii="Arial" w:hAnsi="Arial" w:cs="Arial" w:eastAsia="Arial" w:hint="default"/>
        </w:rPr>
        <w:t>25.2</w:t>
      </w:r>
      <w:r>
        <w:rPr>
          <w:rFonts w:ascii="Arial" w:hAnsi="Arial" w:cs="Arial" w:eastAsia="Arial" w:hint="default"/>
          <w:spacing w:val="-9"/>
        </w:rPr>
        <w:t> </w:t>
      </w:r>
      <w:r>
        <w:rPr/>
        <w:t>亿元，全年实际税率为</w:t>
      </w:r>
      <w:r>
        <w:rPr>
          <w:spacing w:val="-57"/>
        </w:rPr>
        <w:t> </w:t>
      </w:r>
      <w:r>
        <w:rPr>
          <w:rFonts w:ascii="Arial" w:hAnsi="Arial" w:cs="Arial" w:eastAsia="Arial" w:hint="default"/>
        </w:rPr>
        <w:t>26.4%</w:t>
      </w:r>
      <w:r>
        <w:rPr/>
        <w:t>。</w:t>
      </w:r>
    </w:p>
    <w:p>
      <w:pPr>
        <w:spacing w:line="240" w:lineRule="auto" w:before="12"/>
        <w:rPr>
          <w:rFonts w:ascii="宋体" w:hAnsi="宋体" w:cs="宋体" w:eastAsia="宋体" w:hint="default"/>
          <w:sz w:val="17"/>
          <w:szCs w:val="17"/>
        </w:rPr>
      </w:pPr>
    </w:p>
    <w:p>
      <w:pPr>
        <w:pStyle w:val="BodyText"/>
        <w:tabs>
          <w:tab w:pos="1542" w:val="left" w:leader="none"/>
        </w:tabs>
        <w:spacing w:line="240" w:lineRule="auto"/>
        <w:ind w:left="1002" w:right="0"/>
        <w:jc w:val="left"/>
      </w:pPr>
      <w:r>
        <w:rPr>
          <w:rFonts w:ascii="Arial" w:hAnsi="Arial" w:cs="Arial" w:eastAsia="Arial" w:hint="default"/>
          <w:w w:val="95"/>
        </w:rPr>
        <w:t>4.3</w:t>
        <w:tab/>
      </w:r>
      <w:r>
        <w:rPr/>
        <w:t>年度盈利</w:t>
      </w:r>
    </w:p>
    <w:p>
      <w:pPr>
        <w:spacing w:line="240" w:lineRule="auto" w:before="2"/>
        <w:rPr>
          <w:rFonts w:ascii="宋体" w:hAnsi="宋体" w:cs="宋体" w:eastAsia="宋体" w:hint="default"/>
          <w:sz w:val="20"/>
          <w:szCs w:val="20"/>
        </w:rPr>
      </w:pPr>
    </w:p>
    <w:p>
      <w:pPr>
        <w:pStyle w:val="BodyText"/>
        <w:spacing w:line="286" w:lineRule="exact"/>
        <w:ind w:left="1542" w:right="147"/>
        <w:jc w:val="both"/>
      </w:pPr>
      <w:r>
        <w:rPr>
          <w:rFonts w:ascii="Arial" w:hAnsi="Arial" w:cs="Arial" w:eastAsia="Arial" w:hint="default"/>
        </w:rPr>
        <w:t>2012</w:t>
      </w:r>
      <w:r>
        <w:rPr>
          <w:rFonts w:ascii="Arial" w:hAnsi="Arial" w:cs="Arial" w:eastAsia="Arial" w:hint="default"/>
          <w:spacing w:val="10"/>
        </w:rPr>
        <w:t> </w:t>
      </w:r>
      <w:r>
        <w:rPr/>
        <w:t>年公司净利润实现</w:t>
      </w:r>
      <w:r>
        <w:rPr>
          <w:spacing w:val="-38"/>
        </w:rPr>
        <w:t> </w:t>
      </w:r>
      <w:r>
        <w:rPr>
          <w:rFonts w:ascii="Arial" w:hAnsi="Arial" w:cs="Arial" w:eastAsia="Arial" w:hint="default"/>
        </w:rPr>
        <w:t>70.3</w:t>
      </w:r>
      <w:r>
        <w:rPr>
          <w:rFonts w:ascii="Arial" w:hAnsi="Arial" w:cs="Arial" w:eastAsia="Arial" w:hint="default"/>
          <w:spacing w:val="10"/>
        </w:rPr>
        <w:t> </w:t>
      </w:r>
      <w:r>
        <w:rPr/>
        <w:t>亿元，其中归属于母公司的净利润</w:t>
      </w:r>
      <w:r>
        <w:rPr>
          <w:spacing w:val="-37"/>
        </w:rPr>
        <w:t> </w:t>
      </w:r>
      <w:r>
        <w:rPr>
          <w:rFonts w:ascii="Arial" w:hAnsi="Arial" w:cs="Arial" w:eastAsia="Arial" w:hint="default"/>
        </w:rPr>
        <w:t>23.7</w:t>
      </w:r>
      <w:r>
        <w:rPr>
          <w:rFonts w:ascii="Arial" w:hAnsi="Arial" w:cs="Arial" w:eastAsia="Arial" w:hint="default"/>
          <w:spacing w:val="10"/>
        </w:rPr>
        <w:t> </w:t>
      </w:r>
      <w:r>
        <w:rPr/>
        <w:t>亿元，同比增</w:t>
      </w:r>
      <w:r>
        <w:rPr>
          <w:spacing w:val="1"/>
          <w:w w:val="99"/>
        </w:rPr>
        <w:t> </w:t>
      </w:r>
      <w:r>
        <w:rPr/>
        <w:t>长</w:t>
      </w:r>
      <w:r>
        <w:rPr>
          <w:spacing w:val="-58"/>
        </w:rPr>
        <w:t> </w:t>
      </w:r>
      <w:r>
        <w:rPr>
          <w:rFonts w:ascii="Arial" w:hAnsi="Arial" w:cs="Arial" w:eastAsia="Arial" w:hint="default"/>
        </w:rPr>
        <w:t>67.7%</w:t>
      </w:r>
      <w:r>
        <w:rPr/>
        <w:t>，基本每股收益为</w:t>
      </w:r>
      <w:r>
        <w:rPr>
          <w:spacing w:val="-58"/>
        </w:rPr>
        <w:t> </w:t>
      </w:r>
      <w:r>
        <w:rPr>
          <w:rFonts w:ascii="Arial" w:hAnsi="Arial" w:cs="Arial" w:eastAsia="Arial" w:hint="default"/>
        </w:rPr>
        <w:t>0.112</w:t>
      </w:r>
      <w:r>
        <w:rPr>
          <w:rFonts w:ascii="Arial" w:hAnsi="Arial" w:cs="Arial" w:eastAsia="Arial" w:hint="default"/>
          <w:spacing w:val="-9"/>
        </w:rPr>
        <w:t> </w:t>
      </w:r>
      <w:r>
        <w:rPr/>
        <w:t>元，同比增长</w:t>
      </w:r>
      <w:r>
        <w:rPr>
          <w:spacing w:val="-57"/>
        </w:rPr>
        <w:t> </w:t>
      </w:r>
      <w:r>
        <w:rPr>
          <w:rFonts w:ascii="Arial" w:hAnsi="Arial" w:cs="Arial" w:eastAsia="Arial" w:hint="default"/>
        </w:rPr>
        <w:t>67.7%</w:t>
      </w:r>
      <w:r>
        <w:rPr/>
        <w:t>。</w:t>
      </w:r>
    </w:p>
    <w:p>
      <w:pPr>
        <w:spacing w:line="240" w:lineRule="auto" w:before="1"/>
        <w:rPr>
          <w:rFonts w:ascii="宋体" w:hAnsi="宋体" w:cs="宋体" w:eastAsia="宋体" w:hint="default"/>
          <w:sz w:val="17"/>
          <w:szCs w:val="17"/>
        </w:rPr>
      </w:pPr>
    </w:p>
    <w:p>
      <w:pPr>
        <w:pStyle w:val="BodyText"/>
        <w:spacing w:line="240" w:lineRule="auto"/>
        <w:ind w:left="0" w:right="6276"/>
        <w:jc w:val="center"/>
      </w:pPr>
      <w:r>
        <w:rPr>
          <w:rFonts w:ascii="Arial" w:hAnsi="Arial" w:cs="Arial" w:eastAsia="Arial" w:hint="default"/>
        </w:rPr>
        <w:t>5</w:t>
      </w:r>
      <w:r>
        <w:rPr/>
        <w:t>、</w:t>
      </w:r>
      <w:r>
        <w:rPr>
          <w:rFonts w:ascii="Arial" w:hAnsi="Arial" w:cs="Arial" w:eastAsia="Arial" w:hint="default"/>
        </w:rPr>
        <w:t>EBITDA</w:t>
      </w:r>
      <w:r>
        <w:rPr/>
        <w:t>（附注</w:t>
      </w:r>
      <w:r>
        <w:rPr>
          <w:spacing w:val="-58"/>
        </w:rPr>
        <w:t> </w:t>
      </w:r>
      <w:r>
        <w:rPr>
          <w:rFonts w:ascii="Arial" w:hAnsi="Arial" w:cs="Arial" w:eastAsia="Arial" w:hint="default"/>
        </w:rPr>
        <w:t>4</w:t>
      </w:r>
      <w:r>
        <w:rPr/>
        <w:t>）</w:t>
      </w:r>
    </w:p>
    <w:p>
      <w:pPr>
        <w:spacing w:line="240" w:lineRule="auto" w:before="2"/>
        <w:rPr>
          <w:rFonts w:ascii="宋体" w:hAnsi="宋体" w:cs="宋体" w:eastAsia="宋体" w:hint="default"/>
          <w:sz w:val="20"/>
          <w:szCs w:val="20"/>
        </w:rPr>
      </w:pPr>
    </w:p>
    <w:p>
      <w:pPr>
        <w:pStyle w:val="BodyText"/>
        <w:spacing w:line="286" w:lineRule="exact"/>
        <w:ind w:left="1002" w:right="0"/>
        <w:jc w:val="left"/>
      </w:pPr>
      <w:r>
        <w:rPr>
          <w:rFonts w:ascii="Arial" w:hAnsi="Arial" w:cs="Arial" w:eastAsia="Arial" w:hint="default"/>
        </w:rPr>
        <w:t>2012</w:t>
      </w:r>
      <w:r>
        <w:rPr>
          <w:rFonts w:ascii="Arial" w:hAnsi="Arial" w:cs="Arial" w:eastAsia="Arial" w:hint="default"/>
          <w:spacing w:val="-8"/>
        </w:rPr>
        <w:t> </w:t>
      </w:r>
      <w:r>
        <w:rPr/>
        <w:t>年公司</w:t>
      </w:r>
      <w:r>
        <w:rPr>
          <w:spacing w:val="-57"/>
        </w:rPr>
        <w:t> </w:t>
      </w:r>
      <w:r>
        <w:rPr>
          <w:rFonts w:ascii="Arial" w:hAnsi="Arial" w:cs="Arial" w:eastAsia="Arial" w:hint="default"/>
        </w:rPr>
        <w:t>EBITDA</w:t>
      </w:r>
      <w:r>
        <w:rPr>
          <w:rFonts w:ascii="Arial" w:hAnsi="Arial" w:cs="Arial" w:eastAsia="Arial" w:hint="default"/>
          <w:spacing w:val="-7"/>
        </w:rPr>
        <w:t> </w:t>
      </w:r>
      <w:r>
        <w:rPr/>
        <w:t>为</w:t>
      </w:r>
      <w:r>
        <w:rPr>
          <w:spacing w:val="-57"/>
        </w:rPr>
        <w:t> </w:t>
      </w:r>
      <w:r>
        <w:rPr>
          <w:rFonts w:ascii="Arial" w:hAnsi="Arial" w:cs="Arial" w:eastAsia="Arial" w:hint="default"/>
        </w:rPr>
        <w:t>729.0</w:t>
      </w:r>
      <w:r>
        <w:rPr>
          <w:rFonts w:ascii="Arial" w:hAnsi="Arial" w:cs="Arial" w:eastAsia="Arial" w:hint="default"/>
          <w:spacing w:val="-8"/>
        </w:rPr>
        <w:t> </w:t>
      </w:r>
      <w:r>
        <w:rPr>
          <w:spacing w:val="-5"/>
        </w:rPr>
        <w:t>亿元，同比增长</w:t>
      </w:r>
      <w:r>
        <w:rPr>
          <w:spacing w:val="-57"/>
        </w:rPr>
        <w:t> </w:t>
      </w:r>
      <w:r>
        <w:rPr>
          <w:rFonts w:ascii="Arial" w:hAnsi="Arial" w:cs="Arial" w:eastAsia="Arial" w:hint="default"/>
          <w:spacing w:val="-3"/>
        </w:rPr>
        <w:t>14.6%</w:t>
      </w:r>
      <w:r>
        <w:rPr>
          <w:spacing w:val="-3"/>
        </w:rPr>
        <w:t>，</w:t>
      </w:r>
      <w:r>
        <w:rPr>
          <w:rFonts w:ascii="Arial" w:hAnsi="Arial" w:cs="Arial" w:eastAsia="Arial" w:hint="default"/>
          <w:spacing w:val="-3"/>
        </w:rPr>
        <w:t>EBITDA</w:t>
      </w:r>
      <w:r>
        <w:rPr>
          <w:rFonts w:ascii="Arial" w:hAnsi="Arial" w:cs="Arial" w:eastAsia="Arial" w:hint="default"/>
          <w:spacing w:val="-8"/>
        </w:rPr>
        <w:t> </w:t>
      </w:r>
      <w:r>
        <w:rPr/>
        <w:t>占主营业务收入的百分比</w:t>
      </w:r>
      <w:r>
        <w:rPr>
          <w:w w:val="99"/>
        </w:rPr>
        <w:t> </w:t>
      </w:r>
      <w:r>
        <w:rPr/>
        <w:t>为</w:t>
      </w:r>
      <w:r>
        <w:rPr>
          <w:spacing w:val="-58"/>
        </w:rPr>
        <w:t> </w:t>
      </w:r>
      <w:r>
        <w:rPr>
          <w:rFonts w:ascii="Arial" w:hAnsi="Arial" w:cs="Arial" w:eastAsia="Arial" w:hint="default"/>
        </w:rPr>
        <w:t>33.6%</w:t>
      </w:r>
      <w:r>
        <w:rPr/>
        <w:t>，比上年提高</w:t>
      </w:r>
      <w:r>
        <w:rPr>
          <w:spacing w:val="-57"/>
        </w:rPr>
        <w:t> </w:t>
      </w:r>
      <w:r>
        <w:rPr>
          <w:rFonts w:ascii="Arial" w:hAnsi="Arial" w:cs="Arial" w:eastAsia="Arial" w:hint="default"/>
        </w:rPr>
        <w:t>0.4</w:t>
      </w:r>
      <w:r>
        <w:rPr>
          <w:rFonts w:ascii="Arial" w:hAnsi="Arial" w:cs="Arial" w:eastAsia="Arial" w:hint="default"/>
          <w:spacing w:val="-9"/>
        </w:rPr>
        <w:t> </w:t>
      </w:r>
      <w:r>
        <w:rPr/>
        <w:t>个百分点。</w:t>
      </w:r>
    </w:p>
    <w:p>
      <w:pPr>
        <w:spacing w:line="240" w:lineRule="auto" w:before="1"/>
        <w:rPr>
          <w:rFonts w:ascii="宋体" w:hAnsi="宋体" w:cs="宋体" w:eastAsia="宋体" w:hint="default"/>
          <w:sz w:val="17"/>
          <w:szCs w:val="17"/>
        </w:rPr>
      </w:pPr>
    </w:p>
    <w:p>
      <w:pPr>
        <w:pStyle w:val="BodyText"/>
        <w:spacing w:line="240" w:lineRule="auto"/>
        <w:ind w:left="0" w:right="6368"/>
        <w:jc w:val="center"/>
      </w:pPr>
      <w:r>
        <w:rPr>
          <w:rFonts w:ascii="Arial" w:hAnsi="Arial" w:cs="Arial" w:eastAsia="Arial" w:hint="default"/>
        </w:rPr>
        <w:t>6</w:t>
      </w:r>
      <w:r>
        <w:rPr/>
        <w:t>、资本开支及现金流</w:t>
      </w:r>
    </w:p>
    <w:p>
      <w:pPr>
        <w:spacing w:line="240" w:lineRule="auto" w:before="13"/>
        <w:rPr>
          <w:rFonts w:ascii="宋体" w:hAnsi="宋体" w:cs="宋体" w:eastAsia="宋体" w:hint="default"/>
          <w:sz w:val="17"/>
          <w:szCs w:val="17"/>
        </w:rPr>
      </w:pPr>
    </w:p>
    <w:p>
      <w:pPr>
        <w:pStyle w:val="BodyText"/>
        <w:spacing w:line="295" w:lineRule="exact"/>
        <w:ind w:left="1002" w:right="0"/>
        <w:jc w:val="left"/>
      </w:pPr>
      <w:r>
        <w:rPr>
          <w:rFonts w:ascii="Arial" w:hAnsi="Arial" w:cs="Arial" w:eastAsia="Arial" w:hint="default"/>
        </w:rPr>
        <w:t>2012</w:t>
      </w:r>
      <w:r>
        <w:rPr>
          <w:rFonts w:ascii="Arial" w:hAnsi="Arial" w:cs="Arial" w:eastAsia="Arial" w:hint="default"/>
          <w:spacing w:val="-7"/>
        </w:rPr>
        <w:t> </w:t>
      </w:r>
      <w:r>
        <w:rPr/>
        <w:t>年公司的各项资本开支合计</w:t>
      </w:r>
      <w:r>
        <w:rPr>
          <w:spacing w:val="-55"/>
        </w:rPr>
        <w:t> </w:t>
      </w:r>
      <w:r>
        <w:rPr>
          <w:rFonts w:ascii="Arial" w:hAnsi="Arial" w:cs="Arial" w:eastAsia="Arial" w:hint="default"/>
        </w:rPr>
        <w:t>997.9</w:t>
      </w:r>
      <w:r>
        <w:rPr>
          <w:rFonts w:ascii="Arial" w:hAnsi="Arial" w:cs="Arial" w:eastAsia="Arial" w:hint="default"/>
          <w:spacing w:val="-6"/>
        </w:rPr>
        <w:t> </w:t>
      </w:r>
      <w:r>
        <w:rPr>
          <w:spacing w:val="-3"/>
        </w:rPr>
        <w:t>亿元，主要用于移动网络、宽带及数据、基础设施</w:t>
      </w:r>
    </w:p>
    <w:p>
      <w:pPr>
        <w:pStyle w:val="BodyText"/>
        <w:spacing w:line="285" w:lineRule="exact"/>
        <w:ind w:left="1002" w:right="0"/>
        <w:jc w:val="left"/>
      </w:pPr>
      <w:r>
        <w:rPr/>
        <w:t>及传送网建设等方面。其中，移动网络资本开支为 </w:t>
      </w:r>
      <w:r>
        <w:rPr>
          <w:rFonts w:ascii="Arial" w:hAnsi="Arial" w:cs="Arial" w:eastAsia="Arial" w:hint="default"/>
        </w:rPr>
        <w:t>409.2</w:t>
      </w:r>
      <w:r>
        <w:rPr>
          <w:rFonts w:ascii="Arial" w:hAnsi="Arial" w:cs="Arial" w:eastAsia="Arial" w:hint="default"/>
          <w:spacing w:val="-23"/>
        </w:rPr>
        <w:t> </w:t>
      </w:r>
      <w:r>
        <w:rPr/>
        <w:t>亿元，宽带及数据业务资本开支</w:t>
      </w:r>
    </w:p>
    <w:p>
      <w:pPr>
        <w:pStyle w:val="BodyText"/>
        <w:spacing w:line="294" w:lineRule="exact"/>
        <w:ind w:left="1002" w:right="0"/>
        <w:jc w:val="left"/>
      </w:pPr>
      <w:r>
        <w:rPr/>
        <w:t>为</w:t>
      </w:r>
      <w:r>
        <w:rPr>
          <w:spacing w:val="-58"/>
        </w:rPr>
        <w:t> </w:t>
      </w:r>
      <w:r>
        <w:rPr>
          <w:rFonts w:ascii="Arial" w:hAnsi="Arial" w:cs="Arial" w:eastAsia="Arial" w:hint="default"/>
        </w:rPr>
        <w:t>255.2</w:t>
      </w:r>
      <w:r>
        <w:rPr>
          <w:rFonts w:ascii="Arial" w:hAnsi="Arial" w:cs="Arial" w:eastAsia="Arial" w:hint="default"/>
          <w:spacing w:val="-9"/>
        </w:rPr>
        <w:t> </w:t>
      </w:r>
      <w:r>
        <w:rPr/>
        <w:t>亿元，基础设施及传送网资本开支为</w:t>
      </w:r>
      <w:r>
        <w:rPr>
          <w:spacing w:val="-56"/>
        </w:rPr>
        <w:t> </w:t>
      </w:r>
      <w:r>
        <w:rPr>
          <w:rFonts w:ascii="Arial" w:hAnsi="Arial" w:cs="Arial" w:eastAsia="Arial" w:hint="default"/>
        </w:rPr>
        <w:t>255.3</w:t>
      </w:r>
      <w:r>
        <w:rPr>
          <w:rFonts w:ascii="Arial" w:hAnsi="Arial" w:cs="Arial" w:eastAsia="Arial" w:hint="default"/>
          <w:spacing w:val="-9"/>
        </w:rPr>
        <w:t> </w:t>
      </w:r>
      <w:r>
        <w:rPr/>
        <w:t>亿元。</w:t>
      </w:r>
    </w:p>
    <w:p>
      <w:pPr>
        <w:spacing w:line="240" w:lineRule="auto" w:before="13"/>
        <w:rPr>
          <w:rFonts w:ascii="宋体" w:hAnsi="宋体" w:cs="宋体" w:eastAsia="宋体" w:hint="default"/>
          <w:sz w:val="17"/>
          <w:szCs w:val="17"/>
        </w:rPr>
      </w:pPr>
    </w:p>
    <w:p>
      <w:pPr>
        <w:pStyle w:val="BodyText"/>
        <w:spacing w:line="295" w:lineRule="exact"/>
        <w:ind w:left="1002" w:right="0"/>
        <w:jc w:val="left"/>
      </w:pPr>
      <w:r>
        <w:rPr>
          <w:rFonts w:ascii="Arial" w:hAnsi="Arial" w:cs="Arial" w:eastAsia="Arial" w:hint="default"/>
        </w:rPr>
        <w:t>2012  </w:t>
      </w:r>
      <w:r>
        <w:rPr>
          <w:spacing w:val="6"/>
        </w:rPr>
        <w:t>年公司经营活动现金流量净额为 </w:t>
      </w:r>
      <w:r>
        <w:rPr>
          <w:rFonts w:ascii="Arial" w:hAnsi="Arial" w:cs="Arial" w:eastAsia="Arial" w:hint="default"/>
        </w:rPr>
        <w:t>747.4</w:t>
      </w:r>
      <w:r>
        <w:rPr>
          <w:rFonts w:ascii="Arial" w:hAnsi="Arial" w:cs="Arial" w:eastAsia="Arial" w:hint="default"/>
          <w:spacing w:val="40"/>
        </w:rPr>
        <w:t> </w:t>
      </w:r>
      <w:r>
        <w:rPr>
          <w:spacing w:val="7"/>
        </w:rPr>
        <w:t>亿元，扣除本年资本开支后自由现金流为</w:t>
      </w:r>
      <w:r>
        <w:rPr/>
      </w:r>
    </w:p>
    <w:p>
      <w:pPr>
        <w:pStyle w:val="BodyText"/>
        <w:spacing w:line="295" w:lineRule="exact"/>
        <w:ind w:left="1002" w:right="0"/>
        <w:jc w:val="left"/>
      </w:pPr>
      <w:r>
        <w:rPr>
          <w:rFonts w:ascii="Arial" w:hAnsi="Arial" w:cs="Arial" w:eastAsia="Arial" w:hint="default"/>
        </w:rPr>
        <w:t>-250.5</w:t>
      </w:r>
      <w:r>
        <w:rPr>
          <w:rFonts w:ascii="Arial" w:hAnsi="Arial" w:cs="Arial" w:eastAsia="Arial" w:hint="default"/>
          <w:spacing w:val="-9"/>
        </w:rPr>
        <w:t> </w:t>
      </w:r>
      <w:r>
        <w:rPr/>
        <w:t>亿元。</w:t>
      </w:r>
    </w:p>
    <w:p>
      <w:pPr>
        <w:spacing w:after="0" w:line="295" w:lineRule="exact"/>
        <w:jc w:val="left"/>
        <w:sectPr>
          <w:pgSz w:w="11910" w:h="16840"/>
          <w:pgMar w:header="567" w:footer="745" w:top="800" w:bottom="940" w:left="1380" w:right="740"/>
        </w:sectPr>
      </w:pPr>
    </w:p>
    <w:p>
      <w:pPr>
        <w:spacing w:line="240" w:lineRule="auto" w:before="8"/>
        <w:rPr>
          <w:rFonts w:ascii="宋体" w:hAnsi="宋体" w:cs="宋体" w:eastAsia="宋体" w:hint="default"/>
          <w:sz w:val="22"/>
          <w:szCs w:val="22"/>
        </w:rPr>
      </w:pPr>
    </w:p>
    <w:p>
      <w:pPr>
        <w:pStyle w:val="BodyText"/>
        <w:spacing w:line="240" w:lineRule="auto" w:before="31"/>
        <w:ind w:left="1002" w:right="0"/>
        <w:jc w:val="left"/>
      </w:pPr>
      <w:r>
        <w:rPr/>
        <w:t>下表列出了公司</w:t>
      </w:r>
      <w:r>
        <w:rPr>
          <w:spacing w:val="-60"/>
        </w:rPr>
        <w:t> </w:t>
      </w:r>
      <w:r>
        <w:rPr>
          <w:rFonts w:ascii="Arial" w:hAnsi="Arial" w:cs="Arial" w:eastAsia="Arial" w:hint="default"/>
        </w:rPr>
        <w:t>2012</w:t>
      </w:r>
      <w:r>
        <w:rPr>
          <w:rFonts w:ascii="Arial" w:hAnsi="Arial" w:cs="Arial" w:eastAsia="Arial" w:hint="default"/>
          <w:spacing w:val="-11"/>
        </w:rPr>
        <w:t> </w:t>
      </w:r>
      <w:r>
        <w:rPr/>
        <w:t>年主要资本开支项目情况。</w:t>
      </w:r>
    </w:p>
    <w:p>
      <w:pPr>
        <w:spacing w:line="240" w:lineRule="auto" w:before="10"/>
        <w:rPr>
          <w:rFonts w:ascii="宋体" w:hAnsi="宋体" w:cs="宋体" w:eastAsia="宋体" w:hint="default"/>
          <w:sz w:val="20"/>
          <w:szCs w:val="20"/>
        </w:rPr>
      </w:pPr>
    </w:p>
    <w:tbl>
      <w:tblPr>
        <w:tblW w:w="0" w:type="auto"/>
        <w:jc w:val="left"/>
        <w:tblInd w:w="997" w:type="dxa"/>
        <w:tblLayout w:type="fixed"/>
        <w:tblCellMar>
          <w:top w:w="0" w:type="dxa"/>
          <w:left w:w="0" w:type="dxa"/>
          <w:bottom w:w="0" w:type="dxa"/>
          <w:right w:w="0" w:type="dxa"/>
        </w:tblCellMar>
        <w:tblLook w:val="01E0"/>
      </w:tblPr>
      <w:tblGrid>
        <w:gridCol w:w="3644"/>
        <w:gridCol w:w="2520"/>
        <w:gridCol w:w="2476"/>
      </w:tblGrid>
      <w:tr>
        <w:trPr>
          <w:trHeight w:val="295" w:hRule="exact"/>
        </w:trPr>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1" w:right="0"/>
              <w:jc w:val="left"/>
              <w:rPr>
                <w:rFonts w:ascii="宋体" w:hAnsi="宋体" w:cs="宋体" w:eastAsia="宋体" w:hint="default"/>
                <w:sz w:val="22"/>
                <w:szCs w:val="22"/>
              </w:rPr>
            </w:pPr>
            <w:r>
              <w:rPr>
                <w:rFonts w:ascii="宋体" w:hAnsi="宋体" w:cs="宋体" w:eastAsia="宋体" w:hint="default"/>
                <w:sz w:val="22"/>
                <w:szCs w:val="22"/>
              </w:rPr>
              <w:t>（单位：人民币亿元）</w:t>
            </w:r>
          </w:p>
        </w:tc>
        <w:tc>
          <w:tcPr>
            <w:tcW w:w="4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
              <w:jc w:val="center"/>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295" w:hRule="exact"/>
        </w:trPr>
        <w:tc>
          <w:tcPr>
            <w:tcW w:w="3644"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2"/>
              <w:jc w:val="right"/>
              <w:rPr>
                <w:rFonts w:ascii="宋体" w:hAnsi="宋体" w:cs="宋体" w:eastAsia="宋体" w:hint="default"/>
                <w:sz w:val="22"/>
                <w:szCs w:val="22"/>
              </w:rPr>
            </w:pPr>
            <w:r>
              <w:rPr>
                <w:rFonts w:ascii="宋体" w:hAnsi="宋体" w:cs="宋体" w:eastAsia="宋体" w:hint="default"/>
                <w:w w:val="95"/>
                <w:sz w:val="22"/>
                <w:szCs w:val="22"/>
              </w:rPr>
              <w:t>累计支出</w:t>
            </w:r>
            <w:r>
              <w:rPr>
                <w:rFonts w:ascii="宋体" w:hAnsi="宋体" w:cs="宋体" w:eastAsia="宋体" w:hint="default"/>
                <w:sz w:val="22"/>
                <w:szCs w:val="22"/>
              </w:rPr>
            </w:r>
          </w:p>
        </w:tc>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3"/>
              <w:jc w:val="right"/>
              <w:rPr>
                <w:rFonts w:ascii="宋体" w:hAnsi="宋体" w:cs="宋体" w:eastAsia="宋体" w:hint="default"/>
                <w:sz w:val="22"/>
                <w:szCs w:val="22"/>
              </w:rPr>
            </w:pPr>
            <w:r>
              <w:rPr>
                <w:rFonts w:ascii="宋体" w:hAnsi="宋体" w:cs="宋体" w:eastAsia="宋体" w:hint="default"/>
                <w:w w:val="95"/>
                <w:sz w:val="22"/>
                <w:szCs w:val="22"/>
              </w:rPr>
              <w:t>占比</w:t>
            </w:r>
            <w:r>
              <w:rPr>
                <w:rFonts w:ascii="宋体" w:hAnsi="宋体" w:cs="宋体" w:eastAsia="宋体" w:hint="default"/>
                <w:sz w:val="22"/>
                <w:szCs w:val="22"/>
              </w:rPr>
            </w:r>
          </w:p>
        </w:tc>
      </w:tr>
      <w:tr>
        <w:trPr>
          <w:trHeight w:val="295" w:hRule="exact"/>
        </w:trPr>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1"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69"/>
              <w:jc w:val="right"/>
              <w:rPr>
                <w:rFonts w:ascii="Arial" w:hAnsi="Arial" w:cs="Arial" w:eastAsia="Arial" w:hint="default"/>
                <w:sz w:val="22"/>
                <w:szCs w:val="22"/>
              </w:rPr>
            </w:pPr>
            <w:r>
              <w:rPr>
                <w:rFonts w:ascii="Arial"/>
                <w:w w:val="95"/>
                <w:sz w:val="22"/>
              </w:rPr>
              <w:t>997.9</w:t>
            </w:r>
            <w:r>
              <w:rPr>
                <w:rFonts w:ascii="Arial"/>
                <w:sz w:val="22"/>
              </w:rPr>
            </w:r>
          </w:p>
        </w:tc>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Arial" w:hAnsi="Arial" w:cs="Arial" w:eastAsia="Arial" w:hint="default"/>
                <w:sz w:val="22"/>
                <w:szCs w:val="22"/>
              </w:rPr>
            </w:pPr>
            <w:r>
              <w:rPr>
                <w:rFonts w:ascii="Arial"/>
                <w:w w:val="95"/>
                <w:sz w:val="22"/>
              </w:rPr>
              <w:t>100.0%</w:t>
            </w:r>
            <w:r>
              <w:rPr>
                <w:rFonts w:ascii="Arial"/>
                <w:sz w:val="22"/>
              </w:rPr>
            </w:r>
          </w:p>
        </w:tc>
      </w:tr>
      <w:tr>
        <w:trPr>
          <w:trHeight w:val="295" w:hRule="exact"/>
        </w:trPr>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1" w:right="0"/>
              <w:jc w:val="left"/>
              <w:rPr>
                <w:rFonts w:ascii="宋体" w:hAnsi="宋体" w:cs="宋体" w:eastAsia="宋体" w:hint="default"/>
                <w:sz w:val="22"/>
                <w:szCs w:val="22"/>
              </w:rPr>
            </w:pPr>
            <w:r>
              <w:rPr>
                <w:rFonts w:ascii="宋体" w:hAnsi="宋体" w:cs="宋体" w:eastAsia="宋体" w:hint="default"/>
                <w:sz w:val="22"/>
                <w:szCs w:val="22"/>
              </w:rPr>
              <w:t>其中：移动网络</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69"/>
              <w:jc w:val="right"/>
              <w:rPr>
                <w:rFonts w:ascii="Arial" w:hAnsi="Arial" w:cs="Arial" w:eastAsia="Arial" w:hint="default"/>
                <w:sz w:val="22"/>
                <w:szCs w:val="22"/>
              </w:rPr>
            </w:pPr>
            <w:r>
              <w:rPr>
                <w:rFonts w:ascii="Arial"/>
                <w:w w:val="95"/>
                <w:sz w:val="22"/>
              </w:rPr>
              <w:t>409.2</w:t>
            </w:r>
            <w:r>
              <w:rPr>
                <w:rFonts w:ascii="Arial"/>
                <w:sz w:val="22"/>
              </w:rPr>
            </w:r>
          </w:p>
        </w:tc>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Arial" w:hAnsi="Arial" w:cs="Arial" w:eastAsia="Arial" w:hint="default"/>
                <w:sz w:val="22"/>
                <w:szCs w:val="22"/>
              </w:rPr>
            </w:pPr>
            <w:r>
              <w:rPr>
                <w:rFonts w:ascii="Arial"/>
                <w:w w:val="95"/>
                <w:sz w:val="22"/>
              </w:rPr>
              <w:t>41.0%</w:t>
            </w:r>
            <w:r>
              <w:rPr>
                <w:rFonts w:ascii="Arial"/>
                <w:sz w:val="22"/>
              </w:rPr>
            </w:r>
          </w:p>
        </w:tc>
      </w:tr>
      <w:tr>
        <w:trPr>
          <w:trHeight w:val="295" w:hRule="exact"/>
        </w:trPr>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67" w:right="0"/>
              <w:jc w:val="left"/>
              <w:rPr>
                <w:rFonts w:ascii="宋体" w:hAnsi="宋体" w:cs="宋体" w:eastAsia="宋体" w:hint="default"/>
                <w:sz w:val="22"/>
                <w:szCs w:val="22"/>
              </w:rPr>
            </w:pPr>
            <w:r>
              <w:rPr>
                <w:rFonts w:ascii="宋体" w:hAnsi="宋体" w:cs="宋体" w:eastAsia="宋体" w:hint="default"/>
                <w:sz w:val="22"/>
                <w:szCs w:val="22"/>
              </w:rPr>
              <w:t>宽带及数据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69"/>
              <w:jc w:val="right"/>
              <w:rPr>
                <w:rFonts w:ascii="Arial" w:hAnsi="Arial" w:cs="Arial" w:eastAsia="Arial" w:hint="default"/>
                <w:sz w:val="22"/>
                <w:szCs w:val="22"/>
              </w:rPr>
            </w:pPr>
            <w:r>
              <w:rPr>
                <w:rFonts w:ascii="Arial"/>
                <w:w w:val="95"/>
                <w:sz w:val="22"/>
              </w:rPr>
              <w:t>255.2</w:t>
            </w:r>
            <w:r>
              <w:rPr>
                <w:rFonts w:ascii="Arial"/>
                <w:sz w:val="22"/>
              </w:rPr>
            </w:r>
          </w:p>
        </w:tc>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Arial" w:hAnsi="Arial" w:cs="Arial" w:eastAsia="Arial" w:hint="default"/>
                <w:sz w:val="22"/>
                <w:szCs w:val="22"/>
              </w:rPr>
            </w:pPr>
            <w:r>
              <w:rPr>
                <w:rFonts w:ascii="Arial"/>
                <w:w w:val="95"/>
                <w:sz w:val="22"/>
              </w:rPr>
              <w:t>25.6%</w:t>
            </w:r>
            <w:r>
              <w:rPr>
                <w:rFonts w:ascii="Arial"/>
                <w:sz w:val="22"/>
              </w:rPr>
            </w:r>
          </w:p>
        </w:tc>
      </w:tr>
      <w:tr>
        <w:trPr>
          <w:trHeight w:val="295" w:hRule="exact"/>
        </w:trPr>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67" w:right="0"/>
              <w:jc w:val="left"/>
              <w:rPr>
                <w:rFonts w:ascii="宋体" w:hAnsi="宋体" w:cs="宋体" w:eastAsia="宋体" w:hint="default"/>
                <w:sz w:val="22"/>
                <w:szCs w:val="22"/>
              </w:rPr>
            </w:pPr>
            <w:r>
              <w:rPr>
                <w:rFonts w:ascii="宋体" w:hAnsi="宋体" w:cs="宋体" w:eastAsia="宋体" w:hint="default"/>
                <w:sz w:val="22"/>
                <w:szCs w:val="22"/>
              </w:rPr>
              <w:t>基础设施及传送网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69"/>
              <w:jc w:val="right"/>
              <w:rPr>
                <w:rFonts w:ascii="Arial" w:hAnsi="Arial" w:cs="Arial" w:eastAsia="Arial" w:hint="default"/>
                <w:sz w:val="22"/>
                <w:szCs w:val="22"/>
              </w:rPr>
            </w:pPr>
            <w:r>
              <w:rPr>
                <w:rFonts w:ascii="Arial"/>
                <w:w w:val="95"/>
                <w:sz w:val="22"/>
              </w:rPr>
              <w:t>255.3</w:t>
            </w:r>
            <w:r>
              <w:rPr>
                <w:rFonts w:ascii="Arial"/>
                <w:sz w:val="22"/>
              </w:rPr>
            </w:r>
          </w:p>
        </w:tc>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Arial" w:hAnsi="Arial" w:cs="Arial" w:eastAsia="Arial" w:hint="default"/>
                <w:sz w:val="22"/>
                <w:szCs w:val="22"/>
              </w:rPr>
            </w:pPr>
            <w:r>
              <w:rPr>
                <w:rFonts w:ascii="Arial"/>
                <w:w w:val="95"/>
                <w:sz w:val="22"/>
              </w:rPr>
              <w:t>25.6%</w:t>
            </w:r>
            <w:r>
              <w:rPr>
                <w:rFonts w:ascii="Arial"/>
                <w:sz w:val="22"/>
              </w:rPr>
            </w:r>
          </w:p>
        </w:tc>
      </w:tr>
      <w:tr>
        <w:trPr>
          <w:trHeight w:val="297" w:hRule="exact"/>
        </w:trPr>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67"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69"/>
              <w:jc w:val="right"/>
              <w:rPr>
                <w:rFonts w:ascii="Arial" w:hAnsi="Arial" w:cs="Arial" w:eastAsia="Arial" w:hint="default"/>
                <w:sz w:val="22"/>
                <w:szCs w:val="22"/>
              </w:rPr>
            </w:pPr>
            <w:r>
              <w:rPr>
                <w:rFonts w:ascii="Arial"/>
                <w:w w:val="95"/>
                <w:sz w:val="22"/>
              </w:rPr>
              <w:t>78.2</w:t>
            </w:r>
            <w:r>
              <w:rPr>
                <w:rFonts w:ascii="Arial"/>
                <w:sz w:val="22"/>
              </w:rPr>
            </w:r>
          </w:p>
        </w:tc>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Arial" w:hAnsi="Arial" w:cs="Arial" w:eastAsia="Arial" w:hint="default"/>
                <w:sz w:val="22"/>
                <w:szCs w:val="22"/>
              </w:rPr>
            </w:pPr>
            <w:r>
              <w:rPr>
                <w:rFonts w:ascii="Arial"/>
                <w:w w:val="95"/>
                <w:sz w:val="22"/>
              </w:rPr>
              <w:t>7.8%</w:t>
            </w:r>
            <w:r>
              <w:rPr>
                <w:rFonts w:ascii="Arial"/>
                <w:sz w:val="22"/>
              </w:rPr>
            </w:r>
          </w:p>
        </w:tc>
      </w:tr>
    </w:tbl>
    <w:p>
      <w:pPr>
        <w:spacing w:line="240" w:lineRule="auto" w:before="2"/>
        <w:rPr>
          <w:rFonts w:ascii="宋体" w:hAnsi="宋体" w:cs="宋体" w:eastAsia="宋体" w:hint="default"/>
          <w:sz w:val="14"/>
          <w:szCs w:val="14"/>
        </w:rPr>
      </w:pPr>
    </w:p>
    <w:p>
      <w:pPr>
        <w:pStyle w:val="BodyText"/>
        <w:spacing w:line="240" w:lineRule="auto" w:before="31"/>
        <w:ind w:left="658" w:right="0"/>
        <w:jc w:val="both"/>
      </w:pPr>
      <w:r>
        <w:rPr>
          <w:rFonts w:ascii="Arial" w:hAnsi="Arial" w:cs="Arial" w:eastAsia="Arial" w:hint="default"/>
        </w:rPr>
        <w:t>7</w:t>
      </w:r>
      <w:r>
        <w:rPr/>
        <w:t>、资产负债情况</w:t>
      </w:r>
    </w:p>
    <w:p>
      <w:pPr>
        <w:spacing w:line="240" w:lineRule="auto" w:before="0"/>
        <w:rPr>
          <w:rFonts w:ascii="宋体" w:hAnsi="宋体" w:cs="宋体" w:eastAsia="宋体" w:hint="default"/>
          <w:sz w:val="20"/>
          <w:szCs w:val="20"/>
        </w:rPr>
      </w:pPr>
    </w:p>
    <w:p>
      <w:pPr>
        <w:pStyle w:val="BodyText"/>
        <w:spacing w:line="286" w:lineRule="exact"/>
        <w:ind w:left="1019" w:right="151"/>
        <w:jc w:val="both"/>
      </w:pPr>
      <w:r>
        <w:rPr/>
        <w:t>截至</w:t>
      </w:r>
      <w:r>
        <w:rPr>
          <w:spacing w:val="-62"/>
        </w:rPr>
        <w:t> </w:t>
      </w:r>
      <w:r>
        <w:rPr>
          <w:rFonts w:ascii="Arial" w:hAnsi="Arial" w:cs="Arial" w:eastAsia="Arial" w:hint="default"/>
        </w:rPr>
        <w:t>2012</w:t>
      </w:r>
      <w:r>
        <w:rPr>
          <w:rFonts w:ascii="Arial" w:hAnsi="Arial" w:cs="Arial" w:eastAsia="Arial" w:hint="default"/>
          <w:spacing w:val="-13"/>
        </w:rPr>
        <w:t> </w:t>
      </w:r>
      <w:r>
        <w:rPr/>
        <w:t>年底，公司资产总额由上年底的</w:t>
      </w:r>
      <w:r>
        <w:rPr>
          <w:spacing w:val="-61"/>
        </w:rPr>
        <w:t> </w:t>
      </w:r>
      <w:r>
        <w:rPr>
          <w:rFonts w:ascii="Arial" w:hAnsi="Arial" w:cs="Arial" w:eastAsia="Arial" w:hint="default"/>
        </w:rPr>
        <w:t>4,585.2</w:t>
      </w:r>
      <w:r>
        <w:rPr>
          <w:rFonts w:ascii="Arial" w:hAnsi="Arial" w:cs="Arial" w:eastAsia="Arial" w:hint="default"/>
          <w:spacing w:val="-13"/>
        </w:rPr>
        <w:t> </w:t>
      </w:r>
      <w:r>
        <w:rPr/>
        <w:t>亿元增至</w:t>
      </w:r>
      <w:r>
        <w:rPr>
          <w:spacing w:val="-62"/>
        </w:rPr>
        <w:t> </w:t>
      </w:r>
      <w:r>
        <w:rPr>
          <w:rFonts w:ascii="Arial" w:hAnsi="Arial" w:cs="Arial" w:eastAsia="Arial" w:hint="default"/>
        </w:rPr>
        <w:t>5,183.6</w:t>
      </w:r>
      <w:r>
        <w:rPr>
          <w:rFonts w:ascii="Arial" w:hAnsi="Arial" w:cs="Arial" w:eastAsia="Arial" w:hint="default"/>
          <w:spacing w:val="-13"/>
        </w:rPr>
        <w:t> </w:t>
      </w:r>
      <w:r>
        <w:rPr>
          <w:spacing w:val="-3"/>
        </w:rPr>
        <w:t>亿元，负债总额由上</w:t>
      </w:r>
      <w:r>
        <w:rPr>
          <w:w w:val="99"/>
        </w:rPr>
        <w:t> </w:t>
      </w:r>
      <w:r>
        <w:rPr/>
        <w:t>年底的</w:t>
      </w:r>
      <w:r>
        <w:rPr>
          <w:spacing w:val="-46"/>
        </w:rPr>
        <w:t> </w:t>
      </w:r>
      <w:r>
        <w:rPr>
          <w:rFonts w:ascii="Arial" w:hAnsi="Arial" w:cs="Arial" w:eastAsia="Arial" w:hint="default"/>
        </w:rPr>
        <w:t>2,499.1</w:t>
      </w:r>
      <w:r>
        <w:rPr>
          <w:rFonts w:ascii="Arial" w:hAnsi="Arial" w:cs="Arial" w:eastAsia="Arial" w:hint="default"/>
          <w:spacing w:val="4"/>
        </w:rPr>
        <w:t> </w:t>
      </w:r>
      <w:r>
        <w:rPr/>
        <w:t>亿元增至</w:t>
      </w:r>
      <w:r>
        <w:rPr>
          <w:spacing w:val="-46"/>
        </w:rPr>
        <w:t> </w:t>
      </w:r>
      <w:r>
        <w:rPr>
          <w:rFonts w:ascii="Arial" w:hAnsi="Arial" w:cs="Arial" w:eastAsia="Arial" w:hint="default"/>
        </w:rPr>
        <w:t>3,061.2</w:t>
      </w:r>
      <w:r>
        <w:rPr>
          <w:rFonts w:ascii="Arial" w:hAnsi="Arial" w:cs="Arial" w:eastAsia="Arial" w:hint="default"/>
          <w:spacing w:val="2"/>
        </w:rPr>
        <w:t> </w:t>
      </w:r>
      <w:r>
        <w:rPr/>
        <w:t>亿元，资产负债率由上年底的</w:t>
      </w:r>
      <w:r>
        <w:rPr>
          <w:spacing w:val="-45"/>
        </w:rPr>
        <w:t> </w:t>
      </w:r>
      <w:r>
        <w:rPr>
          <w:rFonts w:ascii="Arial" w:hAnsi="Arial" w:cs="Arial" w:eastAsia="Arial" w:hint="default"/>
        </w:rPr>
        <w:t>54.5%</w:t>
      </w:r>
      <w:r>
        <w:rPr/>
        <w:t>变化至</w:t>
      </w:r>
      <w:r>
        <w:rPr>
          <w:spacing w:val="-46"/>
        </w:rPr>
        <w:t> </w:t>
      </w:r>
      <w:r>
        <w:rPr>
          <w:rFonts w:ascii="Arial" w:hAnsi="Arial" w:cs="Arial" w:eastAsia="Arial" w:hint="default"/>
        </w:rPr>
        <w:t>59.1%</w:t>
      </w:r>
      <w:r>
        <w:rPr/>
        <w:t>。债</w:t>
      </w:r>
      <w:r>
        <w:rPr>
          <w:spacing w:val="-2"/>
          <w:w w:val="99"/>
        </w:rPr>
        <w:t> </w:t>
      </w:r>
      <w:r>
        <w:rPr/>
        <w:t>务资本率由上年底的</w:t>
      </w:r>
      <w:r>
        <w:rPr>
          <w:spacing w:val="-59"/>
        </w:rPr>
        <w:t> </w:t>
      </w:r>
      <w:r>
        <w:rPr>
          <w:rFonts w:ascii="Arial" w:hAnsi="Arial" w:cs="Arial" w:eastAsia="Arial" w:hint="default"/>
        </w:rPr>
        <w:t>77.5%</w:t>
      </w:r>
      <w:r>
        <w:rPr/>
        <w:t>变化至</w:t>
      </w:r>
      <w:r>
        <w:rPr>
          <w:spacing w:val="-59"/>
        </w:rPr>
        <w:t> </w:t>
      </w:r>
      <w:r>
        <w:rPr>
          <w:rFonts w:ascii="Arial" w:hAnsi="Arial" w:cs="Arial" w:eastAsia="Arial" w:hint="default"/>
        </w:rPr>
        <w:t>79.6%</w:t>
      </w:r>
      <w:r>
        <w:rPr/>
        <w:t>；净债务资本率为</w:t>
      </w:r>
      <w:r>
        <w:rPr>
          <w:spacing w:val="-57"/>
        </w:rPr>
        <w:t> </w:t>
      </w:r>
      <w:r>
        <w:rPr>
          <w:rFonts w:ascii="Arial" w:hAnsi="Arial" w:cs="Arial" w:eastAsia="Arial" w:hint="default"/>
        </w:rPr>
        <w:t>74.4%</w:t>
      </w:r>
      <w:r>
        <w:rPr/>
        <w:t>。</w:t>
      </w:r>
    </w:p>
    <w:p>
      <w:pPr>
        <w:spacing w:line="240" w:lineRule="auto" w:before="1"/>
        <w:rPr>
          <w:rFonts w:ascii="宋体" w:hAnsi="宋体" w:cs="宋体" w:eastAsia="宋体" w:hint="default"/>
          <w:sz w:val="17"/>
          <w:szCs w:val="17"/>
        </w:rPr>
      </w:pPr>
    </w:p>
    <w:p>
      <w:pPr>
        <w:pStyle w:val="BodyText"/>
        <w:spacing w:line="295" w:lineRule="exact"/>
        <w:ind w:left="1019" w:right="0"/>
        <w:jc w:val="both"/>
      </w:pPr>
      <w:r>
        <w:rPr/>
        <w:t>截至</w:t>
      </w:r>
      <w:r>
        <w:rPr>
          <w:spacing w:val="-52"/>
        </w:rPr>
        <w:t> </w:t>
      </w:r>
      <w:r>
        <w:rPr>
          <w:rFonts w:ascii="Arial" w:hAnsi="Arial" w:cs="Arial" w:eastAsia="Arial" w:hint="default"/>
        </w:rPr>
        <w:t>2012</w:t>
      </w:r>
      <w:r>
        <w:rPr>
          <w:rFonts w:ascii="Arial" w:hAnsi="Arial" w:cs="Arial" w:eastAsia="Arial" w:hint="default"/>
          <w:spacing w:val="-3"/>
        </w:rPr>
        <w:t> </w:t>
      </w:r>
      <w:r>
        <w:rPr>
          <w:spacing w:val="-4"/>
        </w:rPr>
        <w:t>年底，公司的流动负债净额（即流动负债减流动资产）由上年底的</w:t>
      </w:r>
      <w:r>
        <w:rPr>
          <w:spacing w:val="-48"/>
        </w:rPr>
        <w:t> </w:t>
      </w:r>
      <w:r>
        <w:rPr>
          <w:rFonts w:ascii="Arial" w:hAnsi="Arial" w:cs="Arial" w:eastAsia="Arial" w:hint="default"/>
        </w:rPr>
        <w:t>1,746.2</w:t>
      </w:r>
      <w:r>
        <w:rPr>
          <w:rFonts w:ascii="Arial" w:hAnsi="Arial" w:cs="Arial" w:eastAsia="Arial" w:hint="default"/>
          <w:spacing w:val="-3"/>
        </w:rPr>
        <w:t> </w:t>
      </w:r>
      <w:r>
        <w:rPr/>
        <w:t>亿元</w:t>
      </w:r>
    </w:p>
    <w:p>
      <w:pPr>
        <w:pStyle w:val="BodyText"/>
        <w:spacing w:line="286" w:lineRule="exact" w:before="19"/>
        <w:ind w:left="1019" w:right="150"/>
        <w:jc w:val="both"/>
      </w:pPr>
      <w:r>
        <w:rPr/>
        <w:t>变化至 </w:t>
      </w:r>
      <w:r>
        <w:rPr>
          <w:rFonts w:ascii="Arial" w:hAnsi="Arial" w:cs="Arial" w:eastAsia="Arial" w:hint="default"/>
        </w:rPr>
        <w:t>2,535.7</w:t>
      </w:r>
      <w:r>
        <w:rPr>
          <w:rFonts w:ascii="Arial" w:hAnsi="Arial" w:cs="Arial" w:eastAsia="Arial" w:hint="default"/>
          <w:spacing w:val="1"/>
        </w:rPr>
        <w:t> </w:t>
      </w:r>
      <w:r>
        <w:rPr/>
        <w:t>亿元。考虑到公司经营活动净现金流入保持稳定以及良好的信贷记录，我</w:t>
      </w:r>
      <w:r>
        <w:rPr>
          <w:w w:val="99"/>
        </w:rPr>
        <w:t> </w:t>
      </w:r>
      <w:r>
        <w:rPr/>
        <w:t>们相信公司应有足够的运营资金满足生产经营需要。</w:t>
      </w:r>
    </w:p>
    <w:p>
      <w:pPr>
        <w:spacing w:line="240" w:lineRule="auto" w:before="1"/>
        <w:rPr>
          <w:rFonts w:ascii="宋体" w:hAnsi="宋体" w:cs="宋体" w:eastAsia="宋体" w:hint="default"/>
          <w:sz w:val="17"/>
          <w:szCs w:val="17"/>
        </w:rPr>
      </w:pPr>
    </w:p>
    <w:p>
      <w:pPr>
        <w:pStyle w:val="Heading3"/>
        <w:spacing w:line="240" w:lineRule="auto" w:before="0"/>
        <w:ind w:left="641" w:right="0"/>
        <w:jc w:val="both"/>
        <w:rPr>
          <w:b w:val="0"/>
          <w:bCs w:val="0"/>
        </w:rPr>
      </w:pPr>
      <w:r>
        <w:rPr/>
        <w:t>第四部分：未来展望</w:t>
      </w:r>
      <w:r>
        <w:rPr>
          <w:b w:val="0"/>
          <w:bCs w:val="0"/>
        </w:rPr>
      </w:r>
    </w:p>
    <w:p>
      <w:pPr>
        <w:spacing w:line="240" w:lineRule="auto" w:before="5"/>
        <w:rPr>
          <w:rFonts w:ascii="宋体" w:hAnsi="宋体" w:cs="宋体" w:eastAsia="宋体" w:hint="default"/>
          <w:b/>
          <w:bCs/>
          <w:sz w:val="19"/>
          <w:szCs w:val="19"/>
        </w:rPr>
      </w:pPr>
    </w:p>
    <w:p>
      <w:pPr>
        <w:pStyle w:val="BodyText"/>
        <w:spacing w:line="237" w:lineRule="auto"/>
        <w:ind w:left="658" w:right="148"/>
        <w:jc w:val="both"/>
      </w:pPr>
      <w:r>
        <w:rPr>
          <w:spacing w:val="-1"/>
          <w:w w:val="95"/>
        </w:rPr>
        <w:t>新的一年中国宏观经济将继续保持平稳增长，新型工业化、信息化、城镇化、农业现代化“四</w:t>
      </w:r>
      <w:r>
        <w:rPr>
          <w:spacing w:val="21"/>
          <w:w w:val="95"/>
        </w:rPr>
        <w:t> </w:t>
      </w:r>
      <w:r>
        <w:rPr>
          <w:spacing w:val="21"/>
          <w:w w:val="95"/>
        </w:rPr>
      </w:r>
      <w:r>
        <w:rPr>
          <w:spacing w:val="-2"/>
        </w:rPr>
        <w:t>化”同步发展步伐明显加快，国家实施扩大内需、保障民生等重大举措给信息通信业发展带来</w:t>
      </w:r>
      <w:r>
        <w:rPr>
          <w:spacing w:val="-89"/>
        </w:rPr>
        <w:t> </w:t>
      </w:r>
      <w:r>
        <w:rPr>
          <w:spacing w:val="-89"/>
        </w:rPr>
      </w:r>
      <w:r>
        <w:rPr>
          <w:spacing w:val="-2"/>
        </w:rPr>
        <w:t>新的机遇。移动互联网产业链更加成熟，数据业务需求高速增长，信息化应用向社会各领域加</w:t>
      </w:r>
      <w:r>
        <w:rPr>
          <w:spacing w:val="-88"/>
        </w:rPr>
        <w:t> </w:t>
      </w:r>
      <w:r>
        <w:rPr>
          <w:spacing w:val="-88"/>
        </w:rPr>
      </w:r>
      <w:r>
        <w:rPr/>
        <w:t>速渗透，</w:t>
      </w:r>
      <w:r>
        <w:rPr>
          <w:rFonts w:ascii="Arial" w:hAnsi="Arial" w:cs="Arial" w:eastAsia="Arial" w:hint="default"/>
        </w:rPr>
        <w:t>3G</w:t>
      </w:r>
      <w:r>
        <w:rPr>
          <w:rFonts w:ascii="Arial" w:hAnsi="Arial" w:cs="Arial" w:eastAsia="Arial" w:hint="default"/>
          <w:spacing w:val="-15"/>
        </w:rPr>
        <w:t> </w:t>
      </w:r>
      <w:r>
        <w:rPr/>
        <w:t>和宽带等业务仍处于高速增长期。</w:t>
      </w:r>
    </w:p>
    <w:p>
      <w:pPr>
        <w:spacing w:line="240" w:lineRule="auto" w:before="10"/>
        <w:rPr>
          <w:rFonts w:ascii="宋体" w:hAnsi="宋体" w:cs="宋体" w:eastAsia="宋体" w:hint="default"/>
          <w:sz w:val="18"/>
          <w:szCs w:val="18"/>
        </w:rPr>
      </w:pPr>
    </w:p>
    <w:p>
      <w:pPr>
        <w:pStyle w:val="BodyText"/>
        <w:spacing w:line="230" w:lineRule="auto"/>
        <w:ind w:left="658" w:right="150"/>
        <w:jc w:val="both"/>
      </w:pPr>
      <w:r>
        <w:rPr>
          <w:rFonts w:ascii="Arial" w:hAnsi="Arial" w:cs="Arial" w:eastAsia="Arial" w:hint="default"/>
        </w:rPr>
        <w:t>2013</w:t>
      </w:r>
      <w:r>
        <w:rPr>
          <w:rFonts w:ascii="Arial" w:hAnsi="Arial" w:cs="Arial" w:eastAsia="Arial" w:hint="default"/>
          <w:spacing w:val="39"/>
        </w:rPr>
        <w:t> </w:t>
      </w:r>
      <w:r>
        <w:rPr/>
        <w:t>年仍是中国联通发展的重要战略机遇期。公司将紧紧抓住重要战略机遇，充分发挥差异</w:t>
      </w:r>
      <w:r>
        <w:rPr>
          <w:w w:val="99"/>
        </w:rPr>
        <w:t> </w:t>
      </w:r>
      <w:r>
        <w:rPr>
          <w:spacing w:val="-2"/>
        </w:rPr>
        <w:t>化优势，加快规模效益发展。同时高度关注并积极应对</w:t>
      </w:r>
      <w:r>
        <w:rPr>
          <w:spacing w:val="-49"/>
        </w:rPr>
        <w:t> </w:t>
      </w:r>
      <w:r>
        <w:rPr>
          <w:rFonts w:ascii="Arial" w:hAnsi="Arial" w:cs="Arial" w:eastAsia="Arial" w:hint="default"/>
          <w:spacing w:val="-2"/>
        </w:rPr>
        <w:t>LTE</w:t>
      </w:r>
      <w:r>
        <w:rPr>
          <w:spacing w:val="-2"/>
        </w:rPr>
        <w:t>、市场开放、移动通信转售业务试</w:t>
      </w:r>
      <w:r>
        <w:rPr>
          <w:w w:val="99"/>
        </w:rPr>
        <w:t> </w:t>
      </w:r>
      <w:r>
        <w:rPr>
          <w:spacing w:val="-2"/>
        </w:rPr>
        <w:t>点带来的市场新机会。全年主要发展目标是，收入增长继续保持行业领先，盈利能力得到进一</w:t>
      </w:r>
      <w:r>
        <w:rPr>
          <w:spacing w:val="-88"/>
        </w:rPr>
        <w:t> </w:t>
      </w:r>
      <w:r>
        <w:rPr>
          <w:spacing w:val="-88"/>
        </w:rPr>
      </w:r>
      <w:r>
        <w:rPr/>
        <w:t>步提升，投资占收比显著下降，继续保持网络领先优势，信息化应用水平明显提升。</w:t>
      </w:r>
    </w:p>
    <w:p>
      <w:pPr>
        <w:spacing w:line="240" w:lineRule="auto" w:before="3"/>
        <w:rPr>
          <w:rFonts w:ascii="宋体" w:hAnsi="宋体" w:cs="宋体" w:eastAsia="宋体" w:hint="default"/>
          <w:sz w:val="20"/>
          <w:szCs w:val="20"/>
        </w:rPr>
      </w:pPr>
    </w:p>
    <w:p>
      <w:pPr>
        <w:pStyle w:val="BodyText"/>
        <w:spacing w:line="228" w:lineRule="auto"/>
        <w:ind w:left="658" w:right="148"/>
        <w:jc w:val="both"/>
      </w:pPr>
      <w:r>
        <w:rPr/>
        <w:t>围绕实现年度发展目标，公司将继续加快</w:t>
      </w:r>
      <w:r>
        <w:rPr>
          <w:spacing w:val="-64"/>
        </w:rPr>
        <w:t> </w:t>
      </w:r>
      <w:r>
        <w:rPr>
          <w:rFonts w:ascii="Arial" w:hAnsi="Arial" w:cs="Arial" w:eastAsia="Arial" w:hint="default"/>
        </w:rPr>
        <w:t>3G</w:t>
      </w:r>
      <w:r>
        <w:rPr>
          <w:rFonts w:ascii="Arial" w:hAnsi="Arial" w:cs="Arial" w:eastAsia="Arial" w:hint="default"/>
          <w:spacing w:val="-16"/>
        </w:rPr>
        <w:t> </w:t>
      </w:r>
      <w:r>
        <w:rPr/>
        <w:t>业务规模效益发展；保持宽带业务快速增长；加</w:t>
      </w:r>
      <w:r>
        <w:rPr>
          <w:w w:val="99"/>
        </w:rPr>
        <w:t> </w:t>
      </w:r>
      <w:r>
        <w:rPr/>
        <w:t>快 </w:t>
      </w:r>
      <w:r>
        <w:rPr>
          <w:rFonts w:ascii="Arial" w:hAnsi="Arial" w:cs="Arial" w:eastAsia="Arial" w:hint="default"/>
        </w:rPr>
        <w:t>2G/3G</w:t>
      </w:r>
      <w:r>
        <w:rPr>
          <w:rFonts w:ascii="Arial" w:hAnsi="Arial" w:cs="Arial" w:eastAsia="Arial" w:hint="default"/>
          <w:spacing w:val="4"/>
        </w:rPr>
        <w:t> </w:t>
      </w:r>
      <w:r>
        <w:rPr/>
        <w:t>业务、固网和移动业务融合发展；继续加大行业应用开发和推广力度，实现移动业</w:t>
      </w:r>
      <w:r>
        <w:rPr>
          <w:w w:val="99"/>
        </w:rPr>
        <w:t> </w:t>
      </w:r>
      <w:r>
        <w:rPr>
          <w:spacing w:val="-2"/>
        </w:rPr>
        <w:t>务持续快速增长，固网业务稳定发展。进一步提升投资效益和各类资源使用效率，提升收入利</w:t>
      </w:r>
      <w:r>
        <w:rPr>
          <w:spacing w:val="-90"/>
        </w:rPr>
        <w:t> </w:t>
      </w:r>
      <w:r>
        <w:rPr>
          <w:spacing w:val="-90"/>
        </w:rPr>
      </w:r>
      <w:r>
        <w:rPr/>
        <w:t>润率，实现</w:t>
      </w:r>
      <w:r>
        <w:rPr>
          <w:spacing w:val="-64"/>
        </w:rPr>
        <w:t> </w:t>
      </w:r>
      <w:r>
        <w:rPr>
          <w:rFonts w:ascii="Arial" w:hAnsi="Arial" w:cs="Arial" w:eastAsia="Arial" w:hint="default"/>
        </w:rPr>
        <w:t>EBITDA</w:t>
      </w:r>
      <w:r>
        <w:rPr>
          <w:rFonts w:ascii="Arial" w:hAnsi="Arial" w:cs="Arial" w:eastAsia="Arial" w:hint="default"/>
          <w:spacing w:val="-16"/>
        </w:rPr>
        <w:t> </w:t>
      </w:r>
      <w:r>
        <w:rPr/>
        <w:t>和净利润持续快速增长。进一步完善</w:t>
      </w:r>
      <w:r>
        <w:rPr>
          <w:spacing w:val="-64"/>
        </w:rPr>
        <w:t> </w:t>
      </w:r>
      <w:r>
        <w:rPr>
          <w:rFonts w:ascii="Arial" w:hAnsi="Arial" w:cs="Arial" w:eastAsia="Arial" w:hint="default"/>
        </w:rPr>
        <w:t>3G</w:t>
      </w:r>
      <w:r>
        <w:rPr>
          <w:rFonts w:ascii="Arial" w:hAnsi="Arial" w:cs="Arial" w:eastAsia="Arial" w:hint="default"/>
          <w:spacing w:val="-17"/>
        </w:rPr>
        <w:t> </w:t>
      </w:r>
      <w:r>
        <w:rPr/>
        <w:t>网络覆盖，保持网络领先，提升</w:t>
      </w:r>
      <w:r>
        <w:rPr>
          <w:spacing w:val="2"/>
          <w:w w:val="99"/>
        </w:rPr>
        <w:t> </w:t>
      </w:r>
      <w:r>
        <w:rPr/>
        <w:t>网络品质和用户感知；加快以</w:t>
      </w:r>
      <w:r>
        <w:rPr>
          <w:spacing w:val="-79"/>
        </w:rPr>
        <w:t> </w:t>
      </w:r>
      <w:r>
        <w:rPr>
          <w:rFonts w:ascii="Arial" w:hAnsi="Arial" w:cs="Arial" w:eastAsia="Arial" w:hint="default"/>
        </w:rPr>
        <w:t>FTTH/B</w:t>
      </w:r>
      <w:r>
        <w:rPr>
          <w:rFonts w:ascii="Arial" w:hAnsi="Arial" w:cs="Arial" w:eastAsia="Arial" w:hint="default"/>
          <w:spacing w:val="-31"/>
        </w:rPr>
        <w:t> </w:t>
      </w:r>
      <w:r>
        <w:rPr/>
        <w:t>为主的光纤接入网建设；全面部署分组传送网络，提升</w:t>
      </w:r>
      <w:r>
        <w:rPr>
          <w:w w:val="99"/>
        </w:rPr>
        <w:t> </w:t>
      </w:r>
      <w:r>
        <w:rPr/>
        <w:t>传输承载能力，满足未来 </w:t>
      </w:r>
      <w:r>
        <w:rPr>
          <w:rFonts w:ascii="Arial" w:hAnsi="Arial" w:cs="Arial" w:eastAsia="Arial" w:hint="default"/>
        </w:rPr>
        <w:t>LTE</w:t>
      </w:r>
      <w:r>
        <w:rPr>
          <w:rFonts w:ascii="Arial" w:hAnsi="Arial" w:cs="Arial" w:eastAsia="Arial" w:hint="default"/>
          <w:spacing w:val="28"/>
        </w:rPr>
        <w:t> </w:t>
      </w:r>
      <w:r>
        <w:rPr/>
        <w:t>的带宽需求。同时，公司将持续推进管理提升，加快面向移动</w:t>
      </w:r>
      <w:r>
        <w:rPr>
          <w:w w:val="99"/>
        </w:rPr>
        <w:t> </w:t>
      </w:r>
      <w:r>
        <w:rPr>
          <w:spacing w:val="-2"/>
        </w:rPr>
        <w:t>互联网的销售服务体系转型，不断提升公司在新形势下的市场响应和客户服务能力，不断增强</w:t>
      </w:r>
      <w:r>
        <w:rPr>
          <w:spacing w:val="-89"/>
        </w:rPr>
        <w:t> </w:t>
      </w:r>
      <w:r>
        <w:rPr>
          <w:spacing w:val="-89"/>
        </w:rPr>
      </w:r>
      <w:r>
        <w:rPr/>
        <w:t>企业发展的内生动力。</w:t>
      </w:r>
    </w:p>
    <w:p>
      <w:pPr>
        <w:spacing w:after="0" w:line="228" w:lineRule="auto"/>
        <w:jc w:val="both"/>
        <w:sectPr>
          <w:pgSz w:w="11910" w:h="16840"/>
          <w:pgMar w:header="567" w:footer="745" w:top="800" w:bottom="940" w:left="1380" w:right="7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line="260" w:lineRule="exact" w:before="64"/>
        <w:ind w:left="1442" w:right="208" w:hanging="765"/>
        <w:jc w:val="both"/>
        <w:rPr>
          <w:rFonts w:ascii="宋体" w:hAnsi="宋体" w:cs="宋体" w:eastAsia="宋体" w:hint="default"/>
          <w:sz w:val="20"/>
          <w:szCs w:val="20"/>
        </w:rPr>
      </w:pPr>
      <w:r>
        <w:rPr>
          <w:rFonts w:ascii="宋体" w:hAnsi="宋体" w:cs="宋体" w:eastAsia="宋体" w:hint="default"/>
          <w:sz w:val="20"/>
          <w:szCs w:val="20"/>
        </w:rPr>
        <w:t>附注</w:t>
      </w:r>
      <w:r>
        <w:rPr>
          <w:rFonts w:ascii="宋体" w:hAnsi="宋体" w:cs="宋体" w:eastAsia="宋体" w:hint="default"/>
          <w:spacing w:val="-36"/>
          <w:sz w:val="20"/>
          <w:szCs w:val="20"/>
        </w:rPr>
        <w:t> </w:t>
      </w:r>
      <w:r>
        <w:rPr>
          <w:rFonts w:ascii="Arial" w:hAnsi="Arial" w:cs="Arial" w:eastAsia="Arial" w:hint="default"/>
          <w:sz w:val="20"/>
          <w:szCs w:val="20"/>
        </w:rPr>
        <w:t>1</w:t>
      </w:r>
      <w:r>
        <w:rPr>
          <w:rFonts w:ascii="宋体" w:hAnsi="宋体" w:cs="宋体" w:eastAsia="宋体" w:hint="default"/>
          <w:sz w:val="20"/>
          <w:szCs w:val="20"/>
        </w:rPr>
        <w:t>：全文除归属于母公司的净利润及基本每股收益外，</w:t>
      </w:r>
      <w:r>
        <w:rPr>
          <w:rFonts w:ascii="Arial" w:hAnsi="Arial" w:cs="Arial" w:eastAsia="Arial" w:hint="default"/>
          <w:sz w:val="20"/>
          <w:szCs w:val="20"/>
        </w:rPr>
        <w:t>2011</w:t>
      </w:r>
      <w:r>
        <w:rPr>
          <w:rFonts w:ascii="Arial" w:hAnsi="Arial" w:cs="Arial" w:eastAsia="Arial" w:hint="default"/>
          <w:spacing w:val="17"/>
          <w:sz w:val="20"/>
          <w:szCs w:val="20"/>
        </w:rPr>
        <w:t> </w:t>
      </w:r>
      <w:r>
        <w:rPr>
          <w:rFonts w:ascii="宋体" w:hAnsi="宋体" w:cs="宋体" w:eastAsia="宋体" w:hint="default"/>
          <w:sz w:val="20"/>
          <w:szCs w:val="20"/>
        </w:rPr>
        <w:t>年收入及盈利等其他数据均剔除固话</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初装费递延收入人民币</w:t>
      </w:r>
      <w:r>
        <w:rPr>
          <w:rFonts w:ascii="宋体" w:hAnsi="宋体" w:cs="宋体" w:eastAsia="宋体" w:hint="default"/>
          <w:spacing w:val="-50"/>
          <w:sz w:val="20"/>
          <w:szCs w:val="20"/>
        </w:rPr>
        <w:t> </w:t>
      </w:r>
      <w:r>
        <w:rPr>
          <w:rFonts w:ascii="Arial" w:hAnsi="Arial" w:cs="Arial" w:eastAsia="Arial" w:hint="default"/>
          <w:sz w:val="20"/>
          <w:szCs w:val="20"/>
        </w:rPr>
        <w:t>0.15</w:t>
      </w:r>
      <w:r>
        <w:rPr>
          <w:rFonts w:ascii="Arial" w:hAnsi="Arial" w:cs="Arial" w:eastAsia="Arial" w:hint="default"/>
          <w:spacing w:val="-5"/>
          <w:sz w:val="20"/>
          <w:szCs w:val="20"/>
        </w:rPr>
        <w:t> </w:t>
      </w:r>
      <w:r>
        <w:rPr>
          <w:rFonts w:ascii="宋体" w:hAnsi="宋体" w:cs="宋体" w:eastAsia="宋体" w:hint="default"/>
          <w:sz w:val="20"/>
          <w:szCs w:val="20"/>
        </w:rPr>
        <w:t>亿元的因素影响，</w:t>
      </w: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年因固话初装费递延收入已摊销完毕，故</w:t>
      </w:r>
      <w:r>
        <w:rPr>
          <w:rFonts w:ascii="宋体" w:hAnsi="宋体" w:cs="宋体" w:eastAsia="宋体" w:hint="default"/>
          <w:w w:val="100"/>
          <w:sz w:val="20"/>
          <w:szCs w:val="20"/>
        </w:rPr>
        <w:t> </w:t>
      </w:r>
      <w:r>
        <w:rPr>
          <w:rFonts w:ascii="宋体" w:hAnsi="宋体" w:cs="宋体" w:eastAsia="宋体" w:hint="default"/>
          <w:sz w:val="20"/>
          <w:szCs w:val="20"/>
        </w:rPr>
        <w:t>无影响。</w:t>
      </w:r>
    </w:p>
    <w:p>
      <w:pPr>
        <w:spacing w:line="240" w:lineRule="auto" w:before="7"/>
        <w:rPr>
          <w:rFonts w:ascii="宋体" w:hAnsi="宋体" w:cs="宋体" w:eastAsia="宋体" w:hint="default"/>
          <w:sz w:val="17"/>
          <w:szCs w:val="17"/>
        </w:rPr>
      </w:pPr>
    </w:p>
    <w:p>
      <w:pPr>
        <w:spacing w:line="260" w:lineRule="exact" w:before="0"/>
        <w:ind w:left="1442" w:right="209" w:hanging="765"/>
        <w:jc w:val="both"/>
        <w:rPr>
          <w:rFonts w:ascii="宋体" w:hAnsi="宋体" w:cs="宋体" w:eastAsia="宋体" w:hint="default"/>
          <w:sz w:val="20"/>
          <w:szCs w:val="20"/>
        </w:rPr>
      </w:pPr>
      <w:r>
        <w:rPr>
          <w:rFonts w:ascii="宋体" w:hAnsi="宋体" w:cs="宋体" w:eastAsia="宋体" w:hint="default"/>
          <w:sz w:val="20"/>
          <w:szCs w:val="20"/>
        </w:rPr>
        <w:t>附注</w:t>
      </w:r>
      <w:r>
        <w:rPr>
          <w:rFonts w:ascii="宋体" w:hAnsi="宋体" w:cs="宋体" w:eastAsia="宋体" w:hint="default"/>
          <w:spacing w:val="-63"/>
          <w:sz w:val="20"/>
          <w:szCs w:val="20"/>
        </w:rPr>
        <w:t> </w:t>
      </w:r>
      <w:r>
        <w:rPr>
          <w:rFonts w:ascii="Arial" w:hAnsi="Arial" w:cs="Arial" w:eastAsia="Arial" w:hint="default"/>
          <w:sz w:val="20"/>
          <w:szCs w:val="20"/>
        </w:rPr>
        <w:t>2</w:t>
      </w:r>
      <w:r>
        <w:rPr>
          <w:rFonts w:ascii="宋体" w:hAnsi="宋体" w:cs="宋体" w:eastAsia="宋体" w:hint="default"/>
          <w:sz w:val="20"/>
          <w:szCs w:val="20"/>
        </w:rPr>
        <w:t>：包括网间结算成本、折旧及摊销、网络运行及支撑成本、人工成本、销售费用、其他营业成本</w:t>
      </w:r>
      <w:r>
        <w:rPr>
          <w:rFonts w:ascii="宋体" w:hAnsi="宋体" w:cs="宋体" w:eastAsia="宋体" w:hint="default"/>
          <w:w w:val="100"/>
          <w:sz w:val="20"/>
          <w:szCs w:val="20"/>
        </w:rPr>
        <w:t> </w:t>
      </w:r>
      <w:r>
        <w:rPr>
          <w:rFonts w:ascii="宋体" w:hAnsi="宋体" w:cs="宋体" w:eastAsia="宋体" w:hint="default"/>
          <w:sz w:val="20"/>
          <w:szCs w:val="20"/>
        </w:rPr>
        <w:t>及管理费用、销售通信产品成本、财务费用。</w:t>
      </w:r>
    </w:p>
    <w:p>
      <w:pPr>
        <w:spacing w:line="240" w:lineRule="auto" w:before="4"/>
        <w:rPr>
          <w:rFonts w:ascii="宋体" w:hAnsi="宋体" w:cs="宋体" w:eastAsia="宋体" w:hint="default"/>
          <w:sz w:val="16"/>
          <w:szCs w:val="16"/>
        </w:rPr>
      </w:pPr>
    </w:p>
    <w:p>
      <w:pPr>
        <w:spacing w:line="230" w:lineRule="auto" w:before="0"/>
        <w:ind w:left="1442" w:right="207" w:hanging="765"/>
        <w:jc w:val="both"/>
        <w:rPr>
          <w:rFonts w:ascii="宋体" w:hAnsi="宋体" w:cs="宋体" w:eastAsia="宋体" w:hint="default"/>
          <w:sz w:val="20"/>
          <w:szCs w:val="20"/>
        </w:rPr>
      </w:pPr>
      <w:r>
        <w:rPr>
          <w:rFonts w:ascii="宋体" w:hAnsi="宋体" w:cs="宋体" w:eastAsia="宋体" w:hint="default"/>
          <w:sz w:val="20"/>
          <w:szCs w:val="20"/>
        </w:rPr>
        <w:t>附注</w:t>
      </w:r>
      <w:r>
        <w:rPr>
          <w:rFonts w:ascii="宋体" w:hAnsi="宋体" w:cs="宋体" w:eastAsia="宋体" w:hint="default"/>
          <w:spacing w:val="-52"/>
          <w:sz w:val="20"/>
          <w:szCs w:val="20"/>
        </w:rPr>
        <w:t> </w:t>
      </w:r>
      <w:r>
        <w:rPr>
          <w:rFonts w:ascii="Arial" w:hAnsi="Arial" w:cs="Arial" w:eastAsia="Arial" w:hint="default"/>
          <w:sz w:val="20"/>
          <w:szCs w:val="20"/>
        </w:rPr>
        <w:t>3</w:t>
      </w:r>
      <w:r>
        <w:rPr>
          <w:rFonts w:ascii="宋体" w:hAnsi="宋体" w:cs="宋体" w:eastAsia="宋体" w:hint="default"/>
          <w:sz w:val="20"/>
          <w:szCs w:val="20"/>
        </w:rPr>
        <w:t>：在本年报所载的财务报告中，</w:t>
      </w:r>
      <w:r>
        <w:rPr>
          <w:rFonts w:ascii="Arial" w:hAnsi="Arial" w:cs="Arial" w:eastAsia="Arial" w:hint="default"/>
          <w:sz w:val="20"/>
          <w:szCs w:val="20"/>
        </w:rPr>
        <w:t>2012</w:t>
      </w:r>
      <w:r>
        <w:rPr>
          <w:rFonts w:ascii="Arial" w:hAnsi="Arial" w:cs="Arial" w:eastAsia="Arial" w:hint="default"/>
          <w:spacing w:val="1"/>
          <w:sz w:val="20"/>
          <w:szCs w:val="20"/>
        </w:rPr>
        <w:t> </w:t>
      </w:r>
      <w:r>
        <w:rPr>
          <w:rFonts w:ascii="宋体" w:hAnsi="宋体" w:cs="宋体" w:eastAsia="宋体" w:hint="default"/>
          <w:sz w:val="20"/>
          <w:szCs w:val="20"/>
        </w:rPr>
        <w:t>年人民币</w:t>
      </w:r>
      <w:r>
        <w:rPr>
          <w:rFonts w:ascii="宋体" w:hAnsi="宋体" w:cs="宋体" w:eastAsia="宋体" w:hint="default"/>
          <w:spacing w:val="-44"/>
          <w:sz w:val="20"/>
          <w:szCs w:val="20"/>
        </w:rPr>
        <w:t> </w:t>
      </w:r>
      <w:r>
        <w:rPr>
          <w:rFonts w:ascii="Arial" w:hAnsi="Arial" w:cs="Arial" w:eastAsia="Arial" w:hint="default"/>
          <w:sz w:val="20"/>
          <w:szCs w:val="20"/>
        </w:rPr>
        <w:t>61.0</w:t>
      </w:r>
      <w:r>
        <w:rPr>
          <w:rFonts w:ascii="Arial" w:hAnsi="Arial" w:cs="Arial" w:eastAsia="Arial" w:hint="default"/>
          <w:spacing w:val="1"/>
          <w:sz w:val="20"/>
          <w:szCs w:val="20"/>
        </w:rPr>
        <w:t> </w:t>
      </w:r>
      <w:r>
        <w:rPr>
          <w:rFonts w:ascii="宋体" w:hAnsi="宋体" w:cs="宋体" w:eastAsia="宋体" w:hint="default"/>
          <w:sz w:val="20"/>
          <w:szCs w:val="20"/>
        </w:rPr>
        <w:t>亿元的</w:t>
      </w:r>
      <w:r>
        <w:rPr>
          <w:rFonts w:ascii="宋体" w:hAnsi="宋体" w:cs="宋体" w:eastAsia="宋体" w:hint="default"/>
          <w:spacing w:val="-44"/>
          <w:sz w:val="20"/>
          <w:szCs w:val="20"/>
        </w:rPr>
        <w:t> </w:t>
      </w:r>
      <w:r>
        <w:rPr>
          <w:rFonts w:ascii="Arial" w:hAnsi="Arial" w:cs="Arial" w:eastAsia="Arial" w:hint="default"/>
          <w:sz w:val="20"/>
          <w:szCs w:val="20"/>
        </w:rPr>
        <w:t>3G</w:t>
      </w:r>
      <w:r>
        <w:rPr>
          <w:rFonts w:ascii="Arial" w:hAnsi="Arial" w:cs="Arial" w:eastAsia="Arial" w:hint="default"/>
          <w:spacing w:val="1"/>
          <w:sz w:val="20"/>
          <w:szCs w:val="20"/>
        </w:rPr>
        <w:t> </w:t>
      </w:r>
      <w:r>
        <w:rPr>
          <w:rFonts w:ascii="宋体" w:hAnsi="宋体" w:cs="宋体" w:eastAsia="宋体" w:hint="default"/>
          <w:sz w:val="20"/>
          <w:szCs w:val="20"/>
        </w:rPr>
        <w:t>终端补贴成本列支在销售通信产</w:t>
      </w:r>
      <w:r>
        <w:rPr>
          <w:rFonts w:ascii="宋体" w:hAnsi="宋体" w:cs="宋体" w:eastAsia="宋体" w:hint="default"/>
          <w:w w:val="100"/>
          <w:sz w:val="20"/>
          <w:szCs w:val="20"/>
        </w:rPr>
        <w:t> </w:t>
      </w:r>
      <w:r>
        <w:rPr>
          <w:rFonts w:ascii="宋体" w:hAnsi="宋体" w:cs="宋体" w:eastAsia="宋体" w:hint="default"/>
          <w:sz w:val="20"/>
          <w:szCs w:val="20"/>
        </w:rPr>
        <w:t>品成本。在这里为了分析目的，将</w:t>
      </w:r>
      <w:r>
        <w:rPr>
          <w:rFonts w:ascii="宋体" w:hAnsi="宋体" w:cs="宋体" w:eastAsia="宋体" w:hint="default"/>
          <w:spacing w:val="-42"/>
          <w:sz w:val="20"/>
          <w:szCs w:val="20"/>
        </w:rPr>
        <w:t> </w:t>
      </w:r>
      <w:r>
        <w:rPr>
          <w:rFonts w:ascii="Arial" w:hAnsi="Arial" w:cs="Arial" w:eastAsia="Arial" w:hint="default"/>
          <w:sz w:val="20"/>
          <w:szCs w:val="20"/>
        </w:rPr>
        <w:t>3G</w:t>
      </w:r>
      <w:r>
        <w:rPr>
          <w:rFonts w:ascii="Arial" w:hAnsi="Arial" w:cs="Arial" w:eastAsia="Arial" w:hint="default"/>
          <w:spacing w:val="3"/>
          <w:sz w:val="20"/>
          <w:szCs w:val="20"/>
        </w:rPr>
        <w:t> </w:t>
      </w:r>
      <w:r>
        <w:rPr>
          <w:rFonts w:ascii="宋体" w:hAnsi="宋体" w:cs="宋体" w:eastAsia="宋体" w:hint="default"/>
          <w:sz w:val="20"/>
          <w:szCs w:val="20"/>
        </w:rPr>
        <w:t>终端补贴成本、网间结算成本、折旧及摊销、网络运行</w:t>
      </w:r>
      <w:r>
        <w:rPr>
          <w:rFonts w:ascii="宋体" w:hAnsi="宋体" w:cs="宋体" w:eastAsia="宋体" w:hint="default"/>
          <w:w w:val="100"/>
          <w:sz w:val="20"/>
          <w:szCs w:val="20"/>
        </w:rPr>
        <w:t> </w:t>
      </w:r>
      <w:r>
        <w:rPr>
          <w:rFonts w:ascii="宋体" w:hAnsi="宋体" w:cs="宋体" w:eastAsia="宋体" w:hint="default"/>
          <w:spacing w:val="-1"/>
          <w:sz w:val="20"/>
          <w:szCs w:val="20"/>
        </w:rPr>
        <w:t>及支撑成本、人工成本、销售费用、其他营业成本及管理费用、财务费用合计，形成经调整成</w:t>
      </w:r>
      <w:r>
        <w:rPr>
          <w:rFonts w:ascii="宋体" w:hAnsi="宋体" w:cs="宋体" w:eastAsia="宋体" w:hint="default"/>
          <w:w w:val="100"/>
          <w:sz w:val="20"/>
          <w:szCs w:val="20"/>
        </w:rPr>
        <w:t> </w:t>
      </w:r>
      <w:r>
        <w:rPr>
          <w:rFonts w:ascii="宋体" w:hAnsi="宋体" w:cs="宋体" w:eastAsia="宋体" w:hint="default"/>
          <w:sz w:val="20"/>
          <w:szCs w:val="20"/>
        </w:rPr>
        <w:t>本费用。</w:t>
      </w:r>
    </w:p>
    <w:p>
      <w:pPr>
        <w:spacing w:line="240" w:lineRule="auto" w:before="0"/>
        <w:rPr>
          <w:rFonts w:ascii="宋体" w:hAnsi="宋体" w:cs="宋体" w:eastAsia="宋体" w:hint="default"/>
          <w:sz w:val="18"/>
          <w:szCs w:val="18"/>
        </w:rPr>
      </w:pPr>
    </w:p>
    <w:p>
      <w:pPr>
        <w:spacing w:line="232" w:lineRule="auto" w:before="0"/>
        <w:ind w:left="1442" w:right="209" w:hanging="765"/>
        <w:jc w:val="both"/>
        <w:rPr>
          <w:rFonts w:ascii="宋体" w:hAnsi="宋体" w:cs="宋体" w:eastAsia="宋体" w:hint="default"/>
          <w:sz w:val="20"/>
          <w:szCs w:val="20"/>
        </w:rPr>
      </w:pPr>
      <w:r>
        <w:rPr>
          <w:rFonts w:ascii="宋体" w:hAnsi="宋体" w:cs="宋体" w:eastAsia="宋体" w:hint="default"/>
          <w:sz w:val="20"/>
          <w:szCs w:val="20"/>
        </w:rPr>
        <w:t>附注</w:t>
      </w:r>
      <w:r>
        <w:rPr>
          <w:rFonts w:ascii="宋体" w:hAnsi="宋体" w:cs="宋体" w:eastAsia="宋体" w:hint="default"/>
          <w:spacing w:val="-53"/>
          <w:sz w:val="20"/>
          <w:szCs w:val="20"/>
        </w:rPr>
        <w:t> </w:t>
      </w:r>
      <w:r>
        <w:rPr>
          <w:rFonts w:ascii="Arial" w:hAnsi="Arial" w:cs="Arial" w:eastAsia="Arial" w:hint="default"/>
          <w:sz w:val="20"/>
          <w:szCs w:val="20"/>
        </w:rPr>
        <w:t>4</w:t>
      </w:r>
      <w:r>
        <w:rPr>
          <w:rFonts w:ascii="宋体" w:hAnsi="宋体" w:cs="宋体" w:eastAsia="宋体" w:hint="default"/>
          <w:sz w:val="20"/>
          <w:szCs w:val="20"/>
        </w:rPr>
        <w:t>：</w:t>
      </w:r>
      <w:r>
        <w:rPr>
          <w:rFonts w:ascii="Arial" w:hAnsi="Arial" w:cs="Arial" w:eastAsia="Arial" w:hint="default"/>
          <w:sz w:val="20"/>
          <w:szCs w:val="20"/>
        </w:rPr>
        <w:t>EBITDA</w:t>
      </w:r>
      <w:r>
        <w:rPr>
          <w:rFonts w:ascii="Arial" w:hAnsi="Arial" w:cs="Arial" w:eastAsia="Arial" w:hint="default"/>
          <w:spacing w:val="12"/>
          <w:sz w:val="20"/>
          <w:szCs w:val="20"/>
        </w:rPr>
        <w:t> </w:t>
      </w:r>
      <w:r>
        <w:rPr>
          <w:rFonts w:ascii="宋体" w:hAnsi="宋体" w:cs="宋体" w:eastAsia="宋体" w:hint="default"/>
          <w:sz w:val="20"/>
          <w:szCs w:val="20"/>
        </w:rPr>
        <w:t>反映了加回（减去）财务费用（收入）、所得税、营业成本及管理费用中的折旧及摊</w:t>
      </w:r>
      <w:r>
        <w:rPr>
          <w:rFonts w:ascii="宋体" w:hAnsi="宋体" w:cs="宋体" w:eastAsia="宋体" w:hint="default"/>
          <w:w w:val="100"/>
          <w:sz w:val="20"/>
          <w:szCs w:val="20"/>
        </w:rPr>
        <w:t> </w:t>
      </w:r>
      <w:r>
        <w:rPr>
          <w:rFonts w:ascii="宋体" w:hAnsi="宋体" w:cs="宋体" w:eastAsia="宋体" w:hint="default"/>
          <w:spacing w:val="-1"/>
          <w:sz w:val="20"/>
          <w:szCs w:val="20"/>
        </w:rPr>
        <w:t>销以及减去投资收益的营业利润。由于电信业是资本密集型产业，资本开支和财务费用可能对</w:t>
      </w:r>
      <w:r>
        <w:rPr>
          <w:rFonts w:ascii="宋体" w:hAnsi="宋体" w:cs="宋体" w:eastAsia="宋体" w:hint="default"/>
          <w:w w:val="100"/>
          <w:sz w:val="20"/>
          <w:szCs w:val="20"/>
        </w:rPr>
        <w:t> </w:t>
      </w:r>
      <w:r>
        <w:rPr>
          <w:rFonts w:ascii="宋体" w:hAnsi="宋体" w:cs="宋体" w:eastAsia="宋体" w:hint="default"/>
          <w:spacing w:val="-1"/>
          <w:sz w:val="20"/>
          <w:szCs w:val="20"/>
        </w:rPr>
        <w:t>具有类似经营成果的公司年度盈利产生重大影响。因此，我们认为，对于像我们这样的电信公</w:t>
      </w:r>
      <w:r>
        <w:rPr>
          <w:rFonts w:ascii="宋体" w:hAnsi="宋体" w:cs="宋体" w:eastAsia="宋体" w:hint="default"/>
          <w:w w:val="100"/>
          <w:sz w:val="20"/>
          <w:szCs w:val="20"/>
        </w:rPr>
        <w:t> </w:t>
      </w:r>
      <w:r>
        <w:rPr>
          <w:rFonts w:ascii="宋体" w:hAnsi="宋体" w:cs="宋体" w:eastAsia="宋体" w:hint="default"/>
          <w:sz w:val="20"/>
          <w:szCs w:val="20"/>
        </w:rPr>
        <w:t>司而言，</w:t>
      </w:r>
      <w:r>
        <w:rPr>
          <w:rFonts w:ascii="Arial" w:hAnsi="Arial" w:cs="Arial" w:eastAsia="Arial" w:hint="default"/>
          <w:sz w:val="20"/>
          <w:szCs w:val="20"/>
        </w:rPr>
        <w:t>EBITDA</w:t>
      </w:r>
      <w:r>
        <w:rPr>
          <w:rFonts w:ascii="Arial" w:hAnsi="Arial" w:cs="Arial" w:eastAsia="Arial" w:hint="default"/>
          <w:spacing w:val="-8"/>
          <w:sz w:val="20"/>
          <w:szCs w:val="20"/>
        </w:rPr>
        <w:t> </w:t>
      </w:r>
      <w:r>
        <w:rPr>
          <w:rFonts w:ascii="宋体" w:hAnsi="宋体" w:cs="宋体" w:eastAsia="宋体" w:hint="default"/>
          <w:sz w:val="20"/>
          <w:szCs w:val="20"/>
        </w:rPr>
        <w:t>有助于对公司经营成果分析。</w:t>
      </w:r>
    </w:p>
    <w:p>
      <w:pPr>
        <w:spacing w:line="240" w:lineRule="auto" w:before="11"/>
        <w:rPr>
          <w:rFonts w:ascii="宋体" w:hAnsi="宋体" w:cs="宋体" w:eastAsia="宋体" w:hint="default"/>
          <w:sz w:val="17"/>
          <w:szCs w:val="17"/>
        </w:rPr>
      </w:pPr>
    </w:p>
    <w:p>
      <w:pPr>
        <w:pStyle w:val="BodyText"/>
        <w:spacing w:line="240" w:lineRule="auto"/>
        <w:ind w:left="146" w:right="89"/>
        <w:jc w:val="left"/>
      </w:pPr>
      <w:r>
        <w:rPr/>
        <w:t>（一）主营业务分析</w:t>
      </w:r>
    </w:p>
    <w:p>
      <w:pPr>
        <w:spacing w:line="240" w:lineRule="auto" w:before="9"/>
        <w:rPr>
          <w:rFonts w:ascii="宋体" w:hAnsi="宋体" w:cs="宋体" w:eastAsia="宋体" w:hint="default"/>
          <w:sz w:val="16"/>
          <w:szCs w:val="16"/>
        </w:rPr>
      </w:pPr>
    </w:p>
    <w:p>
      <w:pPr>
        <w:pStyle w:val="BodyText"/>
        <w:spacing w:line="295" w:lineRule="exact" w:before="31"/>
        <w:ind w:left="146" w:right="89"/>
        <w:jc w:val="left"/>
      </w:pPr>
      <w:r>
        <w:rPr>
          <w:rFonts w:ascii="Arial" w:hAnsi="Arial" w:cs="Arial" w:eastAsia="Arial" w:hint="default"/>
        </w:rPr>
        <w:t>1</w:t>
      </w:r>
      <w:r>
        <w:rPr/>
        <w:t>、利润表及现金流量表相关科目变动分析表</w:t>
      </w:r>
    </w:p>
    <w:p>
      <w:pPr>
        <w:pStyle w:val="BodyText"/>
        <w:spacing w:line="279" w:lineRule="exact"/>
        <w:ind w:left="0" w:right="211"/>
        <w:jc w:val="right"/>
      </w:pPr>
      <w:r>
        <w:rPr/>
        <w:t>单位：元</w:t>
      </w:r>
      <w:r>
        <w:rPr>
          <w:spacing w:val="-4"/>
        </w:rPr>
        <w:t> </w:t>
      </w:r>
      <w:r>
        <w:rPr/>
        <w:t>币种：人民币</w:t>
      </w:r>
    </w:p>
    <w:p>
      <w:pPr>
        <w:spacing w:line="240" w:lineRule="auto" w:before="8"/>
        <w:rPr>
          <w:rFonts w:ascii="宋体" w:hAnsi="宋体" w:cs="宋体" w:eastAsia="宋体" w:hint="default"/>
          <w:sz w:val="2"/>
          <w:szCs w:val="2"/>
        </w:rPr>
      </w:pPr>
    </w:p>
    <w:tbl>
      <w:tblPr>
        <w:tblW w:w="0" w:type="auto"/>
        <w:jc w:val="left"/>
        <w:tblInd w:w="499" w:type="dxa"/>
        <w:tblLayout w:type="fixed"/>
        <w:tblCellMar>
          <w:top w:w="0" w:type="dxa"/>
          <w:left w:w="0" w:type="dxa"/>
          <w:bottom w:w="0" w:type="dxa"/>
          <w:right w:w="0" w:type="dxa"/>
        </w:tblCellMar>
        <w:tblLook w:val="01E0"/>
      </w:tblPr>
      <w:tblGrid>
        <w:gridCol w:w="3240"/>
        <w:gridCol w:w="2073"/>
        <w:gridCol w:w="2117"/>
        <w:gridCol w:w="1706"/>
      </w:tblGrid>
      <w:tr>
        <w:trPr>
          <w:trHeight w:val="300" w:hRule="exact"/>
        </w:trPr>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科目</w:t>
            </w:r>
          </w:p>
        </w:tc>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本期数</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499" w:right="0"/>
              <w:jc w:val="left"/>
              <w:rPr>
                <w:rFonts w:ascii="宋体" w:hAnsi="宋体" w:cs="宋体" w:eastAsia="宋体" w:hint="default"/>
                <w:sz w:val="22"/>
                <w:szCs w:val="22"/>
              </w:rPr>
            </w:pPr>
            <w:r>
              <w:rPr>
                <w:rFonts w:ascii="宋体" w:hAnsi="宋体" w:cs="宋体" w:eastAsia="宋体" w:hint="default"/>
                <w:sz w:val="22"/>
                <w:szCs w:val="22"/>
              </w:rPr>
              <w:t>上年同期数</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34"/>
              <w:jc w:val="right"/>
              <w:rPr>
                <w:rFonts w:ascii="Arial" w:hAnsi="Arial" w:cs="Arial" w:eastAsia="Arial" w:hint="default"/>
                <w:sz w:val="22"/>
                <w:szCs w:val="22"/>
              </w:rPr>
            </w:pPr>
            <w:r>
              <w:rPr>
                <w:rFonts w:ascii="宋体" w:hAnsi="宋体" w:cs="宋体" w:eastAsia="宋体" w:hint="default"/>
                <w:w w:val="95"/>
                <w:sz w:val="22"/>
                <w:szCs w:val="22"/>
              </w:rPr>
              <w:t>变动比例</w:t>
            </w:r>
            <w:r>
              <w:rPr>
                <w:rFonts w:ascii="Arial" w:hAnsi="Arial" w:cs="Arial" w:eastAsia="Arial" w:hint="default"/>
                <w:w w:val="95"/>
                <w:sz w:val="22"/>
                <w:szCs w:val="22"/>
              </w:rPr>
              <w:t>(%)</w:t>
            </w:r>
            <w:r>
              <w:rPr>
                <w:rFonts w:ascii="Arial" w:hAnsi="Arial" w:cs="Arial" w:eastAsia="Arial" w:hint="default"/>
                <w:sz w:val="22"/>
                <w:szCs w:val="22"/>
              </w:rPr>
            </w:r>
          </w:p>
        </w:tc>
      </w:tr>
      <w:tr>
        <w:trPr>
          <w:trHeight w:val="300" w:hRule="exact"/>
        </w:trPr>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营业收入</w:t>
            </w:r>
          </w:p>
        </w:tc>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7"/>
              <w:jc w:val="right"/>
              <w:rPr>
                <w:rFonts w:ascii="Arial" w:hAnsi="Arial" w:cs="Arial" w:eastAsia="Arial" w:hint="default"/>
                <w:sz w:val="22"/>
                <w:szCs w:val="22"/>
              </w:rPr>
            </w:pPr>
            <w:r>
              <w:rPr>
                <w:rFonts w:ascii="Arial"/>
                <w:spacing w:val="-1"/>
                <w:sz w:val="22"/>
              </w:rPr>
              <w:t>256,264,749,435</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74" w:right="0"/>
              <w:jc w:val="left"/>
              <w:rPr>
                <w:rFonts w:ascii="Arial" w:hAnsi="Arial" w:cs="Arial" w:eastAsia="Arial" w:hint="default"/>
                <w:sz w:val="22"/>
                <w:szCs w:val="22"/>
              </w:rPr>
            </w:pPr>
            <w:r>
              <w:rPr>
                <w:rFonts w:ascii="Arial"/>
                <w:sz w:val="22"/>
              </w:rPr>
              <w:t>215,518,511,458</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8"/>
              <w:jc w:val="right"/>
              <w:rPr>
                <w:rFonts w:ascii="Arial" w:hAnsi="Arial" w:cs="Arial" w:eastAsia="Arial" w:hint="default"/>
                <w:sz w:val="22"/>
                <w:szCs w:val="22"/>
              </w:rPr>
            </w:pPr>
            <w:r>
              <w:rPr>
                <w:rFonts w:ascii="Arial"/>
                <w:w w:val="95"/>
                <w:sz w:val="22"/>
              </w:rPr>
              <w:t>18.9</w:t>
            </w:r>
            <w:r>
              <w:rPr>
                <w:rFonts w:ascii="Arial"/>
                <w:sz w:val="22"/>
              </w:rPr>
            </w:r>
          </w:p>
        </w:tc>
      </w:tr>
      <w:tr>
        <w:trPr>
          <w:trHeight w:val="301" w:hRule="exact"/>
        </w:trPr>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营业成本</w:t>
            </w:r>
          </w:p>
        </w:tc>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47"/>
              <w:jc w:val="right"/>
              <w:rPr>
                <w:rFonts w:ascii="Arial" w:hAnsi="Arial" w:cs="Arial" w:eastAsia="Arial" w:hint="default"/>
                <w:sz w:val="22"/>
                <w:szCs w:val="22"/>
              </w:rPr>
            </w:pPr>
            <w:r>
              <w:rPr>
                <w:rFonts w:ascii="Arial"/>
                <w:spacing w:val="-1"/>
                <w:sz w:val="22"/>
              </w:rPr>
              <w:t>179,108,178,878</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74" w:right="0"/>
              <w:jc w:val="left"/>
              <w:rPr>
                <w:rFonts w:ascii="Arial" w:hAnsi="Arial" w:cs="Arial" w:eastAsia="Arial" w:hint="default"/>
                <w:sz w:val="22"/>
                <w:szCs w:val="22"/>
              </w:rPr>
            </w:pPr>
            <w:r>
              <w:rPr>
                <w:rFonts w:ascii="Arial"/>
                <w:sz w:val="22"/>
              </w:rPr>
              <w:t>154,414,023,686</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8"/>
              <w:jc w:val="right"/>
              <w:rPr>
                <w:rFonts w:ascii="Arial" w:hAnsi="Arial" w:cs="Arial" w:eastAsia="Arial" w:hint="default"/>
                <w:sz w:val="22"/>
                <w:szCs w:val="22"/>
              </w:rPr>
            </w:pPr>
            <w:r>
              <w:rPr>
                <w:rFonts w:ascii="Arial"/>
                <w:w w:val="95"/>
                <w:sz w:val="22"/>
              </w:rPr>
              <w:t>16.0</w:t>
            </w:r>
            <w:r>
              <w:rPr>
                <w:rFonts w:ascii="Arial"/>
                <w:sz w:val="22"/>
              </w:rPr>
            </w:r>
          </w:p>
        </w:tc>
      </w:tr>
      <w:tr>
        <w:trPr>
          <w:trHeight w:val="300" w:hRule="exact"/>
        </w:trPr>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销售费用</w:t>
            </w:r>
          </w:p>
        </w:tc>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7"/>
              <w:jc w:val="right"/>
              <w:rPr>
                <w:rFonts w:ascii="Arial" w:hAnsi="Arial" w:cs="Arial" w:eastAsia="Arial" w:hint="default"/>
                <w:sz w:val="22"/>
                <w:szCs w:val="22"/>
              </w:rPr>
            </w:pPr>
            <w:r>
              <w:rPr>
                <w:rFonts w:ascii="Arial"/>
                <w:spacing w:val="-1"/>
                <w:sz w:val="22"/>
              </w:rPr>
              <w:t>35,037,103,692</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97" w:right="0"/>
              <w:jc w:val="left"/>
              <w:rPr>
                <w:rFonts w:ascii="Arial" w:hAnsi="Arial" w:cs="Arial" w:eastAsia="Arial" w:hint="default"/>
                <w:sz w:val="22"/>
                <w:szCs w:val="22"/>
              </w:rPr>
            </w:pPr>
            <w:r>
              <w:rPr>
                <w:rFonts w:ascii="Arial"/>
                <w:sz w:val="22"/>
              </w:rPr>
              <w:t>28,750,690,843</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88"/>
              <w:jc w:val="right"/>
              <w:rPr>
                <w:rFonts w:ascii="Arial" w:hAnsi="Arial" w:cs="Arial" w:eastAsia="Arial" w:hint="default"/>
                <w:sz w:val="22"/>
                <w:szCs w:val="22"/>
              </w:rPr>
            </w:pPr>
            <w:r>
              <w:rPr>
                <w:rFonts w:ascii="Arial"/>
                <w:w w:val="95"/>
                <w:sz w:val="22"/>
              </w:rPr>
              <w:t>21.9</w:t>
            </w:r>
            <w:r>
              <w:rPr>
                <w:rFonts w:ascii="Arial"/>
                <w:sz w:val="22"/>
              </w:rPr>
            </w:r>
          </w:p>
        </w:tc>
      </w:tr>
      <w:tr>
        <w:trPr>
          <w:trHeight w:val="300" w:hRule="exact"/>
        </w:trPr>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管理费用</w:t>
            </w:r>
          </w:p>
        </w:tc>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7"/>
              <w:jc w:val="right"/>
              <w:rPr>
                <w:rFonts w:ascii="Arial" w:hAnsi="Arial" w:cs="Arial" w:eastAsia="Arial" w:hint="default"/>
                <w:sz w:val="22"/>
                <w:szCs w:val="22"/>
              </w:rPr>
            </w:pPr>
            <w:r>
              <w:rPr>
                <w:rFonts w:ascii="Arial"/>
                <w:spacing w:val="-1"/>
                <w:sz w:val="22"/>
              </w:rPr>
              <w:t>20,491,250,373</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97" w:right="0"/>
              <w:jc w:val="left"/>
              <w:rPr>
                <w:rFonts w:ascii="Arial" w:hAnsi="Arial" w:cs="Arial" w:eastAsia="Arial" w:hint="default"/>
                <w:sz w:val="22"/>
                <w:szCs w:val="22"/>
              </w:rPr>
            </w:pPr>
            <w:r>
              <w:rPr>
                <w:rFonts w:ascii="Arial"/>
                <w:sz w:val="22"/>
              </w:rPr>
              <w:t>18,199,737,712</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8"/>
              <w:jc w:val="right"/>
              <w:rPr>
                <w:rFonts w:ascii="Arial" w:hAnsi="Arial" w:cs="Arial" w:eastAsia="Arial" w:hint="default"/>
                <w:sz w:val="22"/>
                <w:szCs w:val="22"/>
              </w:rPr>
            </w:pPr>
            <w:r>
              <w:rPr>
                <w:rFonts w:ascii="Arial"/>
                <w:w w:val="95"/>
                <w:sz w:val="22"/>
              </w:rPr>
              <w:t>12.6</w:t>
            </w:r>
            <w:r>
              <w:rPr>
                <w:rFonts w:ascii="Arial"/>
                <w:sz w:val="22"/>
              </w:rPr>
            </w:r>
          </w:p>
        </w:tc>
      </w:tr>
      <w:tr>
        <w:trPr>
          <w:trHeight w:val="300" w:hRule="exact"/>
        </w:trPr>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7"/>
              <w:jc w:val="right"/>
              <w:rPr>
                <w:rFonts w:ascii="Arial" w:hAnsi="Arial" w:cs="Arial" w:eastAsia="Arial" w:hint="default"/>
                <w:sz w:val="22"/>
                <w:szCs w:val="22"/>
              </w:rPr>
            </w:pPr>
            <w:r>
              <w:rPr>
                <w:rFonts w:ascii="Arial"/>
                <w:spacing w:val="-1"/>
                <w:sz w:val="22"/>
              </w:rPr>
              <w:t>3,416,514,137</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74"/>
              <w:jc w:val="right"/>
              <w:rPr>
                <w:rFonts w:ascii="Arial" w:hAnsi="Arial" w:cs="Arial" w:eastAsia="Arial" w:hint="default"/>
                <w:sz w:val="22"/>
                <w:szCs w:val="22"/>
              </w:rPr>
            </w:pPr>
            <w:r>
              <w:rPr>
                <w:rFonts w:ascii="Arial"/>
                <w:spacing w:val="-1"/>
                <w:sz w:val="22"/>
              </w:rPr>
              <w:t>1,243,082,687</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8"/>
              <w:jc w:val="right"/>
              <w:rPr>
                <w:rFonts w:ascii="Arial" w:hAnsi="Arial" w:cs="Arial" w:eastAsia="Arial" w:hint="default"/>
                <w:sz w:val="22"/>
                <w:szCs w:val="22"/>
              </w:rPr>
            </w:pPr>
            <w:r>
              <w:rPr>
                <w:rFonts w:ascii="Arial"/>
                <w:w w:val="95"/>
                <w:sz w:val="22"/>
              </w:rPr>
              <w:t>174.8</w:t>
            </w:r>
            <w:r>
              <w:rPr>
                <w:rFonts w:ascii="Arial"/>
                <w:sz w:val="22"/>
              </w:rPr>
            </w:r>
          </w:p>
        </w:tc>
      </w:tr>
      <w:tr>
        <w:trPr>
          <w:trHeight w:val="301" w:hRule="exact"/>
        </w:trPr>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47"/>
              <w:jc w:val="right"/>
              <w:rPr>
                <w:rFonts w:ascii="Arial" w:hAnsi="Arial" w:cs="Arial" w:eastAsia="Arial" w:hint="default"/>
                <w:sz w:val="22"/>
                <w:szCs w:val="22"/>
              </w:rPr>
            </w:pPr>
            <w:r>
              <w:rPr>
                <w:rFonts w:ascii="Arial"/>
                <w:spacing w:val="-1"/>
                <w:sz w:val="22"/>
              </w:rPr>
              <w:t>74,738,405,183</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97" w:right="0"/>
              <w:jc w:val="left"/>
              <w:rPr>
                <w:rFonts w:ascii="Arial" w:hAnsi="Arial" w:cs="Arial" w:eastAsia="Arial" w:hint="default"/>
                <w:sz w:val="22"/>
                <w:szCs w:val="22"/>
              </w:rPr>
            </w:pPr>
            <w:r>
              <w:rPr>
                <w:rFonts w:ascii="Arial"/>
                <w:sz w:val="22"/>
              </w:rPr>
              <w:t>69,452,862,906</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8"/>
              <w:jc w:val="right"/>
              <w:rPr>
                <w:rFonts w:ascii="Arial" w:hAnsi="Arial" w:cs="Arial" w:eastAsia="Arial" w:hint="default"/>
                <w:sz w:val="22"/>
                <w:szCs w:val="22"/>
              </w:rPr>
            </w:pPr>
            <w:r>
              <w:rPr>
                <w:rFonts w:ascii="Arial"/>
                <w:w w:val="95"/>
                <w:sz w:val="22"/>
              </w:rPr>
              <w:t>7.6</w:t>
            </w:r>
            <w:r>
              <w:rPr>
                <w:rFonts w:ascii="Arial"/>
                <w:sz w:val="22"/>
              </w:rPr>
            </w:r>
          </w:p>
        </w:tc>
      </w:tr>
      <w:tr>
        <w:trPr>
          <w:trHeight w:val="300" w:hRule="exact"/>
        </w:trPr>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投资活动产生的现金流量净额</w:t>
            </w:r>
          </w:p>
        </w:tc>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8"/>
              <w:jc w:val="right"/>
              <w:rPr>
                <w:rFonts w:ascii="Arial" w:hAnsi="Arial" w:cs="Arial" w:eastAsia="Arial" w:hint="default"/>
                <w:sz w:val="22"/>
                <w:szCs w:val="22"/>
              </w:rPr>
            </w:pPr>
            <w:r>
              <w:rPr>
                <w:rFonts w:ascii="Arial"/>
                <w:w w:val="95"/>
                <w:sz w:val="22"/>
              </w:rPr>
              <w:t>(99,233,352,196)</w:t>
            </w:r>
            <w:r>
              <w:rPr>
                <w:rFonts w:ascii="Arial"/>
                <w:sz w:val="22"/>
              </w:rPr>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01"/>
              <w:jc w:val="right"/>
              <w:rPr>
                <w:rFonts w:ascii="Arial" w:hAnsi="Arial" w:cs="Arial" w:eastAsia="Arial" w:hint="default"/>
                <w:sz w:val="22"/>
                <w:szCs w:val="22"/>
              </w:rPr>
            </w:pPr>
            <w:r>
              <w:rPr>
                <w:rFonts w:ascii="Arial"/>
                <w:spacing w:val="-1"/>
                <w:sz w:val="22"/>
              </w:rPr>
              <w:t>(82,737,666,617)</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8"/>
              <w:jc w:val="right"/>
              <w:rPr>
                <w:rFonts w:ascii="Arial" w:hAnsi="Arial" w:cs="Arial" w:eastAsia="Arial" w:hint="default"/>
                <w:sz w:val="22"/>
                <w:szCs w:val="22"/>
              </w:rPr>
            </w:pPr>
            <w:r>
              <w:rPr>
                <w:rFonts w:ascii="Arial"/>
                <w:w w:val="95"/>
                <w:sz w:val="22"/>
              </w:rPr>
              <w:t>-19.9</w:t>
            </w:r>
            <w:r>
              <w:rPr>
                <w:rFonts w:ascii="Arial"/>
                <w:sz w:val="22"/>
              </w:rPr>
            </w:r>
          </w:p>
        </w:tc>
      </w:tr>
      <w:tr>
        <w:trPr>
          <w:trHeight w:val="300" w:hRule="exact"/>
        </w:trPr>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筹资活动产生的现金流量净额</w:t>
            </w:r>
          </w:p>
        </w:tc>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7"/>
              <w:jc w:val="right"/>
              <w:rPr>
                <w:rFonts w:ascii="Arial" w:hAnsi="Arial" w:cs="Arial" w:eastAsia="Arial" w:hint="default"/>
                <w:sz w:val="22"/>
                <w:szCs w:val="22"/>
              </w:rPr>
            </w:pPr>
            <w:r>
              <w:rPr>
                <w:rFonts w:ascii="Arial"/>
                <w:spacing w:val="-1"/>
                <w:sz w:val="22"/>
              </w:rPr>
              <w:t>27,647,966,839</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75"/>
              <w:jc w:val="right"/>
              <w:rPr>
                <w:rFonts w:ascii="Arial" w:hAnsi="Arial" w:cs="Arial" w:eastAsia="Arial" w:hint="default"/>
                <w:sz w:val="22"/>
                <w:szCs w:val="22"/>
              </w:rPr>
            </w:pPr>
            <w:r>
              <w:rPr>
                <w:rFonts w:ascii="Arial"/>
                <w:spacing w:val="-1"/>
                <w:sz w:val="22"/>
              </w:rPr>
              <w:t>5,799,986,672</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8"/>
              <w:jc w:val="right"/>
              <w:rPr>
                <w:rFonts w:ascii="Arial" w:hAnsi="Arial" w:cs="Arial" w:eastAsia="Arial" w:hint="default"/>
                <w:sz w:val="22"/>
                <w:szCs w:val="22"/>
              </w:rPr>
            </w:pPr>
            <w:r>
              <w:rPr>
                <w:rFonts w:ascii="Arial"/>
                <w:w w:val="95"/>
                <w:sz w:val="22"/>
              </w:rPr>
              <w:t>376.7</w:t>
            </w:r>
            <w:r>
              <w:rPr>
                <w:rFonts w:ascii="Arial"/>
                <w:sz w:val="22"/>
              </w:rPr>
            </w:r>
          </w:p>
        </w:tc>
      </w:tr>
      <w:tr>
        <w:trPr>
          <w:trHeight w:val="301" w:hRule="exact"/>
        </w:trPr>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研发支出</w:t>
            </w:r>
          </w:p>
        </w:tc>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45"/>
              <w:jc w:val="right"/>
              <w:rPr>
                <w:rFonts w:ascii="Arial" w:hAnsi="Arial" w:cs="Arial" w:eastAsia="Arial" w:hint="default"/>
                <w:sz w:val="22"/>
                <w:szCs w:val="22"/>
              </w:rPr>
            </w:pPr>
            <w:r>
              <w:rPr>
                <w:rFonts w:ascii="Arial"/>
                <w:w w:val="95"/>
                <w:sz w:val="22"/>
              </w:rPr>
              <w:t>255,350,892</w:t>
            </w:r>
            <w:r>
              <w:rPr>
                <w:rFonts w:ascii="Arial"/>
                <w:sz w:val="22"/>
              </w:rPr>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72"/>
              <w:jc w:val="right"/>
              <w:rPr>
                <w:rFonts w:ascii="Arial" w:hAnsi="Arial" w:cs="Arial" w:eastAsia="Arial" w:hint="default"/>
                <w:sz w:val="22"/>
                <w:szCs w:val="22"/>
              </w:rPr>
            </w:pPr>
            <w:r>
              <w:rPr>
                <w:rFonts w:ascii="Arial"/>
                <w:w w:val="95"/>
                <w:sz w:val="22"/>
              </w:rPr>
              <w:t>387,009,164</w:t>
            </w:r>
            <w:r>
              <w:rPr>
                <w:rFonts w:ascii="Arial"/>
                <w:sz w:val="22"/>
              </w:rPr>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88"/>
              <w:jc w:val="right"/>
              <w:rPr>
                <w:rFonts w:ascii="Arial" w:hAnsi="Arial" w:cs="Arial" w:eastAsia="Arial" w:hint="default"/>
                <w:sz w:val="22"/>
                <w:szCs w:val="22"/>
              </w:rPr>
            </w:pPr>
            <w:r>
              <w:rPr>
                <w:rFonts w:ascii="Arial"/>
                <w:w w:val="95"/>
                <w:sz w:val="22"/>
              </w:rPr>
              <w:t>-34.0</w:t>
            </w:r>
            <w:r>
              <w:rPr>
                <w:rFonts w:ascii="Arial"/>
                <w:sz w:val="22"/>
              </w:rPr>
            </w:r>
          </w:p>
        </w:tc>
      </w:tr>
    </w:tbl>
    <w:p>
      <w:pPr>
        <w:spacing w:line="240" w:lineRule="auto" w:before="2"/>
        <w:rPr>
          <w:rFonts w:ascii="宋体" w:hAnsi="宋体" w:cs="宋体" w:eastAsia="宋体" w:hint="default"/>
          <w:sz w:val="14"/>
          <w:szCs w:val="14"/>
        </w:rPr>
      </w:pPr>
    </w:p>
    <w:p>
      <w:pPr>
        <w:pStyle w:val="BodyText"/>
        <w:spacing w:line="240" w:lineRule="auto" w:before="31"/>
        <w:ind w:left="146" w:right="89"/>
        <w:jc w:val="left"/>
      </w:pPr>
      <w:r>
        <w:rPr>
          <w:rFonts w:ascii="Arial" w:hAnsi="Arial" w:cs="Arial" w:eastAsia="Arial" w:hint="default"/>
        </w:rPr>
        <w:t>2</w:t>
      </w:r>
      <w:r>
        <w:rPr/>
        <w:t>、收入</w:t>
      </w:r>
    </w:p>
    <w:p>
      <w:pPr>
        <w:spacing w:line="240" w:lineRule="auto" w:before="12"/>
        <w:rPr>
          <w:rFonts w:ascii="宋体" w:hAnsi="宋体" w:cs="宋体" w:eastAsia="宋体" w:hint="default"/>
          <w:sz w:val="17"/>
          <w:szCs w:val="17"/>
        </w:rPr>
      </w:pPr>
    </w:p>
    <w:p>
      <w:pPr>
        <w:pStyle w:val="BodyText"/>
        <w:spacing w:line="240" w:lineRule="auto"/>
        <w:ind w:left="506" w:right="89"/>
        <w:jc w:val="left"/>
      </w:pPr>
      <w:r>
        <w:rPr>
          <w:rFonts w:ascii="Arial" w:hAnsi="Arial" w:cs="Arial" w:eastAsia="Arial" w:hint="default"/>
        </w:rPr>
        <w:t>2.1</w:t>
      </w:r>
      <w:r>
        <w:rPr>
          <w:rFonts w:ascii="Arial" w:hAnsi="Arial" w:cs="Arial" w:eastAsia="Arial" w:hint="default"/>
          <w:spacing w:val="-12"/>
        </w:rPr>
        <w:t> </w:t>
      </w:r>
      <w:r>
        <w:rPr/>
        <w:t>驱动业务收入变化的因素分析</w:t>
      </w:r>
    </w:p>
    <w:p>
      <w:pPr>
        <w:spacing w:line="240" w:lineRule="auto" w:before="13"/>
        <w:rPr>
          <w:rFonts w:ascii="宋体" w:hAnsi="宋体" w:cs="宋体" w:eastAsia="宋体" w:hint="default"/>
          <w:sz w:val="17"/>
          <w:szCs w:val="17"/>
        </w:rPr>
      </w:pPr>
    </w:p>
    <w:p>
      <w:pPr>
        <w:pStyle w:val="BodyText"/>
        <w:spacing w:line="295" w:lineRule="exact"/>
        <w:ind w:left="866" w:right="89"/>
        <w:jc w:val="left"/>
      </w:pPr>
      <w:r>
        <w:rPr>
          <w:rFonts w:ascii="Arial" w:hAnsi="Arial" w:cs="Arial" w:eastAsia="Arial" w:hint="default"/>
        </w:rPr>
        <w:t>2012 </w:t>
      </w:r>
      <w:r>
        <w:rPr/>
        <w:t>年公司营业收入实现 </w:t>
      </w:r>
      <w:r>
        <w:rPr>
          <w:rFonts w:ascii="Arial" w:hAnsi="Arial" w:cs="Arial" w:eastAsia="Arial" w:hint="default"/>
        </w:rPr>
        <w:t>2,562.6 </w:t>
      </w:r>
      <w:r>
        <w:rPr/>
        <w:t>亿元，其中，主营业务收入为 </w:t>
      </w:r>
      <w:r>
        <w:rPr>
          <w:rFonts w:ascii="Arial" w:hAnsi="Arial" w:cs="Arial" w:eastAsia="Arial" w:hint="default"/>
        </w:rPr>
        <w:t>2,167.9</w:t>
      </w:r>
      <w:r>
        <w:rPr>
          <w:rFonts w:ascii="Arial" w:hAnsi="Arial" w:cs="Arial" w:eastAsia="Arial" w:hint="default"/>
          <w:spacing w:val="15"/>
        </w:rPr>
        <w:t> </w:t>
      </w:r>
      <w:r>
        <w:rPr/>
        <w:t>亿元，同比增长</w:t>
      </w:r>
    </w:p>
    <w:p>
      <w:pPr>
        <w:pStyle w:val="BodyText"/>
        <w:spacing w:line="284" w:lineRule="exact" w:before="20"/>
        <w:ind w:left="866" w:right="206"/>
        <w:jc w:val="left"/>
      </w:pPr>
      <w:r>
        <w:rPr>
          <w:rFonts w:ascii="Arial" w:hAnsi="Arial" w:cs="Arial" w:eastAsia="Arial" w:hint="default"/>
        </w:rPr>
        <w:t>13.1%</w:t>
      </w:r>
      <w:r>
        <w:rPr/>
        <w:t>，销售通信产品收入为</w:t>
      </w:r>
      <w:r>
        <w:rPr>
          <w:spacing w:val="-59"/>
        </w:rPr>
        <w:t> </w:t>
      </w:r>
      <w:r>
        <w:rPr>
          <w:rFonts w:ascii="Arial" w:hAnsi="Arial" w:cs="Arial" w:eastAsia="Arial" w:hint="default"/>
        </w:rPr>
        <w:t>394.8</w:t>
      </w:r>
      <w:r>
        <w:rPr>
          <w:rFonts w:ascii="Arial" w:hAnsi="Arial" w:cs="Arial" w:eastAsia="Arial" w:hint="default"/>
          <w:spacing w:val="-10"/>
        </w:rPr>
        <w:t> </w:t>
      </w:r>
      <w:r>
        <w:rPr/>
        <w:t>亿元（详见前述“董事会关于公司报告期内经营情况的</w:t>
      </w:r>
      <w:r>
        <w:rPr>
          <w:w w:val="99"/>
        </w:rPr>
        <w:t> </w:t>
      </w:r>
      <w:r>
        <w:rPr/>
        <w:t>讨论与分析”）。</w:t>
      </w:r>
    </w:p>
    <w:p>
      <w:pPr>
        <w:spacing w:line="240" w:lineRule="auto" w:before="3"/>
        <w:rPr>
          <w:rFonts w:ascii="宋体" w:hAnsi="宋体" w:cs="宋体" w:eastAsia="宋体" w:hint="default"/>
          <w:sz w:val="17"/>
          <w:szCs w:val="17"/>
        </w:rPr>
      </w:pPr>
    </w:p>
    <w:p>
      <w:pPr>
        <w:pStyle w:val="BodyText"/>
        <w:spacing w:line="240" w:lineRule="auto"/>
        <w:ind w:left="506" w:right="89"/>
        <w:jc w:val="left"/>
      </w:pPr>
      <w:r>
        <w:rPr>
          <w:rFonts w:ascii="Arial" w:hAnsi="Arial" w:cs="Arial" w:eastAsia="Arial" w:hint="default"/>
        </w:rPr>
        <w:t>2.2</w:t>
      </w:r>
      <w:r>
        <w:rPr>
          <w:rFonts w:ascii="Arial" w:hAnsi="Arial" w:cs="Arial" w:eastAsia="Arial" w:hint="default"/>
          <w:spacing w:val="-11"/>
        </w:rPr>
        <w:t> </w:t>
      </w:r>
      <w:r>
        <w:rPr/>
        <w:t>主要销售客户的情况</w:t>
      </w:r>
    </w:p>
    <w:p>
      <w:pPr>
        <w:spacing w:line="240" w:lineRule="auto" w:before="0"/>
        <w:rPr>
          <w:rFonts w:ascii="宋体" w:hAnsi="宋体" w:cs="宋体" w:eastAsia="宋体" w:hint="default"/>
          <w:sz w:val="20"/>
          <w:szCs w:val="20"/>
        </w:rPr>
      </w:pPr>
    </w:p>
    <w:p>
      <w:pPr>
        <w:pStyle w:val="BodyText"/>
        <w:spacing w:line="286" w:lineRule="exact"/>
        <w:ind w:left="866" w:right="89"/>
        <w:jc w:val="left"/>
      </w:pPr>
      <w:r>
        <w:rPr>
          <w:w w:val="99"/>
        </w:rPr>
        <w:t>本集团前五名客户营业收入的总额约人民币</w:t>
      </w:r>
      <w:r>
        <w:rPr>
          <w:spacing w:val="-52"/>
          <w:w w:val="99"/>
        </w:rPr>
        <w:t> </w:t>
      </w:r>
      <w:r>
        <w:rPr>
          <w:rFonts w:ascii="Arial" w:hAnsi="Arial" w:cs="Arial" w:eastAsia="Arial" w:hint="default"/>
          <w:w w:val="99"/>
        </w:rPr>
        <w:t>152.67</w:t>
      </w:r>
      <w:r>
        <w:rPr>
          <w:rFonts w:ascii="Arial" w:hAnsi="Arial" w:cs="Arial" w:eastAsia="Arial" w:hint="default"/>
          <w:spacing w:val="-4"/>
          <w:w w:val="99"/>
        </w:rPr>
        <w:t> </w:t>
      </w:r>
      <w:r>
        <w:rPr>
          <w:spacing w:val="-13"/>
          <w:w w:val="99"/>
        </w:rPr>
        <w:t>亿元（</w:t>
      </w:r>
      <w:r>
        <w:rPr>
          <w:rFonts w:ascii="Arial" w:hAnsi="Arial" w:cs="Arial" w:eastAsia="Arial" w:hint="default"/>
          <w:spacing w:val="-13"/>
          <w:w w:val="99"/>
        </w:rPr>
        <w:t>2011</w:t>
      </w:r>
      <w:r>
        <w:rPr>
          <w:rFonts w:ascii="Arial" w:hAnsi="Arial" w:cs="Arial" w:eastAsia="Arial" w:hint="default"/>
          <w:spacing w:val="-4"/>
          <w:w w:val="99"/>
        </w:rPr>
        <w:t> </w:t>
      </w:r>
      <w:r>
        <w:rPr>
          <w:spacing w:val="-16"/>
          <w:w w:val="99"/>
        </w:rPr>
        <w:t>年：约人民币</w:t>
      </w:r>
      <w:r>
        <w:rPr>
          <w:spacing w:val="-54"/>
          <w:w w:val="99"/>
        </w:rPr>
        <w:t> </w:t>
      </w:r>
      <w:r>
        <w:rPr>
          <w:rFonts w:ascii="Arial" w:hAnsi="Arial" w:cs="Arial" w:eastAsia="Arial" w:hint="default"/>
          <w:w w:val="99"/>
        </w:rPr>
        <w:t>143.60</w:t>
      </w:r>
      <w:r>
        <w:rPr>
          <w:rFonts w:ascii="Arial" w:hAnsi="Arial" w:cs="Arial" w:eastAsia="Arial" w:hint="default"/>
          <w:spacing w:val="-5"/>
          <w:w w:val="99"/>
        </w:rPr>
        <w:t> </w:t>
      </w:r>
      <w:r>
        <w:rPr>
          <w:spacing w:val="-23"/>
          <w:w w:val="99"/>
        </w:rPr>
        <w:t>亿元），</w:t>
      </w:r>
      <w:r>
        <w:rPr>
          <w:w w:val="99"/>
        </w:rPr>
        <w:t> </w:t>
      </w:r>
      <w:r>
        <w:rPr/>
        <w:t>占本集团全部营业收入的比例为</w:t>
      </w:r>
      <w:r>
        <w:rPr>
          <w:spacing w:val="-59"/>
        </w:rPr>
        <w:t> </w:t>
      </w:r>
      <w:r>
        <w:rPr>
          <w:rFonts w:ascii="Arial" w:hAnsi="Arial" w:cs="Arial" w:eastAsia="Arial" w:hint="default"/>
        </w:rPr>
        <w:t>6.0%</w:t>
      </w:r>
      <w:r>
        <w:rPr/>
        <w:t>（</w:t>
      </w:r>
      <w:r>
        <w:rPr>
          <w:rFonts w:ascii="Arial" w:hAnsi="Arial" w:cs="Arial" w:eastAsia="Arial" w:hint="default"/>
        </w:rPr>
        <w:t>2011</w:t>
      </w:r>
      <w:r>
        <w:rPr>
          <w:rFonts w:ascii="Arial" w:hAnsi="Arial" w:cs="Arial" w:eastAsia="Arial" w:hint="default"/>
          <w:spacing w:val="-11"/>
        </w:rPr>
        <w:t> </w:t>
      </w:r>
      <w:r>
        <w:rPr/>
        <w:t>年：</w:t>
      </w:r>
      <w:r>
        <w:rPr>
          <w:rFonts w:ascii="Arial" w:hAnsi="Arial" w:cs="Arial" w:eastAsia="Arial" w:hint="default"/>
        </w:rPr>
        <w:t>6.7%</w:t>
      </w:r>
      <w:r>
        <w:rPr/>
        <w:t>）</w:t>
      </w:r>
    </w:p>
    <w:p>
      <w:pPr>
        <w:spacing w:after="0" w:line="286" w:lineRule="exact"/>
        <w:jc w:val="left"/>
        <w:sectPr>
          <w:pgSz w:w="11910" w:h="16840"/>
          <w:pgMar w:header="567" w:footer="745" w:top="800" w:bottom="940" w:left="1380" w:right="680"/>
        </w:sectPr>
      </w:pPr>
    </w:p>
    <w:p>
      <w:pPr>
        <w:spacing w:line="240" w:lineRule="auto" w:before="8"/>
        <w:rPr>
          <w:rFonts w:ascii="宋体" w:hAnsi="宋体" w:cs="宋体" w:eastAsia="宋体" w:hint="default"/>
          <w:sz w:val="22"/>
          <w:szCs w:val="22"/>
        </w:rPr>
      </w:pPr>
    </w:p>
    <w:p>
      <w:pPr>
        <w:pStyle w:val="BodyText"/>
        <w:spacing w:line="240" w:lineRule="auto" w:before="31"/>
        <w:ind w:left="146" w:right="0"/>
        <w:jc w:val="left"/>
      </w:pPr>
      <w:r>
        <w:rPr>
          <w:rFonts w:ascii="Arial" w:hAnsi="Arial" w:cs="Arial" w:eastAsia="Arial" w:hint="default"/>
        </w:rPr>
        <w:t>3</w:t>
      </w:r>
      <w:r>
        <w:rPr/>
        <w:t>、成本</w:t>
      </w: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567" w:footer="745" w:top="800" w:bottom="940" w:left="1380" w:right="740"/>
        </w:sectPr>
      </w:pPr>
    </w:p>
    <w:p>
      <w:pPr>
        <w:pStyle w:val="BodyText"/>
        <w:spacing w:line="240" w:lineRule="auto" w:before="31"/>
        <w:ind w:left="506" w:right="-18"/>
        <w:jc w:val="left"/>
      </w:pPr>
      <w:r>
        <w:rPr>
          <w:rFonts w:ascii="Arial" w:hAnsi="Arial" w:cs="Arial" w:eastAsia="Arial" w:hint="default"/>
        </w:rPr>
        <w:t>3.1</w:t>
      </w:r>
      <w:r>
        <w:rPr>
          <w:rFonts w:ascii="Arial" w:hAnsi="Arial" w:cs="Arial" w:eastAsia="Arial" w:hint="default"/>
          <w:spacing w:val="-9"/>
        </w:rPr>
        <w:t> </w:t>
      </w:r>
      <w:r>
        <w:rPr/>
        <w:t>成本分析表</w:t>
      </w:r>
    </w:p>
    <w:p>
      <w:pPr>
        <w:spacing w:line="240" w:lineRule="auto" w:before="7"/>
        <w:rPr>
          <w:rFonts w:ascii="宋体" w:hAnsi="宋体" w:cs="宋体" w:eastAsia="宋体" w:hint="default"/>
          <w:sz w:val="24"/>
          <w:szCs w:val="24"/>
        </w:rPr>
      </w:pPr>
      <w:r>
        <w:rPr/>
        <w:br w:type="column"/>
      </w:r>
      <w:r>
        <w:rPr>
          <w:rFonts w:ascii="宋体"/>
          <w:sz w:val="24"/>
        </w:rPr>
      </w:r>
    </w:p>
    <w:p>
      <w:pPr>
        <w:spacing w:before="0"/>
        <w:ind w:left="506" w:right="0" w:firstLine="0"/>
        <w:jc w:val="left"/>
        <w:rPr>
          <w:rFonts w:ascii="宋体" w:hAnsi="宋体" w:cs="宋体" w:eastAsia="宋体" w:hint="default"/>
          <w:sz w:val="20"/>
          <w:szCs w:val="20"/>
        </w:rPr>
      </w:pPr>
      <w:r>
        <w:rPr>
          <w:rFonts w:ascii="宋体" w:hAnsi="宋体" w:cs="宋体" w:eastAsia="宋体" w:hint="default"/>
          <w:sz w:val="20"/>
          <w:szCs w:val="20"/>
        </w:rPr>
        <w:t>单位：人民币百万元</w:t>
      </w:r>
    </w:p>
    <w:p>
      <w:pPr>
        <w:spacing w:after="0"/>
        <w:jc w:val="left"/>
        <w:rPr>
          <w:rFonts w:ascii="宋体" w:hAnsi="宋体" w:cs="宋体" w:eastAsia="宋体" w:hint="default"/>
          <w:sz w:val="20"/>
          <w:szCs w:val="20"/>
        </w:rPr>
        <w:sectPr>
          <w:type w:val="continuous"/>
          <w:pgSz w:w="11910" w:h="16840"/>
          <w:pgMar w:top="1100" w:bottom="280" w:left="1380" w:right="740"/>
          <w:cols w:num="2" w:equalWidth="0">
            <w:col w:w="1967" w:space="5363"/>
            <w:col w:w="2460"/>
          </w:cols>
        </w:sectPr>
      </w:pPr>
    </w:p>
    <w:p>
      <w:pPr>
        <w:spacing w:line="240" w:lineRule="auto" w:before="3"/>
        <w:rPr>
          <w:rFonts w:ascii="宋体" w:hAnsi="宋体" w:cs="宋体" w:eastAsia="宋体" w:hint="default"/>
          <w:sz w:val="2"/>
          <w:szCs w:val="2"/>
        </w:rPr>
      </w:pPr>
    </w:p>
    <w:tbl>
      <w:tblPr>
        <w:tblW w:w="0" w:type="auto"/>
        <w:jc w:val="left"/>
        <w:tblInd w:w="859" w:type="dxa"/>
        <w:tblLayout w:type="fixed"/>
        <w:tblCellMar>
          <w:top w:w="0" w:type="dxa"/>
          <w:left w:w="0" w:type="dxa"/>
          <w:bottom w:w="0" w:type="dxa"/>
          <w:right w:w="0" w:type="dxa"/>
        </w:tblCellMar>
        <w:tblLook w:val="01E0"/>
      </w:tblPr>
      <w:tblGrid>
        <w:gridCol w:w="864"/>
        <w:gridCol w:w="2016"/>
        <w:gridCol w:w="1018"/>
        <w:gridCol w:w="1260"/>
        <w:gridCol w:w="836"/>
        <w:gridCol w:w="1144"/>
        <w:gridCol w:w="1620"/>
      </w:tblGrid>
      <w:tr>
        <w:trPr>
          <w:trHeight w:val="274" w:hRule="exact"/>
        </w:trPr>
        <w:tc>
          <w:tcPr>
            <w:tcW w:w="8758" w:type="dxa"/>
            <w:gridSpan w:val="7"/>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分行业情况</w:t>
            </w:r>
          </w:p>
        </w:tc>
      </w:tr>
      <w:tr>
        <w:trPr>
          <w:trHeight w:val="793" w:hRule="exact"/>
        </w:trPr>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分行业</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00" w:right="0"/>
              <w:jc w:val="left"/>
              <w:rPr>
                <w:rFonts w:ascii="宋体" w:hAnsi="宋体" w:cs="宋体" w:eastAsia="宋体" w:hint="default"/>
                <w:sz w:val="20"/>
                <w:szCs w:val="20"/>
              </w:rPr>
            </w:pPr>
            <w:r>
              <w:rPr>
                <w:rFonts w:ascii="宋体" w:hAnsi="宋体" w:cs="宋体" w:eastAsia="宋体" w:hint="default"/>
                <w:sz w:val="20"/>
                <w:szCs w:val="20"/>
              </w:rPr>
              <w:t>成本构成项目</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hAnsi="宋体" w:cs="宋体" w:eastAsia="宋体" w:hint="default"/>
                <w:sz w:val="20"/>
                <w:szCs w:val="20"/>
              </w:rPr>
              <w:t>本期金额</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9"/>
              <w:ind w:left="121" w:right="123"/>
              <w:jc w:val="center"/>
              <w:rPr>
                <w:rFonts w:ascii="宋体" w:hAnsi="宋体" w:cs="宋体" w:eastAsia="宋体" w:hint="default"/>
                <w:sz w:val="20"/>
                <w:szCs w:val="20"/>
              </w:rPr>
            </w:pPr>
            <w:r>
              <w:rPr>
                <w:rFonts w:ascii="宋体" w:hAnsi="宋体" w:cs="宋体" w:eastAsia="宋体" w:hint="default"/>
                <w:sz w:val="20"/>
                <w:szCs w:val="20"/>
              </w:rPr>
              <w:t>本期占营业</w:t>
            </w:r>
            <w:r>
              <w:rPr>
                <w:rFonts w:ascii="宋体" w:hAnsi="宋体" w:cs="宋体" w:eastAsia="宋体" w:hint="default"/>
                <w:spacing w:val="-2"/>
                <w:w w:val="100"/>
                <w:sz w:val="20"/>
                <w:szCs w:val="20"/>
              </w:rPr>
              <w:t> </w:t>
            </w:r>
            <w:r>
              <w:rPr>
                <w:rFonts w:ascii="宋体" w:hAnsi="宋体" w:cs="宋体" w:eastAsia="宋体" w:hint="default"/>
                <w:sz w:val="20"/>
                <w:szCs w:val="20"/>
              </w:rPr>
              <w:t>成本比例</w:t>
            </w:r>
          </w:p>
          <w:p>
            <w:pPr>
              <w:pStyle w:val="TableParagraph"/>
              <w:spacing w:line="240" w:lineRule="auto" w:before="3"/>
              <w:ind w:right="1"/>
              <w:jc w:val="center"/>
              <w:rPr>
                <w:rFonts w:ascii="Arial" w:hAnsi="Arial" w:cs="Arial" w:eastAsia="Arial" w:hint="default"/>
                <w:sz w:val="20"/>
                <w:szCs w:val="20"/>
              </w:rPr>
            </w:pPr>
            <w:r>
              <w:rPr>
                <w:rFonts w:ascii="Arial"/>
                <w:sz w:val="20"/>
              </w:rPr>
              <w:t>(%)</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24"/>
              <w:ind w:left="110" w:right="108"/>
              <w:jc w:val="left"/>
              <w:rPr>
                <w:rFonts w:ascii="宋体" w:hAnsi="宋体" w:cs="宋体" w:eastAsia="宋体" w:hint="default"/>
                <w:sz w:val="20"/>
                <w:szCs w:val="20"/>
              </w:rPr>
            </w:pPr>
            <w:r>
              <w:rPr>
                <w:rFonts w:ascii="宋体" w:hAnsi="宋体" w:cs="宋体" w:eastAsia="宋体" w:hint="default"/>
                <w:sz w:val="20"/>
                <w:szCs w:val="20"/>
              </w:rPr>
              <w:t>上年同</w:t>
            </w:r>
            <w:r>
              <w:rPr>
                <w:rFonts w:ascii="宋体" w:hAnsi="宋体" w:cs="宋体" w:eastAsia="宋体" w:hint="default"/>
                <w:w w:val="100"/>
                <w:sz w:val="20"/>
                <w:szCs w:val="20"/>
              </w:rPr>
              <w:t> </w:t>
            </w:r>
            <w:r>
              <w:rPr>
                <w:rFonts w:ascii="宋体" w:hAnsi="宋体" w:cs="宋体" w:eastAsia="宋体" w:hint="default"/>
                <w:sz w:val="20"/>
                <w:szCs w:val="20"/>
              </w:rPr>
              <w:t>期金额</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64" w:right="0"/>
              <w:jc w:val="left"/>
              <w:rPr>
                <w:rFonts w:ascii="宋体" w:hAnsi="宋体" w:cs="宋体" w:eastAsia="宋体" w:hint="default"/>
                <w:sz w:val="20"/>
                <w:szCs w:val="20"/>
              </w:rPr>
            </w:pPr>
            <w:r>
              <w:rPr>
                <w:rFonts w:ascii="宋体" w:hAnsi="宋体" w:cs="宋体" w:eastAsia="宋体" w:hint="default"/>
                <w:sz w:val="20"/>
                <w:szCs w:val="20"/>
              </w:rPr>
              <w:t>上年同期</w:t>
            </w:r>
          </w:p>
          <w:p>
            <w:pPr>
              <w:pStyle w:val="TableParagraph"/>
              <w:spacing w:line="260" w:lineRule="exact" w:before="24"/>
              <w:ind w:left="109" w:right="106" w:firstLine="55"/>
              <w:jc w:val="left"/>
              <w:rPr>
                <w:rFonts w:ascii="Arial" w:hAnsi="Arial" w:cs="Arial" w:eastAsia="Arial" w:hint="default"/>
                <w:sz w:val="20"/>
                <w:szCs w:val="20"/>
              </w:rPr>
            </w:pPr>
            <w:r>
              <w:rPr>
                <w:rFonts w:ascii="宋体" w:hAnsi="宋体" w:cs="宋体" w:eastAsia="宋体" w:hint="default"/>
                <w:sz w:val="20"/>
                <w:szCs w:val="20"/>
              </w:rPr>
              <w:t>占营业成</w:t>
            </w:r>
            <w:r>
              <w:rPr>
                <w:rFonts w:ascii="宋体" w:hAnsi="宋体" w:cs="宋体" w:eastAsia="宋体" w:hint="default"/>
                <w:w w:val="100"/>
                <w:sz w:val="20"/>
                <w:szCs w:val="20"/>
              </w:rPr>
              <w:t> </w:t>
            </w:r>
            <w:r>
              <w:rPr>
                <w:rFonts w:ascii="宋体" w:hAnsi="宋体" w:cs="宋体" w:eastAsia="宋体" w:hint="default"/>
                <w:sz w:val="20"/>
                <w:szCs w:val="20"/>
              </w:rPr>
              <w:t>本比例</w:t>
            </w:r>
            <w:r>
              <w:rPr>
                <w:rFonts w:ascii="Arial" w:hAnsi="Arial" w:cs="Arial" w:eastAsia="Arial" w:hint="default"/>
                <w:sz w:val="20"/>
                <w:szCs w:val="20"/>
              </w:rPr>
              <w:t>(%)</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9"/>
              <w:ind w:left="100" w:right="102"/>
              <w:jc w:val="center"/>
              <w:rPr>
                <w:rFonts w:ascii="宋体" w:hAnsi="宋体" w:cs="宋体" w:eastAsia="宋体" w:hint="default"/>
                <w:sz w:val="20"/>
                <w:szCs w:val="20"/>
              </w:rPr>
            </w:pPr>
            <w:r>
              <w:rPr>
                <w:rFonts w:ascii="宋体" w:hAnsi="宋体" w:cs="宋体" w:eastAsia="宋体" w:hint="default"/>
                <w:sz w:val="20"/>
                <w:szCs w:val="20"/>
              </w:rPr>
              <w:t>本期金额较上年</w:t>
            </w:r>
            <w:r>
              <w:rPr>
                <w:rFonts w:ascii="宋体" w:hAnsi="宋体" w:cs="宋体" w:eastAsia="宋体" w:hint="default"/>
                <w:w w:val="100"/>
                <w:sz w:val="20"/>
                <w:szCs w:val="20"/>
              </w:rPr>
              <w:t> </w:t>
            </w:r>
            <w:r>
              <w:rPr>
                <w:rFonts w:ascii="宋体" w:hAnsi="宋体" w:cs="宋体" w:eastAsia="宋体" w:hint="default"/>
                <w:sz w:val="20"/>
                <w:szCs w:val="20"/>
              </w:rPr>
              <w:t>同期变动比例</w:t>
            </w:r>
          </w:p>
          <w:p>
            <w:pPr>
              <w:pStyle w:val="TableParagraph"/>
              <w:spacing w:line="240" w:lineRule="auto" w:before="3"/>
              <w:ind w:right="0"/>
              <w:jc w:val="center"/>
              <w:rPr>
                <w:rFonts w:ascii="Arial" w:hAnsi="Arial" w:cs="Arial" w:eastAsia="Arial" w:hint="default"/>
                <w:sz w:val="20"/>
                <w:szCs w:val="20"/>
              </w:rPr>
            </w:pPr>
            <w:r>
              <w:rPr>
                <w:rFonts w:ascii="Arial"/>
                <w:sz w:val="20"/>
              </w:rPr>
              <w:t>(%)</w:t>
            </w:r>
          </w:p>
        </w:tc>
      </w:tr>
      <w:tr>
        <w:trPr>
          <w:trHeight w:val="275" w:hRule="exact"/>
        </w:trPr>
        <w:tc>
          <w:tcPr>
            <w:tcW w:w="86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5" w:right="0"/>
              <w:jc w:val="left"/>
              <w:rPr>
                <w:rFonts w:ascii="宋体" w:hAnsi="宋体" w:cs="宋体" w:eastAsia="宋体" w:hint="default"/>
                <w:sz w:val="20"/>
                <w:szCs w:val="20"/>
              </w:rPr>
            </w:pPr>
            <w:r>
              <w:rPr>
                <w:rFonts w:ascii="宋体" w:hAnsi="宋体" w:cs="宋体" w:eastAsia="宋体" w:hint="default"/>
                <w:sz w:val="20"/>
                <w:szCs w:val="20"/>
              </w:rPr>
              <w:t>电信业</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8" w:right="0"/>
              <w:jc w:val="left"/>
              <w:rPr>
                <w:rFonts w:ascii="宋体" w:hAnsi="宋体" w:cs="宋体" w:eastAsia="宋体" w:hint="default"/>
                <w:sz w:val="20"/>
                <w:szCs w:val="20"/>
              </w:rPr>
            </w:pPr>
            <w:r>
              <w:rPr>
                <w:rFonts w:ascii="宋体" w:hAnsi="宋体" w:cs="宋体" w:eastAsia="宋体" w:hint="default"/>
                <w:sz w:val="20"/>
                <w:szCs w:val="20"/>
              </w:rPr>
              <w:t>网络运行及支撑成本</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z w:val="20"/>
              </w:rPr>
              <w:t>32,516</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Arial" w:hAnsi="Arial" w:cs="Arial" w:eastAsia="Arial" w:hint="default"/>
                <w:sz w:val="20"/>
                <w:szCs w:val="20"/>
              </w:rPr>
            </w:pPr>
            <w:r>
              <w:rPr>
                <w:rFonts w:ascii="Arial"/>
                <w:sz w:val="20"/>
              </w:rPr>
              <w:t>18.2</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9" w:right="0"/>
              <w:jc w:val="center"/>
              <w:rPr>
                <w:rFonts w:ascii="Arial" w:hAnsi="Arial" w:cs="Arial" w:eastAsia="Arial" w:hint="default"/>
                <w:sz w:val="20"/>
                <w:szCs w:val="20"/>
              </w:rPr>
            </w:pPr>
            <w:r>
              <w:rPr>
                <w:rFonts w:ascii="Arial"/>
                <w:sz w:val="20"/>
              </w:rPr>
              <w:t>29,449</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z w:val="20"/>
              </w:rPr>
              <w:t>19.1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Arial" w:hAnsi="Arial" w:cs="Arial" w:eastAsia="Arial" w:hint="default"/>
                <w:sz w:val="20"/>
                <w:szCs w:val="20"/>
              </w:rPr>
            </w:pPr>
            <w:r>
              <w:rPr>
                <w:rFonts w:ascii="Arial"/>
                <w:sz w:val="20"/>
              </w:rPr>
              <w:t>10.4</w:t>
            </w:r>
          </w:p>
        </w:tc>
      </w:tr>
      <w:tr>
        <w:trPr>
          <w:trHeight w:val="275" w:hRule="exact"/>
        </w:trPr>
        <w:tc>
          <w:tcPr>
            <w:tcW w:w="864" w:type="dxa"/>
            <w:vMerge/>
            <w:tcBorders>
              <w:left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8" w:right="0"/>
              <w:jc w:val="left"/>
              <w:rPr>
                <w:rFonts w:ascii="宋体" w:hAnsi="宋体" w:cs="宋体" w:eastAsia="宋体" w:hint="default"/>
                <w:sz w:val="20"/>
                <w:szCs w:val="20"/>
              </w:rPr>
            </w:pPr>
            <w:r>
              <w:rPr>
                <w:rFonts w:ascii="宋体" w:hAnsi="宋体" w:cs="宋体" w:eastAsia="宋体" w:hint="default"/>
                <w:sz w:val="20"/>
                <w:szCs w:val="20"/>
              </w:rPr>
              <w:t>网间结算成本</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z w:val="20"/>
              </w:rPr>
              <w:t>18,681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Arial" w:hAnsi="Arial" w:cs="Arial" w:eastAsia="Arial" w:hint="default"/>
                <w:sz w:val="20"/>
                <w:szCs w:val="20"/>
              </w:rPr>
            </w:pPr>
            <w:r>
              <w:rPr>
                <w:rFonts w:ascii="Arial"/>
                <w:sz w:val="20"/>
              </w:rPr>
              <w:t>10.4</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9" w:right="0"/>
              <w:jc w:val="center"/>
              <w:rPr>
                <w:rFonts w:ascii="Arial" w:hAnsi="Arial" w:cs="Arial" w:eastAsia="Arial" w:hint="default"/>
                <w:sz w:val="20"/>
                <w:szCs w:val="20"/>
              </w:rPr>
            </w:pPr>
            <w:r>
              <w:rPr>
                <w:rFonts w:ascii="Arial"/>
                <w:sz w:val="20"/>
              </w:rPr>
              <w:t>16,380</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z w:val="20"/>
              </w:rPr>
              <w:t>10.6</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Arial" w:hAnsi="Arial" w:cs="Arial" w:eastAsia="Arial" w:hint="default"/>
                <w:sz w:val="20"/>
                <w:szCs w:val="20"/>
              </w:rPr>
            </w:pPr>
            <w:r>
              <w:rPr>
                <w:rFonts w:ascii="Arial"/>
                <w:sz w:val="20"/>
              </w:rPr>
              <w:t>14.1</w:t>
            </w:r>
          </w:p>
        </w:tc>
      </w:tr>
      <w:tr>
        <w:trPr>
          <w:trHeight w:val="274" w:hRule="exact"/>
        </w:trPr>
        <w:tc>
          <w:tcPr>
            <w:tcW w:w="864" w:type="dxa"/>
            <w:vMerge/>
            <w:tcBorders>
              <w:left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8" w:right="0"/>
              <w:jc w:val="left"/>
              <w:rPr>
                <w:rFonts w:ascii="宋体" w:hAnsi="宋体" w:cs="宋体" w:eastAsia="宋体" w:hint="default"/>
                <w:sz w:val="20"/>
                <w:szCs w:val="20"/>
              </w:rPr>
            </w:pPr>
            <w:r>
              <w:rPr>
                <w:rFonts w:ascii="宋体" w:hAnsi="宋体" w:cs="宋体" w:eastAsia="宋体" w:hint="default"/>
                <w:sz w:val="20"/>
                <w:szCs w:val="20"/>
              </w:rPr>
              <w:t>人工成本</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Arial" w:hAnsi="Arial" w:cs="Arial" w:eastAsia="Arial" w:hint="default"/>
                <w:sz w:val="20"/>
                <w:szCs w:val="20"/>
              </w:rPr>
            </w:pPr>
            <w:r>
              <w:rPr>
                <w:rFonts w:ascii="Arial"/>
                <w:sz w:val="20"/>
              </w:rPr>
              <w:t>19,133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Arial" w:hAnsi="Arial" w:cs="Arial" w:eastAsia="Arial" w:hint="default"/>
                <w:sz w:val="20"/>
                <w:szCs w:val="20"/>
              </w:rPr>
            </w:pPr>
            <w:r>
              <w:rPr>
                <w:rFonts w:ascii="Arial"/>
                <w:sz w:val="20"/>
              </w:rPr>
              <w:t>10.7</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 w:right="0"/>
              <w:jc w:val="center"/>
              <w:rPr>
                <w:rFonts w:ascii="Arial" w:hAnsi="Arial" w:cs="Arial" w:eastAsia="Arial" w:hint="default"/>
                <w:sz w:val="20"/>
                <w:szCs w:val="20"/>
              </w:rPr>
            </w:pPr>
            <w:r>
              <w:rPr>
                <w:rFonts w:ascii="Arial"/>
                <w:sz w:val="20"/>
              </w:rPr>
              <w:t>18,088</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Arial" w:hAnsi="Arial" w:cs="Arial" w:eastAsia="Arial" w:hint="default"/>
                <w:sz w:val="20"/>
                <w:szCs w:val="20"/>
              </w:rPr>
            </w:pPr>
            <w:r>
              <w:rPr>
                <w:rFonts w:ascii="Arial"/>
                <w:sz w:val="20"/>
              </w:rPr>
              <w:t>11.7</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Arial" w:hAnsi="Arial" w:cs="Arial" w:eastAsia="Arial" w:hint="default"/>
                <w:sz w:val="20"/>
                <w:szCs w:val="20"/>
              </w:rPr>
            </w:pPr>
            <w:r>
              <w:rPr>
                <w:rFonts w:ascii="Arial"/>
                <w:sz w:val="20"/>
              </w:rPr>
              <w:t>5.8</w:t>
            </w:r>
          </w:p>
        </w:tc>
      </w:tr>
      <w:tr>
        <w:trPr>
          <w:trHeight w:val="275" w:hRule="exact"/>
        </w:trPr>
        <w:tc>
          <w:tcPr>
            <w:tcW w:w="864" w:type="dxa"/>
            <w:vMerge/>
            <w:tcBorders>
              <w:left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8" w:right="0"/>
              <w:jc w:val="left"/>
              <w:rPr>
                <w:rFonts w:ascii="宋体" w:hAnsi="宋体" w:cs="宋体" w:eastAsia="宋体" w:hint="default"/>
                <w:sz w:val="20"/>
                <w:szCs w:val="20"/>
              </w:rPr>
            </w:pPr>
            <w:r>
              <w:rPr>
                <w:rFonts w:ascii="宋体" w:hAnsi="宋体" w:cs="宋体" w:eastAsia="宋体" w:hint="default"/>
                <w:sz w:val="20"/>
                <w:szCs w:val="20"/>
              </w:rPr>
              <w:t>折旧及摊销</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z w:val="20"/>
              </w:rPr>
              <w:t>57,702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Arial" w:hAnsi="Arial" w:cs="Arial" w:eastAsia="Arial" w:hint="default"/>
                <w:sz w:val="20"/>
                <w:szCs w:val="20"/>
              </w:rPr>
            </w:pPr>
            <w:r>
              <w:rPr>
                <w:rFonts w:ascii="Arial"/>
                <w:sz w:val="20"/>
              </w:rPr>
              <w:t>32.2</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9" w:right="0"/>
              <w:jc w:val="center"/>
              <w:rPr>
                <w:rFonts w:ascii="Arial" w:hAnsi="Arial" w:cs="Arial" w:eastAsia="Arial" w:hint="default"/>
                <w:sz w:val="20"/>
                <w:szCs w:val="20"/>
              </w:rPr>
            </w:pPr>
            <w:r>
              <w:rPr>
                <w:rFonts w:ascii="Arial"/>
                <w:sz w:val="20"/>
              </w:rPr>
              <w:t>55,216</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z w:val="20"/>
              </w:rPr>
              <w:t>35.8</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Arial" w:hAnsi="Arial" w:cs="Arial" w:eastAsia="Arial" w:hint="default"/>
                <w:sz w:val="20"/>
                <w:szCs w:val="20"/>
              </w:rPr>
            </w:pPr>
            <w:r>
              <w:rPr>
                <w:rFonts w:ascii="Arial"/>
                <w:sz w:val="20"/>
              </w:rPr>
              <w:t>4.5</w:t>
            </w:r>
          </w:p>
        </w:tc>
      </w:tr>
      <w:tr>
        <w:trPr>
          <w:trHeight w:val="289" w:hRule="exact"/>
        </w:trPr>
        <w:tc>
          <w:tcPr>
            <w:tcW w:w="864" w:type="dxa"/>
            <w:vMerge/>
            <w:tcBorders>
              <w:left w:val="single" w:sz="6" w:space="0" w:color="000000"/>
              <w:bottom w:val="single" w:sz="12" w:space="0" w:color="000000"/>
              <w:right w:val="single" w:sz="6" w:space="0" w:color="000000"/>
            </w:tcBorders>
          </w:tcPr>
          <w:p>
            <w:pPr/>
          </w:p>
        </w:tc>
        <w:tc>
          <w:tcPr>
            <w:tcW w:w="2016" w:type="dxa"/>
            <w:tcBorders>
              <w:top w:val="single" w:sz="6" w:space="0" w:color="000000"/>
              <w:left w:val="single" w:sz="6" w:space="0" w:color="000000"/>
              <w:bottom w:val="single" w:sz="12" w:space="0" w:color="000000"/>
              <w:right w:val="single" w:sz="6" w:space="0" w:color="000000"/>
            </w:tcBorders>
          </w:tcPr>
          <w:p>
            <w:pPr>
              <w:pStyle w:val="TableParagraph"/>
              <w:spacing w:line="230" w:lineRule="exact"/>
              <w:ind w:left="38" w:right="0"/>
              <w:jc w:val="left"/>
              <w:rPr>
                <w:rFonts w:ascii="宋体" w:hAnsi="宋体" w:cs="宋体" w:eastAsia="宋体" w:hint="default"/>
                <w:sz w:val="20"/>
                <w:szCs w:val="20"/>
              </w:rPr>
            </w:pPr>
            <w:r>
              <w:rPr>
                <w:rFonts w:ascii="宋体" w:hAnsi="宋体" w:cs="宋体" w:eastAsia="宋体" w:hint="default"/>
                <w:sz w:val="20"/>
                <w:szCs w:val="20"/>
              </w:rPr>
              <w:t>销售通信产品支出</w:t>
            </w:r>
          </w:p>
        </w:tc>
        <w:tc>
          <w:tcPr>
            <w:tcW w:w="10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z w:val="20"/>
              </w:rPr>
              <w:t>45,040</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Arial" w:hAnsi="Arial" w:cs="Arial" w:eastAsia="Arial" w:hint="default"/>
                <w:sz w:val="20"/>
                <w:szCs w:val="20"/>
              </w:rPr>
            </w:pPr>
            <w:r>
              <w:rPr>
                <w:rFonts w:ascii="Arial"/>
                <w:sz w:val="20"/>
              </w:rPr>
              <w:t>25.1</w:t>
            </w:r>
          </w:p>
        </w:tc>
        <w:tc>
          <w:tcPr>
            <w:tcW w:w="8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left="9" w:right="0"/>
              <w:jc w:val="center"/>
              <w:rPr>
                <w:rFonts w:ascii="Arial" w:hAnsi="Arial" w:cs="Arial" w:eastAsia="Arial" w:hint="default"/>
                <w:sz w:val="20"/>
                <w:szCs w:val="20"/>
              </w:rPr>
            </w:pPr>
            <w:r>
              <w:rPr>
                <w:rFonts w:ascii="Arial"/>
                <w:sz w:val="20"/>
              </w:rPr>
              <w:t>29,739</w:t>
            </w:r>
          </w:p>
        </w:tc>
        <w:tc>
          <w:tcPr>
            <w:tcW w:w="11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z w:val="20"/>
              </w:rPr>
              <w:t>19.3</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Arial" w:hAnsi="Arial" w:cs="Arial" w:eastAsia="Arial" w:hint="default"/>
                <w:sz w:val="20"/>
                <w:szCs w:val="20"/>
              </w:rPr>
            </w:pPr>
            <w:r>
              <w:rPr>
                <w:rFonts w:ascii="Arial"/>
                <w:sz w:val="20"/>
              </w:rPr>
              <w:t>51.5</w:t>
            </w:r>
          </w:p>
        </w:tc>
      </w:tr>
      <w:tr>
        <w:trPr>
          <w:trHeight w:val="275" w:hRule="exact"/>
        </w:trPr>
        <w:tc>
          <w:tcPr>
            <w:tcW w:w="8758" w:type="dxa"/>
            <w:gridSpan w:val="7"/>
            <w:tcBorders>
              <w:top w:val="single" w:sz="12" w:space="0" w:color="000000"/>
              <w:left w:val="single" w:sz="6" w:space="0" w:color="000000"/>
              <w:bottom w:val="single" w:sz="6" w:space="0" w:color="000000"/>
              <w:right w:val="single" w:sz="6" w:space="0" w:color="000000"/>
            </w:tcBorders>
          </w:tcPr>
          <w:p>
            <w:pPr>
              <w:pStyle w:val="TableParagraph"/>
              <w:spacing w:line="224" w:lineRule="exact"/>
              <w:ind w:left="101" w:right="0"/>
              <w:jc w:val="left"/>
              <w:rPr>
                <w:rFonts w:ascii="宋体" w:hAnsi="宋体" w:cs="宋体" w:eastAsia="宋体" w:hint="default"/>
                <w:sz w:val="20"/>
                <w:szCs w:val="20"/>
              </w:rPr>
            </w:pPr>
            <w:r>
              <w:rPr>
                <w:rFonts w:ascii="宋体" w:hAnsi="宋体" w:cs="宋体" w:eastAsia="宋体" w:hint="default"/>
                <w:sz w:val="20"/>
                <w:szCs w:val="20"/>
              </w:rPr>
              <w:t>分产品情况</w:t>
            </w:r>
          </w:p>
        </w:tc>
      </w:tr>
      <w:tr>
        <w:trPr>
          <w:trHeight w:val="793" w:hRule="exact"/>
        </w:trPr>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分产品</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00" w:right="0"/>
              <w:jc w:val="left"/>
              <w:rPr>
                <w:rFonts w:ascii="宋体" w:hAnsi="宋体" w:cs="宋体" w:eastAsia="宋体" w:hint="default"/>
                <w:sz w:val="20"/>
                <w:szCs w:val="20"/>
              </w:rPr>
            </w:pPr>
            <w:r>
              <w:rPr>
                <w:rFonts w:ascii="宋体" w:hAnsi="宋体" w:cs="宋体" w:eastAsia="宋体" w:hint="default"/>
                <w:sz w:val="20"/>
                <w:szCs w:val="20"/>
              </w:rPr>
              <w:t>成本构成项目</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hAnsi="宋体" w:cs="宋体" w:eastAsia="宋体" w:hint="default"/>
                <w:sz w:val="20"/>
                <w:szCs w:val="20"/>
              </w:rPr>
              <w:t>本期金额</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9"/>
              <w:ind w:left="121" w:right="123"/>
              <w:jc w:val="center"/>
              <w:rPr>
                <w:rFonts w:ascii="宋体" w:hAnsi="宋体" w:cs="宋体" w:eastAsia="宋体" w:hint="default"/>
                <w:sz w:val="20"/>
                <w:szCs w:val="20"/>
              </w:rPr>
            </w:pPr>
            <w:r>
              <w:rPr>
                <w:rFonts w:ascii="宋体" w:hAnsi="宋体" w:cs="宋体" w:eastAsia="宋体" w:hint="default"/>
                <w:sz w:val="20"/>
                <w:szCs w:val="20"/>
              </w:rPr>
              <w:t>本期占营业</w:t>
            </w:r>
            <w:r>
              <w:rPr>
                <w:rFonts w:ascii="宋体" w:hAnsi="宋体" w:cs="宋体" w:eastAsia="宋体" w:hint="default"/>
                <w:spacing w:val="-2"/>
                <w:w w:val="100"/>
                <w:sz w:val="20"/>
                <w:szCs w:val="20"/>
              </w:rPr>
              <w:t> </w:t>
            </w:r>
            <w:r>
              <w:rPr>
                <w:rFonts w:ascii="宋体" w:hAnsi="宋体" w:cs="宋体" w:eastAsia="宋体" w:hint="default"/>
                <w:sz w:val="20"/>
                <w:szCs w:val="20"/>
              </w:rPr>
              <w:t>成本比例</w:t>
            </w:r>
          </w:p>
          <w:p>
            <w:pPr>
              <w:pStyle w:val="TableParagraph"/>
              <w:spacing w:line="240" w:lineRule="auto" w:before="3"/>
              <w:ind w:right="1"/>
              <w:jc w:val="center"/>
              <w:rPr>
                <w:rFonts w:ascii="Arial" w:hAnsi="Arial" w:cs="Arial" w:eastAsia="Arial" w:hint="default"/>
                <w:sz w:val="20"/>
                <w:szCs w:val="20"/>
              </w:rPr>
            </w:pPr>
            <w:r>
              <w:rPr>
                <w:rFonts w:ascii="Arial"/>
                <w:sz w:val="20"/>
              </w:rPr>
              <w:t>(%)</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23"/>
              <w:ind w:left="110" w:right="108"/>
              <w:jc w:val="left"/>
              <w:rPr>
                <w:rFonts w:ascii="宋体" w:hAnsi="宋体" w:cs="宋体" w:eastAsia="宋体" w:hint="default"/>
                <w:sz w:val="20"/>
                <w:szCs w:val="20"/>
              </w:rPr>
            </w:pPr>
            <w:r>
              <w:rPr>
                <w:rFonts w:ascii="宋体" w:hAnsi="宋体" w:cs="宋体" w:eastAsia="宋体" w:hint="default"/>
                <w:sz w:val="20"/>
                <w:szCs w:val="20"/>
              </w:rPr>
              <w:t>上年同</w:t>
            </w:r>
            <w:r>
              <w:rPr>
                <w:rFonts w:ascii="宋体" w:hAnsi="宋体" w:cs="宋体" w:eastAsia="宋体" w:hint="default"/>
                <w:w w:val="100"/>
                <w:sz w:val="20"/>
                <w:szCs w:val="20"/>
              </w:rPr>
              <w:t> </w:t>
            </w:r>
            <w:r>
              <w:rPr>
                <w:rFonts w:ascii="宋体" w:hAnsi="宋体" w:cs="宋体" w:eastAsia="宋体" w:hint="default"/>
                <w:sz w:val="20"/>
                <w:szCs w:val="20"/>
              </w:rPr>
              <w:t>期金额</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64" w:right="0"/>
              <w:jc w:val="left"/>
              <w:rPr>
                <w:rFonts w:ascii="宋体" w:hAnsi="宋体" w:cs="宋体" w:eastAsia="宋体" w:hint="default"/>
                <w:sz w:val="20"/>
                <w:szCs w:val="20"/>
              </w:rPr>
            </w:pPr>
            <w:r>
              <w:rPr>
                <w:rFonts w:ascii="宋体" w:hAnsi="宋体" w:cs="宋体" w:eastAsia="宋体" w:hint="default"/>
                <w:sz w:val="20"/>
                <w:szCs w:val="20"/>
              </w:rPr>
              <w:t>上年同期</w:t>
            </w:r>
          </w:p>
          <w:p>
            <w:pPr>
              <w:pStyle w:val="TableParagraph"/>
              <w:spacing w:line="240" w:lineRule="auto"/>
              <w:ind w:left="109" w:right="106" w:firstLine="55"/>
              <w:jc w:val="left"/>
              <w:rPr>
                <w:rFonts w:ascii="Arial" w:hAnsi="Arial" w:cs="Arial" w:eastAsia="Arial" w:hint="default"/>
                <w:sz w:val="20"/>
                <w:szCs w:val="20"/>
              </w:rPr>
            </w:pPr>
            <w:r>
              <w:rPr>
                <w:rFonts w:ascii="宋体" w:hAnsi="宋体" w:cs="宋体" w:eastAsia="宋体" w:hint="default"/>
                <w:sz w:val="20"/>
                <w:szCs w:val="20"/>
              </w:rPr>
              <w:t>占营业成</w:t>
            </w:r>
            <w:r>
              <w:rPr>
                <w:rFonts w:ascii="宋体" w:hAnsi="宋体" w:cs="宋体" w:eastAsia="宋体" w:hint="default"/>
                <w:w w:val="100"/>
                <w:sz w:val="20"/>
                <w:szCs w:val="20"/>
              </w:rPr>
              <w:t> </w:t>
            </w:r>
            <w:r>
              <w:rPr>
                <w:rFonts w:ascii="宋体" w:hAnsi="宋体" w:cs="宋体" w:eastAsia="宋体" w:hint="default"/>
                <w:sz w:val="20"/>
                <w:szCs w:val="20"/>
              </w:rPr>
              <w:t>本比例</w:t>
            </w:r>
            <w:r>
              <w:rPr>
                <w:rFonts w:ascii="Arial" w:hAnsi="Arial" w:cs="Arial" w:eastAsia="Arial" w:hint="default"/>
                <w:sz w:val="20"/>
                <w:szCs w:val="20"/>
              </w:rPr>
              <w:t>(%)</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9"/>
              <w:ind w:left="100" w:right="102"/>
              <w:jc w:val="center"/>
              <w:rPr>
                <w:rFonts w:ascii="宋体" w:hAnsi="宋体" w:cs="宋体" w:eastAsia="宋体" w:hint="default"/>
                <w:sz w:val="20"/>
                <w:szCs w:val="20"/>
              </w:rPr>
            </w:pPr>
            <w:r>
              <w:rPr>
                <w:rFonts w:ascii="宋体" w:hAnsi="宋体" w:cs="宋体" w:eastAsia="宋体" w:hint="default"/>
                <w:sz w:val="20"/>
                <w:szCs w:val="20"/>
              </w:rPr>
              <w:t>本期金额较上年</w:t>
            </w:r>
            <w:r>
              <w:rPr>
                <w:rFonts w:ascii="宋体" w:hAnsi="宋体" w:cs="宋体" w:eastAsia="宋体" w:hint="default"/>
                <w:w w:val="100"/>
                <w:sz w:val="20"/>
                <w:szCs w:val="20"/>
              </w:rPr>
              <w:t> </w:t>
            </w:r>
            <w:r>
              <w:rPr>
                <w:rFonts w:ascii="宋体" w:hAnsi="宋体" w:cs="宋体" w:eastAsia="宋体" w:hint="default"/>
                <w:sz w:val="20"/>
                <w:szCs w:val="20"/>
              </w:rPr>
              <w:t>同期变动比例</w:t>
            </w:r>
          </w:p>
          <w:p>
            <w:pPr>
              <w:pStyle w:val="TableParagraph"/>
              <w:spacing w:line="240" w:lineRule="auto" w:before="3"/>
              <w:ind w:right="0"/>
              <w:jc w:val="center"/>
              <w:rPr>
                <w:rFonts w:ascii="Arial" w:hAnsi="Arial" w:cs="Arial" w:eastAsia="Arial" w:hint="default"/>
                <w:sz w:val="20"/>
                <w:szCs w:val="20"/>
              </w:rPr>
            </w:pPr>
            <w:r>
              <w:rPr>
                <w:rFonts w:ascii="Arial"/>
                <w:sz w:val="20"/>
              </w:rPr>
              <w:t>(%)</w:t>
            </w:r>
          </w:p>
        </w:tc>
      </w:tr>
      <w:tr>
        <w:trPr>
          <w:trHeight w:val="274" w:hRule="exact"/>
        </w:trPr>
        <w:tc>
          <w:tcPr>
            <w:tcW w:w="86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5" w:right="0"/>
              <w:jc w:val="left"/>
              <w:rPr>
                <w:rFonts w:ascii="宋体" w:hAnsi="宋体" w:cs="宋体" w:eastAsia="宋体" w:hint="default"/>
                <w:sz w:val="20"/>
                <w:szCs w:val="20"/>
              </w:rPr>
            </w:pPr>
            <w:r>
              <w:rPr>
                <w:rFonts w:ascii="宋体" w:hAnsi="宋体" w:cs="宋体" w:eastAsia="宋体" w:hint="default"/>
                <w:sz w:val="20"/>
                <w:szCs w:val="20"/>
              </w:rPr>
              <w:t>电信业</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8" w:right="0"/>
              <w:jc w:val="left"/>
              <w:rPr>
                <w:rFonts w:ascii="宋体" w:hAnsi="宋体" w:cs="宋体" w:eastAsia="宋体" w:hint="default"/>
                <w:sz w:val="20"/>
                <w:szCs w:val="20"/>
              </w:rPr>
            </w:pPr>
            <w:r>
              <w:rPr>
                <w:rFonts w:ascii="宋体" w:hAnsi="宋体" w:cs="宋体" w:eastAsia="宋体" w:hint="default"/>
                <w:sz w:val="20"/>
                <w:szCs w:val="20"/>
              </w:rPr>
              <w:t>网络运行及支撑成本</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Arial" w:hAnsi="Arial" w:cs="Arial" w:eastAsia="Arial" w:hint="default"/>
                <w:sz w:val="20"/>
                <w:szCs w:val="20"/>
              </w:rPr>
            </w:pPr>
            <w:r>
              <w:rPr>
                <w:rFonts w:ascii="Arial"/>
                <w:sz w:val="20"/>
              </w:rPr>
              <w:t>32,516</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Arial" w:hAnsi="Arial" w:cs="Arial" w:eastAsia="Arial" w:hint="default"/>
                <w:sz w:val="20"/>
                <w:szCs w:val="20"/>
              </w:rPr>
            </w:pPr>
            <w:r>
              <w:rPr>
                <w:rFonts w:ascii="Arial"/>
                <w:sz w:val="20"/>
              </w:rPr>
              <w:t>18.2</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 w:right="0"/>
              <w:jc w:val="center"/>
              <w:rPr>
                <w:rFonts w:ascii="Arial" w:hAnsi="Arial" w:cs="Arial" w:eastAsia="Arial" w:hint="default"/>
                <w:sz w:val="20"/>
                <w:szCs w:val="20"/>
              </w:rPr>
            </w:pPr>
            <w:r>
              <w:rPr>
                <w:rFonts w:ascii="Arial"/>
                <w:sz w:val="20"/>
              </w:rPr>
              <w:t>29,449</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Arial" w:hAnsi="Arial" w:cs="Arial" w:eastAsia="Arial" w:hint="default"/>
                <w:sz w:val="20"/>
                <w:szCs w:val="20"/>
              </w:rPr>
            </w:pPr>
            <w:r>
              <w:rPr>
                <w:rFonts w:ascii="Arial"/>
                <w:sz w:val="20"/>
              </w:rPr>
              <w:t>19.1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20"/>
                <w:szCs w:val="20"/>
              </w:rPr>
            </w:pPr>
            <w:r>
              <w:rPr>
                <w:rFonts w:ascii="Arial"/>
                <w:sz w:val="20"/>
              </w:rPr>
              <w:t>10.4</w:t>
            </w:r>
          </w:p>
        </w:tc>
      </w:tr>
      <w:tr>
        <w:trPr>
          <w:trHeight w:val="275" w:hRule="exact"/>
        </w:trPr>
        <w:tc>
          <w:tcPr>
            <w:tcW w:w="864" w:type="dxa"/>
            <w:vMerge/>
            <w:tcBorders>
              <w:left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8" w:right="0"/>
              <w:jc w:val="left"/>
              <w:rPr>
                <w:rFonts w:ascii="宋体" w:hAnsi="宋体" w:cs="宋体" w:eastAsia="宋体" w:hint="default"/>
                <w:sz w:val="20"/>
                <w:szCs w:val="20"/>
              </w:rPr>
            </w:pPr>
            <w:r>
              <w:rPr>
                <w:rFonts w:ascii="宋体" w:hAnsi="宋体" w:cs="宋体" w:eastAsia="宋体" w:hint="default"/>
                <w:sz w:val="20"/>
                <w:szCs w:val="20"/>
              </w:rPr>
              <w:t>网间结算成本</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z w:val="20"/>
              </w:rPr>
              <w:t>18,681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Arial" w:hAnsi="Arial" w:cs="Arial" w:eastAsia="Arial" w:hint="default"/>
                <w:sz w:val="20"/>
                <w:szCs w:val="20"/>
              </w:rPr>
            </w:pPr>
            <w:r>
              <w:rPr>
                <w:rFonts w:ascii="Arial"/>
                <w:sz w:val="20"/>
              </w:rPr>
              <w:t>10.4</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9" w:right="0"/>
              <w:jc w:val="center"/>
              <w:rPr>
                <w:rFonts w:ascii="Arial" w:hAnsi="Arial" w:cs="Arial" w:eastAsia="Arial" w:hint="default"/>
                <w:sz w:val="20"/>
                <w:szCs w:val="20"/>
              </w:rPr>
            </w:pPr>
            <w:r>
              <w:rPr>
                <w:rFonts w:ascii="Arial"/>
                <w:sz w:val="20"/>
              </w:rPr>
              <w:t>16,380</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z w:val="20"/>
              </w:rPr>
              <w:t>10.6</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Arial" w:hAnsi="Arial" w:cs="Arial" w:eastAsia="Arial" w:hint="default"/>
                <w:sz w:val="20"/>
                <w:szCs w:val="20"/>
              </w:rPr>
            </w:pPr>
            <w:r>
              <w:rPr>
                <w:rFonts w:ascii="Arial"/>
                <w:sz w:val="20"/>
              </w:rPr>
              <w:t>14.1</w:t>
            </w:r>
          </w:p>
        </w:tc>
      </w:tr>
      <w:tr>
        <w:trPr>
          <w:trHeight w:val="275" w:hRule="exact"/>
        </w:trPr>
        <w:tc>
          <w:tcPr>
            <w:tcW w:w="864" w:type="dxa"/>
            <w:vMerge/>
            <w:tcBorders>
              <w:left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8" w:right="0"/>
              <w:jc w:val="left"/>
              <w:rPr>
                <w:rFonts w:ascii="宋体" w:hAnsi="宋体" w:cs="宋体" w:eastAsia="宋体" w:hint="default"/>
                <w:sz w:val="20"/>
                <w:szCs w:val="20"/>
              </w:rPr>
            </w:pPr>
            <w:r>
              <w:rPr>
                <w:rFonts w:ascii="宋体" w:hAnsi="宋体" w:cs="宋体" w:eastAsia="宋体" w:hint="default"/>
                <w:sz w:val="20"/>
                <w:szCs w:val="20"/>
              </w:rPr>
              <w:t>人工成本</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z w:val="20"/>
              </w:rPr>
              <w:t>19,133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Arial" w:hAnsi="Arial" w:cs="Arial" w:eastAsia="Arial" w:hint="default"/>
                <w:sz w:val="20"/>
                <w:szCs w:val="20"/>
              </w:rPr>
            </w:pPr>
            <w:r>
              <w:rPr>
                <w:rFonts w:ascii="Arial"/>
                <w:sz w:val="20"/>
              </w:rPr>
              <w:t>10.7</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9" w:right="0"/>
              <w:jc w:val="center"/>
              <w:rPr>
                <w:rFonts w:ascii="Arial" w:hAnsi="Arial" w:cs="Arial" w:eastAsia="Arial" w:hint="default"/>
                <w:sz w:val="20"/>
                <w:szCs w:val="20"/>
              </w:rPr>
            </w:pPr>
            <w:r>
              <w:rPr>
                <w:rFonts w:ascii="Arial"/>
                <w:sz w:val="20"/>
              </w:rPr>
              <w:t>18,088</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z w:val="20"/>
              </w:rPr>
              <w:t>11.7</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Arial" w:hAnsi="Arial" w:cs="Arial" w:eastAsia="Arial" w:hint="default"/>
                <w:sz w:val="20"/>
                <w:szCs w:val="20"/>
              </w:rPr>
            </w:pPr>
            <w:r>
              <w:rPr>
                <w:rFonts w:ascii="Arial"/>
                <w:sz w:val="20"/>
              </w:rPr>
              <w:t>5.8</w:t>
            </w:r>
          </w:p>
        </w:tc>
      </w:tr>
      <w:tr>
        <w:trPr>
          <w:trHeight w:val="274" w:hRule="exact"/>
        </w:trPr>
        <w:tc>
          <w:tcPr>
            <w:tcW w:w="864" w:type="dxa"/>
            <w:vMerge/>
            <w:tcBorders>
              <w:left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8" w:right="0"/>
              <w:jc w:val="left"/>
              <w:rPr>
                <w:rFonts w:ascii="宋体" w:hAnsi="宋体" w:cs="宋体" w:eastAsia="宋体" w:hint="default"/>
                <w:sz w:val="20"/>
                <w:szCs w:val="20"/>
              </w:rPr>
            </w:pPr>
            <w:r>
              <w:rPr>
                <w:rFonts w:ascii="宋体" w:hAnsi="宋体" w:cs="宋体" w:eastAsia="宋体" w:hint="default"/>
                <w:sz w:val="20"/>
                <w:szCs w:val="20"/>
              </w:rPr>
              <w:t>折旧及摊销</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Arial" w:hAnsi="Arial" w:cs="Arial" w:eastAsia="Arial" w:hint="default"/>
                <w:sz w:val="20"/>
                <w:szCs w:val="20"/>
              </w:rPr>
            </w:pPr>
            <w:r>
              <w:rPr>
                <w:rFonts w:ascii="Arial"/>
                <w:sz w:val="20"/>
              </w:rPr>
              <w:t>57,702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Arial" w:hAnsi="Arial" w:cs="Arial" w:eastAsia="Arial" w:hint="default"/>
                <w:sz w:val="20"/>
                <w:szCs w:val="20"/>
              </w:rPr>
            </w:pPr>
            <w:r>
              <w:rPr>
                <w:rFonts w:ascii="Arial"/>
                <w:sz w:val="20"/>
              </w:rPr>
              <w:t>32.2</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 w:right="0"/>
              <w:jc w:val="center"/>
              <w:rPr>
                <w:rFonts w:ascii="Arial" w:hAnsi="Arial" w:cs="Arial" w:eastAsia="Arial" w:hint="default"/>
                <w:sz w:val="20"/>
                <w:szCs w:val="20"/>
              </w:rPr>
            </w:pPr>
            <w:r>
              <w:rPr>
                <w:rFonts w:ascii="Arial"/>
                <w:sz w:val="20"/>
              </w:rPr>
              <w:t>55,216</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Arial" w:hAnsi="Arial" w:cs="Arial" w:eastAsia="Arial" w:hint="default"/>
                <w:sz w:val="20"/>
                <w:szCs w:val="20"/>
              </w:rPr>
            </w:pPr>
            <w:r>
              <w:rPr>
                <w:rFonts w:ascii="Arial"/>
                <w:sz w:val="20"/>
              </w:rPr>
              <w:t>35.8</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Arial" w:hAnsi="Arial" w:cs="Arial" w:eastAsia="Arial" w:hint="default"/>
                <w:sz w:val="20"/>
                <w:szCs w:val="20"/>
              </w:rPr>
            </w:pPr>
            <w:r>
              <w:rPr>
                <w:rFonts w:ascii="Arial"/>
                <w:sz w:val="20"/>
              </w:rPr>
              <w:t>4.5</w:t>
            </w:r>
          </w:p>
        </w:tc>
      </w:tr>
      <w:tr>
        <w:trPr>
          <w:trHeight w:val="275" w:hRule="exact"/>
        </w:trPr>
        <w:tc>
          <w:tcPr>
            <w:tcW w:w="864" w:type="dxa"/>
            <w:vMerge/>
            <w:tcBorders>
              <w:left w:val="single" w:sz="6" w:space="0" w:color="000000"/>
              <w:bottom w:val="single" w:sz="6" w:space="0" w:color="000000"/>
              <w:right w:val="single" w:sz="6" w:space="0" w:color="000000"/>
            </w:tcBorders>
          </w:tcPr>
          <w:p>
            <w:pP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8" w:right="0"/>
              <w:jc w:val="left"/>
              <w:rPr>
                <w:rFonts w:ascii="宋体" w:hAnsi="宋体" w:cs="宋体" w:eastAsia="宋体" w:hint="default"/>
                <w:sz w:val="20"/>
                <w:szCs w:val="20"/>
              </w:rPr>
            </w:pPr>
            <w:r>
              <w:rPr>
                <w:rFonts w:ascii="宋体" w:hAnsi="宋体" w:cs="宋体" w:eastAsia="宋体" w:hint="default"/>
                <w:sz w:val="20"/>
                <w:szCs w:val="20"/>
              </w:rPr>
              <w:t>销售通信产品支出</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z w:val="20"/>
              </w:rPr>
              <w:t>45,040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Arial" w:hAnsi="Arial" w:cs="Arial" w:eastAsia="Arial" w:hint="default"/>
                <w:sz w:val="20"/>
                <w:szCs w:val="20"/>
              </w:rPr>
            </w:pPr>
            <w:r>
              <w:rPr>
                <w:rFonts w:ascii="Arial"/>
                <w:sz w:val="20"/>
              </w:rPr>
              <w:t>25.1</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9" w:right="0"/>
              <w:jc w:val="center"/>
              <w:rPr>
                <w:rFonts w:ascii="Arial" w:hAnsi="Arial" w:cs="Arial" w:eastAsia="Arial" w:hint="default"/>
                <w:sz w:val="20"/>
                <w:szCs w:val="20"/>
              </w:rPr>
            </w:pPr>
            <w:r>
              <w:rPr>
                <w:rFonts w:ascii="Arial"/>
                <w:sz w:val="20"/>
              </w:rPr>
              <w:t>29,739</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z w:val="20"/>
              </w:rPr>
              <w:t>19.3</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Arial" w:hAnsi="Arial" w:cs="Arial" w:eastAsia="Arial" w:hint="default"/>
                <w:sz w:val="20"/>
                <w:szCs w:val="20"/>
              </w:rPr>
            </w:pPr>
            <w:r>
              <w:rPr>
                <w:rFonts w:ascii="Arial"/>
                <w:sz w:val="20"/>
              </w:rPr>
              <w:t>51.5</w:t>
            </w:r>
          </w:p>
        </w:tc>
      </w:tr>
    </w:tbl>
    <w:p>
      <w:pPr>
        <w:pStyle w:val="BodyText"/>
        <w:spacing w:line="252" w:lineRule="exact"/>
        <w:ind w:left="866" w:right="0"/>
        <w:jc w:val="left"/>
      </w:pPr>
      <w:r>
        <w:rPr/>
        <w:t>成本变动原因分析：</w:t>
      </w:r>
    </w:p>
    <w:p>
      <w:pPr>
        <w:spacing w:line="240" w:lineRule="auto" w:before="4"/>
        <w:rPr>
          <w:rFonts w:ascii="宋体" w:hAnsi="宋体" w:cs="宋体" w:eastAsia="宋体" w:hint="default"/>
          <w:sz w:val="21"/>
          <w:szCs w:val="21"/>
        </w:rPr>
      </w:pPr>
    </w:p>
    <w:p>
      <w:pPr>
        <w:pStyle w:val="BodyText"/>
        <w:tabs>
          <w:tab w:pos="1226" w:val="left" w:leader="none"/>
        </w:tabs>
        <w:spacing w:line="286" w:lineRule="exact"/>
        <w:ind w:left="1244" w:right="162" w:hanging="379"/>
        <w:jc w:val="left"/>
      </w:pPr>
      <w:r>
        <w:rPr>
          <w:rFonts w:ascii="Symbol" w:hAnsi="Symbol" w:cs="Symbol" w:eastAsia="Symbol" w:hint="default"/>
          <w:w w:val="95"/>
        </w:rPr>
        <w:t></w:t>
      </w:r>
      <w:r>
        <w:rPr>
          <w:rFonts w:ascii="Times New Roman" w:hAnsi="Times New Roman" w:cs="Times New Roman" w:eastAsia="Times New Roman" w:hint="default"/>
          <w:w w:val="95"/>
        </w:rPr>
        <w:tab/>
      </w:r>
      <w:r>
        <w:rPr/>
        <w:t>网络运行及支撑成本：网络覆盖扩大、网络资产增加及能源、物业租金等基础价格上涨</w:t>
      </w:r>
      <w:r>
        <w:rPr>
          <w:spacing w:val="-96"/>
        </w:rPr>
        <w:t> </w:t>
      </w:r>
      <w:r>
        <w:rPr>
          <w:spacing w:val="-96"/>
        </w:rPr>
      </w:r>
      <w:r>
        <w:rPr/>
        <w:t>所致。</w:t>
      </w:r>
    </w:p>
    <w:p>
      <w:pPr>
        <w:pStyle w:val="BodyText"/>
        <w:tabs>
          <w:tab w:pos="1226" w:val="left" w:leader="none"/>
        </w:tabs>
        <w:spacing w:line="266" w:lineRule="exact"/>
        <w:ind w:left="866" w:right="0"/>
        <w:jc w:val="left"/>
      </w:pPr>
      <w:r>
        <w:rPr>
          <w:rFonts w:ascii="Symbol" w:hAnsi="Symbol" w:cs="Symbol" w:eastAsia="Symbol" w:hint="default"/>
          <w:w w:val="95"/>
        </w:rPr>
        <w:t></w:t>
      </w:r>
      <w:r>
        <w:rPr>
          <w:rFonts w:ascii="Times New Roman" w:hAnsi="Times New Roman" w:cs="Times New Roman" w:eastAsia="Times New Roman" w:hint="default"/>
          <w:w w:val="95"/>
        </w:rPr>
        <w:tab/>
      </w:r>
      <w:r>
        <w:rPr/>
        <w:t>网间结算成本：公司用户和收入的快速增长，网间去话量同步增长所致。</w:t>
      </w:r>
    </w:p>
    <w:p>
      <w:pPr>
        <w:pStyle w:val="BodyText"/>
        <w:tabs>
          <w:tab w:pos="1226" w:val="left" w:leader="none"/>
        </w:tabs>
        <w:spacing w:line="285" w:lineRule="exact"/>
        <w:ind w:left="866" w:right="0"/>
        <w:jc w:val="left"/>
      </w:pPr>
      <w:r>
        <w:rPr>
          <w:rFonts w:ascii="Symbol" w:hAnsi="Symbol" w:cs="Symbol" w:eastAsia="Symbol" w:hint="default"/>
          <w:w w:val="95"/>
        </w:rPr>
        <w:t></w:t>
      </w:r>
      <w:r>
        <w:rPr>
          <w:rFonts w:ascii="Times New Roman" w:hAnsi="Times New Roman" w:cs="Times New Roman" w:eastAsia="Times New Roman" w:hint="default"/>
          <w:w w:val="95"/>
        </w:rPr>
        <w:tab/>
      </w:r>
      <w:r>
        <w:rPr/>
        <w:t>人工成本：公司坚持人工成本总量与业务收入和经营效益双重挂钩所致。</w:t>
      </w:r>
    </w:p>
    <w:p>
      <w:pPr>
        <w:pStyle w:val="BodyText"/>
        <w:tabs>
          <w:tab w:pos="1226" w:val="left" w:leader="none"/>
        </w:tabs>
        <w:spacing w:line="286" w:lineRule="exact"/>
        <w:ind w:left="866" w:right="0"/>
        <w:jc w:val="left"/>
      </w:pPr>
      <w:r>
        <w:rPr>
          <w:rFonts w:ascii="Symbol" w:hAnsi="Symbol" w:cs="Symbol" w:eastAsia="Symbol" w:hint="default"/>
          <w:w w:val="95"/>
        </w:rPr>
        <w:t></w:t>
      </w:r>
      <w:r>
        <w:rPr>
          <w:rFonts w:ascii="Times New Roman" w:hAnsi="Times New Roman" w:cs="Times New Roman" w:eastAsia="Times New Roman" w:hint="default"/>
          <w:w w:val="95"/>
        </w:rPr>
        <w:tab/>
      </w:r>
      <w:r>
        <w:rPr/>
        <w:t>折旧及摊销：公司进一步扩大网络覆盖、提升网络质量，增强网络能力所致。</w:t>
      </w:r>
    </w:p>
    <w:p>
      <w:pPr>
        <w:pStyle w:val="BodyText"/>
        <w:tabs>
          <w:tab w:pos="1244" w:val="left" w:leader="none"/>
        </w:tabs>
        <w:spacing w:line="286" w:lineRule="exact" w:before="18"/>
        <w:ind w:left="1244" w:right="151" w:hanging="379"/>
        <w:jc w:val="left"/>
      </w:pPr>
      <w:r>
        <w:rPr>
          <w:rFonts w:ascii="Symbol" w:hAnsi="Symbol" w:cs="Symbol" w:eastAsia="Symbol" w:hint="default"/>
          <w:w w:val="95"/>
        </w:rPr>
        <w:t></w:t>
      </w:r>
      <w:r>
        <w:rPr>
          <w:rFonts w:ascii="Times New Roman" w:hAnsi="Times New Roman" w:cs="Times New Roman" w:eastAsia="Times New Roman" w:hint="default"/>
          <w:w w:val="95"/>
        </w:rPr>
        <w:tab/>
      </w:r>
      <w:r>
        <w:rPr/>
        <w:t>销售通信产品支出：主要是由于本年公司业务特别是 </w:t>
      </w:r>
      <w:r>
        <w:rPr>
          <w:rFonts w:ascii="Arial" w:hAnsi="Arial" w:cs="Arial" w:eastAsia="Arial" w:hint="default"/>
        </w:rPr>
        <w:t>3G </w:t>
      </w:r>
      <w:r>
        <w:rPr/>
        <w:t>业务的总体增长以及 </w:t>
      </w:r>
      <w:r>
        <w:rPr>
          <w:rFonts w:ascii="Arial" w:hAnsi="Arial" w:cs="Arial" w:eastAsia="Arial" w:hint="default"/>
        </w:rPr>
        <w:t>3G</w:t>
      </w:r>
      <w:r>
        <w:rPr>
          <w:rFonts w:ascii="Arial" w:hAnsi="Arial" w:cs="Arial" w:eastAsia="Arial" w:hint="default"/>
          <w:spacing w:val="-32"/>
        </w:rPr>
        <w:t> </w:t>
      </w:r>
      <w:r>
        <w:rPr/>
        <w:t>业务</w:t>
      </w:r>
      <w:r>
        <w:rPr>
          <w:spacing w:val="-2"/>
          <w:w w:val="99"/>
        </w:rPr>
        <w:t> </w:t>
      </w:r>
      <w:r>
        <w:rPr/>
        <w:t>促销活动增加所致。</w:t>
      </w:r>
    </w:p>
    <w:p>
      <w:pPr>
        <w:spacing w:line="240" w:lineRule="auto" w:before="4"/>
        <w:rPr>
          <w:rFonts w:ascii="宋体" w:hAnsi="宋体" w:cs="宋体" w:eastAsia="宋体" w:hint="default"/>
          <w:sz w:val="15"/>
          <w:szCs w:val="15"/>
        </w:rPr>
      </w:pPr>
    </w:p>
    <w:p>
      <w:pPr>
        <w:pStyle w:val="BodyText"/>
        <w:spacing w:line="240" w:lineRule="auto"/>
        <w:ind w:left="146" w:right="0"/>
        <w:jc w:val="left"/>
      </w:pPr>
      <w:r>
        <w:rPr>
          <w:rFonts w:ascii="Arial" w:hAnsi="Arial" w:cs="Arial" w:eastAsia="Arial" w:hint="default"/>
        </w:rPr>
        <w:t>4</w:t>
      </w:r>
      <w:r>
        <w:rPr/>
        <w:t>、费用</w:t>
      </w:r>
    </w:p>
    <w:p>
      <w:pPr>
        <w:spacing w:line="240" w:lineRule="auto" w:before="3"/>
        <w:rPr>
          <w:rFonts w:ascii="宋体" w:hAnsi="宋体" w:cs="宋体" w:eastAsia="宋体" w:hint="default"/>
          <w:sz w:val="20"/>
          <w:szCs w:val="20"/>
        </w:rPr>
      </w:pPr>
    </w:p>
    <w:p>
      <w:pPr>
        <w:pStyle w:val="BodyText"/>
        <w:spacing w:line="284" w:lineRule="exact"/>
        <w:ind w:left="498" w:right="139"/>
        <w:jc w:val="left"/>
      </w:pPr>
      <w:r>
        <w:rPr/>
        <w:t>报告期内公司财务费用较上年同比上升</w:t>
      </w:r>
      <w:r>
        <w:rPr>
          <w:spacing w:val="-85"/>
        </w:rPr>
        <w:t> </w:t>
      </w:r>
      <w:r>
        <w:rPr>
          <w:rFonts w:ascii="Arial" w:hAnsi="Arial" w:cs="Arial" w:eastAsia="Arial" w:hint="default"/>
        </w:rPr>
        <w:t>174.9%</w:t>
      </w:r>
      <w:r>
        <w:rPr/>
        <w:t>，主要是带息负债增加导致利息支出相应增加以</w:t>
      </w:r>
      <w:r>
        <w:rPr>
          <w:w w:val="99"/>
        </w:rPr>
        <w:t> </w:t>
      </w:r>
      <w:r>
        <w:rPr/>
        <w:t>及汇率变动导致的汇兑收益减少所致；</w:t>
      </w:r>
    </w:p>
    <w:p>
      <w:pPr>
        <w:spacing w:line="240" w:lineRule="auto" w:before="3"/>
        <w:rPr>
          <w:rFonts w:ascii="宋体" w:hAnsi="宋体" w:cs="宋体" w:eastAsia="宋体" w:hint="default"/>
          <w:sz w:val="17"/>
          <w:szCs w:val="17"/>
        </w:rPr>
      </w:pPr>
    </w:p>
    <w:p>
      <w:pPr>
        <w:pStyle w:val="BodyText"/>
        <w:spacing w:line="408" w:lineRule="auto"/>
        <w:ind w:left="146" w:right="1342" w:firstLine="351"/>
        <w:jc w:val="left"/>
      </w:pPr>
      <w:r>
        <w:rPr/>
        <w:t>报告期内公司所得税费用较上年同比上升</w:t>
      </w:r>
      <w:r>
        <w:rPr>
          <w:spacing w:val="-64"/>
        </w:rPr>
        <w:t> </w:t>
      </w:r>
      <w:r>
        <w:rPr>
          <w:rFonts w:ascii="Arial" w:hAnsi="Arial" w:cs="Arial" w:eastAsia="Arial" w:hint="default"/>
        </w:rPr>
        <w:t>70.7%</w:t>
      </w:r>
      <w:r>
        <w:rPr/>
        <w:t>，主要是由于利润总额增加所致。</w:t>
      </w:r>
      <w:r>
        <w:rPr>
          <w:w w:val="99"/>
        </w:rPr>
        <w:t> </w:t>
      </w:r>
      <w:r>
        <w:rPr>
          <w:rFonts w:ascii="Arial" w:hAnsi="Arial" w:cs="Arial" w:eastAsia="Arial" w:hint="default"/>
        </w:rPr>
        <w:t>5</w:t>
      </w:r>
      <w:r>
        <w:rPr/>
        <w:t>、研发支出</w:t>
      </w:r>
    </w:p>
    <w:p>
      <w:pPr>
        <w:spacing w:after="0" w:line="408" w:lineRule="auto"/>
        <w:jc w:val="left"/>
        <w:sectPr>
          <w:type w:val="continuous"/>
          <w:pgSz w:w="11910" w:h="16840"/>
          <w:pgMar w:top="1100" w:bottom="280" w:left="1380" w:right="740"/>
        </w:sectPr>
      </w:pPr>
    </w:p>
    <w:p>
      <w:pPr>
        <w:pStyle w:val="BodyText"/>
        <w:spacing w:line="240" w:lineRule="auto" w:before="63"/>
        <w:ind w:left="506" w:right="-18"/>
        <w:jc w:val="left"/>
      </w:pPr>
      <w:r>
        <w:rPr>
          <w:rFonts w:ascii="Arial" w:hAnsi="Arial" w:cs="Arial" w:eastAsia="Arial" w:hint="default"/>
        </w:rPr>
        <w:t>5.1</w:t>
      </w:r>
      <w:r>
        <w:rPr>
          <w:rFonts w:ascii="Arial" w:hAnsi="Arial" w:cs="Arial" w:eastAsia="Arial" w:hint="default"/>
          <w:spacing w:val="-10"/>
        </w:rPr>
        <w:t> </w:t>
      </w:r>
      <w:r>
        <w:rPr/>
        <w:t>研发支出情况表</w:t>
      </w:r>
    </w:p>
    <w:p>
      <w:pPr>
        <w:spacing w:line="240" w:lineRule="auto" w:before="13"/>
        <w:rPr>
          <w:rFonts w:ascii="宋体" w:hAnsi="宋体" w:cs="宋体" w:eastAsia="宋体" w:hint="default"/>
          <w:sz w:val="26"/>
          <w:szCs w:val="26"/>
        </w:rPr>
      </w:pPr>
      <w:r>
        <w:rPr/>
        <w:br w:type="column"/>
      </w:r>
      <w:r>
        <w:rPr>
          <w:rFonts w:ascii="宋体"/>
          <w:sz w:val="26"/>
        </w:rPr>
      </w:r>
    </w:p>
    <w:p>
      <w:pPr>
        <w:spacing w:before="0"/>
        <w:ind w:left="506" w:right="0" w:firstLine="0"/>
        <w:jc w:val="left"/>
        <w:rPr>
          <w:rFonts w:ascii="宋体" w:hAnsi="宋体" w:cs="宋体" w:eastAsia="宋体" w:hint="default"/>
          <w:sz w:val="20"/>
          <w:szCs w:val="20"/>
        </w:rPr>
      </w:pPr>
      <w:r>
        <w:rPr>
          <w:rFonts w:ascii="宋体" w:hAnsi="宋体" w:cs="宋体" w:eastAsia="宋体" w:hint="default"/>
          <w:sz w:val="20"/>
          <w:szCs w:val="20"/>
        </w:rPr>
        <w:t>单位：人民币元</w:t>
      </w:r>
    </w:p>
    <w:p>
      <w:pPr>
        <w:spacing w:after="0"/>
        <w:jc w:val="left"/>
        <w:rPr>
          <w:rFonts w:ascii="宋体" w:hAnsi="宋体" w:cs="宋体" w:eastAsia="宋体" w:hint="default"/>
          <w:sz w:val="20"/>
          <w:szCs w:val="20"/>
        </w:rPr>
        <w:sectPr>
          <w:type w:val="continuous"/>
          <w:pgSz w:w="11910" w:h="16840"/>
          <w:pgMar w:top="1100" w:bottom="280" w:left="1380" w:right="740"/>
          <w:cols w:num="2" w:equalWidth="0">
            <w:col w:w="2406" w:space="5324"/>
            <w:col w:w="2060"/>
          </w:cols>
        </w:sectPr>
      </w:pPr>
    </w:p>
    <w:p>
      <w:pPr>
        <w:spacing w:line="240" w:lineRule="auto" w:before="3"/>
        <w:rPr>
          <w:rFonts w:ascii="宋体" w:hAnsi="宋体" w:cs="宋体" w:eastAsia="宋体" w:hint="default"/>
          <w:sz w:val="2"/>
          <w:szCs w:val="2"/>
        </w:rPr>
      </w:pPr>
    </w:p>
    <w:tbl>
      <w:tblPr>
        <w:tblW w:w="0" w:type="auto"/>
        <w:jc w:val="left"/>
        <w:tblInd w:w="859" w:type="dxa"/>
        <w:tblLayout w:type="fixed"/>
        <w:tblCellMar>
          <w:top w:w="0" w:type="dxa"/>
          <w:left w:w="0" w:type="dxa"/>
          <w:bottom w:w="0" w:type="dxa"/>
          <w:right w:w="0" w:type="dxa"/>
        </w:tblCellMar>
        <w:tblLook w:val="01E0"/>
      </w:tblPr>
      <w:tblGrid>
        <w:gridCol w:w="5041"/>
        <w:gridCol w:w="3736"/>
      </w:tblGrid>
      <w:tr>
        <w:trPr>
          <w:trHeight w:val="300" w:hRule="exact"/>
        </w:trPr>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1" w:right="0"/>
              <w:jc w:val="left"/>
              <w:rPr>
                <w:rFonts w:ascii="宋体" w:hAnsi="宋体" w:cs="宋体" w:eastAsia="宋体" w:hint="default"/>
                <w:sz w:val="22"/>
                <w:szCs w:val="22"/>
              </w:rPr>
            </w:pPr>
            <w:r>
              <w:rPr>
                <w:rFonts w:ascii="宋体" w:hAnsi="宋体" w:cs="宋体" w:eastAsia="宋体" w:hint="default"/>
                <w:sz w:val="22"/>
                <w:szCs w:val="22"/>
              </w:rPr>
              <w:t>本期费用化研发支出</w:t>
            </w:r>
          </w:p>
        </w:tc>
        <w:tc>
          <w:tcPr>
            <w:tcW w:w="3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5"/>
                <w:sz w:val="22"/>
              </w:rPr>
              <w:t>255,350,892</w:t>
            </w:r>
            <w:r>
              <w:rPr>
                <w:rFonts w:ascii="Arial"/>
                <w:sz w:val="22"/>
              </w:rPr>
            </w:r>
          </w:p>
        </w:tc>
      </w:tr>
      <w:tr>
        <w:trPr>
          <w:trHeight w:val="300" w:hRule="exact"/>
        </w:trPr>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1" w:right="0"/>
              <w:jc w:val="left"/>
              <w:rPr>
                <w:rFonts w:ascii="宋体" w:hAnsi="宋体" w:cs="宋体" w:eastAsia="宋体" w:hint="default"/>
                <w:sz w:val="22"/>
                <w:szCs w:val="22"/>
              </w:rPr>
            </w:pPr>
            <w:r>
              <w:rPr>
                <w:rFonts w:ascii="宋体" w:hAnsi="宋体" w:cs="宋体" w:eastAsia="宋体" w:hint="default"/>
                <w:sz w:val="22"/>
                <w:szCs w:val="22"/>
              </w:rPr>
              <w:t>研发支出合计</w:t>
            </w:r>
          </w:p>
        </w:tc>
        <w:tc>
          <w:tcPr>
            <w:tcW w:w="3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5"/>
                <w:sz w:val="22"/>
              </w:rPr>
              <w:t>255,350,892</w:t>
            </w:r>
            <w:r>
              <w:rPr>
                <w:rFonts w:ascii="Arial"/>
                <w:sz w:val="22"/>
              </w:rPr>
            </w:r>
          </w:p>
        </w:tc>
      </w:tr>
      <w:tr>
        <w:trPr>
          <w:trHeight w:val="301" w:hRule="exact"/>
        </w:trPr>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01" w:right="0"/>
              <w:jc w:val="left"/>
              <w:rPr>
                <w:rFonts w:ascii="Arial" w:hAnsi="Arial" w:cs="Arial" w:eastAsia="Arial" w:hint="default"/>
                <w:sz w:val="22"/>
                <w:szCs w:val="22"/>
              </w:rPr>
            </w:pPr>
            <w:r>
              <w:rPr>
                <w:rFonts w:ascii="宋体" w:hAnsi="宋体" w:cs="宋体" w:eastAsia="宋体" w:hint="default"/>
                <w:sz w:val="22"/>
                <w:szCs w:val="22"/>
              </w:rPr>
              <w:t>研发支出总额占净资产比例</w:t>
            </w:r>
            <w:r>
              <w:rPr>
                <w:rFonts w:ascii="Arial" w:hAnsi="Arial" w:cs="Arial" w:eastAsia="Arial" w:hint="default"/>
                <w:sz w:val="22"/>
                <w:szCs w:val="22"/>
              </w:rPr>
              <w:t>(%)</w:t>
            </w:r>
          </w:p>
        </w:tc>
        <w:tc>
          <w:tcPr>
            <w:tcW w:w="3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5"/>
                <w:sz w:val="22"/>
              </w:rPr>
              <w:t>0.1</w:t>
            </w:r>
            <w:r>
              <w:rPr>
                <w:rFonts w:ascii="Arial"/>
                <w:sz w:val="22"/>
              </w:rPr>
            </w:r>
          </w:p>
        </w:tc>
      </w:tr>
      <w:tr>
        <w:trPr>
          <w:trHeight w:val="300" w:hRule="exact"/>
        </w:trPr>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1" w:right="0"/>
              <w:jc w:val="left"/>
              <w:rPr>
                <w:rFonts w:ascii="Arial" w:hAnsi="Arial" w:cs="Arial" w:eastAsia="Arial" w:hint="default"/>
                <w:sz w:val="22"/>
                <w:szCs w:val="22"/>
              </w:rPr>
            </w:pPr>
            <w:r>
              <w:rPr>
                <w:rFonts w:ascii="宋体" w:hAnsi="宋体" w:cs="宋体" w:eastAsia="宋体" w:hint="default"/>
                <w:sz w:val="22"/>
                <w:szCs w:val="22"/>
              </w:rPr>
              <w:t>研发支出总额占营业收入比例</w:t>
            </w:r>
            <w:r>
              <w:rPr>
                <w:rFonts w:ascii="Arial" w:hAnsi="Arial" w:cs="Arial" w:eastAsia="Arial" w:hint="default"/>
                <w:sz w:val="22"/>
                <w:szCs w:val="22"/>
              </w:rPr>
              <w:t>(%)</w:t>
            </w:r>
          </w:p>
        </w:tc>
        <w:tc>
          <w:tcPr>
            <w:tcW w:w="3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5"/>
                <w:sz w:val="22"/>
              </w:rPr>
              <w:t>0.1</w:t>
            </w:r>
            <w:r>
              <w:rPr>
                <w:rFonts w:ascii="Arial"/>
                <w:sz w:val="22"/>
              </w:rPr>
            </w:r>
          </w:p>
        </w:tc>
      </w:tr>
    </w:tbl>
    <w:p>
      <w:pPr>
        <w:spacing w:after="0" w:line="240" w:lineRule="auto"/>
        <w:jc w:val="right"/>
        <w:rPr>
          <w:rFonts w:ascii="Arial" w:hAnsi="Arial" w:cs="Arial" w:eastAsia="Arial" w:hint="default"/>
          <w:sz w:val="22"/>
          <w:szCs w:val="22"/>
        </w:rPr>
        <w:sectPr>
          <w:type w:val="continuous"/>
          <w:pgSz w:w="11910" w:h="16840"/>
          <w:pgMar w:top="1100" w:bottom="280" w:left="1380" w:right="740"/>
        </w:sectPr>
      </w:pPr>
    </w:p>
    <w:p>
      <w:pPr>
        <w:spacing w:line="240" w:lineRule="auto" w:before="8"/>
        <w:rPr>
          <w:rFonts w:ascii="宋体" w:hAnsi="宋体" w:cs="宋体" w:eastAsia="宋体" w:hint="default"/>
          <w:sz w:val="22"/>
          <w:szCs w:val="22"/>
        </w:rPr>
      </w:pPr>
    </w:p>
    <w:p>
      <w:pPr>
        <w:pStyle w:val="BodyText"/>
        <w:spacing w:line="240" w:lineRule="auto" w:before="31"/>
        <w:ind w:left="506" w:right="89"/>
        <w:jc w:val="left"/>
      </w:pPr>
      <w:r>
        <w:rPr>
          <w:rFonts w:ascii="Arial" w:hAnsi="Arial" w:cs="Arial" w:eastAsia="Arial" w:hint="default"/>
        </w:rPr>
        <w:t>5.2</w:t>
      </w:r>
      <w:r>
        <w:rPr>
          <w:rFonts w:ascii="Arial" w:hAnsi="Arial" w:cs="Arial" w:eastAsia="Arial" w:hint="default"/>
          <w:spacing w:val="-9"/>
        </w:rPr>
        <w:t> </w:t>
      </w:r>
      <w:r>
        <w:rPr/>
        <w:t>情况说明</w:t>
      </w:r>
    </w:p>
    <w:p>
      <w:pPr>
        <w:spacing w:line="240" w:lineRule="auto" w:before="13"/>
        <w:rPr>
          <w:rFonts w:ascii="宋体" w:hAnsi="宋体" w:cs="宋体" w:eastAsia="宋体" w:hint="default"/>
          <w:sz w:val="17"/>
          <w:szCs w:val="17"/>
        </w:rPr>
      </w:pPr>
    </w:p>
    <w:p>
      <w:pPr>
        <w:pStyle w:val="BodyText"/>
        <w:spacing w:line="240" w:lineRule="auto"/>
        <w:ind w:left="866" w:right="89"/>
        <w:jc w:val="left"/>
      </w:pPr>
      <w:r>
        <w:rPr>
          <w:rFonts w:ascii="Arial" w:hAnsi="Arial" w:cs="Arial" w:eastAsia="Arial" w:hint="default"/>
        </w:rPr>
        <w:t>2012</w:t>
      </w:r>
      <w:r>
        <w:rPr>
          <w:rFonts w:ascii="Arial" w:hAnsi="Arial" w:cs="Arial" w:eastAsia="Arial" w:hint="default"/>
          <w:spacing w:val="-11"/>
        </w:rPr>
        <w:t> </w:t>
      </w:r>
      <w:r>
        <w:rPr/>
        <w:t>年度，本集团研究开发支出共计约人民币</w:t>
      </w:r>
      <w:r>
        <w:rPr>
          <w:spacing w:val="-57"/>
        </w:rPr>
        <w:t> </w:t>
      </w:r>
      <w:r>
        <w:rPr>
          <w:rFonts w:ascii="Arial" w:hAnsi="Arial" w:cs="Arial" w:eastAsia="Arial" w:hint="default"/>
        </w:rPr>
        <w:t>2.55</w:t>
      </w:r>
      <w:r>
        <w:rPr>
          <w:rFonts w:ascii="Arial" w:hAnsi="Arial" w:cs="Arial" w:eastAsia="Arial" w:hint="default"/>
          <w:spacing w:val="-11"/>
        </w:rPr>
        <w:t> </w:t>
      </w:r>
      <w:r>
        <w:rPr/>
        <w:t>亿元，全部计入当期损益。</w:t>
      </w:r>
    </w:p>
    <w:p>
      <w:pPr>
        <w:spacing w:line="240" w:lineRule="auto" w:before="12"/>
        <w:rPr>
          <w:rFonts w:ascii="宋体" w:hAnsi="宋体" w:cs="宋体" w:eastAsia="宋体" w:hint="default"/>
          <w:sz w:val="17"/>
          <w:szCs w:val="17"/>
        </w:rPr>
      </w:pPr>
    </w:p>
    <w:p>
      <w:pPr>
        <w:pStyle w:val="BodyText"/>
        <w:spacing w:line="240" w:lineRule="auto"/>
        <w:ind w:left="146" w:right="89"/>
        <w:jc w:val="left"/>
      </w:pPr>
      <w:r>
        <w:rPr>
          <w:rFonts w:ascii="Arial" w:hAnsi="Arial" w:cs="Arial" w:eastAsia="Arial" w:hint="default"/>
        </w:rPr>
        <w:t>6</w:t>
      </w:r>
      <w:r>
        <w:rPr/>
        <w:t>、现金流</w:t>
      </w:r>
    </w:p>
    <w:p>
      <w:pPr>
        <w:spacing w:line="240" w:lineRule="auto" w:before="13"/>
        <w:rPr>
          <w:rFonts w:ascii="宋体" w:hAnsi="宋体" w:cs="宋体" w:eastAsia="宋体" w:hint="default"/>
          <w:sz w:val="17"/>
          <w:szCs w:val="17"/>
        </w:rPr>
      </w:pPr>
    </w:p>
    <w:p>
      <w:pPr>
        <w:pStyle w:val="BodyText"/>
        <w:spacing w:line="295" w:lineRule="exact"/>
        <w:ind w:left="506" w:right="89"/>
        <w:jc w:val="left"/>
      </w:pPr>
      <w:r>
        <w:rPr>
          <w:spacing w:val="5"/>
        </w:rPr>
        <w:t>公司经营活动现金流量净额为人民币 </w:t>
      </w:r>
      <w:r>
        <w:rPr>
          <w:rFonts w:ascii="Arial" w:hAnsi="Arial" w:cs="Arial" w:eastAsia="Arial" w:hint="default"/>
        </w:rPr>
        <w:t>747.4</w:t>
      </w:r>
      <w:r>
        <w:rPr>
          <w:rFonts w:ascii="Arial" w:hAnsi="Arial" w:cs="Arial" w:eastAsia="Arial" w:hint="default"/>
          <w:spacing w:val="50"/>
        </w:rPr>
        <w:t> </w:t>
      </w:r>
      <w:r>
        <w:rPr>
          <w:spacing w:val="5"/>
        </w:rPr>
        <w:t>亿元，扣除本年资本开支后自由现金流为人民币</w:t>
      </w:r>
    </w:p>
    <w:p>
      <w:pPr>
        <w:pStyle w:val="BodyText"/>
        <w:spacing w:line="295" w:lineRule="exact"/>
        <w:ind w:left="506" w:right="89"/>
        <w:jc w:val="left"/>
      </w:pPr>
      <w:r>
        <w:rPr>
          <w:rFonts w:ascii="Arial" w:hAnsi="Arial" w:cs="Arial" w:eastAsia="Arial" w:hint="default"/>
        </w:rPr>
        <w:t>-250.5</w:t>
      </w:r>
      <w:r>
        <w:rPr>
          <w:rFonts w:ascii="Arial" w:hAnsi="Arial" w:cs="Arial" w:eastAsia="Arial" w:hint="default"/>
          <w:spacing w:val="-9"/>
        </w:rPr>
        <w:t> </w:t>
      </w:r>
      <w:r>
        <w:rPr/>
        <w:t>亿元。</w:t>
      </w:r>
    </w:p>
    <w:p>
      <w:pPr>
        <w:spacing w:line="240" w:lineRule="auto" w:before="1"/>
        <w:rPr>
          <w:rFonts w:ascii="宋体" w:hAnsi="宋体" w:cs="宋体" w:eastAsia="宋体" w:hint="default"/>
          <w:sz w:val="20"/>
          <w:szCs w:val="20"/>
        </w:rPr>
      </w:pPr>
    </w:p>
    <w:p>
      <w:pPr>
        <w:pStyle w:val="BodyText"/>
        <w:spacing w:line="286" w:lineRule="exact"/>
        <w:ind w:left="506" w:right="89"/>
        <w:jc w:val="left"/>
      </w:pPr>
      <w:r>
        <w:rPr>
          <w:spacing w:val="-3"/>
        </w:rPr>
        <w:t>为满足公司持续发展需要，实现公司发展战略目标，公司将按照总体投资建设规划和业务发展安</w:t>
      </w:r>
      <w:r>
        <w:rPr>
          <w:w w:val="99"/>
        </w:rPr>
        <w:t> </w:t>
      </w:r>
      <w:r>
        <w:rPr>
          <w:w w:val="95"/>
        </w:rPr>
        <w:t>排，及时筹措资金，为公司发展提供有力资金保障。公司资金主要来源为自有资金、银行贷款、</w:t>
      </w:r>
      <w:r>
        <w:rPr>
          <w:spacing w:val="25"/>
          <w:w w:val="95"/>
        </w:rPr>
        <w:t> </w:t>
      </w:r>
      <w:r>
        <w:rPr>
          <w:spacing w:val="25"/>
          <w:w w:val="95"/>
        </w:rPr>
      </w:r>
      <w:r>
        <w:rPr/>
        <w:t>债券融资等方式。</w:t>
      </w:r>
    </w:p>
    <w:p>
      <w:pPr>
        <w:spacing w:line="240" w:lineRule="auto" w:before="1"/>
        <w:rPr>
          <w:rFonts w:ascii="宋体" w:hAnsi="宋体" w:cs="宋体" w:eastAsia="宋体" w:hint="default"/>
          <w:sz w:val="17"/>
          <w:szCs w:val="17"/>
        </w:rPr>
      </w:pPr>
    </w:p>
    <w:p>
      <w:pPr>
        <w:pStyle w:val="BodyText"/>
        <w:spacing w:line="240" w:lineRule="auto"/>
        <w:ind w:left="146" w:right="89"/>
        <w:jc w:val="left"/>
      </w:pPr>
      <w:r>
        <w:rPr/>
        <w:t>（二）行业、产品或地区经营情况分析</w:t>
      </w: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567" w:footer="745" w:top="800" w:bottom="940" w:left="1380" w:right="680"/>
        </w:sectPr>
      </w:pPr>
    </w:p>
    <w:p>
      <w:pPr>
        <w:pStyle w:val="BodyText"/>
        <w:spacing w:line="240" w:lineRule="auto" w:before="31"/>
        <w:ind w:left="146" w:right="0"/>
        <w:jc w:val="left"/>
      </w:pPr>
      <w:r>
        <w:rPr>
          <w:rFonts w:ascii="Arial" w:hAnsi="Arial" w:cs="Arial" w:eastAsia="Arial" w:hint="default"/>
          <w:w w:val="95"/>
        </w:rPr>
        <w:t>1</w:t>
      </w:r>
      <w:r>
        <w:rPr>
          <w:w w:val="95"/>
        </w:rPr>
        <w:t>、主营业务分行业、分产品情况</w:t>
      </w:r>
      <w:r>
        <w:rPr/>
      </w:r>
    </w:p>
    <w:p>
      <w:pPr>
        <w:spacing w:line="240" w:lineRule="auto" w:before="7"/>
        <w:rPr>
          <w:rFonts w:ascii="宋体" w:hAnsi="宋体" w:cs="宋体" w:eastAsia="宋体" w:hint="default"/>
          <w:sz w:val="24"/>
          <w:szCs w:val="24"/>
        </w:rPr>
      </w:pPr>
      <w:r>
        <w:rPr/>
        <w:br w:type="column"/>
      </w:r>
      <w:r>
        <w:rPr>
          <w:rFonts w:ascii="宋体"/>
          <w:sz w:val="24"/>
        </w:rPr>
      </w:r>
    </w:p>
    <w:p>
      <w:pPr>
        <w:spacing w:before="0"/>
        <w:ind w:left="146" w:right="0" w:firstLine="0"/>
        <w:jc w:val="left"/>
        <w:rPr>
          <w:rFonts w:ascii="宋体" w:hAnsi="宋体" w:cs="宋体" w:eastAsia="宋体" w:hint="default"/>
          <w:sz w:val="20"/>
          <w:szCs w:val="20"/>
        </w:rPr>
      </w:pPr>
      <w:r>
        <w:rPr>
          <w:rFonts w:ascii="宋体" w:hAnsi="宋体" w:cs="宋体" w:eastAsia="宋体" w:hint="default"/>
          <w:sz w:val="20"/>
          <w:szCs w:val="20"/>
        </w:rPr>
        <w:t>单位：百万元</w:t>
      </w:r>
      <w:r>
        <w:rPr>
          <w:rFonts w:ascii="宋体" w:hAnsi="宋体" w:cs="宋体" w:eastAsia="宋体" w:hint="default"/>
          <w:spacing w:val="-2"/>
          <w:sz w:val="20"/>
          <w:szCs w:val="20"/>
        </w:rPr>
        <w:t> </w:t>
      </w:r>
      <w:r>
        <w:rPr>
          <w:rFonts w:ascii="宋体" w:hAnsi="宋体" w:cs="宋体" w:eastAsia="宋体" w:hint="default"/>
          <w:sz w:val="20"/>
          <w:szCs w:val="20"/>
        </w:rPr>
        <w:t>币种：人民币</w:t>
      </w:r>
    </w:p>
    <w:p>
      <w:pPr>
        <w:spacing w:after="0"/>
        <w:jc w:val="left"/>
        <w:rPr>
          <w:rFonts w:ascii="宋体" w:hAnsi="宋体" w:cs="宋体" w:eastAsia="宋体" w:hint="default"/>
          <w:sz w:val="20"/>
          <w:szCs w:val="20"/>
        </w:rPr>
        <w:sectPr>
          <w:type w:val="continuous"/>
          <w:pgSz w:w="11910" w:h="16840"/>
          <w:pgMar w:top="1100" w:bottom="280" w:left="1380" w:right="680"/>
          <w:cols w:num="2" w:equalWidth="0">
            <w:col w:w="3347" w:space="3642"/>
            <w:col w:w="2861"/>
          </w:cols>
        </w:sectPr>
      </w:pPr>
    </w:p>
    <w:p>
      <w:pPr>
        <w:spacing w:line="240" w:lineRule="auto" w:before="3"/>
        <w:rPr>
          <w:rFonts w:ascii="宋体" w:hAnsi="宋体" w:cs="宋体" w:eastAsia="宋体" w:hint="default"/>
          <w:sz w:val="2"/>
          <w:szCs w:val="2"/>
        </w:rPr>
      </w:pPr>
    </w:p>
    <w:tbl>
      <w:tblPr>
        <w:tblW w:w="0" w:type="auto"/>
        <w:jc w:val="left"/>
        <w:tblInd w:w="499" w:type="dxa"/>
        <w:tblLayout w:type="fixed"/>
        <w:tblCellMar>
          <w:top w:w="0" w:type="dxa"/>
          <w:left w:w="0" w:type="dxa"/>
          <w:bottom w:w="0" w:type="dxa"/>
          <w:right w:w="0" w:type="dxa"/>
        </w:tblCellMar>
        <w:tblLook w:val="01E0"/>
      </w:tblPr>
      <w:tblGrid>
        <w:gridCol w:w="990"/>
        <w:gridCol w:w="1170"/>
        <w:gridCol w:w="1080"/>
        <w:gridCol w:w="1260"/>
        <w:gridCol w:w="1350"/>
        <w:gridCol w:w="1350"/>
        <w:gridCol w:w="1936"/>
      </w:tblGrid>
      <w:tr>
        <w:trPr>
          <w:trHeight w:val="275" w:hRule="exact"/>
        </w:trPr>
        <w:tc>
          <w:tcPr>
            <w:tcW w:w="9136" w:type="dxa"/>
            <w:gridSpan w:val="7"/>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主营业务分行业情况</w:t>
            </w:r>
          </w:p>
        </w:tc>
      </w:tr>
      <w:tr>
        <w:trPr>
          <w:trHeight w:val="533" w:hRule="exact"/>
        </w:trPr>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sz w:val="20"/>
                <w:szCs w:val="20"/>
              </w:rPr>
              <w:t>分行业</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20"/>
              <w:jc w:val="right"/>
              <w:rPr>
                <w:rFonts w:ascii="宋体" w:hAnsi="宋体" w:cs="宋体" w:eastAsia="宋体" w:hint="default"/>
                <w:sz w:val="20"/>
                <w:szCs w:val="20"/>
              </w:rPr>
            </w:pPr>
            <w:r>
              <w:rPr>
                <w:rFonts w:ascii="宋体" w:hAnsi="宋体" w:cs="宋体" w:eastAsia="宋体" w:hint="default"/>
                <w:sz w:val="20"/>
                <w:szCs w:val="20"/>
              </w:rPr>
              <w:t>营业收入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营业成本</w:t>
            </w:r>
          </w:p>
          <w:p>
            <w:pPr>
              <w:pStyle w:val="TableParagraph"/>
              <w:spacing w:line="275" w:lineRule="exact"/>
              <w:ind w:left="100" w:right="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1"/>
                <w:sz w:val="20"/>
                <w:szCs w:val="20"/>
              </w:rPr>
              <w:t> </w:t>
            </w:r>
            <w:r>
              <w:rPr>
                <w:rFonts w:ascii="Arial" w:hAnsi="Arial" w:cs="Arial" w:eastAsia="Arial" w:hint="default"/>
                <w:sz w:val="20"/>
                <w:szCs w:val="20"/>
              </w:rPr>
              <w:t>1</w:t>
            </w:r>
            <w:r>
              <w:rPr>
                <w:rFonts w:ascii="宋体" w:hAnsi="宋体" w:cs="宋体" w:eastAsia="宋体" w:hint="default"/>
                <w:sz w:val="20"/>
                <w:szCs w:val="20"/>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66" w:right="0"/>
              <w:jc w:val="left"/>
              <w:rPr>
                <w:rFonts w:ascii="Arial" w:hAnsi="Arial" w:cs="Arial" w:eastAsia="Arial" w:hint="default"/>
                <w:sz w:val="20"/>
                <w:szCs w:val="20"/>
              </w:rPr>
            </w:pPr>
            <w:r>
              <w:rPr>
                <w:rFonts w:ascii="宋体" w:hAnsi="宋体" w:cs="宋体" w:eastAsia="宋体" w:hint="default"/>
                <w:sz w:val="20"/>
                <w:szCs w:val="20"/>
              </w:rPr>
              <w:t>毛利率</w:t>
            </w:r>
            <w:r>
              <w:rPr>
                <w:rFonts w:ascii="Arial" w:hAnsi="Arial" w:cs="Arial" w:eastAsia="Arial" w:hint="default"/>
                <w:sz w:val="20"/>
                <w:szCs w:val="20"/>
              </w:rPr>
              <w:t>(%)</w:t>
            </w:r>
          </w:p>
          <w:p>
            <w:pPr>
              <w:pStyle w:val="TableParagraph"/>
              <w:spacing w:line="268" w:lineRule="exact"/>
              <w:ind w:left="242" w:right="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1"/>
                <w:sz w:val="20"/>
                <w:szCs w:val="20"/>
              </w:rPr>
              <w:t> </w:t>
            </w:r>
            <w:r>
              <w:rPr>
                <w:rFonts w:ascii="Arial" w:hAnsi="Arial" w:cs="Arial" w:eastAsia="Arial" w:hint="default"/>
                <w:sz w:val="20"/>
                <w:szCs w:val="20"/>
              </w:rPr>
              <w:t>3</w:t>
            </w:r>
            <w:r>
              <w:rPr>
                <w:rFonts w:ascii="宋体" w:hAnsi="宋体" w:cs="宋体" w:eastAsia="宋体" w:hint="default"/>
                <w:sz w:val="20"/>
                <w:szCs w:val="20"/>
              </w:rPr>
              <w:t>）</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23" w:right="0"/>
              <w:jc w:val="center"/>
              <w:rPr>
                <w:rFonts w:ascii="宋体" w:hAnsi="宋体" w:cs="宋体" w:eastAsia="宋体" w:hint="default"/>
                <w:sz w:val="20"/>
                <w:szCs w:val="20"/>
              </w:rPr>
            </w:pPr>
            <w:r>
              <w:rPr>
                <w:rFonts w:ascii="宋体" w:hAnsi="宋体" w:cs="宋体" w:eastAsia="宋体" w:hint="default"/>
                <w:sz w:val="20"/>
                <w:szCs w:val="20"/>
              </w:rPr>
              <w:t>营业收入比</w:t>
            </w:r>
          </w:p>
          <w:p>
            <w:pPr>
              <w:pStyle w:val="TableParagraph"/>
              <w:spacing w:line="275" w:lineRule="exact"/>
              <w:ind w:left="23" w:right="0"/>
              <w:jc w:val="center"/>
              <w:rPr>
                <w:rFonts w:ascii="Arial" w:hAnsi="Arial" w:cs="Arial" w:eastAsia="Arial" w:hint="default"/>
                <w:sz w:val="20"/>
                <w:szCs w:val="20"/>
              </w:rPr>
            </w:pPr>
            <w:r>
              <w:rPr>
                <w:rFonts w:ascii="宋体" w:hAnsi="宋体" w:cs="宋体" w:eastAsia="宋体" w:hint="default"/>
                <w:sz w:val="20"/>
                <w:szCs w:val="20"/>
              </w:rPr>
              <w:t>上年增减</w:t>
            </w:r>
            <w:r>
              <w:rPr>
                <w:rFonts w:ascii="Arial" w:hAnsi="Arial" w:cs="Arial" w:eastAsia="Arial" w:hint="default"/>
                <w:sz w:val="20"/>
                <w:szCs w:val="20"/>
              </w:rPr>
              <w:t>(%)</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23" w:right="0"/>
              <w:jc w:val="center"/>
              <w:rPr>
                <w:rFonts w:ascii="宋体" w:hAnsi="宋体" w:cs="宋体" w:eastAsia="宋体" w:hint="default"/>
                <w:sz w:val="20"/>
                <w:szCs w:val="20"/>
              </w:rPr>
            </w:pPr>
            <w:r>
              <w:rPr>
                <w:rFonts w:ascii="宋体" w:hAnsi="宋体" w:cs="宋体" w:eastAsia="宋体" w:hint="default"/>
                <w:sz w:val="20"/>
                <w:szCs w:val="20"/>
              </w:rPr>
              <w:t>营业成本比</w:t>
            </w:r>
          </w:p>
          <w:p>
            <w:pPr>
              <w:pStyle w:val="TableParagraph"/>
              <w:spacing w:line="275" w:lineRule="exact"/>
              <w:ind w:left="23" w:right="0"/>
              <w:jc w:val="center"/>
              <w:rPr>
                <w:rFonts w:ascii="Arial" w:hAnsi="Arial" w:cs="Arial" w:eastAsia="Arial" w:hint="default"/>
                <w:sz w:val="20"/>
                <w:szCs w:val="20"/>
              </w:rPr>
            </w:pPr>
            <w:r>
              <w:rPr>
                <w:rFonts w:ascii="宋体" w:hAnsi="宋体" w:cs="宋体" w:eastAsia="宋体" w:hint="default"/>
                <w:sz w:val="20"/>
                <w:szCs w:val="20"/>
              </w:rPr>
              <w:t>上年增减</w:t>
            </w:r>
            <w:r>
              <w:rPr>
                <w:rFonts w:ascii="Arial" w:hAnsi="Arial" w:cs="Arial" w:eastAsia="Arial" w:hint="default"/>
                <w:sz w:val="20"/>
                <w:szCs w:val="20"/>
              </w:rPr>
              <w:t>(%)</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619" w:right="0"/>
              <w:jc w:val="left"/>
              <w:rPr>
                <w:rFonts w:ascii="宋体" w:hAnsi="宋体" w:cs="宋体" w:eastAsia="宋体" w:hint="default"/>
                <w:sz w:val="20"/>
                <w:szCs w:val="20"/>
              </w:rPr>
            </w:pPr>
            <w:r>
              <w:rPr>
                <w:rFonts w:ascii="宋体" w:hAnsi="宋体" w:cs="宋体" w:eastAsia="宋体" w:hint="default"/>
                <w:sz w:val="20"/>
                <w:szCs w:val="20"/>
              </w:rPr>
              <w:t>毛利率比上年</w:t>
            </w:r>
          </w:p>
          <w:p>
            <w:pPr>
              <w:pStyle w:val="TableParagraph"/>
              <w:spacing w:line="275" w:lineRule="exact"/>
              <w:ind w:left="1107" w:right="0"/>
              <w:jc w:val="left"/>
              <w:rPr>
                <w:rFonts w:ascii="Arial" w:hAnsi="Arial" w:cs="Arial" w:eastAsia="Arial" w:hint="default"/>
                <w:sz w:val="20"/>
                <w:szCs w:val="20"/>
              </w:rPr>
            </w:pPr>
            <w:r>
              <w:rPr>
                <w:rFonts w:ascii="宋体" w:hAnsi="宋体" w:cs="宋体" w:eastAsia="宋体" w:hint="default"/>
                <w:sz w:val="20"/>
                <w:szCs w:val="20"/>
              </w:rPr>
              <w:t>增减</w:t>
            </w:r>
            <w:r>
              <w:rPr>
                <w:rFonts w:ascii="Arial" w:hAnsi="Arial" w:cs="Arial" w:eastAsia="Arial" w:hint="default"/>
                <w:sz w:val="20"/>
                <w:szCs w:val="20"/>
              </w:rPr>
              <w:t>(%)</w:t>
            </w:r>
          </w:p>
        </w:tc>
      </w:tr>
      <w:tr>
        <w:trPr>
          <w:trHeight w:val="290" w:hRule="exact"/>
        </w:trPr>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85"/>
              <w:jc w:val="right"/>
              <w:rPr>
                <w:rFonts w:ascii="宋体" w:hAnsi="宋体" w:cs="宋体" w:eastAsia="宋体" w:hint="default"/>
                <w:sz w:val="20"/>
                <w:szCs w:val="20"/>
              </w:rPr>
            </w:pPr>
            <w:r>
              <w:rPr>
                <w:rFonts w:ascii="宋体" w:hAnsi="宋体" w:cs="宋体" w:eastAsia="宋体" w:hint="default"/>
                <w:sz w:val="20"/>
                <w:szCs w:val="20"/>
              </w:rPr>
              <w:t>电信业</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pacing w:val="-1"/>
                <w:sz w:val="20"/>
              </w:rPr>
              <w:t>256,265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pacing w:val="-1"/>
                <w:sz w:val="20"/>
              </w:rPr>
              <w:t>186,447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z w:val="20"/>
              </w:rPr>
              <w:t>27.2</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z w:val="20"/>
              </w:rPr>
              <w:t>18.9</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z w:val="20"/>
              </w:rPr>
              <w:t>16.0</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right="25"/>
              <w:jc w:val="right"/>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1"/>
                <w:sz w:val="20"/>
                <w:szCs w:val="20"/>
              </w:rPr>
              <w:t> </w:t>
            </w:r>
            <w:r>
              <w:rPr>
                <w:rFonts w:ascii="Arial" w:hAnsi="Arial" w:cs="Arial" w:eastAsia="Arial" w:hint="default"/>
                <w:sz w:val="20"/>
                <w:szCs w:val="20"/>
              </w:rPr>
              <w:t>1.8</w:t>
            </w:r>
            <w:r>
              <w:rPr>
                <w:rFonts w:ascii="Arial" w:hAnsi="Arial" w:cs="Arial" w:eastAsia="Arial" w:hint="default"/>
                <w:spacing w:val="-6"/>
                <w:sz w:val="20"/>
                <w:szCs w:val="20"/>
              </w:rPr>
              <w:t> </w:t>
            </w:r>
            <w:r>
              <w:rPr>
                <w:rFonts w:ascii="宋体" w:hAnsi="宋体" w:cs="宋体" w:eastAsia="宋体" w:hint="default"/>
                <w:sz w:val="20"/>
                <w:szCs w:val="20"/>
              </w:rPr>
              <w:t>个百分点</w:t>
            </w:r>
          </w:p>
        </w:tc>
      </w:tr>
      <w:tr>
        <w:trPr>
          <w:trHeight w:val="274" w:hRule="exact"/>
        </w:trPr>
        <w:tc>
          <w:tcPr>
            <w:tcW w:w="9136" w:type="dxa"/>
            <w:gridSpan w:val="7"/>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
              <w:jc w:val="center"/>
              <w:rPr>
                <w:rFonts w:ascii="宋体" w:hAnsi="宋体" w:cs="宋体" w:eastAsia="宋体" w:hint="default"/>
                <w:sz w:val="20"/>
                <w:szCs w:val="20"/>
              </w:rPr>
            </w:pPr>
            <w:r>
              <w:rPr>
                <w:rFonts w:ascii="宋体" w:hAnsi="宋体" w:cs="宋体" w:eastAsia="宋体" w:hint="default"/>
                <w:sz w:val="20"/>
                <w:szCs w:val="20"/>
              </w:rPr>
              <w:t>主营业务分产品情况（注</w:t>
            </w:r>
            <w:r>
              <w:rPr>
                <w:rFonts w:ascii="宋体" w:hAnsi="宋体" w:cs="宋体" w:eastAsia="宋体" w:hint="default"/>
                <w:spacing w:val="-53"/>
                <w:sz w:val="20"/>
                <w:szCs w:val="20"/>
              </w:rPr>
              <w:t> </w:t>
            </w:r>
            <w:r>
              <w:rPr>
                <w:rFonts w:ascii="Arial" w:hAnsi="Arial" w:cs="Arial" w:eastAsia="Arial" w:hint="default"/>
                <w:sz w:val="20"/>
                <w:szCs w:val="20"/>
              </w:rPr>
              <w:t>2</w:t>
            </w:r>
            <w:r>
              <w:rPr>
                <w:rFonts w:ascii="宋体" w:hAnsi="宋体" w:cs="宋体" w:eastAsia="宋体" w:hint="default"/>
                <w:sz w:val="20"/>
                <w:szCs w:val="20"/>
              </w:rPr>
              <w:t>）</w:t>
            </w:r>
          </w:p>
        </w:tc>
      </w:tr>
      <w:tr>
        <w:trPr>
          <w:trHeight w:val="534" w:hRule="exact"/>
        </w:trPr>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00" w:right="0"/>
              <w:jc w:val="left"/>
              <w:rPr>
                <w:rFonts w:ascii="宋体" w:hAnsi="宋体" w:cs="宋体" w:eastAsia="宋体" w:hint="default"/>
                <w:sz w:val="20"/>
                <w:szCs w:val="20"/>
              </w:rPr>
            </w:pPr>
            <w:r>
              <w:rPr>
                <w:rFonts w:ascii="宋体" w:hAnsi="宋体" w:cs="宋体" w:eastAsia="宋体" w:hint="default"/>
                <w:sz w:val="20"/>
                <w:szCs w:val="20"/>
              </w:rPr>
              <w:t>分产品</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00"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60"/>
              <w:jc w:val="center"/>
              <w:rPr>
                <w:rFonts w:ascii="宋体" w:hAnsi="宋体" w:cs="宋体" w:eastAsia="宋体" w:hint="default"/>
                <w:sz w:val="20"/>
                <w:szCs w:val="20"/>
              </w:rPr>
            </w:pPr>
            <w:r>
              <w:rPr>
                <w:rFonts w:ascii="宋体" w:hAnsi="宋体" w:cs="宋体" w:eastAsia="宋体" w:hint="default"/>
                <w:sz w:val="20"/>
                <w:szCs w:val="20"/>
              </w:rPr>
              <w:t>营业成本</w:t>
            </w:r>
          </w:p>
          <w:p>
            <w:pPr>
              <w:pStyle w:val="TableParagraph"/>
              <w:spacing w:line="275" w:lineRule="exact"/>
              <w:ind w:left="109" w:right="0"/>
              <w:jc w:val="center"/>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1"/>
                <w:sz w:val="20"/>
                <w:szCs w:val="20"/>
              </w:rPr>
              <w:t> </w:t>
            </w:r>
            <w:r>
              <w:rPr>
                <w:rFonts w:ascii="Arial" w:hAnsi="Arial" w:cs="Arial" w:eastAsia="Arial" w:hint="default"/>
                <w:sz w:val="20"/>
                <w:szCs w:val="20"/>
              </w:rPr>
              <w:t>1</w:t>
            </w:r>
            <w:r>
              <w:rPr>
                <w:rFonts w:ascii="宋体" w:hAnsi="宋体" w:cs="宋体" w:eastAsia="宋体" w:hint="default"/>
                <w:sz w:val="20"/>
                <w:szCs w:val="20"/>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66" w:right="0"/>
              <w:jc w:val="left"/>
              <w:rPr>
                <w:rFonts w:ascii="Arial" w:hAnsi="Arial" w:cs="Arial" w:eastAsia="Arial" w:hint="default"/>
                <w:sz w:val="20"/>
                <w:szCs w:val="20"/>
              </w:rPr>
            </w:pPr>
            <w:r>
              <w:rPr>
                <w:rFonts w:ascii="宋体" w:hAnsi="宋体" w:cs="宋体" w:eastAsia="宋体" w:hint="default"/>
                <w:sz w:val="20"/>
                <w:szCs w:val="20"/>
              </w:rPr>
              <w:t>毛利率</w:t>
            </w:r>
            <w:r>
              <w:rPr>
                <w:rFonts w:ascii="Arial" w:hAnsi="Arial" w:cs="Arial" w:eastAsia="Arial" w:hint="default"/>
                <w:sz w:val="20"/>
                <w:szCs w:val="20"/>
              </w:rPr>
              <w:t>(%)</w:t>
            </w:r>
          </w:p>
          <w:p>
            <w:pPr>
              <w:pStyle w:val="TableParagraph"/>
              <w:spacing w:line="268" w:lineRule="exact"/>
              <w:ind w:left="242" w:right="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1"/>
                <w:sz w:val="20"/>
                <w:szCs w:val="20"/>
              </w:rPr>
              <w:t> </w:t>
            </w:r>
            <w:r>
              <w:rPr>
                <w:rFonts w:ascii="Arial" w:hAnsi="Arial" w:cs="Arial" w:eastAsia="Arial" w:hint="default"/>
                <w:sz w:val="20"/>
                <w:szCs w:val="20"/>
              </w:rPr>
              <w:t>3</w:t>
            </w:r>
            <w:r>
              <w:rPr>
                <w:rFonts w:ascii="宋体" w:hAnsi="宋体" w:cs="宋体" w:eastAsia="宋体" w:hint="default"/>
                <w:sz w:val="20"/>
                <w:szCs w:val="20"/>
              </w:rPr>
              <w:t>）</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3" w:right="0"/>
              <w:jc w:val="center"/>
              <w:rPr>
                <w:rFonts w:ascii="宋体" w:hAnsi="宋体" w:cs="宋体" w:eastAsia="宋体" w:hint="default"/>
                <w:sz w:val="20"/>
                <w:szCs w:val="20"/>
              </w:rPr>
            </w:pPr>
            <w:r>
              <w:rPr>
                <w:rFonts w:ascii="宋体" w:hAnsi="宋体" w:cs="宋体" w:eastAsia="宋体" w:hint="default"/>
                <w:sz w:val="20"/>
                <w:szCs w:val="20"/>
              </w:rPr>
              <w:t>营业收入比</w:t>
            </w:r>
          </w:p>
          <w:p>
            <w:pPr>
              <w:pStyle w:val="TableParagraph"/>
              <w:spacing w:line="275" w:lineRule="exact"/>
              <w:ind w:left="23" w:right="0"/>
              <w:jc w:val="center"/>
              <w:rPr>
                <w:rFonts w:ascii="Arial" w:hAnsi="Arial" w:cs="Arial" w:eastAsia="Arial" w:hint="default"/>
                <w:sz w:val="20"/>
                <w:szCs w:val="20"/>
              </w:rPr>
            </w:pPr>
            <w:r>
              <w:rPr>
                <w:rFonts w:ascii="宋体" w:hAnsi="宋体" w:cs="宋体" w:eastAsia="宋体" w:hint="default"/>
                <w:sz w:val="20"/>
                <w:szCs w:val="20"/>
              </w:rPr>
              <w:t>上年增减</w:t>
            </w:r>
            <w:r>
              <w:rPr>
                <w:rFonts w:ascii="Arial" w:hAnsi="Arial" w:cs="Arial" w:eastAsia="Arial" w:hint="default"/>
                <w:sz w:val="20"/>
                <w:szCs w:val="20"/>
              </w:rPr>
              <w:t>(%)</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3" w:right="0"/>
              <w:jc w:val="center"/>
              <w:rPr>
                <w:rFonts w:ascii="宋体" w:hAnsi="宋体" w:cs="宋体" w:eastAsia="宋体" w:hint="default"/>
                <w:sz w:val="20"/>
                <w:szCs w:val="20"/>
              </w:rPr>
            </w:pPr>
            <w:r>
              <w:rPr>
                <w:rFonts w:ascii="宋体" w:hAnsi="宋体" w:cs="宋体" w:eastAsia="宋体" w:hint="default"/>
                <w:sz w:val="20"/>
                <w:szCs w:val="20"/>
              </w:rPr>
              <w:t>营业成本比</w:t>
            </w:r>
          </w:p>
          <w:p>
            <w:pPr>
              <w:pStyle w:val="TableParagraph"/>
              <w:spacing w:line="275" w:lineRule="exact"/>
              <w:ind w:left="23" w:right="0"/>
              <w:jc w:val="center"/>
              <w:rPr>
                <w:rFonts w:ascii="Arial" w:hAnsi="Arial" w:cs="Arial" w:eastAsia="Arial" w:hint="default"/>
                <w:sz w:val="20"/>
                <w:szCs w:val="20"/>
              </w:rPr>
            </w:pPr>
            <w:r>
              <w:rPr>
                <w:rFonts w:ascii="宋体" w:hAnsi="宋体" w:cs="宋体" w:eastAsia="宋体" w:hint="default"/>
                <w:sz w:val="20"/>
                <w:szCs w:val="20"/>
              </w:rPr>
              <w:t>上年增减</w:t>
            </w:r>
            <w:r>
              <w:rPr>
                <w:rFonts w:ascii="Arial" w:hAnsi="Arial" w:cs="Arial" w:eastAsia="Arial" w:hint="default"/>
                <w:sz w:val="20"/>
                <w:szCs w:val="20"/>
              </w:rPr>
              <w:t>(%)</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619" w:right="0"/>
              <w:jc w:val="left"/>
              <w:rPr>
                <w:rFonts w:ascii="宋体" w:hAnsi="宋体" w:cs="宋体" w:eastAsia="宋体" w:hint="default"/>
                <w:sz w:val="20"/>
                <w:szCs w:val="20"/>
              </w:rPr>
            </w:pPr>
            <w:r>
              <w:rPr>
                <w:rFonts w:ascii="宋体" w:hAnsi="宋体" w:cs="宋体" w:eastAsia="宋体" w:hint="default"/>
                <w:sz w:val="20"/>
                <w:szCs w:val="20"/>
              </w:rPr>
              <w:t>毛利率比上年</w:t>
            </w:r>
          </w:p>
          <w:p>
            <w:pPr>
              <w:pStyle w:val="TableParagraph"/>
              <w:spacing w:line="275" w:lineRule="exact"/>
              <w:ind w:left="1107" w:right="0"/>
              <w:jc w:val="left"/>
              <w:rPr>
                <w:rFonts w:ascii="Arial" w:hAnsi="Arial" w:cs="Arial" w:eastAsia="Arial" w:hint="default"/>
                <w:sz w:val="20"/>
                <w:szCs w:val="20"/>
              </w:rPr>
            </w:pPr>
            <w:r>
              <w:rPr>
                <w:rFonts w:ascii="宋体" w:hAnsi="宋体" w:cs="宋体" w:eastAsia="宋体" w:hint="default"/>
                <w:sz w:val="20"/>
                <w:szCs w:val="20"/>
              </w:rPr>
              <w:t>增减</w:t>
            </w:r>
            <w:r>
              <w:rPr>
                <w:rFonts w:ascii="Arial" w:hAnsi="Arial" w:cs="Arial" w:eastAsia="Arial" w:hint="default"/>
                <w:sz w:val="20"/>
                <w:szCs w:val="20"/>
              </w:rPr>
              <w:t>(%)</w:t>
            </w:r>
          </w:p>
        </w:tc>
      </w:tr>
      <w:tr>
        <w:trPr>
          <w:trHeight w:val="275" w:hRule="exact"/>
        </w:trPr>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85"/>
              <w:jc w:val="right"/>
              <w:rPr>
                <w:rFonts w:ascii="宋体" w:hAnsi="宋体" w:cs="宋体" w:eastAsia="宋体" w:hint="default"/>
                <w:sz w:val="20"/>
                <w:szCs w:val="20"/>
              </w:rPr>
            </w:pPr>
            <w:r>
              <w:rPr>
                <w:rFonts w:ascii="宋体" w:hAnsi="宋体" w:cs="宋体" w:eastAsia="宋体" w:hint="default"/>
                <w:sz w:val="20"/>
                <w:szCs w:val="20"/>
              </w:rPr>
              <w:t>电信业</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pacing w:val="-1"/>
                <w:sz w:val="20"/>
              </w:rPr>
              <w:t>256,265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pacing w:val="-1"/>
                <w:sz w:val="20"/>
              </w:rPr>
              <w:t>186,447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z w:val="20"/>
              </w:rPr>
              <w:t>27.2</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z w:val="20"/>
              </w:rPr>
              <w:t>18.9</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z w:val="20"/>
              </w:rPr>
              <w:t>16.0</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25"/>
              <w:jc w:val="right"/>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1"/>
                <w:sz w:val="20"/>
                <w:szCs w:val="20"/>
              </w:rPr>
              <w:t> </w:t>
            </w:r>
            <w:r>
              <w:rPr>
                <w:rFonts w:ascii="Arial" w:hAnsi="Arial" w:cs="Arial" w:eastAsia="Arial" w:hint="default"/>
                <w:sz w:val="20"/>
                <w:szCs w:val="20"/>
              </w:rPr>
              <w:t>1.8</w:t>
            </w:r>
            <w:r>
              <w:rPr>
                <w:rFonts w:ascii="Arial" w:hAnsi="Arial" w:cs="Arial" w:eastAsia="Arial" w:hint="default"/>
                <w:spacing w:val="-6"/>
                <w:sz w:val="20"/>
                <w:szCs w:val="20"/>
              </w:rPr>
              <w:t> </w:t>
            </w:r>
            <w:r>
              <w:rPr>
                <w:rFonts w:ascii="宋体" w:hAnsi="宋体" w:cs="宋体" w:eastAsia="宋体" w:hint="default"/>
                <w:sz w:val="20"/>
                <w:szCs w:val="20"/>
              </w:rPr>
              <w:t>个百分点</w:t>
            </w:r>
          </w:p>
        </w:tc>
      </w:tr>
    </w:tbl>
    <w:p>
      <w:pPr>
        <w:spacing w:line="240" w:lineRule="auto" w:before="3"/>
        <w:rPr>
          <w:rFonts w:ascii="宋体" w:hAnsi="宋体" w:cs="宋体" w:eastAsia="宋体" w:hint="default"/>
          <w:sz w:val="12"/>
          <w:szCs w:val="12"/>
        </w:rPr>
      </w:pPr>
    </w:p>
    <w:p>
      <w:pPr>
        <w:spacing w:before="38"/>
        <w:ind w:left="506" w:right="89" w:firstLine="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5"/>
          <w:sz w:val="20"/>
          <w:szCs w:val="20"/>
        </w:rPr>
        <w:t> </w:t>
      </w:r>
      <w:r>
        <w:rPr>
          <w:rFonts w:ascii="Arial" w:hAnsi="Arial" w:cs="Arial" w:eastAsia="Arial" w:hint="default"/>
          <w:sz w:val="20"/>
          <w:szCs w:val="20"/>
        </w:rPr>
        <w:t>1</w:t>
      </w:r>
      <w:r>
        <w:rPr>
          <w:rFonts w:ascii="宋体" w:hAnsi="宋体" w:cs="宋体" w:eastAsia="宋体" w:hint="default"/>
          <w:sz w:val="20"/>
          <w:szCs w:val="20"/>
        </w:rPr>
        <w:t>：上述资料所列的“营业成本”包括营业税金及附加；</w:t>
      </w:r>
    </w:p>
    <w:p>
      <w:pPr>
        <w:spacing w:line="240" w:lineRule="auto" w:before="4"/>
        <w:rPr>
          <w:rFonts w:ascii="宋体" w:hAnsi="宋体" w:cs="宋体" w:eastAsia="宋体" w:hint="default"/>
          <w:sz w:val="18"/>
          <w:szCs w:val="18"/>
        </w:rPr>
      </w:pPr>
    </w:p>
    <w:p>
      <w:pPr>
        <w:spacing w:line="260" w:lineRule="exact" w:before="0"/>
        <w:ind w:left="1046" w:right="208" w:hanging="541"/>
        <w:jc w:val="both"/>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2"/>
          <w:sz w:val="20"/>
          <w:szCs w:val="20"/>
        </w:rPr>
        <w:t> </w:t>
      </w:r>
      <w:r>
        <w:rPr>
          <w:rFonts w:ascii="Arial" w:hAnsi="Arial" w:cs="Arial" w:eastAsia="Arial" w:hint="default"/>
          <w:sz w:val="20"/>
          <w:szCs w:val="20"/>
        </w:rPr>
        <w:t>2</w:t>
      </w:r>
      <w:r>
        <w:rPr>
          <w:rFonts w:ascii="宋体" w:hAnsi="宋体" w:cs="宋体" w:eastAsia="宋体" w:hint="default"/>
          <w:sz w:val="20"/>
          <w:szCs w:val="20"/>
        </w:rPr>
        <w:t>：于</w:t>
      </w:r>
      <w:r>
        <w:rPr>
          <w:rFonts w:ascii="宋体" w:hAnsi="宋体" w:cs="宋体" w:eastAsia="宋体" w:hint="default"/>
          <w:spacing w:val="-52"/>
          <w:sz w:val="20"/>
          <w:szCs w:val="20"/>
        </w:rPr>
        <w:t> </w:t>
      </w:r>
      <w:r>
        <w:rPr>
          <w:rFonts w:ascii="Arial" w:hAnsi="Arial" w:cs="Arial" w:eastAsia="Arial" w:hint="default"/>
          <w:sz w:val="20"/>
          <w:szCs w:val="20"/>
        </w:rPr>
        <w:t>2012</w:t>
      </w:r>
      <w:r>
        <w:rPr>
          <w:rFonts w:ascii="Arial" w:hAnsi="Arial" w:cs="Arial" w:eastAsia="Arial" w:hint="default"/>
          <w:spacing w:val="-8"/>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Arial" w:hAnsi="Arial" w:cs="Arial" w:eastAsia="Arial" w:hint="default"/>
          <w:sz w:val="20"/>
          <w:szCs w:val="20"/>
        </w:rPr>
        <w:t>1</w:t>
      </w:r>
      <w:r>
        <w:rPr>
          <w:rFonts w:ascii="Arial" w:hAnsi="Arial" w:cs="Arial" w:eastAsia="Arial" w:hint="default"/>
          <w:spacing w:val="-8"/>
          <w:sz w:val="20"/>
          <w:szCs w:val="20"/>
        </w:rPr>
        <w:t> </w:t>
      </w:r>
      <w:r>
        <w:rPr>
          <w:rFonts w:ascii="宋体" w:hAnsi="宋体" w:cs="宋体" w:eastAsia="宋体" w:hint="default"/>
          <w:sz w:val="20"/>
          <w:szCs w:val="20"/>
        </w:rPr>
        <w:t>日之前，移动业务和固网业务被辨别为本集团的主要经营分部，且主要经营决策</w:t>
      </w:r>
      <w:r>
        <w:rPr>
          <w:rFonts w:ascii="宋体" w:hAnsi="宋体" w:cs="宋体" w:eastAsia="宋体" w:hint="default"/>
          <w:w w:val="100"/>
          <w:sz w:val="20"/>
          <w:szCs w:val="20"/>
        </w:rPr>
        <w:t> </w:t>
      </w:r>
      <w:r>
        <w:rPr>
          <w:rFonts w:ascii="宋体" w:hAnsi="宋体" w:cs="宋体" w:eastAsia="宋体" w:hint="default"/>
          <w:spacing w:val="-1"/>
          <w:sz w:val="20"/>
          <w:szCs w:val="20"/>
        </w:rPr>
        <w:t>者以收入及可直接归属于经营分部的成本来评价经营分部的经营成果。随着内部成本管理模式从以</w:t>
      </w:r>
      <w:r>
        <w:rPr>
          <w:rFonts w:ascii="宋体" w:hAnsi="宋体" w:cs="宋体" w:eastAsia="宋体" w:hint="default"/>
          <w:w w:val="100"/>
          <w:sz w:val="20"/>
          <w:szCs w:val="20"/>
        </w:rPr>
        <w:t> </w:t>
      </w:r>
      <w:r>
        <w:rPr>
          <w:rFonts w:ascii="宋体" w:hAnsi="宋体" w:cs="宋体" w:eastAsia="宋体" w:hint="default"/>
          <w:sz w:val="20"/>
          <w:szCs w:val="20"/>
        </w:rPr>
        <w:t>业务种类进行管理改变为以职能部门进行管理，以及融合电信业务的深入发展，自</w:t>
      </w:r>
      <w:r>
        <w:rPr>
          <w:rFonts w:ascii="宋体" w:hAnsi="宋体" w:cs="宋体" w:eastAsia="宋体" w:hint="default"/>
          <w:spacing w:val="-37"/>
          <w:sz w:val="20"/>
          <w:szCs w:val="20"/>
        </w:rPr>
        <w:t> </w:t>
      </w: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38"/>
          <w:sz w:val="20"/>
          <w:szCs w:val="20"/>
        </w:rPr>
        <w:t> </w:t>
      </w:r>
      <w:r>
        <w:rPr>
          <w:rFonts w:ascii="Arial" w:hAnsi="Arial" w:cs="Arial" w:eastAsia="Arial" w:hint="default"/>
          <w:sz w:val="20"/>
          <w:szCs w:val="20"/>
        </w:rPr>
        <w:t>1</w:t>
      </w:r>
      <w:r>
        <w:rPr>
          <w:rFonts w:ascii="Arial" w:hAnsi="Arial" w:cs="Arial" w:eastAsia="Arial" w:hint="default"/>
          <w:spacing w:val="6"/>
          <w:sz w:val="20"/>
          <w:szCs w:val="20"/>
        </w:rPr>
        <w:t> </w:t>
      </w:r>
      <w:r>
        <w:rPr>
          <w:rFonts w:ascii="宋体" w:hAnsi="宋体" w:cs="宋体" w:eastAsia="宋体" w:hint="default"/>
          <w:sz w:val="20"/>
          <w:szCs w:val="20"/>
        </w:rPr>
        <w:t>月</w:t>
      </w:r>
      <w:r>
        <w:rPr>
          <w:rFonts w:ascii="宋体" w:hAnsi="宋体" w:cs="宋体" w:eastAsia="宋体" w:hint="default"/>
          <w:spacing w:val="-38"/>
          <w:sz w:val="20"/>
          <w:szCs w:val="20"/>
        </w:rPr>
        <w:t> </w:t>
      </w:r>
      <w:r>
        <w:rPr>
          <w:rFonts w:ascii="Arial" w:hAnsi="Arial" w:cs="Arial" w:eastAsia="Arial" w:hint="default"/>
          <w:sz w:val="20"/>
          <w:szCs w:val="20"/>
        </w:rPr>
        <w:t>1</w:t>
      </w:r>
      <w:r>
        <w:rPr>
          <w:rFonts w:ascii="Arial" w:hAnsi="Arial" w:cs="Arial" w:eastAsia="Arial" w:hint="default"/>
          <w:w w:val="100"/>
          <w:sz w:val="20"/>
          <w:szCs w:val="20"/>
        </w:rPr>
        <w:t> </w:t>
      </w:r>
      <w:r>
        <w:rPr>
          <w:rFonts w:ascii="宋体" w:hAnsi="宋体" w:cs="宋体" w:eastAsia="宋体" w:hint="default"/>
          <w:spacing w:val="-1"/>
          <w:sz w:val="20"/>
          <w:szCs w:val="20"/>
        </w:rPr>
        <w:t>日起，主要经营决策者开始将本集团视为一个整体而非以业务的种类进行资源分配和业绩评估，因</w:t>
      </w:r>
      <w:r>
        <w:rPr>
          <w:rFonts w:ascii="宋体" w:hAnsi="宋体" w:cs="宋体" w:eastAsia="宋体" w:hint="default"/>
          <w:w w:val="100"/>
          <w:sz w:val="20"/>
          <w:szCs w:val="20"/>
        </w:rPr>
        <w:t> </w:t>
      </w:r>
      <w:r>
        <w:rPr>
          <w:rFonts w:ascii="宋体" w:hAnsi="宋体" w:cs="宋体" w:eastAsia="宋体" w:hint="default"/>
          <w:sz w:val="20"/>
          <w:szCs w:val="20"/>
        </w:rPr>
        <w:t>此，本集团只有一个经营分部。</w:t>
      </w:r>
    </w:p>
    <w:p>
      <w:pPr>
        <w:spacing w:line="240" w:lineRule="auto" w:before="8"/>
        <w:rPr>
          <w:rFonts w:ascii="宋体" w:hAnsi="宋体" w:cs="宋体" w:eastAsia="宋体" w:hint="default"/>
          <w:sz w:val="15"/>
          <w:szCs w:val="15"/>
        </w:rPr>
      </w:pPr>
    </w:p>
    <w:p>
      <w:pPr>
        <w:spacing w:before="0"/>
        <w:ind w:left="506" w:right="89" w:firstLine="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5"/>
          <w:sz w:val="20"/>
          <w:szCs w:val="20"/>
        </w:rPr>
        <w:t> </w:t>
      </w:r>
      <w:r>
        <w:rPr>
          <w:rFonts w:ascii="Arial" w:hAnsi="Arial" w:cs="Arial" w:eastAsia="Arial" w:hint="default"/>
          <w:sz w:val="20"/>
          <w:szCs w:val="20"/>
        </w:rPr>
        <w:t>3</w:t>
      </w:r>
      <w:r>
        <w:rPr>
          <w:rFonts w:ascii="宋体" w:hAnsi="宋体" w:cs="宋体" w:eastAsia="宋体" w:hint="default"/>
          <w:sz w:val="20"/>
          <w:szCs w:val="20"/>
        </w:rPr>
        <w:t>：毛利率＝（营业收入－营业成本－营业税金）</w:t>
      </w:r>
      <w:r>
        <w:rPr>
          <w:rFonts w:ascii="Arial" w:hAnsi="Arial" w:cs="Arial" w:eastAsia="Arial" w:hint="default"/>
          <w:sz w:val="20"/>
          <w:szCs w:val="20"/>
        </w:rPr>
        <w:t>/</w:t>
      </w:r>
      <w:r>
        <w:rPr>
          <w:rFonts w:ascii="宋体" w:hAnsi="宋体" w:cs="宋体" w:eastAsia="宋体" w:hint="default"/>
          <w:sz w:val="20"/>
          <w:szCs w:val="20"/>
        </w:rPr>
        <w:t>营业收入</w:t>
      </w:r>
      <w:r>
        <w:rPr>
          <w:rFonts w:ascii="Arial" w:hAnsi="Arial" w:cs="Arial" w:eastAsia="Arial" w:hint="default"/>
          <w:sz w:val="20"/>
          <w:szCs w:val="20"/>
        </w:rPr>
        <w:t>*100</w:t>
      </w:r>
      <w:r>
        <w:rPr>
          <w:rFonts w:ascii="宋体" w:hAnsi="宋体" w:cs="宋体" w:eastAsia="宋体" w:hint="default"/>
          <w:sz w:val="20"/>
          <w:szCs w:val="20"/>
        </w:rPr>
        <w:t>。</w:t>
      </w:r>
    </w:p>
    <w:p>
      <w:pPr>
        <w:spacing w:line="240" w:lineRule="auto" w:before="5"/>
        <w:rPr>
          <w:rFonts w:ascii="宋体" w:hAnsi="宋体" w:cs="宋体" w:eastAsia="宋体" w:hint="default"/>
          <w:sz w:val="15"/>
          <w:szCs w:val="15"/>
        </w:rPr>
      </w:pPr>
    </w:p>
    <w:p>
      <w:pPr>
        <w:pStyle w:val="BodyText"/>
        <w:spacing w:line="295" w:lineRule="exact" w:before="31"/>
        <w:ind w:left="146" w:right="89"/>
        <w:jc w:val="left"/>
      </w:pPr>
      <w:r>
        <w:rPr>
          <w:rFonts w:ascii="Arial" w:hAnsi="Arial" w:cs="Arial" w:eastAsia="Arial" w:hint="default"/>
        </w:rPr>
        <w:t>2</w:t>
      </w:r>
      <w:r>
        <w:rPr/>
        <w:t>、主营业务分地区情况</w:t>
      </w:r>
    </w:p>
    <w:p>
      <w:pPr>
        <w:pStyle w:val="BodyText"/>
        <w:tabs>
          <w:tab w:pos="1540" w:val="left" w:leader="none"/>
        </w:tabs>
        <w:spacing w:line="279" w:lineRule="exact"/>
        <w:ind w:left="0" w:right="211"/>
        <w:jc w:val="right"/>
      </w:pPr>
      <w:r>
        <w:rPr>
          <w:w w:val="95"/>
        </w:rPr>
        <w:t>单位：百万元</w:t>
        <w:tab/>
        <w:t>币种：人民币</w:t>
      </w:r>
      <w:r>
        <w:rPr/>
      </w:r>
    </w:p>
    <w:p>
      <w:pPr>
        <w:spacing w:line="240" w:lineRule="auto" w:before="6"/>
        <w:rPr>
          <w:rFonts w:ascii="宋体" w:hAnsi="宋体" w:cs="宋体" w:eastAsia="宋体" w:hint="default"/>
          <w:sz w:val="2"/>
          <w:szCs w:val="2"/>
        </w:rPr>
      </w:pPr>
    </w:p>
    <w:tbl>
      <w:tblPr>
        <w:tblW w:w="0" w:type="auto"/>
        <w:jc w:val="left"/>
        <w:tblInd w:w="499" w:type="dxa"/>
        <w:tblLayout w:type="fixed"/>
        <w:tblCellMar>
          <w:top w:w="0" w:type="dxa"/>
          <w:left w:w="0" w:type="dxa"/>
          <w:bottom w:w="0" w:type="dxa"/>
          <w:right w:w="0" w:type="dxa"/>
        </w:tblCellMar>
        <w:tblLook w:val="01E0"/>
      </w:tblPr>
      <w:tblGrid>
        <w:gridCol w:w="2612"/>
        <w:gridCol w:w="2882"/>
        <w:gridCol w:w="3643"/>
      </w:tblGrid>
      <w:tr>
        <w:trPr>
          <w:trHeight w:val="301" w:hRule="exact"/>
        </w:trPr>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sz w:val="22"/>
                <w:szCs w:val="22"/>
              </w:rPr>
              <w:t>地区</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sz w:val="22"/>
                <w:szCs w:val="22"/>
              </w:rPr>
              <w:t>营业收入</w:t>
            </w:r>
          </w:p>
        </w:tc>
        <w:tc>
          <w:tcPr>
            <w:tcW w:w="3643"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654"/>
              <w:jc w:val="right"/>
              <w:rPr>
                <w:rFonts w:ascii="Arial" w:hAnsi="Arial" w:cs="Arial" w:eastAsia="Arial" w:hint="default"/>
                <w:sz w:val="22"/>
                <w:szCs w:val="22"/>
              </w:rPr>
            </w:pPr>
            <w:r>
              <w:rPr>
                <w:rFonts w:ascii="宋体" w:hAnsi="宋体" w:cs="宋体" w:eastAsia="宋体" w:hint="default"/>
                <w:w w:val="95"/>
                <w:sz w:val="22"/>
                <w:szCs w:val="22"/>
              </w:rPr>
              <w:t>营业收入比上年增减</w:t>
            </w:r>
            <w:r>
              <w:rPr>
                <w:rFonts w:ascii="Arial" w:hAnsi="Arial" w:cs="Arial" w:eastAsia="Arial" w:hint="default"/>
                <w:w w:val="95"/>
                <w:sz w:val="22"/>
                <w:szCs w:val="22"/>
              </w:rPr>
              <w:t>(%)</w:t>
            </w:r>
            <w:r>
              <w:rPr>
                <w:rFonts w:ascii="Arial" w:hAnsi="Arial" w:cs="Arial" w:eastAsia="Arial" w:hint="default"/>
                <w:sz w:val="22"/>
                <w:szCs w:val="22"/>
              </w:rPr>
            </w:r>
          </w:p>
        </w:tc>
      </w:tr>
      <w:tr>
        <w:trPr>
          <w:trHeight w:val="300" w:hRule="exact"/>
        </w:trPr>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全国范围内</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43" w:right="0"/>
              <w:jc w:val="left"/>
              <w:rPr>
                <w:rFonts w:ascii="Arial" w:hAnsi="Arial" w:cs="Arial" w:eastAsia="Arial" w:hint="default"/>
                <w:sz w:val="22"/>
                <w:szCs w:val="22"/>
              </w:rPr>
            </w:pPr>
            <w:r>
              <w:rPr>
                <w:rFonts w:ascii="Arial"/>
                <w:sz w:val="22"/>
              </w:rPr>
              <w:t>256,265</w:t>
            </w:r>
          </w:p>
        </w:tc>
        <w:tc>
          <w:tcPr>
            <w:tcW w:w="3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660"/>
              <w:jc w:val="right"/>
              <w:rPr>
                <w:rFonts w:ascii="Arial" w:hAnsi="Arial" w:cs="Arial" w:eastAsia="Arial" w:hint="default"/>
                <w:sz w:val="22"/>
                <w:szCs w:val="22"/>
              </w:rPr>
            </w:pPr>
            <w:r>
              <w:rPr>
                <w:rFonts w:ascii="Arial"/>
                <w:w w:val="95"/>
                <w:sz w:val="22"/>
              </w:rPr>
              <w:t>18.9</w:t>
            </w:r>
            <w:r>
              <w:rPr>
                <w:rFonts w:ascii="Arial"/>
                <w:sz w:val="22"/>
              </w:rPr>
            </w:r>
          </w:p>
        </w:tc>
      </w:tr>
    </w:tbl>
    <w:p>
      <w:pPr>
        <w:spacing w:after="0" w:line="240" w:lineRule="auto"/>
        <w:jc w:val="right"/>
        <w:rPr>
          <w:rFonts w:ascii="Arial" w:hAnsi="Arial" w:cs="Arial" w:eastAsia="Arial" w:hint="default"/>
          <w:sz w:val="22"/>
          <w:szCs w:val="22"/>
        </w:rPr>
        <w:sectPr>
          <w:type w:val="continuous"/>
          <w:pgSz w:w="11910" w:h="16840"/>
          <w:pgMar w:top="1100" w:bottom="280" w:left="1380" w:right="680"/>
        </w:sectPr>
      </w:pPr>
    </w:p>
    <w:p>
      <w:pPr>
        <w:spacing w:line="240" w:lineRule="auto" w:before="8"/>
        <w:rPr>
          <w:rFonts w:ascii="宋体" w:hAnsi="宋体" w:cs="宋体" w:eastAsia="宋体" w:hint="default"/>
          <w:sz w:val="22"/>
          <w:szCs w:val="22"/>
        </w:rPr>
      </w:pPr>
    </w:p>
    <w:p>
      <w:pPr>
        <w:pStyle w:val="BodyText"/>
        <w:spacing w:line="240" w:lineRule="auto" w:before="31"/>
        <w:ind w:left="146" w:right="89"/>
        <w:jc w:val="left"/>
      </w:pPr>
      <w:r>
        <w:rPr/>
        <w:t>（三）资产、负债情况分析</w:t>
      </w:r>
    </w:p>
    <w:p>
      <w:pPr>
        <w:spacing w:line="240" w:lineRule="auto" w:before="10"/>
        <w:rPr>
          <w:rFonts w:ascii="宋体" w:hAnsi="宋体" w:cs="宋体" w:eastAsia="宋体" w:hint="default"/>
          <w:sz w:val="16"/>
          <w:szCs w:val="16"/>
        </w:rPr>
      </w:pPr>
    </w:p>
    <w:p>
      <w:pPr>
        <w:pStyle w:val="BodyText"/>
        <w:spacing w:line="295" w:lineRule="exact" w:before="31"/>
        <w:ind w:left="146" w:right="89"/>
        <w:jc w:val="left"/>
      </w:pPr>
      <w:r>
        <w:rPr>
          <w:rFonts w:ascii="Arial" w:hAnsi="Arial" w:cs="Arial" w:eastAsia="Arial" w:hint="default"/>
        </w:rPr>
        <w:t>1</w:t>
      </w:r>
      <w:r>
        <w:rPr/>
        <w:t>、资产负债情况分析表</w:t>
      </w:r>
    </w:p>
    <w:p>
      <w:pPr>
        <w:pStyle w:val="BodyText"/>
        <w:spacing w:line="279" w:lineRule="exact"/>
        <w:ind w:left="0" w:right="211"/>
        <w:jc w:val="right"/>
      </w:pPr>
      <w:r>
        <w:rPr>
          <w:w w:val="95"/>
        </w:rPr>
        <w:t>单位：人民币百万元</w:t>
      </w:r>
      <w:r>
        <w:rPr/>
      </w:r>
    </w:p>
    <w:p>
      <w:pPr>
        <w:spacing w:line="240" w:lineRule="auto" w:before="6"/>
        <w:rPr>
          <w:rFonts w:ascii="宋体" w:hAnsi="宋体" w:cs="宋体" w:eastAsia="宋体" w:hint="default"/>
          <w:sz w:val="2"/>
          <w:szCs w:val="2"/>
        </w:rPr>
      </w:pPr>
    </w:p>
    <w:tbl>
      <w:tblPr>
        <w:tblW w:w="0" w:type="auto"/>
        <w:jc w:val="left"/>
        <w:tblInd w:w="499" w:type="dxa"/>
        <w:tblLayout w:type="fixed"/>
        <w:tblCellMar>
          <w:top w:w="0" w:type="dxa"/>
          <w:left w:w="0" w:type="dxa"/>
          <w:bottom w:w="0" w:type="dxa"/>
          <w:right w:w="0" w:type="dxa"/>
        </w:tblCellMar>
        <w:tblLook w:val="01E0"/>
      </w:tblPr>
      <w:tblGrid>
        <w:gridCol w:w="1685"/>
        <w:gridCol w:w="1265"/>
        <w:gridCol w:w="1642"/>
        <w:gridCol w:w="1438"/>
        <w:gridCol w:w="1620"/>
        <w:gridCol w:w="1525"/>
      </w:tblGrid>
      <w:tr>
        <w:trPr>
          <w:trHeight w:val="793" w:hRule="exact"/>
        </w:trPr>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30" w:right="0"/>
              <w:jc w:val="left"/>
              <w:rPr>
                <w:rFonts w:ascii="宋体" w:hAnsi="宋体" w:cs="宋体" w:eastAsia="宋体" w:hint="default"/>
                <w:sz w:val="20"/>
                <w:szCs w:val="20"/>
              </w:rPr>
            </w:pPr>
            <w:r>
              <w:rPr>
                <w:rFonts w:ascii="宋体" w:hAnsi="宋体" w:cs="宋体" w:eastAsia="宋体" w:hint="default"/>
                <w:sz w:val="20"/>
                <w:szCs w:val="20"/>
              </w:rPr>
              <w:t>项目名称</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22"/>
              <w:jc w:val="right"/>
              <w:rPr>
                <w:rFonts w:ascii="宋体" w:hAnsi="宋体" w:cs="宋体" w:eastAsia="宋体" w:hint="default"/>
                <w:sz w:val="20"/>
                <w:szCs w:val="20"/>
              </w:rPr>
            </w:pPr>
            <w:r>
              <w:rPr>
                <w:rFonts w:ascii="宋体" w:hAnsi="宋体" w:cs="宋体" w:eastAsia="宋体" w:hint="default"/>
                <w:spacing w:val="-1"/>
                <w:sz w:val="20"/>
                <w:szCs w:val="20"/>
              </w:rPr>
              <w:t>本期期末数</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24"/>
              <w:ind w:left="155" w:right="113" w:hanging="45"/>
              <w:jc w:val="left"/>
              <w:rPr>
                <w:rFonts w:ascii="Arial" w:hAnsi="Arial" w:cs="Arial" w:eastAsia="Arial" w:hint="default"/>
                <w:sz w:val="20"/>
                <w:szCs w:val="20"/>
              </w:rPr>
            </w:pPr>
            <w:r>
              <w:rPr>
                <w:rFonts w:ascii="宋体" w:hAnsi="宋体" w:cs="宋体" w:eastAsia="宋体" w:hint="default"/>
                <w:sz w:val="20"/>
                <w:szCs w:val="20"/>
              </w:rPr>
              <w:t>本期期末数占总</w:t>
            </w:r>
            <w:r>
              <w:rPr>
                <w:rFonts w:ascii="宋体" w:hAnsi="宋体" w:cs="宋体" w:eastAsia="宋体" w:hint="default"/>
                <w:w w:val="100"/>
                <w:sz w:val="20"/>
                <w:szCs w:val="20"/>
              </w:rPr>
              <w:t> </w:t>
            </w:r>
            <w:r>
              <w:rPr>
                <w:rFonts w:ascii="宋体" w:hAnsi="宋体" w:cs="宋体" w:eastAsia="宋体" w:hint="default"/>
                <w:sz w:val="20"/>
                <w:szCs w:val="20"/>
              </w:rPr>
              <w:t>资产的比例</w:t>
            </w:r>
            <w:r>
              <w:rPr>
                <w:rFonts w:ascii="Arial" w:hAnsi="Arial" w:cs="Arial" w:eastAsia="Arial" w:hint="default"/>
                <w:sz w:val="20"/>
                <w:szCs w:val="20"/>
              </w:rPr>
              <w:t>(%)</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11" w:right="0"/>
              <w:jc w:val="left"/>
              <w:rPr>
                <w:rFonts w:ascii="宋体" w:hAnsi="宋体" w:cs="宋体" w:eastAsia="宋体" w:hint="default"/>
                <w:sz w:val="20"/>
                <w:szCs w:val="20"/>
              </w:rPr>
            </w:pPr>
            <w:r>
              <w:rPr>
                <w:rFonts w:ascii="宋体" w:hAnsi="宋体" w:cs="宋体" w:eastAsia="宋体" w:hint="default"/>
                <w:sz w:val="20"/>
                <w:szCs w:val="20"/>
              </w:rPr>
              <w:t>上期期末数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24"/>
              <w:ind w:left="146" w:right="101" w:hanging="45"/>
              <w:jc w:val="left"/>
              <w:rPr>
                <w:rFonts w:ascii="Arial" w:hAnsi="Arial" w:cs="Arial" w:eastAsia="Arial" w:hint="default"/>
                <w:sz w:val="20"/>
                <w:szCs w:val="20"/>
              </w:rPr>
            </w:pPr>
            <w:r>
              <w:rPr>
                <w:rFonts w:ascii="宋体" w:hAnsi="宋体" w:cs="宋体" w:eastAsia="宋体" w:hint="default"/>
                <w:sz w:val="20"/>
                <w:szCs w:val="20"/>
              </w:rPr>
              <w:t>上期期末数占总</w:t>
            </w:r>
            <w:r>
              <w:rPr>
                <w:rFonts w:ascii="宋体" w:hAnsi="宋体" w:cs="宋体" w:eastAsia="宋体" w:hint="default"/>
                <w:w w:val="100"/>
                <w:sz w:val="20"/>
                <w:szCs w:val="20"/>
              </w:rPr>
              <w:t> </w:t>
            </w:r>
            <w:r>
              <w:rPr>
                <w:rFonts w:ascii="宋体" w:hAnsi="宋体" w:cs="宋体" w:eastAsia="宋体" w:hint="default"/>
                <w:sz w:val="20"/>
                <w:szCs w:val="20"/>
              </w:rPr>
              <w:t>资产的比例</w:t>
            </w:r>
            <w:r>
              <w:rPr>
                <w:rFonts w:ascii="Arial" w:hAnsi="Arial" w:cs="Arial" w:eastAsia="Arial" w:hint="default"/>
                <w:sz w:val="20"/>
                <w:szCs w:val="20"/>
              </w:rPr>
              <w:t>(%)</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54" w:right="0"/>
              <w:jc w:val="left"/>
              <w:rPr>
                <w:rFonts w:ascii="宋体" w:hAnsi="宋体" w:cs="宋体" w:eastAsia="宋体" w:hint="default"/>
                <w:sz w:val="20"/>
                <w:szCs w:val="20"/>
              </w:rPr>
            </w:pPr>
            <w:r>
              <w:rPr>
                <w:rFonts w:ascii="宋体" w:hAnsi="宋体" w:cs="宋体" w:eastAsia="宋体" w:hint="default"/>
                <w:sz w:val="20"/>
                <w:szCs w:val="20"/>
              </w:rPr>
              <w:t>本期期末金额</w:t>
            </w:r>
          </w:p>
          <w:p>
            <w:pPr>
              <w:pStyle w:val="TableParagraph"/>
              <w:spacing w:line="260" w:lineRule="exact" w:before="24"/>
              <w:ind w:left="300" w:right="152" w:hanging="146"/>
              <w:jc w:val="left"/>
              <w:rPr>
                <w:rFonts w:ascii="Arial" w:hAnsi="Arial" w:cs="Arial" w:eastAsia="Arial" w:hint="default"/>
                <w:sz w:val="20"/>
                <w:szCs w:val="20"/>
              </w:rPr>
            </w:pPr>
            <w:r>
              <w:rPr>
                <w:rFonts w:ascii="宋体" w:hAnsi="宋体" w:cs="宋体" w:eastAsia="宋体" w:hint="default"/>
                <w:sz w:val="20"/>
                <w:szCs w:val="20"/>
              </w:rPr>
              <w:t>较上期期末变</w:t>
            </w:r>
            <w:r>
              <w:rPr>
                <w:rFonts w:ascii="宋体" w:hAnsi="宋体" w:cs="宋体" w:eastAsia="宋体" w:hint="default"/>
                <w:w w:val="100"/>
                <w:sz w:val="20"/>
                <w:szCs w:val="20"/>
              </w:rPr>
              <w:t> </w:t>
            </w:r>
            <w:r>
              <w:rPr>
                <w:rFonts w:ascii="宋体" w:hAnsi="宋体" w:cs="宋体" w:eastAsia="宋体" w:hint="default"/>
                <w:sz w:val="20"/>
                <w:szCs w:val="20"/>
              </w:rPr>
              <w:t>动比例</w:t>
            </w:r>
            <w:r>
              <w:rPr>
                <w:rFonts w:ascii="Arial" w:hAnsi="Arial" w:cs="Arial" w:eastAsia="Arial" w:hint="default"/>
                <w:sz w:val="20"/>
                <w:szCs w:val="20"/>
              </w:rPr>
              <w:t>(%)</w:t>
            </w:r>
          </w:p>
        </w:tc>
      </w:tr>
      <w:tr>
        <w:trPr>
          <w:trHeight w:val="275" w:hRule="exact"/>
        </w:trPr>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z w:val="20"/>
              </w:rPr>
              <w:t>5,419</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Arial" w:hAnsi="Arial" w:cs="Arial" w:eastAsia="Arial" w:hint="default"/>
                <w:sz w:val="20"/>
                <w:szCs w:val="20"/>
              </w:rPr>
            </w:pPr>
            <w:r>
              <w:rPr>
                <w:rFonts w:ascii="Arial"/>
                <w:sz w:val="20"/>
              </w:rPr>
              <w:t>1.0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z w:val="20"/>
              </w:rPr>
              <w:t>1,925</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Arial" w:hAnsi="Arial" w:cs="Arial" w:eastAsia="Arial" w:hint="default"/>
                <w:sz w:val="20"/>
                <w:szCs w:val="20"/>
              </w:rPr>
            </w:pPr>
            <w:r>
              <w:rPr>
                <w:rFonts w:ascii="Arial"/>
                <w:sz w:val="20"/>
              </w:rPr>
              <w:t>0.4</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z w:val="20"/>
              </w:rPr>
              <w:t>181.5</w:t>
            </w:r>
          </w:p>
        </w:tc>
      </w:tr>
      <w:tr>
        <w:trPr>
          <w:trHeight w:val="275" w:hRule="exact"/>
        </w:trPr>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Arial" w:hAnsi="Arial" w:cs="Arial" w:eastAsia="Arial" w:hint="default"/>
                <w:sz w:val="20"/>
                <w:szCs w:val="20"/>
              </w:rPr>
            </w:pPr>
            <w:r>
              <w:rPr>
                <w:rFonts w:ascii="Arial"/>
                <w:spacing w:val="-1"/>
                <w:sz w:val="20"/>
              </w:rPr>
              <w:t>367,281</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Arial" w:hAnsi="Arial" w:cs="Arial" w:eastAsia="Arial" w:hint="default"/>
                <w:sz w:val="20"/>
                <w:szCs w:val="20"/>
              </w:rPr>
            </w:pPr>
            <w:r>
              <w:rPr>
                <w:rFonts w:ascii="Arial"/>
                <w:sz w:val="20"/>
              </w:rPr>
              <w:t>70.9</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pacing w:val="-1"/>
                <w:sz w:val="20"/>
              </w:rPr>
              <w:t>325,436</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z w:val="20"/>
              </w:rPr>
              <w:t>71.0</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z w:val="20"/>
              </w:rPr>
              <w:t>12.9</w:t>
            </w:r>
          </w:p>
        </w:tc>
      </w:tr>
      <w:tr>
        <w:trPr>
          <w:trHeight w:val="274" w:hRule="exact"/>
        </w:trPr>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Arial" w:hAnsi="Arial" w:cs="Arial" w:eastAsia="Arial" w:hint="default"/>
                <w:sz w:val="20"/>
                <w:szCs w:val="20"/>
              </w:rPr>
            </w:pPr>
            <w:r>
              <w:rPr>
                <w:rFonts w:ascii="Arial"/>
                <w:sz w:val="20"/>
              </w:rPr>
              <w:t>59,935</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20"/>
                <w:szCs w:val="20"/>
              </w:rPr>
            </w:pPr>
            <w:r>
              <w:rPr>
                <w:rFonts w:ascii="Arial"/>
                <w:sz w:val="20"/>
              </w:rPr>
              <w:t>11.6</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Arial" w:hAnsi="Arial" w:cs="Arial" w:eastAsia="Arial" w:hint="default"/>
                <w:sz w:val="20"/>
                <w:szCs w:val="20"/>
              </w:rPr>
            </w:pPr>
            <w:r>
              <w:rPr>
                <w:rFonts w:ascii="Arial"/>
                <w:sz w:val="20"/>
              </w:rPr>
              <w:t>52,329</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Arial" w:hAnsi="Arial" w:cs="Arial" w:eastAsia="Arial" w:hint="default"/>
                <w:sz w:val="20"/>
                <w:szCs w:val="20"/>
              </w:rPr>
            </w:pPr>
            <w:r>
              <w:rPr>
                <w:rFonts w:ascii="Arial"/>
                <w:sz w:val="20"/>
              </w:rPr>
              <w:t>11.4</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Arial" w:hAnsi="Arial" w:cs="Arial" w:eastAsia="Arial" w:hint="default"/>
                <w:sz w:val="20"/>
                <w:szCs w:val="20"/>
              </w:rPr>
            </w:pPr>
            <w:r>
              <w:rPr>
                <w:rFonts w:ascii="Arial"/>
                <w:sz w:val="20"/>
              </w:rPr>
              <w:t>14.5</w:t>
            </w:r>
          </w:p>
        </w:tc>
      </w:tr>
      <w:tr>
        <w:trPr>
          <w:trHeight w:val="275" w:hRule="exact"/>
        </w:trPr>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z w:val="20"/>
              </w:rPr>
              <w:t>5,058</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Arial" w:hAnsi="Arial" w:cs="Arial" w:eastAsia="Arial" w:hint="default"/>
                <w:sz w:val="20"/>
                <w:szCs w:val="20"/>
              </w:rPr>
            </w:pPr>
            <w:r>
              <w:rPr>
                <w:rFonts w:ascii="Arial"/>
                <w:sz w:val="20"/>
              </w:rPr>
              <w:t>1.0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z w:val="20"/>
              </w:rPr>
              <w:t>3,711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Arial" w:hAnsi="Arial" w:cs="Arial" w:eastAsia="Arial" w:hint="default"/>
                <w:sz w:val="20"/>
                <w:szCs w:val="20"/>
              </w:rPr>
            </w:pPr>
            <w:r>
              <w:rPr>
                <w:rFonts w:ascii="Arial"/>
                <w:sz w:val="20"/>
              </w:rPr>
              <w:t>0.8</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z w:val="20"/>
              </w:rPr>
              <w:t>36.3</w:t>
            </w:r>
          </w:p>
        </w:tc>
      </w:tr>
      <w:tr>
        <w:trPr>
          <w:trHeight w:val="275" w:hRule="exact"/>
        </w:trPr>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Arial" w:hAnsi="Arial" w:cs="Arial" w:eastAsia="Arial" w:hint="default"/>
                <w:sz w:val="20"/>
                <w:szCs w:val="20"/>
              </w:rPr>
            </w:pPr>
            <w:r>
              <w:rPr>
                <w:rFonts w:ascii="Arial"/>
                <w:sz w:val="20"/>
              </w:rPr>
              <w:t>69,175</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Arial" w:hAnsi="Arial" w:cs="Arial" w:eastAsia="Arial" w:hint="default"/>
                <w:sz w:val="20"/>
                <w:szCs w:val="20"/>
              </w:rPr>
            </w:pPr>
            <w:r>
              <w:rPr>
                <w:rFonts w:ascii="Arial"/>
                <w:sz w:val="20"/>
              </w:rPr>
              <w:t>13.3</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z w:val="20"/>
              </w:rPr>
              <w:t>32,322</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Arial" w:hAnsi="Arial" w:cs="Arial" w:eastAsia="Arial" w:hint="default"/>
                <w:sz w:val="20"/>
                <w:szCs w:val="20"/>
              </w:rPr>
            </w:pPr>
            <w:r>
              <w:rPr>
                <w:rFonts w:ascii="Arial"/>
                <w:sz w:val="20"/>
              </w:rPr>
              <w:t>7.0</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z w:val="20"/>
              </w:rPr>
              <w:t>114.0</w:t>
            </w:r>
          </w:p>
        </w:tc>
      </w:tr>
      <w:tr>
        <w:trPr>
          <w:trHeight w:val="274" w:hRule="exact"/>
        </w:trPr>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20"/>
                <w:szCs w:val="20"/>
              </w:rPr>
            </w:pPr>
            <w:r>
              <w:rPr>
                <w:rFonts w:ascii="Arial"/>
                <w:spacing w:val="-1"/>
                <w:sz w:val="20"/>
              </w:rPr>
              <w:t>103,512</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20"/>
                <w:szCs w:val="20"/>
              </w:rPr>
            </w:pPr>
            <w:r>
              <w:rPr>
                <w:rFonts w:ascii="Arial"/>
                <w:sz w:val="20"/>
              </w:rPr>
              <w:t>20.0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Arial" w:hAnsi="Arial" w:cs="Arial" w:eastAsia="Arial" w:hint="default"/>
                <w:sz w:val="20"/>
                <w:szCs w:val="20"/>
              </w:rPr>
            </w:pPr>
            <w:r>
              <w:rPr>
                <w:rFonts w:ascii="Arial"/>
                <w:sz w:val="20"/>
              </w:rPr>
              <w:t>91,139</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Arial" w:hAnsi="Arial" w:cs="Arial" w:eastAsia="Arial" w:hint="default"/>
                <w:sz w:val="20"/>
                <w:szCs w:val="20"/>
              </w:rPr>
            </w:pPr>
            <w:r>
              <w:rPr>
                <w:rFonts w:ascii="Arial"/>
                <w:sz w:val="20"/>
              </w:rPr>
              <w:t>19.9</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Arial" w:hAnsi="Arial" w:cs="Arial" w:eastAsia="Arial" w:hint="default"/>
                <w:sz w:val="20"/>
                <w:szCs w:val="20"/>
              </w:rPr>
            </w:pPr>
            <w:r>
              <w:rPr>
                <w:rFonts w:ascii="Arial"/>
                <w:sz w:val="20"/>
              </w:rPr>
              <w:t>13.6</w:t>
            </w:r>
          </w:p>
        </w:tc>
      </w:tr>
      <w:tr>
        <w:trPr>
          <w:trHeight w:val="275" w:hRule="exact"/>
        </w:trPr>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Arial" w:hAnsi="Arial" w:cs="Arial" w:eastAsia="Arial" w:hint="default"/>
                <w:sz w:val="20"/>
                <w:szCs w:val="20"/>
              </w:rPr>
            </w:pPr>
            <w:r>
              <w:rPr>
                <w:rFonts w:ascii="Arial"/>
                <w:sz w:val="20"/>
              </w:rPr>
              <w:t>43,083</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Arial" w:hAnsi="Arial" w:cs="Arial" w:eastAsia="Arial" w:hint="default"/>
                <w:sz w:val="20"/>
                <w:szCs w:val="20"/>
              </w:rPr>
            </w:pPr>
            <w:r>
              <w:rPr>
                <w:rFonts w:ascii="Arial"/>
                <w:sz w:val="20"/>
              </w:rPr>
              <w:t>8.3</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z w:val="20"/>
              </w:rPr>
              <w:t>36,621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Arial" w:hAnsi="Arial" w:cs="Arial" w:eastAsia="Arial" w:hint="default"/>
                <w:sz w:val="20"/>
                <w:szCs w:val="20"/>
              </w:rPr>
            </w:pPr>
            <w:r>
              <w:rPr>
                <w:rFonts w:ascii="Arial"/>
                <w:sz w:val="20"/>
              </w:rPr>
              <w:t>8.0</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Arial" w:hAnsi="Arial" w:cs="Arial" w:eastAsia="Arial" w:hint="default"/>
                <w:sz w:val="20"/>
                <w:szCs w:val="20"/>
              </w:rPr>
            </w:pPr>
            <w:r>
              <w:rPr>
                <w:rFonts w:ascii="Arial"/>
                <w:sz w:val="20"/>
              </w:rPr>
              <w:t>17.6</w:t>
            </w:r>
          </w:p>
        </w:tc>
      </w:tr>
      <w:tr>
        <w:trPr>
          <w:trHeight w:val="534" w:hRule="exact"/>
        </w:trPr>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66"/>
              <w:jc w:val="center"/>
              <w:rPr>
                <w:rFonts w:ascii="宋体" w:hAnsi="宋体" w:cs="宋体" w:eastAsia="宋体" w:hint="default"/>
                <w:sz w:val="20"/>
                <w:szCs w:val="20"/>
              </w:rPr>
            </w:pPr>
            <w:r>
              <w:rPr>
                <w:rFonts w:ascii="宋体" w:hAnsi="宋体" w:cs="宋体" w:eastAsia="宋体" w:hint="default"/>
                <w:sz w:val="20"/>
                <w:szCs w:val="20"/>
              </w:rPr>
              <w:t>一年内到期的非</w:t>
            </w:r>
          </w:p>
          <w:p>
            <w:pPr>
              <w:pStyle w:val="TableParagraph"/>
              <w:spacing w:line="261" w:lineRule="exact"/>
              <w:ind w:right="189"/>
              <w:jc w:val="center"/>
              <w:rPr>
                <w:rFonts w:ascii="宋体" w:hAnsi="宋体" w:cs="宋体" w:eastAsia="宋体" w:hint="default"/>
                <w:sz w:val="20"/>
                <w:szCs w:val="20"/>
              </w:rPr>
            </w:pPr>
            <w:r>
              <w:rPr>
                <w:rFonts w:ascii="宋体" w:hAnsi="宋体" w:cs="宋体" w:eastAsia="宋体" w:hint="default"/>
                <w:sz w:val="20"/>
                <w:szCs w:val="20"/>
              </w:rPr>
              <w:t>流动负债</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Arial" w:hAnsi="Arial" w:cs="Arial" w:eastAsia="Arial" w:hint="default"/>
                <w:sz w:val="20"/>
                <w:szCs w:val="20"/>
              </w:rPr>
            </w:pPr>
            <w:r>
              <w:rPr>
                <w:rFonts w:ascii="Arial"/>
                <w:sz w:val="20"/>
              </w:rPr>
              <w:t>32,193</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Arial" w:hAnsi="Arial" w:cs="Arial" w:eastAsia="Arial" w:hint="default"/>
                <w:sz w:val="20"/>
                <w:szCs w:val="20"/>
              </w:rPr>
            </w:pPr>
            <w:r>
              <w:rPr>
                <w:rFonts w:ascii="Arial"/>
                <w:sz w:val="20"/>
              </w:rPr>
              <w:t>6.2</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7"/>
              <w:jc w:val="right"/>
              <w:rPr>
                <w:rFonts w:ascii="Arial" w:hAnsi="Arial" w:cs="Arial" w:eastAsia="Arial" w:hint="default"/>
                <w:sz w:val="20"/>
                <w:szCs w:val="20"/>
              </w:rPr>
            </w:pPr>
            <w:r>
              <w:rPr>
                <w:rFonts w:ascii="Arial"/>
                <w:sz w:val="20"/>
              </w:rPr>
              <w:t>128</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Arial" w:hAnsi="Arial" w:cs="Arial" w:eastAsia="Arial" w:hint="default"/>
                <w:sz w:val="20"/>
                <w:szCs w:val="20"/>
              </w:rPr>
            </w:pPr>
            <w:r>
              <w:rPr>
                <w:rFonts w:ascii="Arial"/>
                <w:sz w:val="20"/>
              </w:rPr>
              <w:t>0.0</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7"/>
              <w:jc w:val="right"/>
              <w:rPr>
                <w:rFonts w:ascii="Arial" w:hAnsi="Arial" w:cs="Arial" w:eastAsia="Arial" w:hint="default"/>
                <w:sz w:val="20"/>
                <w:szCs w:val="20"/>
              </w:rPr>
            </w:pPr>
            <w:r>
              <w:rPr>
                <w:rFonts w:ascii="Arial"/>
                <w:sz w:val="20"/>
              </w:rPr>
              <w:t>25,050.8</w:t>
            </w:r>
          </w:p>
        </w:tc>
      </w:tr>
      <w:tr>
        <w:trPr>
          <w:trHeight w:val="275" w:hRule="exact"/>
        </w:trPr>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z w:val="20"/>
              </w:rPr>
              <w:t>2,000</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Arial" w:hAnsi="Arial" w:cs="Arial" w:eastAsia="Arial" w:hint="default"/>
                <w:sz w:val="20"/>
                <w:szCs w:val="20"/>
              </w:rPr>
            </w:pPr>
            <w:r>
              <w:rPr>
                <w:rFonts w:ascii="Arial"/>
                <w:sz w:val="20"/>
              </w:rPr>
              <w:t>0.4</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Arial" w:hAnsi="Arial" w:cs="Arial" w:eastAsia="Arial" w:hint="default"/>
                <w:sz w:val="20"/>
                <w:szCs w:val="20"/>
              </w:rPr>
            </w:pPr>
            <w:r>
              <w:rPr>
                <w:rFonts w:ascii="Arial"/>
                <w:sz w:val="20"/>
              </w:rPr>
              <w:t>33,118</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20"/>
                <w:szCs w:val="20"/>
              </w:rPr>
            </w:pPr>
            <w:r>
              <w:rPr>
                <w:rFonts w:ascii="Arial"/>
                <w:sz w:val="20"/>
              </w:rPr>
              <w:t>7.2</w:t>
            </w:r>
          </w:p>
        </w:tc>
        <w:tc>
          <w:tcPr>
            <w:tcW w:w="1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Arial" w:hAnsi="Arial" w:cs="Arial" w:eastAsia="Arial" w:hint="default"/>
                <w:sz w:val="20"/>
                <w:szCs w:val="20"/>
              </w:rPr>
            </w:pPr>
            <w:r>
              <w:rPr>
                <w:rFonts w:ascii="Arial"/>
                <w:sz w:val="20"/>
              </w:rPr>
              <w:t>-94.0</w:t>
            </w:r>
          </w:p>
        </w:tc>
      </w:tr>
    </w:tbl>
    <w:p>
      <w:pPr>
        <w:spacing w:line="240" w:lineRule="auto" w:before="2"/>
        <w:rPr>
          <w:rFonts w:ascii="宋体" w:hAnsi="宋体" w:cs="宋体" w:eastAsia="宋体" w:hint="default"/>
          <w:sz w:val="14"/>
          <w:szCs w:val="14"/>
        </w:rPr>
      </w:pPr>
    </w:p>
    <w:p>
      <w:pPr>
        <w:pStyle w:val="BodyText"/>
        <w:spacing w:line="240" w:lineRule="auto" w:before="31"/>
        <w:ind w:left="506" w:right="89"/>
        <w:jc w:val="left"/>
      </w:pPr>
      <w:r>
        <w:rPr/>
        <w:t>资产负债变动原因分析：</w:t>
      </w:r>
    </w:p>
    <w:p>
      <w:pPr>
        <w:spacing w:line="240" w:lineRule="auto" w:before="1"/>
        <w:rPr>
          <w:rFonts w:ascii="宋体" w:hAnsi="宋体" w:cs="宋体" w:eastAsia="宋体" w:hint="default"/>
          <w:sz w:val="19"/>
          <w:szCs w:val="19"/>
        </w:rPr>
      </w:pPr>
    </w:p>
    <w:p>
      <w:pPr>
        <w:pStyle w:val="BodyText"/>
        <w:tabs>
          <w:tab w:pos="983" w:val="left" w:leader="none"/>
        </w:tabs>
        <w:spacing w:line="295" w:lineRule="exact"/>
        <w:ind w:left="524" w:right="89"/>
        <w:jc w:val="left"/>
      </w:pPr>
      <w:r>
        <w:rPr>
          <w:rFonts w:ascii="Symbol" w:hAnsi="Symbol" w:cs="Symbol" w:eastAsia="Symbol" w:hint="default"/>
          <w:w w:val="95"/>
        </w:rPr>
        <w:t></w:t>
      </w:r>
      <w:r>
        <w:rPr>
          <w:rFonts w:ascii="Times New Roman" w:hAnsi="Times New Roman" w:cs="Times New Roman" w:eastAsia="Times New Roman" w:hint="default"/>
          <w:w w:val="95"/>
        </w:rPr>
        <w:tab/>
      </w:r>
      <w:r>
        <w:rPr/>
        <w:t>其他应收款：主要是由于应收合约用户通信终端款的增加所致。</w:t>
      </w:r>
    </w:p>
    <w:p>
      <w:pPr>
        <w:pStyle w:val="BodyText"/>
        <w:tabs>
          <w:tab w:pos="983" w:val="left" w:leader="none"/>
        </w:tabs>
        <w:spacing w:line="286" w:lineRule="exact"/>
        <w:ind w:left="524" w:right="89"/>
        <w:jc w:val="left"/>
      </w:pPr>
      <w:r>
        <w:rPr>
          <w:rFonts w:ascii="Symbol" w:hAnsi="Symbol" w:cs="Symbol" w:eastAsia="Symbol" w:hint="default"/>
          <w:w w:val="95"/>
        </w:rPr>
        <w:t></w:t>
      </w:r>
      <w:r>
        <w:rPr>
          <w:rFonts w:ascii="Times New Roman" w:hAnsi="Times New Roman" w:cs="Times New Roman" w:eastAsia="Times New Roman" w:hint="default"/>
          <w:w w:val="95"/>
        </w:rPr>
        <w:tab/>
      </w:r>
      <w:r>
        <w:rPr/>
        <w:t>固定资产：主要是由于本年资本性支出的增加及联通新时空资产收购转入所致。</w:t>
      </w:r>
    </w:p>
    <w:p>
      <w:pPr>
        <w:pStyle w:val="BodyText"/>
        <w:tabs>
          <w:tab w:pos="983" w:val="left" w:leader="none"/>
        </w:tabs>
        <w:spacing w:line="285" w:lineRule="exact"/>
        <w:ind w:left="524" w:right="89"/>
        <w:jc w:val="left"/>
      </w:pPr>
      <w:r>
        <w:rPr>
          <w:rFonts w:ascii="Symbol" w:hAnsi="Symbol" w:cs="Symbol" w:eastAsia="Symbol" w:hint="default"/>
          <w:w w:val="95"/>
        </w:rPr>
        <w:t></w:t>
      </w:r>
      <w:r>
        <w:rPr>
          <w:rFonts w:ascii="Times New Roman" w:hAnsi="Times New Roman" w:cs="Times New Roman" w:eastAsia="Times New Roman" w:hint="default"/>
          <w:w w:val="95"/>
        </w:rPr>
        <w:tab/>
      </w:r>
      <w:r>
        <w:rPr/>
        <w:t>在建工程：主要是由于本年资本性支出的增加及联通新时空资产收购转入所致。</w:t>
      </w:r>
    </w:p>
    <w:p>
      <w:pPr>
        <w:pStyle w:val="BodyText"/>
        <w:tabs>
          <w:tab w:pos="983" w:val="left" w:leader="none"/>
        </w:tabs>
        <w:spacing w:line="286" w:lineRule="exact" w:before="17"/>
        <w:ind w:left="992" w:right="209" w:hanging="469"/>
        <w:jc w:val="left"/>
      </w:pPr>
      <w:r>
        <w:rPr>
          <w:rFonts w:ascii="Symbol" w:hAnsi="Symbol" w:cs="Symbol" w:eastAsia="Symbol" w:hint="default"/>
          <w:w w:val="95"/>
        </w:rPr>
        <w:t></w:t>
      </w:r>
      <w:r>
        <w:rPr>
          <w:rFonts w:ascii="Times New Roman" w:hAnsi="Times New Roman" w:cs="Times New Roman" w:eastAsia="Times New Roman" w:hint="default"/>
          <w:w w:val="95"/>
        </w:rPr>
        <w:tab/>
      </w:r>
      <w:r>
        <w:rPr/>
        <w:t>递延所得税资产：主要是由于联通新时空资产收购转入及与可供出售金融资产公允价值变</w:t>
      </w:r>
      <w:r>
        <w:rPr>
          <w:spacing w:val="-51"/>
        </w:rPr>
        <w:t> </w:t>
      </w:r>
      <w:r>
        <w:rPr>
          <w:spacing w:val="-51"/>
        </w:rPr>
      </w:r>
      <w:r>
        <w:rPr/>
        <w:t>动相关的递延所得税资产增加所致。</w:t>
      </w:r>
    </w:p>
    <w:p>
      <w:pPr>
        <w:pStyle w:val="BodyText"/>
        <w:tabs>
          <w:tab w:pos="983" w:val="left" w:leader="none"/>
        </w:tabs>
        <w:spacing w:line="267" w:lineRule="exact"/>
        <w:ind w:left="524" w:right="89"/>
        <w:jc w:val="left"/>
      </w:pPr>
      <w:r>
        <w:rPr>
          <w:rFonts w:ascii="Symbol" w:hAnsi="Symbol" w:cs="Symbol" w:eastAsia="Symbol" w:hint="default"/>
          <w:w w:val="95"/>
        </w:rPr>
        <w:t></w:t>
      </w:r>
      <w:r>
        <w:rPr>
          <w:rFonts w:ascii="Times New Roman" w:hAnsi="Times New Roman" w:cs="Times New Roman" w:eastAsia="Times New Roman" w:hint="default"/>
          <w:w w:val="95"/>
        </w:rPr>
        <w:tab/>
      </w:r>
      <w:r>
        <w:rPr/>
        <w:t>短期借款：主要是由于本年新增的短期借款金额超过偿还借款的金额所致。</w:t>
      </w:r>
    </w:p>
    <w:p>
      <w:pPr>
        <w:pStyle w:val="BodyText"/>
        <w:tabs>
          <w:tab w:pos="983" w:val="left" w:leader="none"/>
        </w:tabs>
        <w:spacing w:line="286" w:lineRule="exact"/>
        <w:ind w:left="524" w:right="89"/>
        <w:jc w:val="left"/>
      </w:pPr>
      <w:r>
        <w:rPr>
          <w:rFonts w:ascii="Symbol" w:hAnsi="Symbol" w:cs="Symbol" w:eastAsia="Symbol" w:hint="default"/>
          <w:w w:val="95"/>
        </w:rPr>
        <w:t></w:t>
      </w:r>
      <w:r>
        <w:rPr>
          <w:rFonts w:ascii="Times New Roman" w:hAnsi="Times New Roman" w:cs="Times New Roman" w:eastAsia="Times New Roman" w:hint="default"/>
          <w:w w:val="95"/>
        </w:rPr>
        <w:tab/>
      </w:r>
      <w:r>
        <w:rPr/>
        <w:t>应付账款：主要是由于与资本性支出相关的应付工程设备款增加所致。</w:t>
      </w:r>
    </w:p>
    <w:p>
      <w:pPr>
        <w:pStyle w:val="BodyText"/>
        <w:tabs>
          <w:tab w:pos="983" w:val="left" w:leader="none"/>
        </w:tabs>
        <w:spacing w:line="285" w:lineRule="exact"/>
        <w:ind w:left="524" w:right="89"/>
        <w:jc w:val="left"/>
      </w:pPr>
      <w:r>
        <w:rPr>
          <w:rFonts w:ascii="Symbol" w:hAnsi="Symbol" w:cs="Symbol" w:eastAsia="Symbol" w:hint="default"/>
          <w:w w:val="95"/>
        </w:rPr>
        <w:t></w:t>
      </w:r>
      <w:r>
        <w:rPr>
          <w:rFonts w:ascii="Times New Roman" w:hAnsi="Times New Roman" w:cs="Times New Roman" w:eastAsia="Times New Roman" w:hint="default"/>
          <w:w w:val="95"/>
        </w:rPr>
        <w:tab/>
      </w:r>
      <w:r>
        <w:rPr/>
        <w:t>预收款项：主要是由于本年用户预存款增加所致。</w:t>
      </w:r>
    </w:p>
    <w:p>
      <w:pPr>
        <w:pStyle w:val="BodyText"/>
        <w:tabs>
          <w:tab w:pos="983" w:val="left" w:leader="none"/>
        </w:tabs>
        <w:spacing w:line="285" w:lineRule="exact"/>
        <w:ind w:left="524" w:right="89"/>
        <w:jc w:val="left"/>
      </w:pPr>
      <w:r>
        <w:rPr>
          <w:rFonts w:ascii="Symbol" w:hAnsi="Symbol" w:cs="Symbol" w:eastAsia="Symbol" w:hint="default"/>
          <w:w w:val="95"/>
        </w:rPr>
        <w:t></w:t>
      </w:r>
      <w:r>
        <w:rPr>
          <w:rFonts w:ascii="Times New Roman" w:hAnsi="Times New Roman" w:cs="Times New Roman" w:eastAsia="Times New Roman" w:hint="default"/>
          <w:w w:val="95"/>
        </w:rPr>
        <w:tab/>
      </w:r>
      <w:r>
        <w:rPr/>
        <w:t>一年内到期的非流动负债：主要是因为</w:t>
      </w:r>
      <w:r>
        <w:rPr>
          <w:spacing w:val="-64"/>
        </w:rPr>
        <w:t> </w:t>
      </w:r>
      <w:r>
        <w:rPr>
          <w:rFonts w:ascii="Arial" w:hAnsi="Arial" w:cs="Arial" w:eastAsia="Arial" w:hint="default"/>
        </w:rPr>
        <w:t>2008</w:t>
      </w:r>
      <w:r>
        <w:rPr>
          <w:rFonts w:ascii="Arial" w:hAnsi="Arial" w:cs="Arial" w:eastAsia="Arial" w:hint="default"/>
          <w:spacing w:val="-17"/>
        </w:rPr>
        <w:t> </w:t>
      </w:r>
      <w:r>
        <w:rPr/>
        <w:t>年公司债券以及</w:t>
      </w:r>
      <w:r>
        <w:rPr>
          <w:spacing w:val="-66"/>
        </w:rPr>
        <w:t> </w:t>
      </w:r>
      <w:r>
        <w:rPr>
          <w:rFonts w:ascii="Arial" w:hAnsi="Arial" w:cs="Arial" w:eastAsia="Arial" w:hint="default"/>
        </w:rPr>
        <w:t>2010</w:t>
      </w:r>
      <w:r>
        <w:rPr>
          <w:rFonts w:ascii="Arial" w:hAnsi="Arial" w:cs="Arial" w:eastAsia="Arial" w:hint="default"/>
          <w:spacing w:val="-17"/>
        </w:rPr>
        <w:t> </w:t>
      </w:r>
      <w:r>
        <w:rPr/>
        <w:t>年第一期和第二期中期</w:t>
      </w:r>
    </w:p>
    <w:p>
      <w:pPr>
        <w:pStyle w:val="BodyText"/>
        <w:spacing w:line="285" w:lineRule="exact"/>
        <w:ind w:left="992" w:right="89"/>
        <w:jc w:val="left"/>
      </w:pPr>
      <w:r>
        <w:rPr/>
        <w:t>票据将于</w:t>
      </w:r>
      <w:r>
        <w:rPr>
          <w:spacing w:val="-58"/>
        </w:rPr>
        <w:t> </w:t>
      </w:r>
      <w:r>
        <w:rPr>
          <w:rFonts w:ascii="Arial" w:hAnsi="Arial" w:cs="Arial" w:eastAsia="Arial" w:hint="default"/>
        </w:rPr>
        <w:t>2013</w:t>
      </w:r>
      <w:r>
        <w:rPr>
          <w:rFonts w:ascii="Arial" w:hAnsi="Arial" w:cs="Arial" w:eastAsia="Arial" w:hint="default"/>
          <w:spacing w:val="-9"/>
        </w:rPr>
        <w:t> </w:t>
      </w:r>
      <w:r>
        <w:rPr>
          <w:spacing w:val="-3"/>
        </w:rPr>
        <w:t>年到期，以及亿迅公司发行的</w:t>
      </w:r>
      <w:r>
        <w:rPr>
          <w:spacing w:val="-58"/>
        </w:rPr>
        <w:t> </w:t>
      </w:r>
      <w:r>
        <w:rPr>
          <w:rFonts w:ascii="Arial" w:hAnsi="Arial" w:cs="Arial" w:eastAsia="Arial" w:hint="default"/>
        </w:rPr>
        <w:t>2010</w:t>
      </w:r>
      <w:r>
        <w:rPr>
          <w:rFonts w:ascii="Arial" w:hAnsi="Arial" w:cs="Arial" w:eastAsia="Arial" w:hint="default"/>
          <w:spacing w:val="-8"/>
        </w:rPr>
        <w:t> </w:t>
      </w:r>
      <w:r>
        <w:rPr/>
        <w:t>年可转换债券的债券持有人有权选择于</w:t>
      </w:r>
    </w:p>
    <w:p>
      <w:pPr>
        <w:pStyle w:val="BodyText"/>
        <w:spacing w:line="286" w:lineRule="exact" w:before="19"/>
        <w:ind w:left="992" w:right="89"/>
        <w:jc w:val="left"/>
      </w:pPr>
      <w:r>
        <w:rPr>
          <w:rFonts w:ascii="Arial" w:hAnsi="Arial" w:cs="Arial" w:eastAsia="Arial" w:hint="default"/>
          <w:w w:val="99"/>
        </w:rPr>
        <w:t>2013</w:t>
      </w:r>
      <w:r>
        <w:rPr>
          <w:rFonts w:ascii="Arial" w:hAnsi="Arial" w:cs="Arial" w:eastAsia="Arial" w:hint="default"/>
          <w:spacing w:val="-6"/>
          <w:w w:val="99"/>
        </w:rPr>
        <w:t> </w:t>
      </w:r>
      <w:r>
        <w:rPr>
          <w:w w:val="99"/>
        </w:rPr>
        <w:t>年</w:t>
      </w:r>
      <w:r>
        <w:rPr>
          <w:spacing w:val="-55"/>
          <w:w w:val="99"/>
        </w:rPr>
        <w:t> </w:t>
      </w:r>
      <w:r>
        <w:rPr>
          <w:rFonts w:ascii="Arial" w:hAnsi="Arial" w:cs="Arial" w:eastAsia="Arial" w:hint="default"/>
          <w:w w:val="99"/>
        </w:rPr>
        <w:t>10</w:t>
      </w:r>
      <w:r>
        <w:rPr>
          <w:rFonts w:ascii="Arial" w:hAnsi="Arial" w:cs="Arial" w:eastAsia="Arial" w:hint="default"/>
          <w:spacing w:val="-6"/>
          <w:w w:val="99"/>
        </w:rPr>
        <w:t> </w:t>
      </w:r>
      <w:r>
        <w:rPr>
          <w:w w:val="99"/>
        </w:rPr>
        <w:t>月</w:t>
      </w:r>
      <w:r>
        <w:rPr>
          <w:spacing w:val="-55"/>
          <w:w w:val="99"/>
        </w:rPr>
        <w:t> </w:t>
      </w:r>
      <w:r>
        <w:rPr>
          <w:rFonts w:ascii="Arial" w:hAnsi="Arial" w:cs="Arial" w:eastAsia="Arial" w:hint="default"/>
          <w:w w:val="99"/>
        </w:rPr>
        <w:t>18</w:t>
      </w:r>
      <w:r>
        <w:rPr>
          <w:rFonts w:ascii="Arial" w:hAnsi="Arial" w:cs="Arial" w:eastAsia="Arial" w:hint="default"/>
          <w:spacing w:val="-6"/>
          <w:w w:val="99"/>
        </w:rPr>
        <w:t> </w:t>
      </w:r>
      <w:r>
        <w:rPr>
          <w:spacing w:val="-3"/>
          <w:w w:val="99"/>
        </w:rPr>
        <w:t>日按本金连同应计而未支付的利息赎回可转换债券，故从应付债券转入一</w:t>
      </w:r>
      <w:r>
        <w:rPr>
          <w:w w:val="99"/>
        </w:rPr>
        <w:t> </w:t>
      </w:r>
      <w:r>
        <w:rPr/>
        <w:t>年内到期的非流动负债所致。</w:t>
      </w:r>
    </w:p>
    <w:p>
      <w:pPr>
        <w:pStyle w:val="BodyText"/>
        <w:tabs>
          <w:tab w:pos="983" w:val="left" w:leader="none"/>
        </w:tabs>
        <w:spacing w:line="225" w:lineRule="auto"/>
        <w:ind w:left="992" w:right="209" w:hanging="469"/>
        <w:jc w:val="left"/>
      </w:pPr>
      <w:r>
        <w:rPr>
          <w:rFonts w:ascii="Symbol" w:hAnsi="Symbol" w:cs="Symbol" w:eastAsia="Symbol" w:hint="default"/>
          <w:w w:val="95"/>
        </w:rPr>
        <w:t></w:t>
      </w:r>
      <w:r>
        <w:rPr>
          <w:rFonts w:ascii="Times New Roman" w:hAnsi="Times New Roman" w:cs="Times New Roman" w:eastAsia="Times New Roman" w:hint="default"/>
          <w:w w:val="95"/>
        </w:rPr>
        <w:tab/>
      </w:r>
      <w:r>
        <w:rPr>
          <w:spacing w:val="-3"/>
        </w:rPr>
        <w:t>应付债券：如前述“一年内到期的非流动负债”变动原因分析，主要是因为</w:t>
      </w:r>
      <w:r>
        <w:rPr>
          <w:spacing w:val="-55"/>
        </w:rPr>
        <w:t> </w:t>
      </w:r>
      <w:r>
        <w:rPr>
          <w:rFonts w:ascii="Arial" w:hAnsi="Arial" w:cs="Arial" w:eastAsia="Arial" w:hint="default"/>
        </w:rPr>
        <w:t>2008</w:t>
      </w:r>
      <w:r>
        <w:rPr>
          <w:rFonts w:ascii="Arial" w:hAnsi="Arial" w:cs="Arial" w:eastAsia="Arial" w:hint="default"/>
          <w:spacing w:val="-6"/>
        </w:rPr>
        <w:t> </w:t>
      </w:r>
      <w:r>
        <w:rPr/>
        <w:t>年公司债</w:t>
      </w:r>
      <w:r>
        <w:rPr>
          <w:w w:val="99"/>
        </w:rPr>
        <w:t> </w:t>
      </w:r>
      <w:r>
        <w:rPr/>
        <w:t>券以及</w:t>
      </w:r>
      <w:r>
        <w:rPr>
          <w:spacing w:val="-68"/>
        </w:rPr>
        <w:t> </w:t>
      </w:r>
      <w:r>
        <w:rPr>
          <w:rFonts w:ascii="Arial" w:hAnsi="Arial" w:cs="Arial" w:eastAsia="Arial" w:hint="default"/>
        </w:rPr>
        <w:t>2010</w:t>
      </w:r>
      <w:r>
        <w:rPr>
          <w:rFonts w:ascii="Arial" w:hAnsi="Arial" w:cs="Arial" w:eastAsia="Arial" w:hint="default"/>
          <w:spacing w:val="-18"/>
        </w:rPr>
        <w:t> </w:t>
      </w:r>
      <w:r>
        <w:rPr/>
        <w:t>年第一期和第二期中期票据及亿迅公司发行的</w:t>
      </w:r>
      <w:r>
        <w:rPr>
          <w:spacing w:val="-66"/>
        </w:rPr>
        <w:t> </w:t>
      </w:r>
      <w:r>
        <w:rPr>
          <w:rFonts w:ascii="Arial" w:hAnsi="Arial" w:cs="Arial" w:eastAsia="Arial" w:hint="default"/>
        </w:rPr>
        <w:t>2010</w:t>
      </w:r>
      <w:r>
        <w:rPr>
          <w:rFonts w:ascii="Arial" w:hAnsi="Arial" w:cs="Arial" w:eastAsia="Arial" w:hint="default"/>
          <w:spacing w:val="-18"/>
        </w:rPr>
        <w:t> </w:t>
      </w:r>
      <w:r>
        <w:rPr/>
        <w:t>年可转换债券从应付债券</w:t>
      </w:r>
    </w:p>
    <w:p>
      <w:pPr>
        <w:pStyle w:val="BodyText"/>
        <w:spacing w:line="273" w:lineRule="exact"/>
        <w:ind w:left="992" w:right="89"/>
        <w:jc w:val="left"/>
      </w:pPr>
      <w:r>
        <w:rPr/>
        <w:t>转入一年内到期的非流动负债所致。</w:t>
      </w:r>
    </w:p>
    <w:p>
      <w:pPr>
        <w:spacing w:line="240" w:lineRule="auto" w:before="1"/>
        <w:rPr>
          <w:rFonts w:ascii="宋体" w:hAnsi="宋体" w:cs="宋体" w:eastAsia="宋体" w:hint="default"/>
          <w:sz w:val="19"/>
          <w:szCs w:val="19"/>
        </w:rPr>
      </w:pPr>
    </w:p>
    <w:p>
      <w:pPr>
        <w:pStyle w:val="BodyText"/>
        <w:spacing w:line="240" w:lineRule="auto"/>
        <w:ind w:left="146" w:right="89"/>
        <w:jc w:val="left"/>
      </w:pPr>
      <w:r>
        <w:rPr>
          <w:rFonts w:ascii="Arial" w:hAnsi="Arial" w:cs="Arial" w:eastAsia="Arial" w:hint="default"/>
        </w:rPr>
        <w:t>2</w:t>
      </w:r>
      <w:r>
        <w:rPr/>
        <w:t>、公允价值计量资产、主要资产计量属性变化相关情况说明</w:t>
      </w:r>
    </w:p>
    <w:p>
      <w:pPr>
        <w:spacing w:line="240" w:lineRule="auto" w:before="2"/>
        <w:rPr>
          <w:rFonts w:ascii="宋体" w:hAnsi="宋体" w:cs="宋体" w:eastAsia="宋体" w:hint="default"/>
          <w:sz w:val="18"/>
          <w:szCs w:val="18"/>
        </w:rPr>
      </w:pPr>
    </w:p>
    <w:p>
      <w:pPr>
        <w:pStyle w:val="BodyText"/>
        <w:spacing w:line="237" w:lineRule="auto"/>
        <w:ind w:left="498" w:right="103"/>
        <w:jc w:val="left"/>
      </w:pPr>
      <w:r>
        <w:rPr>
          <w:spacing w:val="-3"/>
          <w:w w:val="99"/>
        </w:rPr>
        <w:t>本集团以公允价值计量的资产主要为西班牙电信以及交通银行的股票投资，鉴于上述股票投资有</w:t>
      </w:r>
      <w:r>
        <w:rPr>
          <w:spacing w:val="-83"/>
          <w:w w:val="99"/>
        </w:rPr>
        <w:t> </w:t>
      </w:r>
      <w:r>
        <w:rPr>
          <w:spacing w:val="-83"/>
          <w:w w:val="99"/>
        </w:rPr>
      </w:r>
      <w:r>
        <w:rPr>
          <w:spacing w:val="-5"/>
          <w:w w:val="99"/>
        </w:rPr>
        <w:t>活跃市场报价，其公允价值也能够可靠计量，且本集团并非为短期交易目的而持有上述股票投资，</w:t>
      </w:r>
      <w:r>
        <w:rPr>
          <w:spacing w:val="-108"/>
          <w:w w:val="99"/>
        </w:rPr>
        <w:t> </w:t>
      </w:r>
      <w:r>
        <w:rPr>
          <w:spacing w:val="-108"/>
          <w:w w:val="99"/>
        </w:rPr>
      </w:r>
      <w:r>
        <w:rPr>
          <w:spacing w:val="-3"/>
        </w:rPr>
        <w:t>所以本集团将上述股票投资划分为可供出售金融资产。报告期内无重大购买、出售该等资产的情</w:t>
      </w:r>
      <w:r>
        <w:rPr>
          <w:spacing w:val="-103"/>
        </w:rPr>
        <w:t> </w:t>
      </w:r>
      <w:r>
        <w:rPr>
          <w:spacing w:val="-103"/>
        </w:rPr>
      </w:r>
      <w:r>
        <w:rPr/>
        <w:t>况，于</w:t>
      </w:r>
      <w:r>
        <w:rPr>
          <w:spacing w:val="-38"/>
        </w:rPr>
        <w:t> </w:t>
      </w:r>
      <w:r>
        <w:rPr>
          <w:rFonts w:ascii="Arial" w:hAnsi="Arial" w:cs="Arial" w:eastAsia="Arial" w:hint="default"/>
        </w:rPr>
        <w:t>2012</w:t>
      </w:r>
      <w:r>
        <w:rPr>
          <w:rFonts w:ascii="Arial" w:hAnsi="Arial" w:cs="Arial" w:eastAsia="Arial" w:hint="default"/>
          <w:spacing w:val="10"/>
        </w:rPr>
        <w:t> </w:t>
      </w:r>
      <w:r>
        <w:rPr/>
        <w:t>年度，上述股票投资合计公允价值变动减少约人民币</w:t>
      </w:r>
      <w:r>
        <w:rPr>
          <w:spacing w:val="-36"/>
        </w:rPr>
        <w:t> </w:t>
      </w:r>
      <w:r>
        <w:rPr>
          <w:rFonts w:ascii="Arial" w:hAnsi="Arial" w:cs="Arial" w:eastAsia="Arial" w:hint="default"/>
        </w:rPr>
        <w:t>15.3</w:t>
      </w:r>
      <w:r>
        <w:rPr>
          <w:rFonts w:ascii="Arial" w:hAnsi="Arial" w:cs="Arial" w:eastAsia="Arial" w:hint="default"/>
          <w:spacing w:val="11"/>
        </w:rPr>
        <w:t> </w:t>
      </w:r>
      <w:r>
        <w:rPr/>
        <w:t>亿元，扣除所得税影响</w:t>
      </w:r>
    </w:p>
    <w:p>
      <w:pPr>
        <w:pStyle w:val="BodyText"/>
        <w:spacing w:line="286" w:lineRule="exact"/>
        <w:ind w:left="498" w:right="89"/>
        <w:jc w:val="left"/>
      </w:pPr>
      <w:r>
        <w:rPr/>
        <w:t>后按持股比例约人民币</w:t>
      </w:r>
      <w:r>
        <w:rPr>
          <w:spacing w:val="-60"/>
        </w:rPr>
        <w:t> </w:t>
      </w:r>
      <w:r>
        <w:rPr>
          <w:rFonts w:ascii="Arial" w:hAnsi="Arial" w:cs="Arial" w:eastAsia="Arial" w:hint="default"/>
        </w:rPr>
        <w:t>3.89</w:t>
      </w:r>
      <w:r>
        <w:rPr>
          <w:rFonts w:ascii="Arial" w:hAnsi="Arial" w:cs="Arial" w:eastAsia="Arial" w:hint="default"/>
          <w:spacing w:val="-13"/>
        </w:rPr>
        <w:t> </w:t>
      </w:r>
      <w:r>
        <w:rPr/>
        <w:t>亿元被计入本集团资本公积项下，具体请参见财务报告附注五</w:t>
      </w:r>
      <w:r>
        <w:rPr>
          <w:rFonts w:ascii="Arial" w:hAnsi="Arial" w:cs="Arial" w:eastAsia="Arial" w:hint="default"/>
        </w:rPr>
        <w:t>(8)</w:t>
      </w:r>
      <w:r>
        <w:rPr/>
        <w:t>。</w:t>
      </w:r>
    </w:p>
    <w:p>
      <w:pPr>
        <w:spacing w:line="240" w:lineRule="auto" w:before="13"/>
        <w:rPr>
          <w:rFonts w:ascii="宋体" w:hAnsi="宋体" w:cs="宋体" w:eastAsia="宋体" w:hint="default"/>
          <w:sz w:val="17"/>
          <w:szCs w:val="17"/>
        </w:rPr>
      </w:pPr>
    </w:p>
    <w:p>
      <w:pPr>
        <w:pStyle w:val="BodyText"/>
        <w:spacing w:line="240" w:lineRule="auto"/>
        <w:ind w:left="498" w:right="89"/>
        <w:jc w:val="left"/>
      </w:pPr>
      <w:r>
        <w:rPr/>
        <w:t>于</w:t>
      </w:r>
      <w:r>
        <w:rPr>
          <w:spacing w:val="-60"/>
        </w:rPr>
        <w:t> </w:t>
      </w:r>
      <w:r>
        <w:rPr>
          <w:rFonts w:ascii="Arial" w:hAnsi="Arial" w:cs="Arial" w:eastAsia="Arial" w:hint="default"/>
        </w:rPr>
        <w:t>2012</w:t>
      </w:r>
      <w:r>
        <w:rPr>
          <w:rFonts w:ascii="Arial" w:hAnsi="Arial" w:cs="Arial" w:eastAsia="Arial" w:hint="default"/>
          <w:spacing w:val="-11"/>
        </w:rPr>
        <w:t> </w:t>
      </w:r>
      <w:r>
        <w:rPr/>
        <w:t>年度，本集团资产的计量属性未发生重大变化。</w:t>
      </w:r>
    </w:p>
    <w:p>
      <w:pPr>
        <w:spacing w:after="0" w:line="240" w:lineRule="auto"/>
        <w:jc w:val="left"/>
        <w:sectPr>
          <w:pgSz w:w="11910" w:h="16840"/>
          <w:pgMar w:header="567" w:footer="745" w:top="800" w:bottom="940" w:left="1380" w:right="680"/>
        </w:sectPr>
      </w:pPr>
    </w:p>
    <w:p>
      <w:pPr>
        <w:spacing w:line="240" w:lineRule="auto" w:before="8"/>
        <w:rPr>
          <w:rFonts w:ascii="宋体" w:hAnsi="宋体" w:cs="宋体" w:eastAsia="宋体" w:hint="default"/>
          <w:sz w:val="22"/>
          <w:szCs w:val="22"/>
        </w:rPr>
      </w:pPr>
    </w:p>
    <w:p>
      <w:pPr>
        <w:pStyle w:val="BodyText"/>
        <w:spacing w:line="240" w:lineRule="auto" w:before="31"/>
        <w:ind w:left="146" w:right="89"/>
        <w:jc w:val="left"/>
      </w:pPr>
      <w:r>
        <w:rPr/>
        <w:t>（四）核心竞争力分析</w:t>
      </w:r>
    </w:p>
    <w:p>
      <w:pPr>
        <w:spacing w:line="240" w:lineRule="auto" w:before="9"/>
        <w:rPr>
          <w:rFonts w:ascii="宋体" w:hAnsi="宋体" w:cs="宋体" w:eastAsia="宋体" w:hint="default"/>
          <w:sz w:val="15"/>
          <w:szCs w:val="15"/>
        </w:rPr>
      </w:pPr>
    </w:p>
    <w:p>
      <w:pPr>
        <w:pStyle w:val="BodyText"/>
        <w:spacing w:line="294" w:lineRule="exact"/>
        <w:ind w:left="838" w:right="0"/>
        <w:jc w:val="both"/>
      </w:pPr>
      <w:r>
        <w:rPr>
          <w:spacing w:val="12"/>
        </w:rPr>
        <w:t>公司拥有一个综合网络系统，对移动及固网业务的综合运营提供支持。</w:t>
      </w:r>
      <w:r>
        <w:rPr>
          <w:rFonts w:ascii="Arial" w:hAnsi="Arial" w:cs="Arial" w:eastAsia="Arial" w:hint="default"/>
          <w:spacing w:val="12"/>
        </w:rPr>
        <w:t>GSM</w:t>
      </w:r>
      <w:r>
        <w:rPr>
          <w:rFonts w:ascii="Arial" w:hAnsi="Arial" w:cs="Arial" w:eastAsia="Arial" w:hint="default"/>
          <w:spacing w:val="65"/>
        </w:rPr>
        <w:t> </w:t>
      </w:r>
      <w:r>
        <w:rPr>
          <w:spacing w:val="15"/>
        </w:rPr>
        <w:t>网络使用</w:t>
      </w:r>
      <w:r>
        <w:rPr/>
      </w:r>
    </w:p>
    <w:p>
      <w:pPr>
        <w:pStyle w:val="BodyText"/>
        <w:spacing w:line="285" w:lineRule="exact"/>
        <w:ind w:left="838" w:right="0"/>
        <w:jc w:val="both"/>
      </w:pPr>
      <w:r>
        <w:rPr>
          <w:rFonts w:ascii="Arial" w:hAnsi="Arial" w:cs="Arial" w:eastAsia="Arial" w:hint="default"/>
        </w:rPr>
        <w:t>900MHz </w:t>
      </w:r>
      <w:r>
        <w:rPr/>
        <w:t>频段的 </w:t>
      </w:r>
      <w:r>
        <w:rPr>
          <w:rFonts w:ascii="Arial" w:hAnsi="Arial" w:cs="Arial" w:eastAsia="Arial" w:hint="default"/>
        </w:rPr>
        <w:t>2x6MHz </w:t>
      </w:r>
      <w:r>
        <w:rPr/>
        <w:t>频谱以及 </w:t>
      </w:r>
      <w:r>
        <w:rPr>
          <w:rFonts w:ascii="Arial" w:hAnsi="Arial" w:cs="Arial" w:eastAsia="Arial" w:hint="default"/>
        </w:rPr>
        <w:t>1800MHz </w:t>
      </w:r>
      <w:r>
        <w:rPr/>
        <w:t>频段的 </w:t>
      </w:r>
      <w:r>
        <w:rPr>
          <w:rFonts w:ascii="Arial" w:hAnsi="Arial" w:cs="Arial" w:eastAsia="Arial" w:hint="default"/>
        </w:rPr>
        <w:t>2x20MHz </w:t>
      </w:r>
      <w:r>
        <w:rPr/>
        <w:t>频谱。</w:t>
      </w:r>
      <w:r>
        <w:rPr>
          <w:rFonts w:ascii="Arial" w:hAnsi="Arial" w:cs="Arial" w:eastAsia="Arial" w:hint="default"/>
        </w:rPr>
        <w:t>WCDMA</w:t>
      </w:r>
      <w:r>
        <w:rPr>
          <w:rFonts w:ascii="Arial" w:hAnsi="Arial" w:cs="Arial" w:eastAsia="Arial" w:hint="default"/>
          <w:spacing w:val="55"/>
        </w:rPr>
        <w:t> </w:t>
      </w:r>
      <w:r>
        <w:rPr/>
        <w:t>网络使用</w:t>
      </w:r>
    </w:p>
    <w:p>
      <w:pPr>
        <w:pStyle w:val="BodyText"/>
        <w:spacing w:line="295" w:lineRule="exact"/>
        <w:ind w:left="838" w:right="0"/>
        <w:jc w:val="both"/>
      </w:pPr>
      <w:r>
        <w:rPr>
          <w:rFonts w:ascii="Arial" w:hAnsi="Arial" w:cs="Arial" w:eastAsia="Arial" w:hint="default"/>
        </w:rPr>
        <w:t>2100MHz</w:t>
      </w:r>
      <w:r>
        <w:rPr>
          <w:rFonts w:ascii="Arial" w:hAnsi="Arial" w:cs="Arial" w:eastAsia="Arial" w:hint="default"/>
          <w:spacing w:val="-8"/>
        </w:rPr>
        <w:t> </w:t>
      </w:r>
      <w:r>
        <w:rPr/>
        <w:t>频段的</w:t>
      </w:r>
      <w:r>
        <w:rPr>
          <w:spacing w:val="-57"/>
        </w:rPr>
        <w:t> </w:t>
      </w:r>
      <w:r>
        <w:rPr>
          <w:rFonts w:ascii="Arial" w:hAnsi="Arial" w:cs="Arial" w:eastAsia="Arial" w:hint="default"/>
        </w:rPr>
        <w:t>2x15MHz</w:t>
      </w:r>
      <w:r>
        <w:rPr>
          <w:rFonts w:ascii="Arial" w:hAnsi="Arial" w:cs="Arial" w:eastAsia="Arial" w:hint="default"/>
          <w:spacing w:val="-8"/>
        </w:rPr>
        <w:t> </w:t>
      </w:r>
      <w:r>
        <w:rPr/>
        <w:t>频谱。</w:t>
      </w:r>
    </w:p>
    <w:p>
      <w:pPr>
        <w:spacing w:line="240" w:lineRule="auto" w:before="2"/>
        <w:rPr>
          <w:rFonts w:ascii="宋体" w:hAnsi="宋体" w:cs="宋体" w:eastAsia="宋体" w:hint="default"/>
          <w:sz w:val="19"/>
          <w:szCs w:val="19"/>
        </w:rPr>
      </w:pPr>
    </w:p>
    <w:p>
      <w:pPr>
        <w:pStyle w:val="BodyText"/>
        <w:spacing w:line="225" w:lineRule="auto"/>
        <w:ind w:left="838" w:right="210"/>
        <w:jc w:val="both"/>
      </w:pPr>
      <w:r>
        <w:rPr>
          <w:rFonts w:ascii="Arial" w:hAnsi="Arial" w:cs="Arial" w:eastAsia="Arial" w:hint="default"/>
        </w:rPr>
        <w:t>2012</w:t>
      </w:r>
      <w:r>
        <w:rPr>
          <w:rFonts w:ascii="Arial" w:hAnsi="Arial" w:cs="Arial" w:eastAsia="Arial" w:hint="default"/>
          <w:spacing w:val="-1"/>
        </w:rPr>
        <w:t> </w:t>
      </w:r>
      <w:r>
        <w:rPr>
          <w:spacing w:val="-4"/>
        </w:rPr>
        <w:t>年，公司积极打造面向未来的高速宽带网络，网络能力显著提升。截至</w:t>
      </w:r>
      <w:r>
        <w:rPr>
          <w:spacing w:val="-46"/>
        </w:rPr>
        <w:t> </w:t>
      </w:r>
      <w:r>
        <w:rPr>
          <w:rFonts w:ascii="Arial" w:hAnsi="Arial" w:cs="Arial" w:eastAsia="Arial" w:hint="default"/>
        </w:rPr>
        <w:t>2012</w:t>
      </w:r>
      <w:r>
        <w:rPr>
          <w:rFonts w:ascii="Arial" w:hAnsi="Arial" w:cs="Arial" w:eastAsia="Arial" w:hint="default"/>
          <w:spacing w:val="-1"/>
        </w:rPr>
        <w:t> </w:t>
      </w:r>
      <w:r>
        <w:rPr>
          <w:spacing w:val="-7"/>
        </w:rPr>
        <w:t>年底，</w:t>
      </w:r>
      <w:r>
        <w:rPr>
          <w:rFonts w:ascii="Arial" w:hAnsi="Arial" w:cs="Arial" w:eastAsia="Arial" w:hint="default"/>
          <w:spacing w:val="-7"/>
        </w:rPr>
        <w:t>3G</w:t>
      </w:r>
      <w:r>
        <w:rPr>
          <w:rFonts w:ascii="Arial" w:hAnsi="Arial" w:cs="Arial" w:eastAsia="Arial" w:hint="default"/>
          <w:spacing w:val="-60"/>
        </w:rPr>
        <w:t> </w:t>
      </w:r>
      <w:r>
        <w:rPr/>
        <w:t>网络基本覆盖到东、中部乡镇和西部发达乡镇；</w:t>
      </w:r>
      <w:r>
        <w:rPr>
          <w:rFonts w:ascii="Arial" w:hAnsi="Arial" w:cs="Arial" w:eastAsia="Arial" w:hint="default"/>
        </w:rPr>
        <w:t>3G</w:t>
      </w:r>
      <w:r>
        <w:rPr>
          <w:rFonts w:ascii="Arial" w:hAnsi="Arial" w:cs="Arial" w:eastAsia="Arial" w:hint="default"/>
          <w:spacing w:val="-27"/>
        </w:rPr>
        <w:t> </w:t>
      </w:r>
      <w:r>
        <w:rPr/>
        <w:t>基站全部升级到</w:t>
      </w:r>
      <w:r>
        <w:rPr>
          <w:spacing w:val="-75"/>
        </w:rPr>
        <w:t> </w:t>
      </w:r>
      <w:r>
        <w:rPr>
          <w:rFonts w:ascii="Arial" w:hAnsi="Arial" w:cs="Arial" w:eastAsia="Arial" w:hint="default"/>
        </w:rPr>
        <w:t>HSPA+</w:t>
      </w:r>
      <w:r>
        <w:rPr/>
        <w:t>，下行峰值速率</w:t>
      </w:r>
      <w:r>
        <w:rPr>
          <w:w w:val="99"/>
        </w:rPr>
        <w:t> </w:t>
      </w:r>
      <w:r>
        <w:rPr/>
        <w:t>可达</w:t>
      </w:r>
      <w:r>
        <w:rPr>
          <w:spacing w:val="-28"/>
        </w:rPr>
        <w:t> </w:t>
      </w:r>
      <w:r>
        <w:rPr>
          <w:rFonts w:ascii="Arial" w:hAnsi="Arial" w:cs="Arial" w:eastAsia="Arial" w:hint="default"/>
        </w:rPr>
        <w:t>21Mbps</w:t>
      </w:r>
      <w:r>
        <w:rPr/>
        <w:t>，继续保持网络速率领先优势。同时，公司以宽带中国战略的实施为契机，继</w:t>
      </w:r>
      <w:r>
        <w:rPr>
          <w:w w:val="99"/>
        </w:rPr>
        <w:t> </w:t>
      </w:r>
      <w:r>
        <w:rPr/>
        <w:t>续推进宽带光纤网建设，提升宽带网络竞争优势。</w:t>
      </w:r>
    </w:p>
    <w:p>
      <w:pPr>
        <w:spacing w:line="240" w:lineRule="auto" w:before="8"/>
        <w:rPr>
          <w:rFonts w:ascii="宋体" w:hAnsi="宋体" w:cs="宋体" w:eastAsia="宋体" w:hint="default"/>
          <w:sz w:val="21"/>
          <w:szCs w:val="21"/>
        </w:rPr>
      </w:pPr>
    </w:p>
    <w:p>
      <w:pPr>
        <w:pStyle w:val="BodyText"/>
        <w:spacing w:line="284" w:lineRule="exact"/>
        <w:ind w:left="838" w:right="214"/>
        <w:jc w:val="both"/>
      </w:pPr>
      <w:r>
        <w:rPr>
          <w:w w:val="95"/>
        </w:rPr>
        <w:t>公司进一步加强基础网络建设，规模引入分组传送网络，网络传输能力和业务承载能力显著</w:t>
      </w:r>
      <w:r>
        <w:rPr>
          <w:spacing w:val="3"/>
          <w:w w:val="95"/>
        </w:rPr>
        <w:t> </w:t>
      </w:r>
      <w:r>
        <w:rPr>
          <w:spacing w:val="3"/>
          <w:w w:val="95"/>
        </w:rPr>
      </w:r>
      <w:r>
        <w:rPr/>
        <w:t>增强，为数据业务的高速增长提供了保障。</w:t>
      </w:r>
    </w:p>
    <w:p>
      <w:pPr>
        <w:spacing w:line="240" w:lineRule="auto" w:before="3"/>
        <w:rPr>
          <w:rFonts w:ascii="宋体" w:hAnsi="宋体" w:cs="宋体" w:eastAsia="宋体" w:hint="default"/>
          <w:sz w:val="17"/>
          <w:szCs w:val="17"/>
        </w:rPr>
      </w:pPr>
    </w:p>
    <w:p>
      <w:pPr>
        <w:pStyle w:val="BodyText"/>
        <w:spacing w:line="240" w:lineRule="auto"/>
        <w:ind w:left="146" w:right="89"/>
        <w:jc w:val="left"/>
      </w:pPr>
      <w:r>
        <w:rPr/>
        <w:t>（五）投资状况分析</w:t>
      </w:r>
    </w:p>
    <w:p>
      <w:pPr>
        <w:spacing w:line="240" w:lineRule="auto" w:before="1"/>
        <w:rPr>
          <w:rFonts w:ascii="宋体" w:hAnsi="宋体" w:cs="宋体" w:eastAsia="宋体" w:hint="default"/>
          <w:sz w:val="19"/>
          <w:szCs w:val="19"/>
        </w:rPr>
      </w:pPr>
    </w:p>
    <w:p>
      <w:pPr>
        <w:pStyle w:val="BodyText"/>
        <w:spacing w:line="240" w:lineRule="auto"/>
        <w:ind w:left="146" w:right="89"/>
        <w:jc w:val="left"/>
      </w:pPr>
      <w:r>
        <w:rPr>
          <w:rFonts w:ascii="Arial" w:hAnsi="Arial" w:cs="Arial" w:eastAsia="Arial" w:hint="default"/>
        </w:rPr>
        <w:t>1</w:t>
      </w:r>
      <w:r>
        <w:rPr/>
        <w:t>、对外股权投资总体分析</w:t>
      </w:r>
    </w:p>
    <w:p>
      <w:pPr>
        <w:spacing w:line="240" w:lineRule="auto" w:before="7"/>
        <w:rPr>
          <w:rFonts w:ascii="宋体" w:hAnsi="宋体" w:cs="宋体" w:eastAsia="宋体" w:hint="default"/>
          <w:sz w:val="15"/>
          <w:szCs w:val="15"/>
        </w:rPr>
      </w:pPr>
    </w:p>
    <w:p>
      <w:pPr>
        <w:pStyle w:val="BodyText"/>
        <w:spacing w:line="295" w:lineRule="exact" w:before="31"/>
        <w:ind w:left="506" w:right="89"/>
        <w:jc w:val="left"/>
      </w:pPr>
      <w:r>
        <w:rPr>
          <w:rFonts w:ascii="Arial" w:hAnsi="Arial" w:cs="Arial" w:eastAsia="Arial" w:hint="default"/>
        </w:rPr>
        <w:t>1.1</w:t>
      </w:r>
      <w:r>
        <w:rPr>
          <w:rFonts w:ascii="Arial" w:hAnsi="Arial" w:cs="Arial" w:eastAsia="Arial" w:hint="default"/>
          <w:spacing w:val="-12"/>
        </w:rPr>
        <w:t> </w:t>
      </w:r>
      <w:r>
        <w:rPr/>
        <w:t>持有其他上市公司股权情况</w:t>
      </w:r>
    </w:p>
    <w:p>
      <w:pPr>
        <w:pStyle w:val="BodyText"/>
        <w:spacing w:line="279" w:lineRule="exact"/>
        <w:ind w:left="0" w:right="211"/>
        <w:jc w:val="right"/>
      </w:pPr>
      <w:r>
        <w:rPr>
          <w:w w:val="95"/>
        </w:rPr>
        <w:t>单位：人民币万元</w:t>
      </w:r>
      <w:r>
        <w:rPr/>
      </w:r>
    </w:p>
    <w:p>
      <w:pPr>
        <w:spacing w:line="240" w:lineRule="auto" w:before="8"/>
        <w:rPr>
          <w:rFonts w:ascii="宋体" w:hAnsi="宋体" w:cs="宋体" w:eastAsia="宋体" w:hint="default"/>
          <w:sz w:val="2"/>
          <w:szCs w:val="2"/>
        </w:rPr>
      </w:pPr>
    </w:p>
    <w:tbl>
      <w:tblPr>
        <w:tblW w:w="0" w:type="auto"/>
        <w:jc w:val="left"/>
        <w:tblInd w:w="859" w:type="dxa"/>
        <w:tblLayout w:type="fixed"/>
        <w:tblCellMar>
          <w:top w:w="0" w:type="dxa"/>
          <w:left w:w="0" w:type="dxa"/>
          <w:bottom w:w="0" w:type="dxa"/>
          <w:right w:w="0" w:type="dxa"/>
        </w:tblCellMar>
        <w:tblLook w:val="01E0"/>
      </w:tblPr>
      <w:tblGrid>
        <w:gridCol w:w="822"/>
        <w:gridCol w:w="1072"/>
        <w:gridCol w:w="840"/>
        <w:gridCol w:w="1229"/>
        <w:gridCol w:w="980"/>
        <w:gridCol w:w="817"/>
        <w:gridCol w:w="1174"/>
        <w:gridCol w:w="1078"/>
        <w:gridCol w:w="744"/>
      </w:tblGrid>
      <w:tr>
        <w:trPr>
          <w:trHeight w:val="533" w:hRule="exact"/>
        </w:trPr>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99" w:right="0"/>
              <w:jc w:val="left"/>
              <w:rPr>
                <w:rFonts w:ascii="宋体" w:hAnsi="宋体" w:cs="宋体" w:eastAsia="宋体" w:hint="default"/>
                <w:sz w:val="20"/>
                <w:szCs w:val="20"/>
              </w:rPr>
            </w:pPr>
            <w:r>
              <w:rPr>
                <w:rFonts w:ascii="宋体" w:hAnsi="宋体" w:cs="宋体" w:eastAsia="宋体" w:hint="default"/>
                <w:sz w:val="20"/>
                <w:szCs w:val="20"/>
              </w:rPr>
              <w:t>证券</w:t>
            </w:r>
          </w:p>
          <w:p>
            <w:pPr>
              <w:pStyle w:val="TableParagraph"/>
              <w:spacing w:line="260" w:lineRule="exact"/>
              <w:ind w:left="199" w:right="0"/>
              <w:jc w:val="left"/>
              <w:rPr>
                <w:rFonts w:ascii="宋体" w:hAnsi="宋体" w:cs="宋体" w:eastAsia="宋体" w:hint="default"/>
                <w:sz w:val="20"/>
                <w:szCs w:val="20"/>
              </w:rPr>
            </w:pPr>
            <w:r>
              <w:rPr>
                <w:rFonts w:ascii="宋体" w:hAnsi="宋体" w:cs="宋体" w:eastAsia="宋体" w:hint="default"/>
                <w:sz w:val="20"/>
                <w:szCs w:val="20"/>
              </w:rPr>
              <w:t>代码</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 w:right="0"/>
              <w:jc w:val="center"/>
              <w:rPr>
                <w:rFonts w:ascii="宋体" w:hAnsi="宋体" w:cs="宋体" w:eastAsia="宋体" w:hint="default"/>
                <w:sz w:val="20"/>
                <w:szCs w:val="20"/>
              </w:rPr>
            </w:pPr>
            <w:r>
              <w:rPr>
                <w:rFonts w:ascii="宋体" w:hAnsi="宋体" w:cs="宋体" w:eastAsia="宋体" w:hint="default"/>
                <w:sz w:val="20"/>
                <w:szCs w:val="20"/>
              </w:rPr>
              <w:t>证券简称</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11" w:right="0"/>
              <w:jc w:val="left"/>
              <w:rPr>
                <w:rFonts w:ascii="宋体" w:hAnsi="宋体" w:cs="宋体" w:eastAsia="宋体" w:hint="default"/>
                <w:sz w:val="20"/>
                <w:szCs w:val="20"/>
              </w:rPr>
            </w:pPr>
            <w:r>
              <w:rPr>
                <w:rFonts w:ascii="宋体" w:hAnsi="宋体" w:cs="宋体" w:eastAsia="宋体" w:hint="default"/>
                <w:sz w:val="20"/>
                <w:szCs w:val="20"/>
              </w:rPr>
              <w:t>最初投</w:t>
            </w:r>
          </w:p>
          <w:p>
            <w:pPr>
              <w:pStyle w:val="TableParagraph"/>
              <w:spacing w:line="260" w:lineRule="exact"/>
              <w:ind w:left="111" w:right="0"/>
              <w:jc w:val="left"/>
              <w:rPr>
                <w:rFonts w:ascii="宋体" w:hAnsi="宋体" w:cs="宋体" w:eastAsia="宋体" w:hint="default"/>
                <w:sz w:val="20"/>
                <w:szCs w:val="20"/>
              </w:rPr>
            </w:pPr>
            <w:r>
              <w:rPr>
                <w:rFonts w:ascii="宋体" w:hAnsi="宋体" w:cs="宋体" w:eastAsia="宋体" w:hint="default"/>
                <w:sz w:val="20"/>
                <w:szCs w:val="20"/>
              </w:rPr>
              <w:t>资成本</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50" w:right="0" w:hanging="45"/>
              <w:jc w:val="left"/>
              <w:rPr>
                <w:rFonts w:ascii="宋体" w:hAnsi="宋体" w:cs="宋体" w:eastAsia="宋体" w:hint="default"/>
                <w:sz w:val="20"/>
                <w:szCs w:val="20"/>
              </w:rPr>
            </w:pPr>
            <w:r>
              <w:rPr>
                <w:rFonts w:ascii="宋体" w:hAnsi="宋体" w:cs="宋体" w:eastAsia="宋体" w:hint="default"/>
                <w:sz w:val="20"/>
                <w:szCs w:val="20"/>
              </w:rPr>
              <w:t>占该公司股</w:t>
            </w:r>
          </w:p>
          <w:p>
            <w:pPr>
              <w:pStyle w:val="TableParagraph"/>
              <w:spacing w:line="275" w:lineRule="exact"/>
              <w:ind w:left="150" w:right="0"/>
              <w:jc w:val="left"/>
              <w:rPr>
                <w:rFonts w:ascii="Arial" w:hAnsi="Arial" w:cs="Arial" w:eastAsia="Arial" w:hint="default"/>
                <w:sz w:val="20"/>
                <w:szCs w:val="20"/>
              </w:rPr>
            </w:pPr>
            <w:r>
              <w:rPr>
                <w:rFonts w:ascii="宋体" w:hAnsi="宋体" w:cs="宋体" w:eastAsia="宋体" w:hint="default"/>
                <w:sz w:val="20"/>
                <w:szCs w:val="20"/>
              </w:rPr>
              <w:t>权比例</w:t>
            </w:r>
            <w:r>
              <w:rPr>
                <w:rFonts w:ascii="Arial" w:hAnsi="Arial" w:cs="Arial" w:eastAsia="Arial" w:hint="default"/>
                <w:sz w:val="20"/>
                <w:szCs w:val="20"/>
              </w:rPr>
              <w:t>(%)</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81" w:right="0"/>
              <w:jc w:val="left"/>
              <w:rPr>
                <w:rFonts w:ascii="宋体" w:hAnsi="宋体" w:cs="宋体" w:eastAsia="宋体" w:hint="default"/>
                <w:sz w:val="20"/>
                <w:szCs w:val="20"/>
              </w:rPr>
            </w:pPr>
            <w:r>
              <w:rPr>
                <w:rFonts w:ascii="宋体" w:hAnsi="宋体" w:cs="宋体" w:eastAsia="宋体" w:hint="default"/>
                <w:sz w:val="20"/>
                <w:szCs w:val="20"/>
              </w:rPr>
              <w:t>期末账</w:t>
            </w:r>
          </w:p>
          <w:p>
            <w:pPr>
              <w:pStyle w:val="TableParagraph"/>
              <w:spacing w:line="260" w:lineRule="exact"/>
              <w:ind w:left="181" w:right="0"/>
              <w:jc w:val="left"/>
              <w:rPr>
                <w:rFonts w:ascii="宋体" w:hAnsi="宋体" w:cs="宋体" w:eastAsia="宋体" w:hint="default"/>
                <w:sz w:val="20"/>
                <w:szCs w:val="20"/>
              </w:rPr>
            </w:pPr>
            <w:r>
              <w:rPr>
                <w:rFonts w:ascii="宋体" w:hAnsi="宋体" w:cs="宋体" w:eastAsia="宋体" w:hint="default"/>
                <w:sz w:val="20"/>
                <w:szCs w:val="20"/>
              </w:rPr>
              <w:t>面价值</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200" w:right="0" w:hanging="100"/>
              <w:jc w:val="left"/>
              <w:rPr>
                <w:rFonts w:ascii="宋体" w:hAnsi="宋体" w:cs="宋体" w:eastAsia="宋体" w:hint="default"/>
                <w:sz w:val="20"/>
                <w:szCs w:val="20"/>
              </w:rPr>
            </w:pPr>
            <w:r>
              <w:rPr>
                <w:rFonts w:ascii="宋体" w:hAnsi="宋体" w:cs="宋体" w:eastAsia="宋体" w:hint="default"/>
                <w:sz w:val="20"/>
                <w:szCs w:val="20"/>
              </w:rPr>
              <w:t>报告期</w:t>
            </w:r>
          </w:p>
          <w:p>
            <w:pPr>
              <w:pStyle w:val="TableParagraph"/>
              <w:spacing w:line="260" w:lineRule="exact"/>
              <w:ind w:left="200" w:right="0"/>
              <w:jc w:val="left"/>
              <w:rPr>
                <w:rFonts w:ascii="宋体" w:hAnsi="宋体" w:cs="宋体" w:eastAsia="宋体" w:hint="default"/>
                <w:sz w:val="20"/>
                <w:szCs w:val="20"/>
              </w:rPr>
            </w:pPr>
            <w:r>
              <w:rPr>
                <w:rFonts w:ascii="宋体" w:hAnsi="宋体" w:cs="宋体" w:eastAsia="宋体" w:hint="default"/>
                <w:sz w:val="20"/>
                <w:szCs w:val="20"/>
              </w:rPr>
              <w:t>损益</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6" w:right="0"/>
              <w:jc w:val="left"/>
              <w:rPr>
                <w:rFonts w:ascii="宋体" w:hAnsi="宋体" w:cs="宋体" w:eastAsia="宋体" w:hint="default"/>
                <w:sz w:val="20"/>
                <w:szCs w:val="20"/>
              </w:rPr>
            </w:pPr>
            <w:r>
              <w:rPr>
                <w:rFonts w:ascii="宋体" w:hAnsi="宋体" w:cs="宋体" w:eastAsia="宋体" w:hint="default"/>
                <w:sz w:val="20"/>
                <w:szCs w:val="20"/>
              </w:rPr>
              <w:t>报告期所有</w:t>
            </w:r>
          </w:p>
          <w:p>
            <w:pPr>
              <w:pStyle w:val="TableParagraph"/>
              <w:spacing w:line="260" w:lineRule="exact"/>
              <w:ind w:left="106" w:right="0"/>
              <w:jc w:val="left"/>
              <w:rPr>
                <w:rFonts w:ascii="宋体" w:hAnsi="宋体" w:cs="宋体" w:eastAsia="宋体" w:hint="default"/>
                <w:sz w:val="20"/>
                <w:szCs w:val="20"/>
              </w:rPr>
            </w:pPr>
            <w:r>
              <w:rPr>
                <w:rFonts w:ascii="宋体" w:hAnsi="宋体" w:cs="宋体" w:eastAsia="宋体" w:hint="default"/>
                <w:sz w:val="20"/>
                <w:szCs w:val="20"/>
              </w:rPr>
              <w:t>者权益变动</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会计核算</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科目</w:t>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64" w:right="0"/>
              <w:jc w:val="left"/>
              <w:rPr>
                <w:rFonts w:ascii="宋体" w:hAnsi="宋体" w:cs="宋体" w:eastAsia="宋体" w:hint="default"/>
                <w:sz w:val="20"/>
                <w:szCs w:val="20"/>
              </w:rPr>
            </w:pPr>
            <w:r>
              <w:rPr>
                <w:rFonts w:ascii="宋体" w:hAnsi="宋体" w:cs="宋体" w:eastAsia="宋体" w:hint="default"/>
                <w:sz w:val="20"/>
                <w:szCs w:val="20"/>
              </w:rPr>
              <w:t>股份</w:t>
            </w:r>
          </w:p>
          <w:p>
            <w:pPr>
              <w:pStyle w:val="TableParagraph"/>
              <w:spacing w:line="260" w:lineRule="exact"/>
              <w:ind w:left="164" w:right="0"/>
              <w:jc w:val="left"/>
              <w:rPr>
                <w:rFonts w:ascii="宋体" w:hAnsi="宋体" w:cs="宋体" w:eastAsia="宋体" w:hint="default"/>
                <w:sz w:val="20"/>
                <w:szCs w:val="20"/>
              </w:rPr>
            </w:pPr>
            <w:r>
              <w:rPr>
                <w:rFonts w:ascii="宋体" w:hAnsi="宋体" w:cs="宋体" w:eastAsia="宋体" w:hint="default"/>
                <w:sz w:val="20"/>
                <w:szCs w:val="20"/>
              </w:rPr>
              <w:t>来源</w:t>
            </w:r>
          </w:p>
        </w:tc>
      </w:tr>
      <w:tr>
        <w:trPr>
          <w:trHeight w:val="535" w:hRule="exact"/>
        </w:trPr>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1" w:right="0"/>
              <w:jc w:val="left"/>
              <w:rPr>
                <w:rFonts w:ascii="Arial" w:hAnsi="Arial" w:cs="Arial" w:eastAsia="Arial" w:hint="default"/>
                <w:sz w:val="20"/>
                <w:szCs w:val="20"/>
              </w:rPr>
            </w:pPr>
            <w:r>
              <w:rPr>
                <w:rFonts w:ascii="Arial"/>
                <w:sz w:val="20"/>
              </w:rPr>
              <w:t>601328</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 w:right="0"/>
              <w:jc w:val="center"/>
              <w:rPr>
                <w:rFonts w:ascii="宋体" w:hAnsi="宋体" w:cs="宋体" w:eastAsia="宋体" w:hint="default"/>
                <w:sz w:val="20"/>
                <w:szCs w:val="20"/>
              </w:rPr>
            </w:pPr>
            <w:r>
              <w:rPr>
                <w:rFonts w:ascii="宋体" w:hAnsi="宋体" w:cs="宋体" w:eastAsia="宋体" w:hint="default"/>
                <w:sz w:val="20"/>
                <w:szCs w:val="20"/>
              </w:rPr>
              <w:t>交通银行</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223" w:right="0"/>
              <w:jc w:val="left"/>
              <w:rPr>
                <w:rFonts w:ascii="Arial" w:hAnsi="Arial" w:cs="Arial" w:eastAsia="Arial" w:hint="default"/>
                <w:sz w:val="20"/>
                <w:szCs w:val="20"/>
              </w:rPr>
            </w:pPr>
            <w:r>
              <w:rPr>
                <w:rFonts w:ascii="Arial"/>
                <w:sz w:val="20"/>
              </w:rPr>
              <w:t>5,018</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723" w:right="0"/>
              <w:jc w:val="left"/>
              <w:rPr>
                <w:rFonts w:ascii="Arial" w:hAnsi="Arial" w:cs="Arial" w:eastAsia="Arial" w:hint="default"/>
                <w:sz w:val="20"/>
                <w:szCs w:val="20"/>
              </w:rPr>
            </w:pPr>
            <w:r>
              <w:rPr>
                <w:rFonts w:ascii="Arial"/>
                <w:sz w:val="20"/>
              </w:rPr>
              <w:t>0.04</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27" w:right="0"/>
              <w:jc w:val="left"/>
              <w:rPr>
                <w:rFonts w:ascii="Arial" w:hAnsi="Arial" w:cs="Arial" w:eastAsia="Arial" w:hint="default"/>
                <w:sz w:val="20"/>
                <w:szCs w:val="20"/>
              </w:rPr>
            </w:pPr>
            <w:r>
              <w:rPr>
                <w:rFonts w:ascii="Arial"/>
                <w:sz w:val="20"/>
              </w:rPr>
              <w:t>12,539.9</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Arial" w:hAnsi="Arial" w:cs="Arial" w:eastAsia="Arial" w:hint="default"/>
                <w:sz w:val="20"/>
                <w:szCs w:val="20"/>
              </w:rPr>
            </w:pPr>
            <w:r>
              <w:rPr>
                <w:rFonts w:ascii="Arial"/>
                <w:w w:val="100"/>
                <w:sz w:val="20"/>
              </w:rPr>
              <w:t>-</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724" w:right="0"/>
              <w:jc w:val="left"/>
              <w:rPr>
                <w:rFonts w:ascii="Arial" w:hAnsi="Arial" w:cs="Arial" w:eastAsia="Arial" w:hint="default"/>
                <w:sz w:val="20"/>
                <w:szCs w:val="20"/>
              </w:rPr>
            </w:pPr>
            <w:r>
              <w:rPr>
                <w:rFonts w:ascii="Arial"/>
                <w:sz w:val="20"/>
              </w:rPr>
              <w:t>993</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可供出售</w:t>
            </w:r>
          </w:p>
          <w:p>
            <w:pPr>
              <w:pStyle w:val="TableParagraph"/>
              <w:spacing w:line="260" w:lineRule="exact"/>
              <w:ind w:left="99" w:right="0"/>
              <w:jc w:val="left"/>
              <w:rPr>
                <w:rFonts w:ascii="宋体" w:hAnsi="宋体" w:cs="宋体" w:eastAsia="宋体" w:hint="default"/>
                <w:sz w:val="20"/>
                <w:szCs w:val="20"/>
              </w:rPr>
            </w:pPr>
            <w:r>
              <w:rPr>
                <w:rFonts w:ascii="宋体" w:hAnsi="宋体" w:cs="宋体" w:eastAsia="宋体" w:hint="default"/>
                <w:sz w:val="20"/>
                <w:szCs w:val="20"/>
              </w:rPr>
              <w:t>金融资产</w:t>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64" w:right="0"/>
              <w:jc w:val="left"/>
              <w:rPr>
                <w:rFonts w:ascii="宋体" w:hAnsi="宋体" w:cs="宋体" w:eastAsia="宋体" w:hint="default"/>
                <w:sz w:val="20"/>
                <w:szCs w:val="20"/>
              </w:rPr>
            </w:pPr>
            <w:r>
              <w:rPr>
                <w:rFonts w:ascii="宋体" w:hAnsi="宋体" w:cs="宋体" w:eastAsia="宋体" w:hint="default"/>
                <w:sz w:val="20"/>
                <w:szCs w:val="20"/>
              </w:rPr>
              <w:t>购买</w:t>
            </w:r>
          </w:p>
        </w:tc>
      </w:tr>
    </w:tbl>
    <w:p>
      <w:pPr>
        <w:spacing w:line="240" w:lineRule="auto" w:before="1"/>
        <w:rPr>
          <w:rFonts w:ascii="宋体" w:hAnsi="宋体" w:cs="宋体" w:eastAsia="宋体" w:hint="default"/>
          <w:sz w:val="14"/>
          <w:szCs w:val="14"/>
        </w:rPr>
      </w:pPr>
    </w:p>
    <w:p>
      <w:pPr>
        <w:pStyle w:val="BodyText"/>
        <w:spacing w:line="286" w:lineRule="exact" w:before="60"/>
        <w:ind w:left="866" w:right="178"/>
        <w:jc w:val="both"/>
      </w:pPr>
      <w:r>
        <w:rPr/>
        <w:t>本公司的子公司于报告期持有交通银行股份有限公司于上海证券交易所上市的 </w:t>
      </w:r>
      <w:r>
        <w:rPr>
          <w:rFonts w:ascii="Arial" w:hAnsi="Arial" w:cs="Arial" w:eastAsia="Arial" w:hint="default"/>
        </w:rPr>
        <w:t>A</w:t>
      </w:r>
      <w:r>
        <w:rPr>
          <w:rFonts w:ascii="Arial" w:hAnsi="Arial" w:cs="Arial" w:eastAsia="Arial" w:hint="default"/>
          <w:spacing w:val="60"/>
        </w:rPr>
        <w:t> </w:t>
      </w:r>
      <w:r>
        <w:rPr/>
        <w:t>股普通股</w:t>
      </w:r>
      <w:r>
        <w:rPr>
          <w:w w:val="99"/>
        </w:rPr>
        <w:t> </w:t>
      </w:r>
      <w:r>
        <w:rPr/>
        <w:t>股份约</w:t>
      </w:r>
      <w:r>
        <w:rPr>
          <w:spacing w:val="-72"/>
        </w:rPr>
        <w:t> </w:t>
      </w:r>
      <w:r>
        <w:rPr>
          <w:rFonts w:ascii="Arial" w:hAnsi="Arial" w:cs="Arial" w:eastAsia="Arial" w:hint="default"/>
        </w:rPr>
        <w:t>2,538</w:t>
      </w:r>
      <w:r>
        <w:rPr>
          <w:rFonts w:ascii="Arial" w:hAnsi="Arial" w:cs="Arial" w:eastAsia="Arial" w:hint="default"/>
          <w:spacing w:val="-23"/>
        </w:rPr>
        <w:t> </w:t>
      </w:r>
      <w:r>
        <w:rPr/>
        <w:t>万股，约占交通银行股份有限公司总股份的</w:t>
      </w:r>
      <w:r>
        <w:rPr>
          <w:spacing w:val="-70"/>
        </w:rPr>
        <w:t> </w:t>
      </w:r>
      <w:r>
        <w:rPr>
          <w:rFonts w:ascii="Arial" w:hAnsi="Arial" w:cs="Arial" w:eastAsia="Arial" w:hint="default"/>
        </w:rPr>
        <w:t>0.04%</w:t>
      </w:r>
      <w:r>
        <w:rPr/>
        <w:t>；除上述子公司持有的交通</w:t>
      </w:r>
      <w:r>
        <w:rPr>
          <w:w w:val="99"/>
        </w:rPr>
        <w:t> </w:t>
      </w:r>
      <w:r>
        <w:rPr/>
        <w:t>银行股票外，本公司所属联通红筹公司持有的国外的西班牙电信普通股股份约</w:t>
      </w:r>
      <w:r>
        <w:rPr>
          <w:spacing w:val="-59"/>
        </w:rPr>
        <w:t> </w:t>
      </w:r>
      <w:r>
        <w:rPr>
          <w:rFonts w:ascii="Arial" w:hAnsi="Arial" w:cs="Arial" w:eastAsia="Arial" w:hint="default"/>
        </w:rPr>
        <w:t>6,420</w:t>
      </w:r>
      <w:r>
        <w:rPr>
          <w:rFonts w:ascii="Arial" w:hAnsi="Arial" w:cs="Arial" w:eastAsia="Arial" w:hint="default"/>
          <w:spacing w:val="-13"/>
        </w:rPr>
        <w:t> </w:t>
      </w:r>
      <w:r>
        <w:rPr/>
        <w:t>万股，</w:t>
      </w:r>
      <w:r>
        <w:rPr>
          <w:w w:val="99"/>
        </w:rPr>
        <w:t> </w:t>
      </w:r>
      <w:r>
        <w:rPr/>
        <w:t>约占西班牙电信总股份的</w:t>
      </w:r>
      <w:r>
        <w:rPr>
          <w:spacing w:val="-61"/>
        </w:rPr>
        <w:t> </w:t>
      </w:r>
      <w:r>
        <w:rPr>
          <w:rFonts w:ascii="Arial" w:hAnsi="Arial" w:cs="Arial" w:eastAsia="Arial" w:hint="default"/>
        </w:rPr>
        <w:t>1.41%</w:t>
      </w:r>
      <w:r>
        <w:rPr/>
        <w:t>。</w:t>
      </w:r>
    </w:p>
    <w:p>
      <w:pPr>
        <w:spacing w:line="240" w:lineRule="auto" w:before="8"/>
        <w:rPr>
          <w:rFonts w:ascii="宋体" w:hAnsi="宋体" w:cs="宋体" w:eastAsia="宋体" w:hint="default"/>
          <w:sz w:val="14"/>
          <w:szCs w:val="14"/>
        </w:rPr>
      </w:pPr>
    </w:p>
    <w:p>
      <w:pPr>
        <w:pStyle w:val="BodyText"/>
        <w:spacing w:line="295" w:lineRule="exact" w:before="31"/>
        <w:ind w:left="506" w:right="89"/>
        <w:jc w:val="left"/>
      </w:pPr>
      <w:r>
        <w:rPr>
          <w:rFonts w:ascii="Arial" w:hAnsi="Arial" w:cs="Arial" w:eastAsia="Arial" w:hint="default"/>
        </w:rPr>
        <w:t>1.2</w:t>
      </w:r>
      <w:r>
        <w:rPr>
          <w:rFonts w:ascii="Arial" w:hAnsi="Arial" w:cs="Arial" w:eastAsia="Arial" w:hint="default"/>
          <w:spacing w:val="-12"/>
        </w:rPr>
        <w:t> </w:t>
      </w:r>
      <w:r>
        <w:rPr/>
        <w:t>持有非上市金融企业股权情况</w:t>
      </w:r>
    </w:p>
    <w:p>
      <w:pPr>
        <w:pStyle w:val="BodyText"/>
        <w:spacing w:line="279" w:lineRule="exact"/>
        <w:ind w:left="0" w:right="211"/>
        <w:jc w:val="right"/>
      </w:pPr>
      <w:r>
        <w:rPr>
          <w:w w:val="95"/>
        </w:rPr>
        <w:t>单位：人民币元</w:t>
      </w:r>
      <w:r>
        <w:rPr/>
      </w:r>
    </w:p>
    <w:p>
      <w:pPr>
        <w:spacing w:line="240" w:lineRule="auto" w:before="8"/>
        <w:rPr>
          <w:rFonts w:ascii="宋体" w:hAnsi="宋体" w:cs="宋体" w:eastAsia="宋体" w:hint="default"/>
          <w:sz w:val="2"/>
          <w:szCs w:val="2"/>
        </w:rPr>
      </w:pPr>
    </w:p>
    <w:tbl>
      <w:tblPr>
        <w:tblW w:w="0" w:type="auto"/>
        <w:jc w:val="left"/>
        <w:tblInd w:w="859" w:type="dxa"/>
        <w:tblLayout w:type="fixed"/>
        <w:tblCellMar>
          <w:top w:w="0" w:type="dxa"/>
          <w:left w:w="0" w:type="dxa"/>
          <w:bottom w:w="0" w:type="dxa"/>
          <w:right w:w="0" w:type="dxa"/>
        </w:tblCellMar>
        <w:tblLook w:val="01E0"/>
      </w:tblPr>
      <w:tblGrid>
        <w:gridCol w:w="1263"/>
        <w:gridCol w:w="1170"/>
        <w:gridCol w:w="986"/>
        <w:gridCol w:w="904"/>
        <w:gridCol w:w="1050"/>
        <w:gridCol w:w="733"/>
        <w:gridCol w:w="1200"/>
        <w:gridCol w:w="840"/>
        <w:gridCol w:w="636"/>
      </w:tblGrid>
      <w:tr>
        <w:trPr>
          <w:trHeight w:val="763" w:hRule="exact"/>
        </w:trPr>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09"/>
              <w:ind w:left="424" w:right="221" w:hanging="201"/>
              <w:jc w:val="left"/>
              <w:rPr>
                <w:rFonts w:ascii="宋体" w:hAnsi="宋体" w:cs="宋体" w:eastAsia="宋体" w:hint="default"/>
                <w:sz w:val="20"/>
                <w:szCs w:val="20"/>
              </w:rPr>
            </w:pPr>
            <w:r>
              <w:rPr>
                <w:rFonts w:ascii="宋体" w:hAnsi="宋体" w:cs="宋体" w:eastAsia="宋体" w:hint="default"/>
                <w:sz w:val="20"/>
                <w:szCs w:val="20"/>
              </w:rPr>
              <w:t>所持对象</w:t>
            </w:r>
            <w:r>
              <w:rPr>
                <w:rFonts w:ascii="宋体" w:hAnsi="宋体" w:cs="宋体" w:eastAsia="宋体" w:hint="default"/>
                <w:w w:val="100"/>
                <w:sz w:val="20"/>
                <w:szCs w:val="20"/>
              </w:rPr>
              <w:t> </w:t>
            </w:r>
            <w:r>
              <w:rPr>
                <w:rFonts w:ascii="宋体" w:hAnsi="宋体" w:cs="宋体" w:eastAsia="宋体" w:hint="default"/>
                <w:sz w:val="20"/>
                <w:szCs w:val="20"/>
              </w:rPr>
              <w:t>名称</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09"/>
              <w:ind w:left="376" w:right="175" w:hanging="201"/>
              <w:jc w:val="left"/>
              <w:rPr>
                <w:rFonts w:ascii="宋体" w:hAnsi="宋体" w:cs="宋体" w:eastAsia="宋体" w:hint="default"/>
                <w:sz w:val="20"/>
                <w:szCs w:val="20"/>
              </w:rPr>
            </w:pPr>
            <w:r>
              <w:rPr>
                <w:rFonts w:ascii="宋体" w:hAnsi="宋体" w:cs="宋体" w:eastAsia="宋体" w:hint="default"/>
                <w:sz w:val="20"/>
                <w:szCs w:val="20"/>
              </w:rPr>
              <w:t>最初投资</w:t>
            </w:r>
            <w:r>
              <w:rPr>
                <w:rFonts w:ascii="宋体" w:hAnsi="宋体" w:cs="宋体" w:eastAsia="宋体" w:hint="default"/>
                <w:w w:val="100"/>
                <w:sz w:val="20"/>
                <w:szCs w:val="20"/>
              </w:rPr>
              <w:t> </w:t>
            </w:r>
            <w:r>
              <w:rPr>
                <w:rFonts w:ascii="宋体" w:hAnsi="宋体" w:cs="宋体" w:eastAsia="宋体" w:hint="default"/>
                <w:sz w:val="20"/>
                <w:szCs w:val="20"/>
              </w:rPr>
              <w:t>金额</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83"/>
              <w:ind w:right="43"/>
              <w:jc w:val="center"/>
              <w:rPr>
                <w:rFonts w:ascii="宋体" w:hAnsi="宋体" w:cs="宋体" w:eastAsia="宋体" w:hint="default"/>
                <w:sz w:val="20"/>
                <w:szCs w:val="20"/>
              </w:rPr>
            </w:pPr>
            <w:r>
              <w:rPr>
                <w:rFonts w:ascii="宋体" w:hAnsi="宋体" w:cs="宋体" w:eastAsia="宋体" w:hint="default"/>
                <w:sz w:val="20"/>
                <w:szCs w:val="20"/>
              </w:rPr>
              <w:t>持有数量</w:t>
            </w:r>
          </w:p>
          <w:p>
            <w:pPr>
              <w:pStyle w:val="TableParagraph"/>
              <w:spacing w:line="260" w:lineRule="exact"/>
              <w:ind w:right="42"/>
              <w:jc w:val="center"/>
              <w:rPr>
                <w:rFonts w:ascii="宋体" w:hAnsi="宋体" w:cs="宋体" w:eastAsia="宋体" w:hint="default"/>
                <w:sz w:val="20"/>
                <w:szCs w:val="20"/>
              </w:rPr>
            </w:pPr>
            <w:r>
              <w:rPr>
                <w:rFonts w:ascii="宋体" w:hAnsi="宋体" w:cs="宋体" w:eastAsia="宋体" w:hint="default"/>
                <w:sz w:val="20"/>
                <w:szCs w:val="20"/>
              </w:rPr>
              <w:t>（股）</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8" w:right="0"/>
              <w:jc w:val="center"/>
              <w:rPr>
                <w:rFonts w:ascii="宋体" w:hAnsi="宋体" w:cs="宋体" w:eastAsia="宋体" w:hint="default"/>
                <w:sz w:val="20"/>
                <w:szCs w:val="20"/>
              </w:rPr>
            </w:pPr>
            <w:r>
              <w:rPr>
                <w:rFonts w:ascii="宋体" w:hAnsi="宋体" w:cs="宋体" w:eastAsia="宋体" w:hint="default"/>
                <w:sz w:val="20"/>
                <w:szCs w:val="20"/>
              </w:rPr>
              <w:t>占该公司</w:t>
            </w:r>
          </w:p>
          <w:p>
            <w:pPr>
              <w:pStyle w:val="TableParagraph"/>
              <w:spacing w:line="260" w:lineRule="exact"/>
              <w:ind w:left="8" w:right="0"/>
              <w:jc w:val="center"/>
              <w:rPr>
                <w:rFonts w:ascii="宋体" w:hAnsi="宋体" w:cs="宋体" w:eastAsia="宋体" w:hint="default"/>
                <w:sz w:val="20"/>
                <w:szCs w:val="20"/>
              </w:rPr>
            </w:pPr>
            <w:r>
              <w:rPr>
                <w:rFonts w:ascii="宋体" w:hAnsi="宋体" w:cs="宋体" w:eastAsia="宋体" w:hint="default"/>
                <w:sz w:val="20"/>
                <w:szCs w:val="20"/>
              </w:rPr>
              <w:t>股权比例</w:t>
            </w:r>
          </w:p>
          <w:p>
            <w:pPr>
              <w:pStyle w:val="TableParagraph"/>
              <w:spacing w:line="240" w:lineRule="auto" w:before="28"/>
              <w:ind w:left="8" w:right="0"/>
              <w:jc w:val="center"/>
              <w:rPr>
                <w:rFonts w:ascii="Arial" w:hAnsi="Arial" w:cs="Arial" w:eastAsia="Arial" w:hint="default"/>
                <w:sz w:val="20"/>
                <w:szCs w:val="20"/>
              </w:rPr>
            </w:pPr>
            <w:r>
              <w:rPr>
                <w:rFonts w:ascii="Arial"/>
                <w:sz w:val="20"/>
              </w:rPr>
              <w:t>(%)</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09"/>
              <w:ind w:left="313" w:right="119" w:hanging="201"/>
              <w:jc w:val="left"/>
              <w:rPr>
                <w:rFonts w:ascii="宋体" w:hAnsi="宋体" w:cs="宋体" w:eastAsia="宋体" w:hint="default"/>
                <w:sz w:val="20"/>
                <w:szCs w:val="20"/>
              </w:rPr>
            </w:pPr>
            <w:r>
              <w:rPr>
                <w:rFonts w:ascii="宋体" w:hAnsi="宋体" w:cs="宋体" w:eastAsia="宋体" w:hint="default"/>
                <w:sz w:val="20"/>
                <w:szCs w:val="20"/>
              </w:rPr>
              <w:t>期末账面</w:t>
            </w:r>
            <w:r>
              <w:rPr>
                <w:rFonts w:ascii="宋体" w:hAnsi="宋体" w:cs="宋体" w:eastAsia="宋体" w:hint="default"/>
                <w:w w:val="100"/>
                <w:sz w:val="20"/>
                <w:szCs w:val="20"/>
              </w:rPr>
              <w:t> </w:t>
            </w:r>
            <w:r>
              <w:rPr>
                <w:rFonts w:ascii="宋体" w:hAnsi="宋体" w:cs="宋体" w:eastAsia="宋体" w:hint="default"/>
                <w:sz w:val="20"/>
                <w:szCs w:val="20"/>
              </w:rPr>
              <w:t>价值</w:t>
            </w:r>
          </w:p>
        </w:tc>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09"/>
              <w:ind w:left="169" w:right="47" w:hanging="100"/>
              <w:jc w:val="left"/>
              <w:rPr>
                <w:rFonts w:ascii="宋体" w:hAnsi="宋体" w:cs="宋体" w:eastAsia="宋体" w:hint="default"/>
                <w:sz w:val="20"/>
                <w:szCs w:val="20"/>
              </w:rPr>
            </w:pPr>
            <w:r>
              <w:rPr>
                <w:rFonts w:ascii="宋体" w:hAnsi="宋体" w:cs="宋体" w:eastAsia="宋体" w:hint="default"/>
                <w:sz w:val="20"/>
                <w:szCs w:val="20"/>
              </w:rPr>
              <w:t>报告期</w:t>
            </w:r>
            <w:r>
              <w:rPr>
                <w:rFonts w:ascii="宋体" w:hAnsi="宋体" w:cs="宋体" w:eastAsia="宋体" w:hint="default"/>
                <w:w w:val="100"/>
                <w:sz w:val="20"/>
                <w:szCs w:val="20"/>
              </w:rPr>
              <w:t> </w:t>
            </w:r>
            <w:r>
              <w:rPr>
                <w:rFonts w:ascii="宋体" w:hAnsi="宋体" w:cs="宋体" w:eastAsia="宋体" w:hint="default"/>
                <w:sz w:val="20"/>
                <w:szCs w:val="20"/>
              </w:rPr>
              <w:t>损益</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09"/>
              <w:ind w:left="195" w:right="-12" w:hanging="200"/>
              <w:jc w:val="left"/>
              <w:rPr>
                <w:rFonts w:ascii="宋体" w:hAnsi="宋体" w:cs="宋体" w:eastAsia="宋体" w:hint="default"/>
                <w:sz w:val="20"/>
                <w:szCs w:val="20"/>
              </w:rPr>
            </w:pPr>
            <w:r>
              <w:rPr>
                <w:rFonts w:ascii="宋体" w:hAnsi="宋体" w:cs="宋体" w:eastAsia="宋体" w:hint="default"/>
                <w:sz w:val="20"/>
                <w:szCs w:val="20"/>
              </w:rPr>
              <w:t>报告期所有者</w:t>
            </w:r>
            <w:r>
              <w:rPr>
                <w:rFonts w:ascii="宋体" w:hAnsi="宋体" w:cs="宋体" w:eastAsia="宋体" w:hint="default"/>
                <w:w w:val="100"/>
                <w:sz w:val="20"/>
                <w:szCs w:val="20"/>
              </w:rPr>
              <w:t> </w:t>
            </w:r>
            <w:r>
              <w:rPr>
                <w:rFonts w:ascii="宋体" w:hAnsi="宋体" w:cs="宋体" w:eastAsia="宋体" w:hint="default"/>
                <w:sz w:val="20"/>
                <w:szCs w:val="20"/>
              </w:rPr>
              <w:t>权益变动</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09"/>
              <w:ind w:left="219" w:right="2" w:hanging="201"/>
              <w:jc w:val="left"/>
              <w:rPr>
                <w:rFonts w:ascii="宋体" w:hAnsi="宋体" w:cs="宋体" w:eastAsia="宋体" w:hint="default"/>
                <w:sz w:val="20"/>
                <w:szCs w:val="20"/>
              </w:rPr>
            </w:pPr>
            <w:r>
              <w:rPr>
                <w:rFonts w:ascii="宋体" w:hAnsi="宋体" w:cs="宋体" w:eastAsia="宋体" w:hint="default"/>
                <w:sz w:val="20"/>
                <w:szCs w:val="20"/>
              </w:rPr>
              <w:t>会计核算</w:t>
            </w:r>
            <w:r>
              <w:rPr>
                <w:rFonts w:ascii="宋体" w:hAnsi="宋体" w:cs="宋体" w:eastAsia="宋体" w:hint="default"/>
                <w:w w:val="100"/>
                <w:sz w:val="20"/>
                <w:szCs w:val="20"/>
              </w:rPr>
              <w:t> </w:t>
            </w:r>
            <w:r>
              <w:rPr>
                <w:rFonts w:ascii="宋体" w:hAnsi="宋体" w:cs="宋体" w:eastAsia="宋体" w:hint="default"/>
                <w:sz w:val="20"/>
                <w:szCs w:val="20"/>
              </w:rPr>
              <w:t>科目</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09"/>
              <w:ind w:left="110" w:right="108"/>
              <w:jc w:val="left"/>
              <w:rPr>
                <w:rFonts w:ascii="宋体" w:hAnsi="宋体" w:cs="宋体" w:eastAsia="宋体" w:hint="default"/>
                <w:sz w:val="20"/>
                <w:szCs w:val="20"/>
              </w:rPr>
            </w:pPr>
            <w:r>
              <w:rPr>
                <w:rFonts w:ascii="宋体" w:hAnsi="宋体" w:cs="宋体" w:eastAsia="宋体" w:hint="default"/>
                <w:sz w:val="20"/>
                <w:szCs w:val="20"/>
              </w:rPr>
              <w:t>股份</w:t>
            </w:r>
            <w:r>
              <w:rPr>
                <w:rFonts w:ascii="宋体" w:hAnsi="宋体" w:cs="宋体" w:eastAsia="宋体" w:hint="default"/>
                <w:w w:val="100"/>
                <w:sz w:val="20"/>
                <w:szCs w:val="20"/>
              </w:rPr>
              <w:t> </w:t>
            </w:r>
            <w:r>
              <w:rPr>
                <w:rFonts w:ascii="宋体" w:hAnsi="宋体" w:cs="宋体" w:eastAsia="宋体" w:hint="default"/>
                <w:sz w:val="20"/>
                <w:szCs w:val="20"/>
              </w:rPr>
              <w:t>来源</w:t>
            </w:r>
          </w:p>
        </w:tc>
      </w:tr>
      <w:tr>
        <w:trPr>
          <w:trHeight w:val="536" w:hRule="exact"/>
        </w:trPr>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0" w:right="0"/>
              <w:jc w:val="left"/>
              <w:rPr>
                <w:rFonts w:ascii="宋体" w:hAnsi="宋体" w:cs="宋体" w:eastAsia="宋体" w:hint="default"/>
                <w:sz w:val="20"/>
                <w:szCs w:val="20"/>
              </w:rPr>
            </w:pPr>
            <w:r>
              <w:rPr>
                <w:rFonts w:ascii="宋体" w:hAnsi="宋体" w:cs="宋体" w:eastAsia="宋体" w:hint="default"/>
                <w:sz w:val="20"/>
                <w:szCs w:val="20"/>
              </w:rPr>
              <w:t>广东发展银行</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68" w:right="0"/>
              <w:jc w:val="left"/>
              <w:rPr>
                <w:rFonts w:ascii="Arial" w:hAnsi="Arial" w:cs="Arial" w:eastAsia="Arial" w:hint="default"/>
                <w:sz w:val="20"/>
                <w:szCs w:val="20"/>
              </w:rPr>
            </w:pPr>
            <w:r>
              <w:rPr>
                <w:rFonts w:ascii="Arial"/>
                <w:sz w:val="20"/>
              </w:rPr>
              <w:t>19,730,271</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 w:right="0"/>
              <w:jc w:val="left"/>
              <w:rPr>
                <w:rFonts w:ascii="Arial" w:hAnsi="Arial" w:cs="Arial" w:eastAsia="Arial" w:hint="default"/>
                <w:sz w:val="20"/>
                <w:szCs w:val="20"/>
              </w:rPr>
            </w:pPr>
            <w:r>
              <w:rPr>
                <w:rFonts w:ascii="Arial"/>
                <w:sz w:val="20"/>
              </w:rPr>
              <w:t>7,356,985</w:t>
            </w:r>
          </w:p>
        </w:tc>
        <w:tc>
          <w:tcPr>
            <w:tcW w:w="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399" w:right="0"/>
              <w:jc w:val="left"/>
              <w:rPr>
                <w:rFonts w:ascii="Arial" w:hAnsi="Arial" w:cs="Arial" w:eastAsia="Arial" w:hint="default"/>
                <w:sz w:val="20"/>
                <w:szCs w:val="20"/>
              </w:rPr>
            </w:pPr>
            <w:r>
              <w:rPr>
                <w:rFonts w:ascii="Arial"/>
                <w:sz w:val="20"/>
              </w:rPr>
              <w:t>0.05</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33" w:right="0"/>
              <w:jc w:val="left"/>
              <w:rPr>
                <w:rFonts w:ascii="Arial" w:hAnsi="Arial" w:cs="Arial" w:eastAsia="Arial" w:hint="default"/>
                <w:sz w:val="20"/>
                <w:szCs w:val="20"/>
              </w:rPr>
            </w:pPr>
            <w:r>
              <w:rPr>
                <w:rFonts w:ascii="Arial"/>
                <w:sz w:val="20"/>
              </w:rPr>
              <w:t>19,730,271</w:t>
            </w:r>
          </w:p>
        </w:tc>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20"/>
                <w:szCs w:val="20"/>
              </w:rPr>
            </w:pPr>
            <w:r>
              <w:rPr>
                <w:rFonts w:ascii="Arial"/>
                <w:w w:val="100"/>
                <w:sz w:val="20"/>
              </w:rPr>
              <w:t>-</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Arial" w:hAnsi="Arial" w:cs="Arial" w:eastAsia="Arial" w:hint="default"/>
                <w:sz w:val="20"/>
                <w:szCs w:val="20"/>
              </w:rPr>
            </w:pPr>
            <w:r>
              <w:rPr>
                <w:rFonts w:ascii="Arial"/>
                <w:w w:val="100"/>
                <w:sz w:val="20"/>
              </w:rPr>
              <w:t>-</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20" w:right="0"/>
              <w:jc w:val="left"/>
              <w:rPr>
                <w:rFonts w:ascii="宋体" w:hAnsi="宋体" w:cs="宋体" w:eastAsia="宋体" w:hint="default"/>
                <w:sz w:val="20"/>
                <w:szCs w:val="20"/>
              </w:rPr>
            </w:pPr>
            <w:r>
              <w:rPr>
                <w:rFonts w:ascii="宋体" w:hAnsi="宋体" w:cs="宋体" w:eastAsia="宋体" w:hint="default"/>
                <w:sz w:val="20"/>
                <w:szCs w:val="20"/>
              </w:rPr>
              <w:t>长期股</w:t>
            </w:r>
          </w:p>
          <w:p>
            <w:pPr>
              <w:pStyle w:val="TableParagraph"/>
              <w:spacing w:line="260" w:lineRule="exact"/>
              <w:ind w:left="120" w:right="0"/>
              <w:jc w:val="left"/>
              <w:rPr>
                <w:rFonts w:ascii="宋体" w:hAnsi="宋体" w:cs="宋体" w:eastAsia="宋体" w:hint="default"/>
                <w:sz w:val="20"/>
                <w:szCs w:val="20"/>
              </w:rPr>
            </w:pPr>
            <w:r>
              <w:rPr>
                <w:rFonts w:ascii="宋体" w:hAnsi="宋体" w:cs="宋体" w:eastAsia="宋体" w:hint="default"/>
                <w:sz w:val="20"/>
                <w:szCs w:val="20"/>
              </w:rPr>
              <w:t>权投资</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00" w:right="0"/>
              <w:jc w:val="left"/>
              <w:rPr>
                <w:rFonts w:ascii="宋体" w:hAnsi="宋体" w:cs="宋体" w:eastAsia="宋体" w:hint="default"/>
                <w:sz w:val="20"/>
                <w:szCs w:val="20"/>
              </w:rPr>
            </w:pPr>
            <w:r>
              <w:rPr>
                <w:rFonts w:ascii="宋体" w:hAnsi="宋体" w:cs="宋体" w:eastAsia="宋体" w:hint="default"/>
                <w:sz w:val="20"/>
                <w:szCs w:val="20"/>
              </w:rPr>
              <w:t>购买</w:t>
            </w:r>
          </w:p>
        </w:tc>
      </w:tr>
    </w:tbl>
    <w:p>
      <w:pPr>
        <w:spacing w:line="240" w:lineRule="auto" w:before="1"/>
        <w:rPr>
          <w:rFonts w:ascii="宋体" w:hAnsi="宋体" w:cs="宋体" w:eastAsia="宋体" w:hint="default"/>
          <w:sz w:val="14"/>
          <w:szCs w:val="14"/>
        </w:rPr>
      </w:pPr>
    </w:p>
    <w:p>
      <w:pPr>
        <w:pStyle w:val="BodyText"/>
        <w:spacing w:line="286" w:lineRule="exact" w:before="60"/>
        <w:ind w:left="866" w:right="89"/>
        <w:jc w:val="left"/>
      </w:pPr>
      <w:r>
        <w:rPr/>
        <w:t>于</w:t>
      </w:r>
      <w:r>
        <w:rPr>
          <w:spacing w:val="-53"/>
        </w:rPr>
        <w:t> </w:t>
      </w:r>
      <w:r>
        <w:rPr>
          <w:rFonts w:ascii="Arial" w:hAnsi="Arial" w:cs="Arial" w:eastAsia="Arial" w:hint="default"/>
        </w:rPr>
        <w:t>2012</w:t>
      </w:r>
      <w:r>
        <w:rPr>
          <w:rFonts w:ascii="Arial" w:hAnsi="Arial" w:cs="Arial" w:eastAsia="Arial" w:hint="default"/>
          <w:spacing w:val="-4"/>
        </w:rPr>
        <w:t> </w:t>
      </w:r>
      <w:r>
        <w:rPr/>
        <w:t>年</w:t>
      </w:r>
      <w:r>
        <w:rPr>
          <w:spacing w:val="-53"/>
        </w:rPr>
        <w:t> </w:t>
      </w:r>
      <w:r>
        <w:rPr>
          <w:rFonts w:ascii="Arial" w:hAnsi="Arial" w:cs="Arial" w:eastAsia="Arial" w:hint="default"/>
        </w:rPr>
        <w:t>12</w:t>
      </w:r>
      <w:r>
        <w:rPr>
          <w:rFonts w:ascii="Arial" w:hAnsi="Arial" w:cs="Arial" w:eastAsia="Arial" w:hint="default"/>
          <w:spacing w:val="-4"/>
        </w:rPr>
        <w:t> </w:t>
      </w:r>
      <w:r>
        <w:rPr/>
        <w:t>月</w:t>
      </w:r>
      <w:r>
        <w:rPr>
          <w:spacing w:val="-53"/>
        </w:rPr>
        <w:t> </w:t>
      </w:r>
      <w:r>
        <w:rPr>
          <w:rFonts w:ascii="Arial" w:hAnsi="Arial" w:cs="Arial" w:eastAsia="Arial" w:hint="default"/>
        </w:rPr>
        <w:t>31</w:t>
      </w:r>
      <w:r>
        <w:rPr>
          <w:rFonts w:ascii="Arial" w:hAnsi="Arial" w:cs="Arial" w:eastAsia="Arial" w:hint="default"/>
          <w:spacing w:val="-4"/>
        </w:rPr>
        <w:t> </w:t>
      </w:r>
      <w:r>
        <w:rPr>
          <w:spacing w:val="-5"/>
        </w:rPr>
        <w:t>日，本公司所属子公司中讯邮电咨询设计院有限公司（“中讯设计院”）</w:t>
      </w:r>
      <w:r>
        <w:rPr>
          <w:w w:val="99"/>
        </w:rPr>
        <w:t> </w:t>
      </w:r>
      <w:r>
        <w:rPr/>
        <w:t>对被投资单位广东发展银行不具有控制、共同控制或重大影响，且对广东发展银行的长期股</w:t>
      </w:r>
      <w:r>
        <w:rPr>
          <w:w w:val="99"/>
        </w:rPr>
        <w:t> </w:t>
      </w:r>
      <w:r>
        <w:rPr/>
        <w:t>权投资不存在活跃市场报价、其公允价值也不能可靠计量，故本集团采用成本法核算对广东</w:t>
      </w:r>
      <w:r>
        <w:rPr>
          <w:w w:val="99"/>
        </w:rPr>
        <w:t> </w:t>
      </w:r>
      <w:r>
        <w:rPr/>
        <w:t>发展银行的长期股权投资。</w:t>
      </w:r>
    </w:p>
    <w:p>
      <w:pPr>
        <w:spacing w:line="240" w:lineRule="auto" w:before="3"/>
        <w:rPr>
          <w:rFonts w:ascii="宋体" w:hAnsi="宋体" w:cs="宋体" w:eastAsia="宋体" w:hint="default"/>
          <w:sz w:val="19"/>
          <w:szCs w:val="19"/>
        </w:rPr>
      </w:pPr>
    </w:p>
    <w:p>
      <w:pPr>
        <w:pStyle w:val="BodyText"/>
        <w:spacing w:line="286" w:lineRule="exact"/>
        <w:ind w:left="866" w:right="202"/>
        <w:jc w:val="left"/>
      </w:pPr>
      <w:r>
        <w:rPr>
          <w:spacing w:val="-1"/>
        </w:rPr>
        <w:t>上述“报告期损益”及“报告期所有者权益变动”为本集团所持对上述两家公司的投资对本</w:t>
      </w:r>
      <w:r>
        <w:rPr>
          <w:w w:val="99"/>
        </w:rPr>
        <w:t> </w:t>
      </w:r>
      <w:r>
        <w:rPr/>
        <w:t>集团的影响。</w:t>
      </w:r>
    </w:p>
    <w:p>
      <w:pPr>
        <w:spacing w:line="240" w:lineRule="auto" w:before="2"/>
        <w:rPr>
          <w:rFonts w:ascii="宋体" w:hAnsi="宋体" w:cs="宋体" w:eastAsia="宋体" w:hint="default"/>
          <w:sz w:val="17"/>
          <w:szCs w:val="17"/>
        </w:rPr>
      </w:pPr>
    </w:p>
    <w:p>
      <w:pPr>
        <w:pStyle w:val="BodyText"/>
        <w:spacing w:line="240" w:lineRule="auto"/>
        <w:ind w:left="146" w:right="89"/>
        <w:jc w:val="left"/>
      </w:pPr>
      <w:r>
        <w:rPr>
          <w:rFonts w:ascii="Arial" w:hAnsi="Arial" w:cs="Arial" w:eastAsia="Arial" w:hint="default"/>
        </w:rPr>
        <w:t>2</w:t>
      </w:r>
      <w:r>
        <w:rPr/>
        <w:t>、非金融类公司委托理财及衍生品投资的情况</w:t>
      </w:r>
    </w:p>
    <w:p>
      <w:pPr>
        <w:spacing w:line="240" w:lineRule="auto" w:before="0"/>
        <w:rPr>
          <w:rFonts w:ascii="宋体" w:hAnsi="宋体" w:cs="宋体" w:eastAsia="宋体" w:hint="default"/>
          <w:sz w:val="20"/>
          <w:szCs w:val="20"/>
        </w:rPr>
      </w:pPr>
    </w:p>
    <w:p>
      <w:pPr>
        <w:pStyle w:val="BodyText"/>
        <w:spacing w:line="286" w:lineRule="exact"/>
        <w:ind w:left="866" w:right="4965" w:hanging="360"/>
        <w:jc w:val="left"/>
      </w:pPr>
      <w:r>
        <w:rPr>
          <w:rFonts w:ascii="Arial" w:hAnsi="Arial" w:cs="Arial" w:eastAsia="Arial" w:hint="default"/>
        </w:rPr>
        <w:t>2.1</w:t>
      </w:r>
      <w:r>
        <w:rPr>
          <w:rFonts w:ascii="Arial" w:hAnsi="Arial" w:cs="Arial" w:eastAsia="Arial" w:hint="default"/>
          <w:spacing w:val="-7"/>
        </w:rPr>
        <w:t> </w:t>
      </w:r>
      <w:r>
        <w:rPr/>
        <w:t>委托理财情况</w:t>
      </w:r>
      <w:r>
        <w:rPr>
          <w:w w:val="99"/>
        </w:rPr>
        <w:t> </w:t>
      </w:r>
      <w:r>
        <w:rPr>
          <w:w w:val="95"/>
        </w:rPr>
        <w:t>本年度公司无委托理财事项。</w:t>
      </w:r>
      <w:r>
        <w:rPr/>
      </w:r>
    </w:p>
    <w:p>
      <w:pPr>
        <w:spacing w:after="0" w:line="286" w:lineRule="exact"/>
        <w:jc w:val="left"/>
        <w:sectPr>
          <w:pgSz w:w="11910" w:h="16840"/>
          <w:pgMar w:header="567" w:footer="745" w:top="800" w:bottom="940" w:left="1380" w:right="680"/>
        </w:sectPr>
      </w:pPr>
    </w:p>
    <w:p>
      <w:pPr>
        <w:spacing w:line="240" w:lineRule="auto" w:before="8"/>
        <w:rPr>
          <w:rFonts w:ascii="宋体" w:hAnsi="宋体" w:cs="宋体" w:eastAsia="宋体" w:hint="default"/>
          <w:sz w:val="22"/>
          <w:szCs w:val="22"/>
        </w:rPr>
      </w:pPr>
    </w:p>
    <w:p>
      <w:pPr>
        <w:pStyle w:val="BodyText"/>
        <w:spacing w:line="286" w:lineRule="exact" w:before="60"/>
        <w:ind w:left="866" w:right="4965" w:hanging="360"/>
        <w:jc w:val="left"/>
      </w:pPr>
      <w:r>
        <w:rPr>
          <w:rFonts w:ascii="Arial" w:hAnsi="Arial" w:cs="Arial" w:eastAsia="Arial" w:hint="default"/>
        </w:rPr>
        <w:t>2.2</w:t>
      </w:r>
      <w:r>
        <w:rPr>
          <w:rFonts w:ascii="Arial" w:hAnsi="Arial" w:cs="Arial" w:eastAsia="Arial" w:hint="default"/>
          <w:spacing w:val="-7"/>
        </w:rPr>
        <w:t> </w:t>
      </w:r>
      <w:r>
        <w:rPr/>
        <w:t>委托贷款情况</w:t>
      </w:r>
      <w:r>
        <w:rPr>
          <w:w w:val="99"/>
        </w:rPr>
        <w:t> </w:t>
      </w:r>
      <w:r>
        <w:rPr>
          <w:w w:val="95"/>
        </w:rPr>
        <w:t>本年度公司无委托贷款事项。</w:t>
      </w:r>
      <w:r>
        <w:rPr/>
      </w:r>
    </w:p>
    <w:p>
      <w:pPr>
        <w:pStyle w:val="BodyText"/>
        <w:spacing w:line="388" w:lineRule="auto" w:before="178"/>
        <w:ind w:left="506" w:right="3019" w:hanging="360"/>
        <w:jc w:val="left"/>
      </w:pPr>
      <w:r>
        <w:rPr>
          <w:rFonts w:ascii="Arial" w:hAnsi="Arial" w:cs="Arial" w:eastAsia="Arial" w:hint="default"/>
        </w:rPr>
        <w:t>3</w:t>
      </w:r>
      <w:r>
        <w:rPr/>
        <w:t>、募集资金使用情况</w:t>
      </w:r>
      <w:r>
        <w:rPr>
          <w:w w:val="99"/>
        </w:rPr>
        <w:t> </w:t>
      </w:r>
      <w:r>
        <w:rPr>
          <w:w w:val="95"/>
        </w:rPr>
        <w:t>报告期内，公司无募集资金或前期募集资金使用到本期的情况。</w:t>
      </w:r>
      <w:r>
        <w:rPr/>
      </w:r>
    </w:p>
    <w:p>
      <w:pPr>
        <w:pStyle w:val="BodyText"/>
        <w:spacing w:line="240" w:lineRule="auto" w:before="67"/>
        <w:ind w:left="146" w:right="89"/>
        <w:jc w:val="left"/>
      </w:pPr>
      <w:r>
        <w:rPr>
          <w:rFonts w:ascii="Arial" w:hAnsi="Arial" w:cs="Arial" w:eastAsia="Arial" w:hint="default"/>
        </w:rPr>
        <w:t>4</w:t>
      </w:r>
      <w:r>
        <w:rPr/>
        <w:t>、主要子公司、参股公司分析</w:t>
      </w:r>
    </w:p>
    <w:p>
      <w:pPr>
        <w:pStyle w:val="BodyText"/>
        <w:spacing w:line="492" w:lineRule="exact" w:before="52"/>
        <w:ind w:left="506" w:right="89"/>
        <w:jc w:val="left"/>
      </w:pPr>
      <w:r>
        <w:rPr>
          <w:spacing w:val="-6"/>
        </w:rPr>
        <w:t>公司主要子公司为联通运营公司，详见本章“董事会关于公司报告期内经营情况的讨论与分析”。</w:t>
      </w:r>
      <w:r>
        <w:rPr>
          <w:spacing w:val="-86"/>
        </w:rPr>
        <w:t> </w:t>
      </w:r>
      <w:r>
        <w:rPr>
          <w:spacing w:val="-86"/>
        </w:rPr>
      </w:r>
      <w:r>
        <w:rPr/>
        <w:t>公司主要参股公司为西班牙电信，于</w:t>
      </w:r>
      <w:r>
        <w:rPr>
          <w:spacing w:val="-88"/>
        </w:rPr>
        <w:t> </w:t>
      </w:r>
      <w:r>
        <w:rPr>
          <w:rFonts w:ascii="Arial" w:hAnsi="Arial" w:cs="Arial" w:eastAsia="Arial" w:hint="default"/>
        </w:rPr>
        <w:t>2012</w:t>
      </w:r>
      <w:r>
        <w:rPr>
          <w:rFonts w:ascii="Arial" w:hAnsi="Arial" w:cs="Arial" w:eastAsia="Arial" w:hint="default"/>
          <w:spacing w:val="-40"/>
        </w:rPr>
        <w:t> </w:t>
      </w:r>
      <w:r>
        <w:rPr/>
        <w:t>年度，本公司所属子公司联通红筹公司收到西班牙电</w:t>
      </w:r>
    </w:p>
    <w:p>
      <w:pPr>
        <w:pStyle w:val="BodyText"/>
        <w:spacing w:line="234" w:lineRule="exact"/>
        <w:ind w:left="506" w:right="89"/>
        <w:jc w:val="left"/>
      </w:pPr>
      <w:r>
        <w:rPr/>
        <w:t>信宣布派发的约人民币</w:t>
      </w:r>
      <w:r>
        <w:rPr>
          <w:spacing w:val="-57"/>
        </w:rPr>
        <w:t> </w:t>
      </w:r>
      <w:r>
        <w:rPr>
          <w:rFonts w:ascii="Arial" w:hAnsi="Arial" w:cs="Arial" w:eastAsia="Arial" w:hint="default"/>
        </w:rPr>
        <w:t>2.66</w:t>
      </w:r>
      <w:r>
        <w:rPr>
          <w:rFonts w:ascii="Arial" w:hAnsi="Arial" w:cs="Arial" w:eastAsia="Arial" w:hint="default"/>
          <w:spacing w:val="-10"/>
        </w:rPr>
        <w:t> </w:t>
      </w:r>
      <w:r>
        <w:rPr/>
        <w:t>亿元的现金股利以及公允价值约人民币</w:t>
      </w:r>
      <w:r>
        <w:rPr>
          <w:spacing w:val="-57"/>
        </w:rPr>
        <w:t> </w:t>
      </w:r>
      <w:r>
        <w:rPr>
          <w:rFonts w:ascii="Arial" w:hAnsi="Arial" w:cs="Arial" w:eastAsia="Arial" w:hint="default"/>
        </w:rPr>
        <w:t>1.46</w:t>
      </w:r>
      <w:r>
        <w:rPr>
          <w:rFonts w:ascii="Arial" w:hAnsi="Arial" w:cs="Arial" w:eastAsia="Arial" w:hint="default"/>
          <w:spacing w:val="-10"/>
        </w:rPr>
        <w:t> </w:t>
      </w:r>
      <w:r>
        <w:rPr/>
        <w:t>亿元的股票股利。</w:t>
      </w:r>
    </w:p>
    <w:p>
      <w:pPr>
        <w:spacing w:line="240" w:lineRule="auto" w:before="13"/>
        <w:rPr>
          <w:rFonts w:ascii="宋体" w:hAnsi="宋体" w:cs="宋体" w:eastAsia="宋体" w:hint="default"/>
          <w:sz w:val="17"/>
          <w:szCs w:val="17"/>
        </w:rPr>
      </w:pPr>
    </w:p>
    <w:p>
      <w:pPr>
        <w:pStyle w:val="BodyText"/>
        <w:spacing w:line="240" w:lineRule="auto"/>
        <w:ind w:left="146" w:right="89"/>
        <w:jc w:val="left"/>
      </w:pPr>
      <w:r>
        <w:rPr>
          <w:rFonts w:ascii="Arial" w:hAnsi="Arial" w:cs="Arial" w:eastAsia="Arial" w:hint="default"/>
        </w:rPr>
        <w:t>5</w:t>
      </w:r>
      <w:r>
        <w:rPr/>
        <w:t>、非募集资金项目情况</w:t>
      </w:r>
    </w:p>
    <w:p>
      <w:pPr>
        <w:pStyle w:val="BodyText"/>
        <w:spacing w:line="295" w:lineRule="exact" w:before="188"/>
        <w:ind w:left="506" w:right="89"/>
        <w:jc w:val="left"/>
      </w:pPr>
      <w:r>
        <w:rPr>
          <w:rFonts w:ascii="Arial" w:hAnsi="Arial" w:cs="Arial" w:eastAsia="Arial" w:hint="default"/>
        </w:rPr>
        <w:t>2012</w:t>
      </w:r>
      <w:r>
        <w:rPr>
          <w:rFonts w:ascii="Arial" w:hAnsi="Arial" w:cs="Arial" w:eastAsia="Arial" w:hint="default"/>
          <w:spacing w:val="-9"/>
        </w:rPr>
        <w:t> </w:t>
      </w:r>
      <w:r>
        <w:rPr/>
        <w:t>年公司的各项资本开支合计</w:t>
      </w:r>
      <w:r>
        <w:rPr>
          <w:spacing w:val="-58"/>
        </w:rPr>
        <w:t> </w:t>
      </w:r>
      <w:r>
        <w:rPr>
          <w:rFonts w:ascii="Arial" w:hAnsi="Arial" w:cs="Arial" w:eastAsia="Arial" w:hint="default"/>
        </w:rPr>
        <w:t>997.9</w:t>
      </w:r>
      <w:r>
        <w:rPr>
          <w:rFonts w:ascii="Arial" w:hAnsi="Arial" w:cs="Arial" w:eastAsia="Arial" w:hint="default"/>
          <w:spacing w:val="-10"/>
        </w:rPr>
        <w:t> </w:t>
      </w:r>
      <w:r>
        <w:rPr/>
        <w:t>亿元，主要用于移动网络、宽带及数据、基础设施及传</w:t>
      </w:r>
    </w:p>
    <w:p>
      <w:pPr>
        <w:pStyle w:val="BodyText"/>
        <w:spacing w:line="285" w:lineRule="exact"/>
        <w:ind w:left="506" w:right="89"/>
        <w:jc w:val="left"/>
      </w:pPr>
      <w:r>
        <w:rPr>
          <w:spacing w:val="-6"/>
        </w:rPr>
        <w:t>送网建设等方面。其中，移动网络资本开支为</w:t>
      </w:r>
      <w:r>
        <w:rPr>
          <w:spacing w:val="-54"/>
        </w:rPr>
        <w:t> </w:t>
      </w:r>
      <w:r>
        <w:rPr>
          <w:rFonts w:ascii="Arial" w:hAnsi="Arial" w:cs="Arial" w:eastAsia="Arial" w:hint="default"/>
        </w:rPr>
        <w:t>409.2</w:t>
      </w:r>
      <w:r>
        <w:rPr>
          <w:rFonts w:ascii="Arial" w:hAnsi="Arial" w:cs="Arial" w:eastAsia="Arial" w:hint="default"/>
          <w:spacing w:val="-6"/>
        </w:rPr>
        <w:t> </w:t>
      </w:r>
      <w:r>
        <w:rPr>
          <w:spacing w:val="-4"/>
        </w:rPr>
        <w:t>亿元，宽带及数据业务资本开支为</w:t>
      </w:r>
      <w:r>
        <w:rPr>
          <w:spacing w:val="-54"/>
        </w:rPr>
        <w:t> </w:t>
      </w:r>
      <w:r>
        <w:rPr>
          <w:rFonts w:ascii="Arial" w:hAnsi="Arial" w:cs="Arial" w:eastAsia="Arial" w:hint="default"/>
        </w:rPr>
        <w:t>255.2</w:t>
      </w:r>
      <w:r>
        <w:rPr>
          <w:rFonts w:ascii="Arial" w:hAnsi="Arial" w:cs="Arial" w:eastAsia="Arial" w:hint="default"/>
          <w:spacing w:val="47"/>
        </w:rPr>
        <w:t> </w:t>
      </w:r>
      <w:r>
        <w:rPr/>
        <w:t>亿</w:t>
      </w:r>
    </w:p>
    <w:p>
      <w:pPr>
        <w:spacing w:line="424" w:lineRule="auto" w:before="0"/>
        <w:ind w:left="146" w:right="4707" w:firstLine="360"/>
        <w:jc w:val="left"/>
        <w:rPr>
          <w:rFonts w:ascii="宋体" w:hAnsi="宋体" w:cs="宋体" w:eastAsia="宋体" w:hint="default"/>
          <w:sz w:val="22"/>
          <w:szCs w:val="22"/>
        </w:rPr>
      </w:pPr>
      <w:r>
        <w:rPr>
          <w:rFonts w:ascii="宋体" w:hAnsi="宋体" w:cs="宋体" w:eastAsia="宋体" w:hint="default"/>
          <w:sz w:val="22"/>
          <w:szCs w:val="22"/>
        </w:rPr>
        <w:t>元，基础设施及传送网资本开支为</w:t>
      </w:r>
      <w:r>
        <w:rPr>
          <w:rFonts w:ascii="宋体" w:hAnsi="宋体" w:cs="宋体" w:eastAsia="宋体" w:hint="default"/>
          <w:spacing w:val="-56"/>
          <w:sz w:val="22"/>
          <w:szCs w:val="22"/>
        </w:rPr>
        <w:t> </w:t>
      </w:r>
      <w:r>
        <w:rPr>
          <w:rFonts w:ascii="Arial" w:hAnsi="Arial" w:cs="Arial" w:eastAsia="Arial" w:hint="default"/>
          <w:sz w:val="22"/>
          <w:szCs w:val="22"/>
        </w:rPr>
        <w:t>255.3</w:t>
      </w:r>
      <w:r>
        <w:rPr>
          <w:rFonts w:ascii="Arial" w:hAnsi="Arial" w:cs="Arial" w:eastAsia="Arial" w:hint="default"/>
          <w:spacing w:val="-10"/>
          <w:sz w:val="22"/>
          <w:szCs w:val="22"/>
        </w:rPr>
        <w:t> </w:t>
      </w:r>
      <w:r>
        <w:rPr>
          <w:rFonts w:ascii="宋体" w:hAnsi="宋体" w:cs="宋体" w:eastAsia="宋体" w:hint="default"/>
          <w:sz w:val="22"/>
          <w:szCs w:val="22"/>
        </w:rPr>
        <w:t>亿元。</w:t>
      </w:r>
      <w:r>
        <w:rPr>
          <w:rFonts w:ascii="宋体" w:hAnsi="宋体" w:cs="宋体" w:eastAsia="宋体" w:hint="default"/>
          <w:w w:val="99"/>
          <w:sz w:val="22"/>
          <w:szCs w:val="22"/>
        </w:rPr>
        <w:t> </w:t>
      </w:r>
      <w:r>
        <w:rPr>
          <w:rFonts w:ascii="宋体" w:hAnsi="宋体" w:cs="宋体" w:eastAsia="宋体" w:hint="default"/>
          <w:b/>
          <w:bCs/>
          <w:sz w:val="22"/>
          <w:szCs w:val="22"/>
        </w:rPr>
        <w:t>二、董事会关于公司未来发展的讨论与分析</w:t>
      </w:r>
      <w:r>
        <w:rPr>
          <w:rFonts w:ascii="宋体" w:hAnsi="宋体" w:cs="宋体" w:eastAsia="宋体" w:hint="default"/>
          <w:sz w:val="22"/>
          <w:szCs w:val="22"/>
        </w:rPr>
      </w:r>
    </w:p>
    <w:p>
      <w:pPr>
        <w:pStyle w:val="BodyText"/>
        <w:spacing w:line="240" w:lineRule="auto" w:before="81"/>
        <w:ind w:left="146" w:right="89"/>
        <w:jc w:val="left"/>
      </w:pPr>
      <w:r>
        <w:rPr/>
        <w:t>（一）行业竞争格局和发展趋势</w:t>
      </w:r>
    </w:p>
    <w:p>
      <w:pPr>
        <w:spacing w:line="240" w:lineRule="auto" w:before="13"/>
        <w:rPr>
          <w:rFonts w:ascii="宋体" w:hAnsi="宋体" w:cs="宋体" w:eastAsia="宋体" w:hint="default"/>
          <w:sz w:val="15"/>
          <w:szCs w:val="15"/>
        </w:rPr>
      </w:pPr>
    </w:p>
    <w:p>
      <w:pPr>
        <w:pStyle w:val="BodyText"/>
        <w:spacing w:line="235" w:lineRule="auto"/>
        <w:ind w:left="838" w:right="211"/>
        <w:jc w:val="both"/>
      </w:pPr>
      <w:r>
        <w:rPr>
          <w:w w:val="95"/>
        </w:rPr>
        <w:t>公司将面临行业内其他运营商的竞争，同时，也面临来自电信行业外部的新进入者的竞争。</w:t>
      </w:r>
      <w:r>
        <w:rPr>
          <w:spacing w:val="3"/>
          <w:w w:val="95"/>
        </w:rPr>
        <w:t> </w:t>
      </w:r>
      <w:r>
        <w:rPr>
          <w:spacing w:val="3"/>
          <w:w w:val="95"/>
        </w:rPr>
      </w:r>
      <w:r>
        <w:rPr>
          <w:spacing w:val="-6"/>
        </w:rPr>
        <w:t>新的一年中国宏观经济将继续保持平稳增长，新型工业化、信息化、城镇化、农业现代化“四</w:t>
      </w:r>
      <w:r>
        <w:rPr>
          <w:spacing w:val="-104"/>
        </w:rPr>
        <w:t> </w:t>
      </w:r>
      <w:r>
        <w:rPr>
          <w:spacing w:val="-104"/>
        </w:rPr>
      </w:r>
      <w:r>
        <w:rPr>
          <w:w w:val="95"/>
        </w:rPr>
        <w:t>化”同步发展步伐明显加快，国家实施扩大内需、保障民生等重大举措给信息通信业发展带</w:t>
      </w:r>
      <w:r>
        <w:rPr>
          <w:spacing w:val="104"/>
          <w:w w:val="95"/>
        </w:rPr>
        <w:t> </w:t>
      </w:r>
      <w:r>
        <w:rPr>
          <w:spacing w:val="104"/>
          <w:w w:val="95"/>
        </w:rPr>
      </w:r>
      <w:r>
        <w:rPr>
          <w:w w:val="95"/>
        </w:rPr>
        <w:t>来新的机遇。移动互联网产业链更加成熟，数据业务需求高速增长，信息化应用向社会各领</w:t>
      </w:r>
      <w:r>
        <w:rPr>
          <w:spacing w:val="5"/>
          <w:w w:val="95"/>
        </w:rPr>
        <w:t> </w:t>
      </w:r>
      <w:r>
        <w:rPr>
          <w:spacing w:val="5"/>
          <w:w w:val="95"/>
        </w:rPr>
      </w:r>
      <w:r>
        <w:rPr/>
        <w:t>域加速渗透，</w:t>
      </w:r>
      <w:r>
        <w:rPr>
          <w:rFonts w:ascii="Arial" w:hAnsi="Arial" w:cs="Arial" w:eastAsia="Arial" w:hint="default"/>
        </w:rPr>
        <w:t>3G </w:t>
      </w:r>
      <w:r>
        <w:rPr/>
        <w:t>和宽带等业务仍处于高速增长期。</w:t>
      </w:r>
      <w:r>
        <w:rPr>
          <w:rFonts w:ascii="Arial" w:hAnsi="Arial" w:cs="Arial" w:eastAsia="Arial" w:hint="default"/>
        </w:rPr>
        <w:t>2013</w:t>
      </w:r>
      <w:r>
        <w:rPr>
          <w:rFonts w:ascii="Arial" w:hAnsi="Arial" w:cs="Arial" w:eastAsia="Arial" w:hint="default"/>
          <w:spacing w:val="-40"/>
        </w:rPr>
        <w:t> </w:t>
      </w:r>
      <w:r>
        <w:rPr/>
        <w:t>年仍是中国联通发展的重要战略机</w:t>
      </w:r>
      <w:r>
        <w:rPr>
          <w:w w:val="99"/>
        </w:rPr>
        <w:t> </w:t>
      </w:r>
      <w:r>
        <w:rPr>
          <w:w w:val="95"/>
        </w:rPr>
        <w:t>遇期。公司将紧紧抓住重要战略机遇，充分发挥差异化优势，加快规模效益发展。同时高度</w:t>
      </w:r>
      <w:r>
        <w:rPr>
          <w:spacing w:val="104"/>
          <w:w w:val="95"/>
        </w:rPr>
        <w:t> </w:t>
      </w:r>
      <w:r>
        <w:rPr>
          <w:spacing w:val="104"/>
          <w:w w:val="95"/>
        </w:rPr>
      </w:r>
      <w:r>
        <w:rPr/>
        <w:t>关注并积极应对</w:t>
      </w:r>
      <w:r>
        <w:rPr>
          <w:spacing w:val="-69"/>
        </w:rPr>
        <w:t> </w:t>
      </w:r>
      <w:r>
        <w:rPr>
          <w:rFonts w:ascii="Arial" w:hAnsi="Arial" w:cs="Arial" w:eastAsia="Arial" w:hint="default"/>
        </w:rPr>
        <w:t>LTE</w:t>
      </w:r>
      <w:r>
        <w:rPr/>
        <w:t>、市场开放、移动通信转售业务试点带来的市场新机会。</w:t>
      </w:r>
    </w:p>
    <w:p>
      <w:pPr>
        <w:pStyle w:val="BodyText"/>
        <w:spacing w:line="240" w:lineRule="auto" w:before="190"/>
        <w:ind w:left="146" w:right="89"/>
        <w:jc w:val="left"/>
      </w:pPr>
      <w:r>
        <w:rPr/>
        <w:t>（二）公司发展战略</w:t>
      </w:r>
    </w:p>
    <w:p>
      <w:pPr>
        <w:spacing w:line="240" w:lineRule="auto" w:before="2"/>
        <w:rPr>
          <w:rFonts w:ascii="宋体" w:hAnsi="宋体" w:cs="宋体" w:eastAsia="宋体" w:hint="default"/>
          <w:sz w:val="16"/>
          <w:szCs w:val="16"/>
        </w:rPr>
      </w:pPr>
    </w:p>
    <w:p>
      <w:pPr>
        <w:pStyle w:val="BodyText"/>
        <w:spacing w:line="232" w:lineRule="auto"/>
        <w:ind w:left="838" w:right="93"/>
        <w:jc w:val="left"/>
      </w:pPr>
      <w:r>
        <w:rPr>
          <w:spacing w:val="-3"/>
        </w:rPr>
        <w:t>面对公司内外部形势所发生的新变化，中国联通将以“信息生活的创新服务领导者”为愿景，</w:t>
      </w:r>
      <w:r>
        <w:rPr>
          <w:w w:val="99"/>
        </w:rPr>
        <w:t> </w:t>
      </w:r>
      <w:r>
        <w:rPr/>
        <w:t>深入实施“</w:t>
      </w:r>
      <w:r>
        <w:rPr>
          <w:rFonts w:ascii="Arial" w:hAnsi="Arial" w:cs="Arial" w:eastAsia="Arial" w:hint="default"/>
        </w:rPr>
        <w:t>3G </w:t>
      </w:r>
      <w:r>
        <w:rPr/>
        <w:t>领先与一体化创新战略”，以“聚焦增长、提升效率”为目标，致力于将公</w:t>
      </w:r>
      <w:r>
        <w:rPr>
          <w:spacing w:val="-106"/>
        </w:rPr>
        <w:t> </w:t>
      </w:r>
      <w:r>
        <w:rPr>
          <w:spacing w:val="-106"/>
        </w:rPr>
      </w:r>
      <w:r>
        <w:rPr/>
        <w:t>司打造成为“行业领先、业绩突出、运营高效、服务卓越”的国际一流创新型企业。</w:t>
      </w:r>
    </w:p>
    <w:p>
      <w:pPr>
        <w:spacing w:line="240" w:lineRule="auto" w:before="10"/>
        <w:rPr>
          <w:rFonts w:ascii="宋体" w:hAnsi="宋体" w:cs="宋体" w:eastAsia="宋体" w:hint="default"/>
          <w:sz w:val="15"/>
          <w:szCs w:val="15"/>
        </w:rPr>
      </w:pPr>
    </w:p>
    <w:p>
      <w:pPr>
        <w:pStyle w:val="BodyText"/>
        <w:spacing w:line="240" w:lineRule="auto"/>
        <w:ind w:left="146" w:right="89"/>
        <w:jc w:val="left"/>
      </w:pPr>
      <w:r>
        <w:rPr/>
        <w:t>（三）经营计划</w:t>
      </w:r>
    </w:p>
    <w:p>
      <w:pPr>
        <w:spacing w:line="240" w:lineRule="auto" w:before="10"/>
        <w:rPr>
          <w:rFonts w:ascii="宋体" w:hAnsi="宋体" w:cs="宋体" w:eastAsia="宋体" w:hint="default"/>
          <w:sz w:val="17"/>
          <w:szCs w:val="17"/>
        </w:rPr>
      </w:pPr>
    </w:p>
    <w:p>
      <w:pPr>
        <w:pStyle w:val="BodyText"/>
        <w:spacing w:line="286" w:lineRule="exact"/>
        <w:ind w:left="838" w:right="89"/>
        <w:jc w:val="left"/>
      </w:pPr>
      <w:r>
        <w:rPr>
          <w:w w:val="95"/>
        </w:rPr>
        <w:t>全年主要发展目标是，收入增长继续保持行业领先，盈利能力得到进一步提升，投资占收比</w:t>
      </w:r>
      <w:r>
        <w:rPr>
          <w:spacing w:val="4"/>
          <w:w w:val="95"/>
        </w:rPr>
        <w:t> </w:t>
      </w:r>
      <w:r>
        <w:rPr>
          <w:spacing w:val="4"/>
          <w:w w:val="95"/>
        </w:rPr>
      </w:r>
      <w:r>
        <w:rPr/>
        <w:t>显著下降，继续保持网络领先优势，信息化应用水平明显提升。</w:t>
      </w:r>
    </w:p>
    <w:p>
      <w:pPr>
        <w:pStyle w:val="BodyText"/>
        <w:spacing w:line="228" w:lineRule="auto" w:before="190"/>
        <w:ind w:left="838" w:right="97"/>
        <w:jc w:val="left"/>
      </w:pPr>
      <w:r>
        <w:rPr/>
        <w:t>围绕实现年度发展目标，公司将继续加快 </w:t>
      </w:r>
      <w:r>
        <w:rPr>
          <w:rFonts w:ascii="Arial" w:hAnsi="Arial" w:cs="Arial" w:eastAsia="Arial" w:hint="default"/>
        </w:rPr>
        <w:t>3G</w:t>
      </w:r>
      <w:r>
        <w:rPr>
          <w:rFonts w:ascii="Arial" w:hAnsi="Arial" w:cs="Arial" w:eastAsia="Arial" w:hint="default"/>
          <w:spacing w:val="-34"/>
        </w:rPr>
        <w:t> </w:t>
      </w:r>
      <w:r>
        <w:rPr/>
        <w:t>业务规模效益发展；保持宽带业务快速增长；</w:t>
      </w:r>
      <w:r>
        <w:rPr>
          <w:w w:val="99"/>
        </w:rPr>
        <w:t> </w:t>
      </w:r>
      <w:r>
        <w:rPr/>
        <w:t>加快</w:t>
      </w:r>
      <w:r>
        <w:rPr>
          <w:spacing w:val="-58"/>
        </w:rPr>
        <w:t> </w:t>
      </w:r>
      <w:r>
        <w:rPr>
          <w:rFonts w:ascii="Arial" w:hAnsi="Arial" w:cs="Arial" w:eastAsia="Arial" w:hint="default"/>
        </w:rPr>
        <w:t>2G/3G</w:t>
      </w:r>
      <w:r>
        <w:rPr>
          <w:rFonts w:ascii="Arial" w:hAnsi="Arial" w:cs="Arial" w:eastAsia="Arial" w:hint="default"/>
          <w:spacing w:val="-8"/>
        </w:rPr>
        <w:t> </w:t>
      </w:r>
      <w:r>
        <w:rPr>
          <w:spacing w:val="-3"/>
        </w:rPr>
        <w:t>业务、固网和移动业务融合发展；继续加大行业应用开发和推广力度，实现移动</w:t>
      </w:r>
      <w:r>
        <w:rPr>
          <w:w w:val="99"/>
        </w:rPr>
        <w:t> </w:t>
      </w:r>
      <w:r>
        <w:rPr/>
        <w:t>业务持续快速增长，固网业务稳定发展。进一步提升投资效益和各类资源使用效率，提升收</w:t>
      </w:r>
      <w:r>
        <w:rPr>
          <w:w w:val="99"/>
        </w:rPr>
        <w:t> </w:t>
      </w:r>
      <w:r>
        <w:rPr>
          <w:spacing w:val="-5"/>
        </w:rPr>
        <w:t>入利润率，实现</w:t>
      </w:r>
      <w:r>
        <w:rPr>
          <w:spacing w:val="-54"/>
        </w:rPr>
        <w:t> </w:t>
      </w:r>
      <w:r>
        <w:rPr>
          <w:rFonts w:ascii="Arial" w:hAnsi="Arial" w:cs="Arial" w:eastAsia="Arial" w:hint="default"/>
        </w:rPr>
        <w:t>EBITDA</w:t>
      </w:r>
      <w:r>
        <w:rPr>
          <w:rFonts w:ascii="Arial" w:hAnsi="Arial" w:cs="Arial" w:eastAsia="Arial" w:hint="default"/>
          <w:spacing w:val="-6"/>
        </w:rPr>
        <w:t> </w:t>
      </w:r>
      <w:r>
        <w:rPr>
          <w:spacing w:val="-3"/>
        </w:rPr>
        <w:t>和净利润持续快速增长。进一步完善</w:t>
      </w:r>
      <w:r>
        <w:rPr>
          <w:spacing w:val="-53"/>
        </w:rPr>
        <w:t> </w:t>
      </w:r>
      <w:r>
        <w:rPr>
          <w:rFonts w:ascii="Arial" w:hAnsi="Arial" w:cs="Arial" w:eastAsia="Arial" w:hint="default"/>
        </w:rPr>
        <w:t>3G</w:t>
      </w:r>
      <w:r>
        <w:rPr>
          <w:rFonts w:ascii="Arial" w:hAnsi="Arial" w:cs="Arial" w:eastAsia="Arial" w:hint="default"/>
          <w:spacing w:val="-7"/>
        </w:rPr>
        <w:t> </w:t>
      </w:r>
      <w:r>
        <w:rPr>
          <w:spacing w:val="-3"/>
        </w:rPr>
        <w:t>网络覆盖，保持网络领先，</w:t>
      </w:r>
      <w:r>
        <w:rPr>
          <w:w w:val="99"/>
        </w:rPr>
        <w:t> </w:t>
      </w:r>
      <w:r>
        <w:rPr>
          <w:spacing w:val="-4"/>
        </w:rPr>
        <w:t>提升网络品质和用户感知；加快以</w:t>
      </w:r>
      <w:r>
        <w:rPr>
          <w:spacing w:val="-54"/>
        </w:rPr>
        <w:t> </w:t>
      </w:r>
      <w:r>
        <w:rPr>
          <w:rFonts w:ascii="Arial" w:hAnsi="Arial" w:cs="Arial" w:eastAsia="Arial" w:hint="default"/>
        </w:rPr>
        <w:t>FTTH/B</w:t>
      </w:r>
      <w:r>
        <w:rPr>
          <w:rFonts w:ascii="Arial" w:hAnsi="Arial" w:cs="Arial" w:eastAsia="Arial" w:hint="default"/>
          <w:spacing w:val="-8"/>
        </w:rPr>
        <w:t> </w:t>
      </w:r>
      <w:r>
        <w:rPr>
          <w:spacing w:val="-3"/>
        </w:rPr>
        <w:t>为主的光纤接入网建设；全面部署分组传送网络，</w:t>
      </w:r>
      <w:r>
        <w:rPr>
          <w:w w:val="99"/>
        </w:rPr>
        <w:t> </w:t>
      </w:r>
      <w:r>
        <w:rPr/>
        <w:t>满足未来</w:t>
      </w:r>
      <w:r>
        <w:rPr>
          <w:spacing w:val="-53"/>
        </w:rPr>
        <w:t> </w:t>
      </w:r>
      <w:r>
        <w:rPr>
          <w:rFonts w:ascii="Arial" w:hAnsi="Arial" w:cs="Arial" w:eastAsia="Arial" w:hint="default"/>
        </w:rPr>
        <w:t>LTE</w:t>
      </w:r>
      <w:r>
        <w:rPr>
          <w:rFonts w:ascii="Arial" w:hAnsi="Arial" w:cs="Arial" w:eastAsia="Arial" w:hint="default"/>
          <w:spacing w:val="-4"/>
        </w:rPr>
        <w:t> </w:t>
      </w:r>
      <w:r>
        <w:rPr>
          <w:spacing w:val="-3"/>
        </w:rPr>
        <w:t>的带宽需求。同时，公司将持续推进管理提升，加快面向移动互联网的销售服</w:t>
      </w:r>
      <w:r>
        <w:rPr>
          <w:spacing w:val="-105"/>
        </w:rPr>
        <w:t> </w:t>
      </w:r>
      <w:r>
        <w:rPr>
          <w:spacing w:val="-105"/>
        </w:rPr>
      </w:r>
      <w:r>
        <w:rPr/>
        <w:t>务体系转型，不断提升公司在新形势下的市场响应和客户服务能力，不断增强企业发展的内</w:t>
      </w:r>
      <w:r>
        <w:rPr>
          <w:w w:val="99"/>
        </w:rPr>
        <w:t> </w:t>
      </w:r>
      <w:r>
        <w:rPr/>
        <w:t>生动力。</w:t>
      </w:r>
    </w:p>
    <w:p>
      <w:pPr>
        <w:spacing w:after="0" w:line="228" w:lineRule="auto"/>
        <w:jc w:val="left"/>
        <w:sectPr>
          <w:pgSz w:w="11910" w:h="16840"/>
          <w:pgMar w:header="567" w:footer="745" w:top="800" w:bottom="940" w:left="1380" w:right="680"/>
        </w:sectPr>
      </w:pPr>
    </w:p>
    <w:p>
      <w:pPr>
        <w:spacing w:line="240" w:lineRule="auto" w:before="8"/>
        <w:rPr>
          <w:rFonts w:ascii="宋体" w:hAnsi="宋体" w:cs="宋体" w:eastAsia="宋体" w:hint="default"/>
          <w:sz w:val="22"/>
          <w:szCs w:val="22"/>
        </w:rPr>
      </w:pPr>
    </w:p>
    <w:p>
      <w:pPr>
        <w:pStyle w:val="BodyText"/>
        <w:spacing w:line="240" w:lineRule="auto" w:before="31"/>
        <w:ind w:left="146" w:right="0"/>
        <w:jc w:val="left"/>
      </w:pPr>
      <w:r>
        <w:rPr/>
        <w:t>（四）因维持当前业务并完成在建投资项目公司所需的资金需求</w:t>
      </w:r>
    </w:p>
    <w:p>
      <w:pPr>
        <w:spacing w:line="240" w:lineRule="auto" w:before="4"/>
        <w:rPr>
          <w:rFonts w:ascii="宋体" w:hAnsi="宋体" w:cs="宋体" w:eastAsia="宋体" w:hint="default"/>
          <w:sz w:val="21"/>
          <w:szCs w:val="21"/>
        </w:rPr>
      </w:pPr>
    </w:p>
    <w:p>
      <w:pPr>
        <w:pStyle w:val="BodyText"/>
        <w:spacing w:line="286" w:lineRule="exact"/>
        <w:ind w:left="838" w:right="149"/>
        <w:jc w:val="both"/>
      </w:pPr>
      <w:r>
        <w:rPr/>
        <w:t>公司 </w:t>
      </w:r>
      <w:r>
        <w:rPr>
          <w:rFonts w:ascii="Arial" w:hAnsi="Arial" w:cs="Arial" w:eastAsia="Arial" w:hint="default"/>
        </w:rPr>
        <w:t>2013</w:t>
      </w:r>
      <w:r>
        <w:rPr>
          <w:rFonts w:ascii="Arial" w:hAnsi="Arial" w:cs="Arial" w:eastAsia="Arial" w:hint="default"/>
          <w:spacing w:val="-18"/>
        </w:rPr>
        <w:t> </w:t>
      </w:r>
      <w:r>
        <w:rPr/>
        <w:t>年的主要发展目标是，收入增长继续保持行业领先，盈利能力得到进一步提升，</w:t>
      </w:r>
      <w:r>
        <w:rPr>
          <w:w w:val="99"/>
        </w:rPr>
        <w:t> </w:t>
      </w:r>
      <w:r>
        <w:rPr/>
        <w:t>投资占收比显著下降，继续保持网络领先优势，信息化应用水平明显提升。</w:t>
      </w:r>
    </w:p>
    <w:p>
      <w:pPr>
        <w:spacing w:line="240" w:lineRule="auto" w:before="3"/>
        <w:rPr>
          <w:rFonts w:ascii="宋体" w:hAnsi="宋体" w:cs="宋体" w:eastAsia="宋体" w:hint="default"/>
          <w:sz w:val="19"/>
          <w:szCs w:val="19"/>
        </w:rPr>
      </w:pPr>
    </w:p>
    <w:p>
      <w:pPr>
        <w:pStyle w:val="BodyText"/>
        <w:spacing w:line="286" w:lineRule="exact"/>
        <w:ind w:left="838" w:right="149"/>
        <w:jc w:val="both"/>
      </w:pPr>
      <w:r>
        <w:rPr>
          <w:w w:val="95"/>
        </w:rPr>
        <w:t>围绕实现上述目标，考虑到公司经营活动净现金流入保持稳定以及良好的信贷记录，我们相</w:t>
      </w:r>
      <w:r>
        <w:rPr>
          <w:spacing w:val="8"/>
          <w:w w:val="95"/>
        </w:rPr>
        <w:t> </w:t>
      </w:r>
      <w:r>
        <w:rPr>
          <w:spacing w:val="8"/>
          <w:w w:val="95"/>
        </w:rPr>
      </w:r>
      <w:r>
        <w:rPr/>
        <w:t>信公司应有足够的运营资金满足生产经营需要。</w:t>
      </w:r>
    </w:p>
    <w:p>
      <w:pPr>
        <w:spacing w:line="240" w:lineRule="auto" w:before="2"/>
        <w:rPr>
          <w:rFonts w:ascii="宋体" w:hAnsi="宋体" w:cs="宋体" w:eastAsia="宋体" w:hint="default"/>
          <w:sz w:val="17"/>
          <w:szCs w:val="17"/>
        </w:rPr>
      </w:pPr>
    </w:p>
    <w:p>
      <w:pPr>
        <w:pStyle w:val="BodyText"/>
        <w:spacing w:line="240" w:lineRule="auto"/>
        <w:ind w:left="146" w:right="0"/>
        <w:jc w:val="left"/>
      </w:pPr>
      <w:r>
        <w:rPr/>
        <w:t>（五）可能面对的风险</w:t>
      </w:r>
    </w:p>
    <w:p>
      <w:pPr>
        <w:spacing w:line="240" w:lineRule="auto" w:before="7"/>
        <w:rPr>
          <w:rFonts w:ascii="宋体" w:hAnsi="宋体" w:cs="宋体" w:eastAsia="宋体" w:hint="default"/>
          <w:sz w:val="19"/>
          <w:szCs w:val="19"/>
        </w:rPr>
      </w:pPr>
    </w:p>
    <w:p>
      <w:pPr>
        <w:pStyle w:val="BodyText"/>
        <w:spacing w:line="235" w:lineRule="auto"/>
        <w:ind w:left="838" w:right="150"/>
        <w:jc w:val="both"/>
      </w:pPr>
      <w:r>
        <w:rPr>
          <w:w w:val="95"/>
        </w:rPr>
        <w:t>公司将面临行业内其他运营商的竞争，同时，也面临来自电信行业外部的新进入者的竞争。</w:t>
      </w:r>
      <w:r>
        <w:rPr>
          <w:spacing w:val="4"/>
          <w:w w:val="95"/>
        </w:rPr>
        <w:t> </w:t>
      </w:r>
      <w:r>
        <w:rPr>
          <w:spacing w:val="4"/>
          <w:w w:val="95"/>
        </w:rPr>
      </w:r>
      <w:r>
        <w:rPr>
          <w:w w:val="95"/>
        </w:rPr>
        <w:t>中国政府正在推进“三网融合”、电信业向民营资本开放、携号转网等政策。这些政策在为</w:t>
      </w:r>
      <w:r>
        <w:rPr>
          <w:spacing w:val="6"/>
          <w:w w:val="95"/>
        </w:rPr>
        <w:t> </w:t>
      </w:r>
      <w:r>
        <w:rPr>
          <w:spacing w:val="6"/>
          <w:w w:val="95"/>
        </w:rPr>
      </w:r>
      <w:r>
        <w:rPr/>
        <w:t>公司带来了新的发展机遇的同时，也带来新的竞争和挑战。公司将不断创新变革，以 </w:t>
      </w:r>
      <w:r>
        <w:rPr>
          <w:rFonts w:ascii="Arial" w:hAnsi="Arial" w:cs="Arial" w:eastAsia="Arial" w:hint="default"/>
        </w:rPr>
        <w:t>3G</w:t>
      </w:r>
      <w:r>
        <w:rPr>
          <w:rFonts w:ascii="Arial" w:hAnsi="Arial" w:cs="Arial" w:eastAsia="Arial" w:hint="default"/>
          <w:spacing w:val="-39"/>
        </w:rPr>
        <w:t> </w:t>
      </w:r>
      <w:r>
        <w:rPr/>
        <w:t>和</w:t>
      </w:r>
      <w:r>
        <w:rPr>
          <w:w w:val="99"/>
        </w:rPr>
        <w:t> </w:t>
      </w:r>
      <w:r>
        <w:rPr>
          <w:w w:val="95"/>
        </w:rPr>
        <w:t>固网宽带为引领，加快推动以数据业务为核心的创新经营和转型发展，不断提升综合竞争实</w:t>
      </w:r>
      <w:r>
        <w:rPr>
          <w:spacing w:val="2"/>
          <w:w w:val="95"/>
        </w:rPr>
        <w:t> </w:t>
      </w:r>
      <w:r>
        <w:rPr>
          <w:spacing w:val="2"/>
          <w:w w:val="95"/>
        </w:rPr>
      </w:r>
      <w:r>
        <w:rPr>
          <w:w w:val="95"/>
        </w:rPr>
        <w:t>力，提升市场份额。以外，中国以及世界各地的电信运营商都面临着所提供的技术与服务多</w:t>
      </w:r>
      <w:r>
        <w:rPr>
          <w:spacing w:val="6"/>
          <w:w w:val="95"/>
        </w:rPr>
        <w:t> </w:t>
      </w:r>
      <w:r>
        <w:rPr>
          <w:spacing w:val="6"/>
          <w:w w:val="95"/>
        </w:rPr>
      </w:r>
      <w:r>
        <w:rPr>
          <w:w w:val="95"/>
        </w:rPr>
        <w:t>样、复杂以及快速变化的挑战。公司需要不断提升技术与服务水平，以适应这些变化。公司</w:t>
      </w:r>
      <w:r>
        <w:rPr>
          <w:spacing w:val="2"/>
          <w:w w:val="95"/>
        </w:rPr>
        <w:t> </w:t>
      </w:r>
      <w:r>
        <w:rPr>
          <w:spacing w:val="2"/>
          <w:w w:val="95"/>
        </w:rPr>
      </w:r>
      <w:r>
        <w:rPr>
          <w:w w:val="95"/>
        </w:rPr>
        <w:t>将积极参与世界主流国际标准组织工作，深入开展新技术与新业务的研究与试验，持续提高</w:t>
      </w:r>
      <w:r>
        <w:rPr>
          <w:spacing w:val="2"/>
          <w:w w:val="95"/>
        </w:rPr>
        <w:t> </w:t>
      </w:r>
      <w:r>
        <w:rPr>
          <w:spacing w:val="2"/>
          <w:w w:val="95"/>
        </w:rPr>
      </w:r>
      <w:r>
        <w:rPr/>
        <w:t>公司技术创新能力和应用能力，从而不断提升公司技术与服务水平，保持竞争实力。</w:t>
      </w:r>
    </w:p>
    <w:p>
      <w:pPr>
        <w:spacing w:line="240" w:lineRule="auto" w:before="5"/>
        <w:rPr>
          <w:rFonts w:ascii="宋体" w:hAnsi="宋体" w:cs="宋体" w:eastAsia="宋体" w:hint="default"/>
          <w:sz w:val="19"/>
          <w:szCs w:val="19"/>
        </w:rPr>
      </w:pPr>
    </w:p>
    <w:p>
      <w:pPr>
        <w:pStyle w:val="BodyText"/>
        <w:spacing w:line="237" w:lineRule="auto"/>
        <w:ind w:left="838" w:right="151"/>
        <w:jc w:val="both"/>
      </w:pPr>
      <w:r>
        <w:rPr>
          <w:w w:val="95"/>
        </w:rPr>
        <w:t>本公司持有以外币计价的资产及负债，人民币汇率变动可能会对本公司的利润产生一定的影</w:t>
      </w:r>
      <w:r>
        <w:rPr>
          <w:spacing w:val="2"/>
          <w:w w:val="95"/>
        </w:rPr>
        <w:t> </w:t>
      </w:r>
      <w:r>
        <w:rPr>
          <w:spacing w:val="2"/>
          <w:w w:val="95"/>
        </w:rPr>
      </w:r>
      <w:r>
        <w:rPr>
          <w:w w:val="95"/>
        </w:rPr>
        <w:t>响；同时，利率上升可能使本公司以浮动利率计息的带息债务的利息支出上升。公司将持续</w:t>
      </w:r>
      <w:r>
        <w:rPr>
          <w:spacing w:val="6"/>
          <w:w w:val="95"/>
        </w:rPr>
        <w:t> </w:t>
      </w:r>
      <w:r>
        <w:rPr>
          <w:spacing w:val="6"/>
          <w:w w:val="95"/>
        </w:rPr>
      </w:r>
      <w:r>
        <w:rPr>
          <w:w w:val="95"/>
        </w:rPr>
        <w:t>关注汇率及利率市场变化，合理调整债务结构，加强资金管理，必要时使用金融工具以降低</w:t>
      </w:r>
      <w:r>
        <w:rPr>
          <w:spacing w:val="104"/>
          <w:w w:val="95"/>
        </w:rPr>
        <w:t> </w:t>
      </w:r>
      <w:r>
        <w:rPr>
          <w:spacing w:val="104"/>
          <w:w w:val="95"/>
        </w:rPr>
      </w:r>
      <w:r>
        <w:rPr/>
        <w:t>汇率及利率风险。</w:t>
      </w:r>
    </w:p>
    <w:p>
      <w:pPr>
        <w:spacing w:line="240" w:lineRule="auto" w:before="5"/>
        <w:rPr>
          <w:rFonts w:ascii="宋体" w:hAnsi="宋体" w:cs="宋体" w:eastAsia="宋体" w:hint="default"/>
          <w:sz w:val="19"/>
          <w:szCs w:val="19"/>
        </w:rPr>
      </w:pPr>
    </w:p>
    <w:p>
      <w:pPr>
        <w:pStyle w:val="BodyText"/>
        <w:spacing w:line="237" w:lineRule="auto"/>
        <w:ind w:left="838" w:right="154"/>
        <w:jc w:val="both"/>
      </w:pPr>
      <w:r>
        <w:rPr>
          <w:w w:val="95"/>
        </w:rPr>
        <w:t>目前，国家正在推进营业税改征增值税税制改革，若电信行业纳入改革试点范围，可能会对</w:t>
      </w:r>
      <w:r>
        <w:rPr>
          <w:spacing w:val="104"/>
          <w:w w:val="95"/>
        </w:rPr>
        <w:t> </w:t>
      </w:r>
      <w:r>
        <w:rPr>
          <w:spacing w:val="104"/>
          <w:w w:val="95"/>
        </w:rPr>
      </w:r>
      <w:r>
        <w:rPr>
          <w:w w:val="95"/>
        </w:rPr>
        <w:t>本公司的财务状况及运营管理产生一定影响。公司将密切关注和紧密跟踪国家营改增行业试</w:t>
      </w:r>
      <w:r>
        <w:rPr>
          <w:spacing w:val="3"/>
          <w:w w:val="95"/>
        </w:rPr>
        <w:t> </w:t>
      </w:r>
      <w:r>
        <w:rPr>
          <w:spacing w:val="3"/>
          <w:w w:val="95"/>
        </w:rPr>
      </w:r>
      <w:r>
        <w:rPr/>
        <w:t>点改革动态</w:t>
      </w:r>
      <w:r>
        <w:rPr>
          <w:rFonts w:ascii="Arial" w:hAnsi="Arial" w:cs="Arial" w:eastAsia="Arial" w:hint="default"/>
        </w:rPr>
        <w:t>,</w:t>
      </w:r>
      <w:r>
        <w:rPr>
          <w:rFonts w:ascii="Arial" w:hAnsi="Arial" w:cs="Arial" w:eastAsia="Arial" w:hint="default"/>
          <w:spacing w:val="43"/>
        </w:rPr>
        <w:t> </w:t>
      </w:r>
      <w:r>
        <w:rPr/>
        <w:t>并积极开展相关准备工作。</w:t>
      </w:r>
    </w:p>
    <w:p>
      <w:pPr>
        <w:spacing w:line="240" w:lineRule="auto" w:before="0"/>
        <w:rPr>
          <w:rFonts w:ascii="宋体" w:hAnsi="宋体" w:cs="宋体" w:eastAsia="宋体" w:hint="default"/>
          <w:sz w:val="18"/>
          <w:szCs w:val="18"/>
        </w:rPr>
      </w:pPr>
    </w:p>
    <w:p>
      <w:pPr>
        <w:pStyle w:val="Heading3"/>
        <w:spacing w:line="240" w:lineRule="auto" w:before="0"/>
        <w:ind w:right="0"/>
        <w:jc w:val="left"/>
        <w:rPr>
          <w:b w:val="0"/>
          <w:bCs w:val="0"/>
        </w:rPr>
      </w:pPr>
      <w:r>
        <w:rPr/>
        <w:t>三、董事会对会计师事务所“非标准审计报告”的说明</w:t>
      </w:r>
      <w:r>
        <w:rPr>
          <w:b w:val="0"/>
          <w:bCs w:val="0"/>
        </w:rPr>
      </w:r>
    </w:p>
    <w:p>
      <w:pPr>
        <w:spacing w:line="240" w:lineRule="auto" w:before="2"/>
        <w:rPr>
          <w:rFonts w:ascii="宋体" w:hAnsi="宋体" w:cs="宋体" w:eastAsia="宋体" w:hint="default"/>
          <w:b/>
          <w:bCs/>
          <w:sz w:val="19"/>
          <w:szCs w:val="19"/>
        </w:rPr>
      </w:pPr>
    </w:p>
    <w:p>
      <w:pPr>
        <w:pStyle w:val="BodyText"/>
        <w:spacing w:line="286" w:lineRule="exact"/>
        <w:ind w:left="146" w:right="0"/>
        <w:jc w:val="left"/>
      </w:pPr>
      <w:r>
        <w:rPr/>
        <w:t>（一）董事会、监事会对会计师事务所“非标准审计报告”的说明</w:t>
      </w:r>
    </w:p>
    <w:p>
      <w:pPr>
        <w:pStyle w:val="BodyText"/>
        <w:spacing w:line="302" w:lineRule="exact"/>
        <w:ind w:left="821" w:right="0"/>
        <w:jc w:val="both"/>
      </w:pPr>
      <w:r>
        <w:rPr>
          <w:rFonts w:ascii="Arial" w:hAnsi="Arial" w:cs="Arial" w:eastAsia="Arial" w:hint="default"/>
        </w:rPr>
        <w:t>√</w:t>
      </w:r>
      <w:r>
        <w:rPr>
          <w:rFonts w:ascii="Arial" w:hAnsi="Arial" w:cs="Arial" w:eastAsia="Arial" w:hint="default"/>
          <w:spacing w:val="47"/>
        </w:rPr>
        <w:t> </w:t>
      </w:r>
      <w:r>
        <w:rPr/>
        <w:t>不适用</w:t>
      </w:r>
    </w:p>
    <w:p>
      <w:pPr>
        <w:spacing w:line="240" w:lineRule="auto" w:before="13"/>
        <w:rPr>
          <w:rFonts w:ascii="宋体" w:hAnsi="宋体" w:cs="宋体" w:eastAsia="宋体" w:hint="default"/>
          <w:sz w:val="17"/>
          <w:szCs w:val="17"/>
        </w:rPr>
      </w:pPr>
    </w:p>
    <w:p>
      <w:pPr>
        <w:pStyle w:val="BodyText"/>
        <w:spacing w:line="287" w:lineRule="exact"/>
        <w:ind w:left="146" w:right="0"/>
        <w:jc w:val="left"/>
      </w:pPr>
      <w:r>
        <w:rPr/>
        <w:t>（二）董事会对会计政策、会计估计或核算方法变更的原因和影响的分析说明</w:t>
      </w:r>
    </w:p>
    <w:p>
      <w:pPr>
        <w:pStyle w:val="BodyText"/>
        <w:spacing w:line="302" w:lineRule="exact"/>
        <w:ind w:left="821" w:right="0"/>
        <w:jc w:val="both"/>
      </w:pPr>
      <w:r>
        <w:rPr>
          <w:rFonts w:ascii="Arial" w:hAnsi="Arial" w:cs="Arial" w:eastAsia="Arial" w:hint="default"/>
        </w:rPr>
        <w:t>√</w:t>
      </w:r>
      <w:r>
        <w:rPr>
          <w:rFonts w:ascii="Arial" w:hAnsi="Arial" w:cs="Arial" w:eastAsia="Arial" w:hint="default"/>
          <w:spacing w:val="47"/>
        </w:rPr>
        <w:t> </w:t>
      </w:r>
      <w:r>
        <w:rPr/>
        <w:t>不适用</w:t>
      </w:r>
    </w:p>
    <w:p>
      <w:pPr>
        <w:spacing w:line="240" w:lineRule="auto" w:before="12"/>
        <w:rPr>
          <w:rFonts w:ascii="宋体" w:hAnsi="宋体" w:cs="宋体" w:eastAsia="宋体" w:hint="default"/>
          <w:sz w:val="17"/>
          <w:szCs w:val="17"/>
        </w:rPr>
      </w:pPr>
    </w:p>
    <w:p>
      <w:pPr>
        <w:pStyle w:val="BodyText"/>
        <w:spacing w:line="287" w:lineRule="exact"/>
        <w:ind w:left="146" w:right="0"/>
        <w:jc w:val="left"/>
      </w:pPr>
      <w:r>
        <w:rPr/>
        <w:t>（三）董事会对重要前期差错更正的原因及影响的分析说明</w:t>
      </w:r>
    </w:p>
    <w:p>
      <w:pPr>
        <w:pStyle w:val="BodyText"/>
        <w:spacing w:line="302" w:lineRule="exact"/>
        <w:ind w:left="821" w:right="0"/>
        <w:jc w:val="both"/>
      </w:pPr>
      <w:r>
        <w:rPr>
          <w:rFonts w:ascii="Arial" w:hAnsi="Arial" w:cs="Arial" w:eastAsia="Arial" w:hint="default"/>
        </w:rPr>
        <w:t>√</w:t>
      </w:r>
      <w:r>
        <w:rPr>
          <w:rFonts w:ascii="Arial" w:hAnsi="Arial" w:cs="Arial" w:eastAsia="Arial" w:hint="default"/>
          <w:spacing w:val="47"/>
        </w:rPr>
        <w:t> </w:t>
      </w:r>
      <w:r>
        <w:rPr/>
        <w:t>不适用</w:t>
      </w:r>
    </w:p>
    <w:p>
      <w:pPr>
        <w:spacing w:line="240" w:lineRule="auto" w:before="13"/>
        <w:rPr>
          <w:rFonts w:ascii="宋体" w:hAnsi="宋体" w:cs="宋体" w:eastAsia="宋体" w:hint="default"/>
          <w:sz w:val="17"/>
          <w:szCs w:val="17"/>
        </w:rPr>
      </w:pPr>
    </w:p>
    <w:p>
      <w:pPr>
        <w:pStyle w:val="Heading3"/>
        <w:spacing w:line="240" w:lineRule="auto" w:before="0"/>
        <w:ind w:right="0"/>
        <w:jc w:val="left"/>
        <w:rPr>
          <w:b w:val="0"/>
          <w:bCs w:val="0"/>
        </w:rPr>
      </w:pPr>
      <w:r>
        <w:rPr/>
        <w:t>四、利润分配或资本公积金转增预案</w:t>
      </w:r>
      <w:r>
        <w:rPr>
          <w:b w:val="0"/>
          <w:bCs w:val="0"/>
        </w:rPr>
      </w:r>
    </w:p>
    <w:p>
      <w:pPr>
        <w:spacing w:line="240" w:lineRule="auto" w:before="1"/>
        <w:rPr>
          <w:rFonts w:ascii="宋体" w:hAnsi="宋体" w:cs="宋体" w:eastAsia="宋体" w:hint="default"/>
          <w:b/>
          <w:bCs/>
          <w:sz w:val="19"/>
          <w:szCs w:val="19"/>
        </w:rPr>
      </w:pPr>
    </w:p>
    <w:p>
      <w:pPr>
        <w:pStyle w:val="BodyText"/>
        <w:spacing w:line="240" w:lineRule="auto"/>
        <w:ind w:left="146" w:right="0"/>
        <w:jc w:val="left"/>
      </w:pPr>
      <w:r>
        <w:rPr/>
        <w:t>（一）现金分红政策的制定、执行或调整情况</w:t>
      </w:r>
    </w:p>
    <w:p>
      <w:pPr>
        <w:spacing w:line="240" w:lineRule="auto" w:before="13"/>
        <w:rPr>
          <w:rFonts w:ascii="宋体" w:hAnsi="宋体" w:cs="宋体" w:eastAsia="宋体" w:hint="default"/>
          <w:sz w:val="19"/>
          <w:szCs w:val="19"/>
        </w:rPr>
      </w:pPr>
    </w:p>
    <w:p>
      <w:pPr>
        <w:pStyle w:val="BodyText"/>
        <w:spacing w:line="230" w:lineRule="auto"/>
        <w:ind w:left="821" w:right="152"/>
        <w:jc w:val="both"/>
      </w:pPr>
      <w:r>
        <w:rPr/>
        <w:t>根据本公司《公司章程》第</w:t>
      </w:r>
      <w:r>
        <w:rPr>
          <w:spacing w:val="-71"/>
        </w:rPr>
        <w:t> </w:t>
      </w:r>
      <w:r>
        <w:rPr>
          <w:rFonts w:ascii="Arial" w:hAnsi="Arial" w:cs="Arial" w:eastAsia="Arial" w:hint="default"/>
        </w:rPr>
        <w:t>157</w:t>
      </w:r>
      <w:r>
        <w:rPr>
          <w:rFonts w:ascii="Arial" w:hAnsi="Arial" w:cs="Arial" w:eastAsia="Arial" w:hint="default"/>
          <w:spacing w:val="-23"/>
        </w:rPr>
        <w:t> </w:t>
      </w:r>
      <w:r>
        <w:rPr/>
        <w:t>条的规定，“本公司应当将自联通红筹公司分红所得的现金</w:t>
      </w:r>
      <w:r>
        <w:rPr>
          <w:w w:val="99"/>
        </w:rPr>
        <w:t> </w:t>
      </w:r>
      <w:r>
        <w:rPr/>
        <w:t>在扣除日常现金开支、税费及法律法规规定应当提取的各项基金后以现金方式全额分配给股</w:t>
      </w:r>
      <w:r>
        <w:rPr>
          <w:w w:val="99"/>
        </w:rPr>
        <w:t> </w:t>
      </w:r>
      <w:r>
        <w:rPr/>
        <w:t>东。”</w:t>
      </w:r>
    </w:p>
    <w:p>
      <w:pPr>
        <w:spacing w:after="0" w:line="230" w:lineRule="auto"/>
        <w:jc w:val="both"/>
        <w:sectPr>
          <w:pgSz w:w="11910" w:h="16840"/>
          <w:pgMar w:header="567" w:footer="745" w:top="800" w:bottom="940" w:left="1380" w:right="7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237" w:lineRule="auto" w:before="34"/>
        <w:ind w:left="821" w:right="160"/>
        <w:jc w:val="both"/>
      </w:pPr>
      <w:r>
        <w:rPr/>
        <w:t>公司股东（包括少数股东）目前通过股东投票的渗透机制，参与联通红筹公司的股利分配决</w:t>
      </w:r>
      <w:r>
        <w:rPr>
          <w:w w:val="99"/>
        </w:rPr>
        <w:t> </w:t>
      </w:r>
      <w:r>
        <w:rPr/>
        <w:t>策。公司每年均严格按照上述公司的股利分配政策，将每年获得的联通红筹公司派发的现金</w:t>
      </w:r>
      <w:r>
        <w:rPr>
          <w:w w:val="99"/>
        </w:rPr>
        <w:t> </w:t>
      </w:r>
      <w:r>
        <w:rPr/>
        <w:t>股利在扣除本公司自身的日常现金开支、税费及按《公司法》应当提取的法定盈余公积后全</w:t>
      </w:r>
      <w:r>
        <w:rPr>
          <w:w w:val="99"/>
        </w:rPr>
        <w:t> </w:t>
      </w:r>
      <w:r>
        <w:rPr/>
        <w:t>部分配给公司股东。</w:t>
      </w:r>
    </w:p>
    <w:p>
      <w:pPr>
        <w:spacing w:line="240" w:lineRule="auto" w:before="3"/>
        <w:rPr>
          <w:rFonts w:ascii="宋体" w:hAnsi="宋体" w:cs="宋体" w:eastAsia="宋体" w:hint="default"/>
          <w:sz w:val="19"/>
          <w:szCs w:val="19"/>
        </w:rPr>
      </w:pPr>
    </w:p>
    <w:p>
      <w:pPr>
        <w:pStyle w:val="BodyText"/>
        <w:spacing w:line="295" w:lineRule="exact"/>
        <w:ind w:left="821" w:right="0"/>
        <w:jc w:val="both"/>
      </w:pPr>
      <w:r>
        <w:rPr/>
        <w:t>本公司</w:t>
      </w:r>
      <w:r>
        <w:rPr>
          <w:spacing w:val="-59"/>
        </w:rPr>
        <w:t> </w:t>
      </w:r>
      <w:r>
        <w:rPr>
          <w:rFonts w:ascii="Arial" w:hAnsi="Arial" w:cs="Arial" w:eastAsia="Arial" w:hint="default"/>
        </w:rPr>
        <w:t>2011</w:t>
      </w:r>
      <w:r>
        <w:rPr>
          <w:rFonts w:ascii="Arial" w:hAnsi="Arial" w:cs="Arial" w:eastAsia="Arial" w:hint="default"/>
          <w:spacing w:val="-10"/>
        </w:rPr>
        <w:t> </w:t>
      </w:r>
      <w:r>
        <w:rPr/>
        <w:t>年度利润分配方案为：按本公司</w:t>
      </w:r>
      <w:r>
        <w:rPr>
          <w:spacing w:val="-57"/>
        </w:rPr>
        <w:t> </w:t>
      </w:r>
      <w:r>
        <w:rPr>
          <w:rFonts w:ascii="Arial" w:hAnsi="Arial" w:cs="Arial" w:eastAsia="Arial" w:hint="default"/>
        </w:rPr>
        <w:t>2011</w:t>
      </w:r>
      <w:r>
        <w:rPr>
          <w:rFonts w:ascii="Arial" w:hAnsi="Arial" w:cs="Arial" w:eastAsia="Arial" w:hint="default"/>
          <w:spacing w:val="-10"/>
        </w:rPr>
        <w:t> </w:t>
      </w:r>
      <w:r>
        <w:rPr/>
        <w:t>年</w:t>
      </w:r>
      <w:r>
        <w:rPr>
          <w:spacing w:val="-59"/>
        </w:rPr>
        <w:t> </w:t>
      </w:r>
      <w:r>
        <w:rPr>
          <w:rFonts w:ascii="Arial" w:hAnsi="Arial" w:cs="Arial" w:eastAsia="Arial" w:hint="default"/>
        </w:rPr>
        <w:t>12</w:t>
      </w:r>
      <w:r>
        <w:rPr>
          <w:rFonts w:ascii="Arial" w:hAnsi="Arial" w:cs="Arial" w:eastAsia="Arial" w:hint="default"/>
          <w:spacing w:val="-10"/>
        </w:rPr>
        <w:t> </w:t>
      </w:r>
      <w:r>
        <w:rPr/>
        <w:t>月</w:t>
      </w:r>
      <w:r>
        <w:rPr>
          <w:spacing w:val="-59"/>
        </w:rPr>
        <w:t> </w:t>
      </w:r>
      <w:r>
        <w:rPr>
          <w:rFonts w:ascii="Arial" w:hAnsi="Arial" w:cs="Arial" w:eastAsia="Arial" w:hint="default"/>
        </w:rPr>
        <w:t>31</w:t>
      </w:r>
      <w:r>
        <w:rPr>
          <w:rFonts w:ascii="Arial" w:hAnsi="Arial" w:cs="Arial" w:eastAsia="Arial" w:hint="default"/>
          <w:spacing w:val="-10"/>
        </w:rPr>
        <w:t> </w:t>
      </w:r>
      <w:r>
        <w:rPr/>
        <w:t>日总股本</w:t>
      </w:r>
      <w:r>
        <w:rPr>
          <w:spacing w:val="-59"/>
        </w:rPr>
        <w:t> </w:t>
      </w:r>
      <w:r>
        <w:rPr>
          <w:rFonts w:ascii="Arial" w:hAnsi="Arial" w:cs="Arial" w:eastAsia="Arial" w:hint="default"/>
        </w:rPr>
        <w:t>211.97</w:t>
      </w:r>
      <w:r>
        <w:rPr>
          <w:rFonts w:ascii="Arial" w:hAnsi="Arial" w:cs="Arial" w:eastAsia="Arial" w:hint="default"/>
          <w:spacing w:val="-10"/>
        </w:rPr>
        <w:t> </w:t>
      </w:r>
      <w:r>
        <w:rPr>
          <w:spacing w:val="-4"/>
        </w:rPr>
        <w:t>亿股计，每</w:t>
      </w:r>
    </w:p>
    <w:p>
      <w:pPr>
        <w:pStyle w:val="BodyText"/>
        <w:spacing w:line="286" w:lineRule="exact"/>
        <w:ind w:left="821" w:right="0"/>
        <w:jc w:val="both"/>
        <w:rPr>
          <w:rFonts w:ascii="Arial" w:hAnsi="Arial" w:cs="Arial" w:eastAsia="Arial" w:hint="default"/>
        </w:rPr>
      </w:pPr>
      <w:r>
        <w:rPr>
          <w:rFonts w:ascii="Arial" w:hAnsi="Arial" w:cs="Arial" w:eastAsia="Arial" w:hint="default"/>
        </w:rPr>
        <w:t>10</w:t>
      </w:r>
      <w:r>
        <w:rPr>
          <w:rFonts w:ascii="Arial" w:hAnsi="Arial" w:cs="Arial" w:eastAsia="Arial" w:hint="default"/>
          <w:spacing w:val="7"/>
        </w:rPr>
        <w:t> </w:t>
      </w:r>
      <w:r>
        <w:rPr/>
        <w:t>股派发现金股息</w:t>
      </w:r>
      <w:r>
        <w:rPr>
          <w:spacing w:val="-43"/>
        </w:rPr>
        <w:t> </w:t>
      </w:r>
      <w:r>
        <w:rPr>
          <w:rFonts w:ascii="Arial" w:hAnsi="Arial" w:cs="Arial" w:eastAsia="Arial" w:hint="default"/>
        </w:rPr>
        <w:t>0.335</w:t>
      </w:r>
      <w:r>
        <w:rPr>
          <w:rFonts w:ascii="Arial" w:hAnsi="Arial" w:cs="Arial" w:eastAsia="Arial" w:hint="default"/>
          <w:spacing w:val="7"/>
        </w:rPr>
        <w:t> </w:t>
      </w:r>
      <w:r>
        <w:rPr/>
        <w:t>元（含税），共计</w:t>
      </w:r>
      <w:r>
        <w:rPr>
          <w:spacing w:val="-43"/>
        </w:rPr>
        <w:t> </w:t>
      </w:r>
      <w:r>
        <w:rPr>
          <w:rFonts w:ascii="Arial" w:hAnsi="Arial" w:cs="Arial" w:eastAsia="Arial" w:hint="default"/>
        </w:rPr>
        <w:t>7.1</w:t>
      </w:r>
      <w:r>
        <w:rPr>
          <w:rFonts w:ascii="Arial" w:hAnsi="Arial" w:cs="Arial" w:eastAsia="Arial" w:hint="default"/>
          <w:spacing w:val="7"/>
        </w:rPr>
        <w:t> </w:t>
      </w:r>
      <w:r>
        <w:rPr/>
        <w:t>亿元。该利润分配方案经</w:t>
      </w:r>
      <w:r>
        <w:rPr>
          <w:spacing w:val="-42"/>
        </w:rPr>
        <w:t> </w:t>
      </w:r>
      <w:r>
        <w:rPr>
          <w:rFonts w:ascii="Arial" w:hAnsi="Arial" w:cs="Arial" w:eastAsia="Arial" w:hint="default"/>
        </w:rPr>
        <w:t>2012</w:t>
      </w:r>
      <w:r>
        <w:rPr>
          <w:rFonts w:ascii="Arial" w:hAnsi="Arial" w:cs="Arial" w:eastAsia="Arial" w:hint="default"/>
          <w:spacing w:val="8"/>
        </w:rPr>
        <w:t> </w:t>
      </w:r>
      <w:r>
        <w:rPr/>
        <w:t>年</w:t>
      </w:r>
      <w:r>
        <w:rPr>
          <w:spacing w:val="-43"/>
        </w:rPr>
        <w:t> </w:t>
      </w:r>
      <w:r>
        <w:rPr>
          <w:rFonts w:ascii="Arial" w:hAnsi="Arial" w:cs="Arial" w:eastAsia="Arial" w:hint="default"/>
        </w:rPr>
        <w:t>5</w:t>
      </w:r>
      <w:r>
        <w:rPr>
          <w:rFonts w:ascii="Arial" w:hAnsi="Arial" w:cs="Arial" w:eastAsia="Arial" w:hint="default"/>
          <w:spacing w:val="6"/>
        </w:rPr>
        <w:t> </w:t>
      </w:r>
      <w:r>
        <w:rPr/>
        <w:t>月</w:t>
      </w:r>
      <w:r>
        <w:rPr>
          <w:spacing w:val="-43"/>
        </w:rPr>
        <w:t> </w:t>
      </w:r>
      <w:r>
        <w:rPr>
          <w:rFonts w:ascii="Arial" w:hAnsi="Arial" w:cs="Arial" w:eastAsia="Arial" w:hint="default"/>
        </w:rPr>
        <w:t>29</w:t>
      </w:r>
    </w:p>
    <w:p>
      <w:pPr>
        <w:pStyle w:val="BodyText"/>
        <w:spacing w:line="295" w:lineRule="exact"/>
        <w:ind w:left="821" w:right="0"/>
        <w:jc w:val="both"/>
      </w:pPr>
      <w:r>
        <w:rPr/>
        <w:t>日召开的本公司股东大会审议通过后，于</w:t>
      </w:r>
      <w:r>
        <w:rPr>
          <w:spacing w:val="-55"/>
        </w:rPr>
        <w:t> </w:t>
      </w:r>
      <w:r>
        <w:rPr>
          <w:rFonts w:ascii="Arial" w:hAnsi="Arial" w:cs="Arial" w:eastAsia="Arial" w:hint="default"/>
        </w:rPr>
        <w:t>2012</w:t>
      </w:r>
      <w:r>
        <w:rPr>
          <w:rFonts w:ascii="Arial" w:hAnsi="Arial" w:cs="Arial" w:eastAsia="Arial" w:hint="default"/>
          <w:spacing w:val="-8"/>
        </w:rPr>
        <w:t> </w:t>
      </w:r>
      <w:r>
        <w:rPr/>
        <w:t>年</w:t>
      </w:r>
      <w:r>
        <w:rPr>
          <w:spacing w:val="-57"/>
        </w:rPr>
        <w:t> </w:t>
      </w:r>
      <w:r>
        <w:rPr>
          <w:rFonts w:ascii="Arial" w:hAnsi="Arial" w:cs="Arial" w:eastAsia="Arial" w:hint="default"/>
        </w:rPr>
        <w:t>7</w:t>
      </w:r>
      <w:r>
        <w:rPr>
          <w:rFonts w:ascii="Arial" w:hAnsi="Arial" w:cs="Arial" w:eastAsia="Arial" w:hint="default"/>
          <w:spacing w:val="-8"/>
        </w:rPr>
        <w:t> </w:t>
      </w:r>
      <w:r>
        <w:rPr/>
        <w:t>月</w:t>
      </w:r>
      <w:r>
        <w:rPr>
          <w:spacing w:val="-57"/>
        </w:rPr>
        <w:t> </w:t>
      </w:r>
      <w:r>
        <w:rPr>
          <w:rFonts w:ascii="Arial" w:hAnsi="Arial" w:cs="Arial" w:eastAsia="Arial" w:hint="default"/>
        </w:rPr>
        <w:t>11</w:t>
      </w:r>
      <w:r>
        <w:rPr>
          <w:rFonts w:ascii="Arial" w:hAnsi="Arial" w:cs="Arial" w:eastAsia="Arial" w:hint="default"/>
          <w:spacing w:val="-8"/>
        </w:rPr>
        <w:t> </w:t>
      </w:r>
      <w:r>
        <w:rPr/>
        <w:t>日实施。</w:t>
      </w:r>
    </w:p>
    <w:p>
      <w:pPr>
        <w:spacing w:line="240" w:lineRule="auto" w:before="0"/>
        <w:rPr>
          <w:rFonts w:ascii="宋体" w:hAnsi="宋体" w:cs="宋体" w:eastAsia="宋体" w:hint="default"/>
          <w:sz w:val="20"/>
          <w:szCs w:val="20"/>
        </w:rPr>
      </w:pPr>
    </w:p>
    <w:p>
      <w:pPr>
        <w:pStyle w:val="BodyText"/>
        <w:spacing w:line="286" w:lineRule="exact"/>
        <w:ind w:left="794" w:right="0" w:hanging="648"/>
        <w:jc w:val="left"/>
      </w:pPr>
      <w:r>
        <w:rPr/>
        <w:t>（二）报告期内盈利且母公司未分配利润为正，但未提出现金红利分配预案的，公司应当详细披露</w:t>
      </w:r>
      <w:r>
        <w:rPr>
          <w:spacing w:val="-88"/>
        </w:rPr>
        <w:t> </w:t>
      </w:r>
      <w:r>
        <w:rPr>
          <w:spacing w:val="-88"/>
        </w:rPr>
      </w:r>
      <w:r>
        <w:rPr/>
        <w:t>原因以及未分配利润的用途和使用计划</w:t>
      </w:r>
    </w:p>
    <w:p>
      <w:pPr>
        <w:pStyle w:val="BodyText"/>
        <w:spacing w:line="275" w:lineRule="exact"/>
        <w:ind w:left="794" w:right="0"/>
        <w:jc w:val="both"/>
      </w:pPr>
      <w:r>
        <w:rPr>
          <w:rFonts w:ascii="Arial" w:hAnsi="Arial" w:cs="Arial" w:eastAsia="Arial" w:hint="default"/>
        </w:rPr>
        <w:t>√</w:t>
      </w:r>
      <w:r>
        <w:rPr>
          <w:rFonts w:ascii="Arial" w:hAnsi="Arial" w:cs="Arial" w:eastAsia="Arial" w:hint="default"/>
          <w:spacing w:val="47"/>
        </w:rPr>
        <w:t> </w:t>
      </w:r>
      <w:r>
        <w:rPr/>
        <w:t>不适用</w:t>
      </w:r>
    </w:p>
    <w:p>
      <w:pPr>
        <w:spacing w:line="240" w:lineRule="auto" w:before="12"/>
        <w:rPr>
          <w:rFonts w:ascii="宋体" w:hAnsi="宋体" w:cs="宋体" w:eastAsia="宋体" w:hint="default"/>
          <w:sz w:val="17"/>
          <w:szCs w:val="17"/>
        </w:rPr>
      </w:pPr>
    </w:p>
    <w:p>
      <w:pPr>
        <w:pStyle w:val="BodyText"/>
        <w:spacing w:line="287" w:lineRule="exact"/>
        <w:ind w:left="146" w:right="0"/>
        <w:jc w:val="left"/>
      </w:pPr>
      <w:r>
        <w:rPr/>
        <w:t>（三）公司近三年（含报告期）的利润分配方案或预案、资本公积金转增股本方案或预案</w:t>
      </w:r>
    </w:p>
    <w:p>
      <w:pPr>
        <w:pStyle w:val="BodyText"/>
        <w:spacing w:line="287" w:lineRule="exact"/>
        <w:ind w:left="0" w:right="151"/>
        <w:jc w:val="right"/>
      </w:pPr>
      <w:r>
        <w:rPr/>
        <w:t>单位：元</w:t>
      </w:r>
      <w:r>
        <w:rPr>
          <w:spacing w:val="-4"/>
        </w:rPr>
        <w:t> </w:t>
      </w:r>
      <w:r>
        <w:rPr/>
        <w:t>币种：人民币</w:t>
      </w:r>
    </w:p>
    <w:p>
      <w:pPr>
        <w:spacing w:line="240" w:lineRule="auto" w:before="8"/>
        <w:rPr>
          <w:rFonts w:ascii="宋体" w:hAnsi="宋体" w:cs="宋体" w:eastAsia="宋体" w:hint="default"/>
          <w:sz w:val="2"/>
          <w:szCs w:val="2"/>
        </w:rPr>
      </w:pPr>
    </w:p>
    <w:tbl>
      <w:tblPr>
        <w:tblW w:w="0" w:type="auto"/>
        <w:jc w:val="left"/>
        <w:tblInd w:w="814" w:type="dxa"/>
        <w:tblLayout w:type="fixed"/>
        <w:tblCellMar>
          <w:top w:w="0" w:type="dxa"/>
          <w:left w:w="0" w:type="dxa"/>
          <w:bottom w:w="0" w:type="dxa"/>
          <w:right w:w="0" w:type="dxa"/>
        </w:tblCellMar>
        <w:tblLook w:val="01E0"/>
      </w:tblPr>
      <w:tblGrid>
        <w:gridCol w:w="1018"/>
        <w:gridCol w:w="1160"/>
        <w:gridCol w:w="1110"/>
        <w:gridCol w:w="900"/>
        <w:gridCol w:w="1348"/>
        <w:gridCol w:w="1753"/>
        <w:gridCol w:w="1536"/>
      </w:tblGrid>
      <w:tr>
        <w:trPr>
          <w:trHeight w:val="1052"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1"/>
              <w:jc w:val="right"/>
              <w:rPr>
                <w:rFonts w:ascii="宋体" w:hAnsi="宋体" w:cs="宋体" w:eastAsia="宋体" w:hint="default"/>
                <w:sz w:val="20"/>
                <w:szCs w:val="20"/>
              </w:rPr>
            </w:pPr>
            <w:r>
              <w:rPr>
                <w:rFonts w:ascii="宋体" w:hAnsi="宋体" w:cs="宋体" w:eastAsia="宋体" w:hint="default"/>
                <w:sz w:val="20"/>
                <w:szCs w:val="20"/>
              </w:rPr>
              <w:t>分红年度</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60" w:lineRule="exact"/>
              <w:ind w:left="64" w:right="17" w:hanging="62"/>
              <w:jc w:val="left"/>
              <w:rPr>
                <w:rFonts w:ascii="宋体" w:hAnsi="宋体" w:cs="宋体" w:eastAsia="宋体" w:hint="default"/>
                <w:sz w:val="20"/>
                <w:szCs w:val="20"/>
              </w:rPr>
            </w:pPr>
            <w:r>
              <w:rPr>
                <w:rFonts w:ascii="宋体" w:hAnsi="宋体" w:cs="宋体" w:eastAsia="宋体" w:hint="default"/>
                <w:sz w:val="20"/>
                <w:szCs w:val="20"/>
              </w:rPr>
              <w:t>每</w:t>
            </w:r>
            <w:r>
              <w:rPr>
                <w:rFonts w:ascii="宋体" w:hAnsi="宋体" w:cs="宋体" w:eastAsia="宋体" w:hint="default"/>
                <w:spacing w:val="-51"/>
                <w:sz w:val="20"/>
                <w:szCs w:val="20"/>
              </w:rPr>
              <w:t> </w:t>
            </w:r>
            <w:r>
              <w:rPr>
                <w:rFonts w:ascii="Arial" w:hAnsi="Arial" w:cs="Arial" w:eastAsia="Arial" w:hint="default"/>
                <w:sz w:val="20"/>
                <w:szCs w:val="20"/>
              </w:rPr>
              <w:t>10</w:t>
            </w:r>
            <w:r>
              <w:rPr>
                <w:rFonts w:ascii="Arial" w:hAnsi="Arial" w:cs="Arial" w:eastAsia="Arial" w:hint="default"/>
                <w:spacing w:val="-6"/>
                <w:sz w:val="20"/>
                <w:szCs w:val="20"/>
              </w:rPr>
              <w:t> </w:t>
            </w:r>
            <w:r>
              <w:rPr>
                <w:rFonts w:ascii="宋体" w:hAnsi="宋体" w:cs="宋体" w:eastAsia="宋体" w:hint="default"/>
                <w:sz w:val="20"/>
                <w:szCs w:val="20"/>
              </w:rPr>
              <w:t>股送红</w:t>
            </w:r>
            <w:r>
              <w:rPr>
                <w:rFonts w:ascii="宋体" w:hAnsi="宋体" w:cs="宋体" w:eastAsia="宋体" w:hint="default"/>
                <w:w w:val="100"/>
                <w:sz w:val="20"/>
                <w:szCs w:val="20"/>
              </w:rPr>
              <w:t> </w:t>
            </w:r>
            <w:r>
              <w:rPr>
                <w:rFonts w:ascii="宋体" w:hAnsi="宋体" w:cs="宋体" w:eastAsia="宋体" w:hint="default"/>
                <w:sz w:val="20"/>
                <w:szCs w:val="20"/>
              </w:rPr>
              <w:t>股数（股）</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23"/>
              <w:ind w:left="99" w:right="1"/>
              <w:jc w:val="left"/>
              <w:rPr>
                <w:rFonts w:ascii="宋体" w:hAnsi="宋体" w:cs="宋体" w:eastAsia="宋体" w:hint="default"/>
                <w:sz w:val="20"/>
                <w:szCs w:val="20"/>
              </w:rPr>
            </w:pPr>
            <w:r>
              <w:rPr>
                <w:rFonts w:ascii="宋体" w:hAnsi="宋体" w:cs="宋体" w:eastAsia="宋体" w:hint="default"/>
                <w:sz w:val="20"/>
                <w:szCs w:val="20"/>
              </w:rPr>
              <w:t>每</w:t>
            </w:r>
            <w:r>
              <w:rPr>
                <w:rFonts w:ascii="宋体" w:hAnsi="宋体" w:cs="宋体" w:eastAsia="宋体" w:hint="default"/>
                <w:spacing w:val="-64"/>
                <w:sz w:val="20"/>
                <w:szCs w:val="20"/>
              </w:rPr>
              <w:t> </w:t>
            </w:r>
            <w:r>
              <w:rPr>
                <w:rFonts w:ascii="Arial" w:hAnsi="Arial" w:cs="Arial" w:eastAsia="Arial" w:hint="default"/>
                <w:sz w:val="20"/>
                <w:szCs w:val="20"/>
              </w:rPr>
              <w:t>10</w:t>
            </w:r>
            <w:r>
              <w:rPr>
                <w:rFonts w:ascii="Arial" w:hAnsi="Arial" w:cs="Arial" w:eastAsia="Arial" w:hint="default"/>
                <w:spacing w:val="-21"/>
                <w:sz w:val="20"/>
                <w:szCs w:val="20"/>
              </w:rPr>
              <w:t> </w:t>
            </w:r>
            <w:r>
              <w:rPr>
                <w:rFonts w:ascii="宋体" w:hAnsi="宋体" w:cs="宋体" w:eastAsia="宋体" w:hint="default"/>
                <w:sz w:val="20"/>
                <w:szCs w:val="20"/>
              </w:rPr>
              <w:t>股派</w:t>
            </w:r>
            <w:r>
              <w:rPr>
                <w:rFonts w:ascii="宋体" w:hAnsi="宋体" w:cs="宋体" w:eastAsia="宋体" w:hint="default"/>
                <w:w w:val="100"/>
                <w:sz w:val="20"/>
                <w:szCs w:val="20"/>
              </w:rPr>
              <w:t> </w:t>
            </w:r>
            <w:r>
              <w:rPr>
                <w:rFonts w:ascii="宋体" w:hAnsi="宋体" w:cs="宋体" w:eastAsia="宋体" w:hint="default"/>
                <w:sz w:val="20"/>
                <w:szCs w:val="20"/>
              </w:rPr>
              <w:t>息数（元）</w:t>
            </w:r>
          </w:p>
          <w:p>
            <w:pPr>
              <w:pStyle w:val="TableParagraph"/>
              <w:spacing w:line="237" w:lineRule="exact"/>
              <w:ind w:left="146" w:right="0"/>
              <w:jc w:val="left"/>
              <w:rPr>
                <w:rFonts w:ascii="宋体" w:hAnsi="宋体" w:cs="宋体" w:eastAsia="宋体" w:hint="default"/>
                <w:sz w:val="20"/>
                <w:szCs w:val="20"/>
              </w:rPr>
            </w:pPr>
            <w:r>
              <w:rPr>
                <w:rFonts w:ascii="宋体" w:hAnsi="宋体" w:cs="宋体" w:eastAsia="宋体" w:hint="default"/>
                <w:sz w:val="20"/>
                <w:szCs w:val="20"/>
              </w:rPr>
              <w:t>（含税）</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23"/>
              <w:ind w:left="141" w:right="98" w:hanging="42"/>
              <w:jc w:val="left"/>
              <w:rPr>
                <w:rFonts w:ascii="宋体" w:hAnsi="宋体" w:cs="宋体" w:eastAsia="宋体" w:hint="default"/>
                <w:sz w:val="20"/>
                <w:szCs w:val="20"/>
              </w:rPr>
            </w:pPr>
            <w:r>
              <w:rPr>
                <w:rFonts w:ascii="宋体" w:hAnsi="宋体" w:cs="宋体" w:eastAsia="宋体" w:hint="default"/>
                <w:sz w:val="20"/>
                <w:szCs w:val="20"/>
              </w:rPr>
              <w:t>每</w:t>
            </w:r>
            <w:r>
              <w:rPr>
                <w:rFonts w:ascii="宋体" w:hAnsi="宋体" w:cs="宋体" w:eastAsia="宋体" w:hint="default"/>
                <w:spacing w:val="-70"/>
                <w:sz w:val="20"/>
                <w:szCs w:val="20"/>
              </w:rPr>
              <w:t> </w:t>
            </w:r>
            <w:r>
              <w:rPr>
                <w:rFonts w:ascii="Arial" w:hAnsi="Arial" w:cs="Arial" w:eastAsia="Arial" w:hint="default"/>
                <w:sz w:val="20"/>
                <w:szCs w:val="20"/>
              </w:rPr>
              <w:t>10</w:t>
            </w:r>
            <w:r>
              <w:rPr>
                <w:rFonts w:ascii="Arial" w:hAnsi="Arial" w:cs="Arial" w:eastAsia="Arial" w:hint="default"/>
                <w:spacing w:val="-26"/>
                <w:sz w:val="20"/>
                <w:szCs w:val="20"/>
              </w:rPr>
              <w:t> </w:t>
            </w:r>
            <w:r>
              <w:rPr>
                <w:rFonts w:ascii="宋体" w:hAnsi="宋体" w:cs="宋体" w:eastAsia="宋体" w:hint="default"/>
                <w:sz w:val="20"/>
                <w:szCs w:val="20"/>
              </w:rPr>
              <w:t>股</w:t>
            </w:r>
            <w:r>
              <w:rPr>
                <w:rFonts w:ascii="宋体" w:hAnsi="宋体" w:cs="宋体" w:eastAsia="宋体" w:hint="default"/>
                <w:w w:val="100"/>
                <w:sz w:val="20"/>
                <w:szCs w:val="20"/>
              </w:rPr>
              <w:t> </w:t>
            </w:r>
            <w:r>
              <w:rPr>
                <w:rFonts w:ascii="宋体" w:hAnsi="宋体" w:cs="宋体" w:eastAsia="宋体" w:hint="default"/>
                <w:sz w:val="20"/>
                <w:szCs w:val="20"/>
              </w:rPr>
              <w:t>转增数</w:t>
            </w:r>
          </w:p>
          <w:p>
            <w:pPr>
              <w:pStyle w:val="TableParagraph"/>
              <w:spacing w:line="237" w:lineRule="exact"/>
              <w:ind w:left="141" w:right="0"/>
              <w:jc w:val="left"/>
              <w:rPr>
                <w:rFonts w:ascii="宋体" w:hAnsi="宋体" w:cs="宋体" w:eastAsia="宋体" w:hint="default"/>
                <w:sz w:val="20"/>
                <w:szCs w:val="20"/>
              </w:rPr>
            </w:pPr>
            <w:r>
              <w:rPr>
                <w:rFonts w:ascii="宋体" w:hAnsi="宋体" w:cs="宋体" w:eastAsia="宋体" w:hint="default"/>
                <w:sz w:val="20"/>
                <w:szCs w:val="20"/>
              </w:rPr>
              <w:t>（股）</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9" w:right="30" w:firstLine="66"/>
              <w:jc w:val="left"/>
              <w:rPr>
                <w:rFonts w:ascii="宋体" w:hAnsi="宋体" w:cs="宋体" w:eastAsia="宋体" w:hint="default"/>
                <w:sz w:val="20"/>
                <w:szCs w:val="20"/>
              </w:rPr>
            </w:pPr>
            <w:r>
              <w:rPr>
                <w:rFonts w:ascii="宋体" w:hAnsi="宋体" w:cs="宋体" w:eastAsia="宋体" w:hint="default"/>
                <w:sz w:val="20"/>
                <w:szCs w:val="20"/>
              </w:rPr>
              <w:t>现金分红的</w:t>
            </w:r>
            <w:r>
              <w:rPr>
                <w:rFonts w:ascii="宋体" w:hAnsi="宋体" w:cs="宋体" w:eastAsia="宋体" w:hint="default"/>
                <w:w w:val="100"/>
                <w:sz w:val="20"/>
                <w:szCs w:val="20"/>
              </w:rPr>
              <w:t> </w:t>
            </w:r>
            <w:r>
              <w:rPr>
                <w:rFonts w:ascii="宋体" w:hAnsi="宋体" w:cs="宋体" w:eastAsia="宋体" w:hint="default"/>
                <w:sz w:val="20"/>
                <w:szCs w:val="20"/>
              </w:rPr>
              <w:t>数额（含税）</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0"/>
              <w:ind w:left="67" w:right="68"/>
              <w:jc w:val="center"/>
              <w:rPr>
                <w:rFonts w:ascii="宋体" w:hAnsi="宋体" w:cs="宋体" w:eastAsia="宋体" w:hint="default"/>
                <w:sz w:val="20"/>
                <w:szCs w:val="20"/>
              </w:rPr>
            </w:pPr>
            <w:r>
              <w:rPr>
                <w:rFonts w:ascii="宋体" w:hAnsi="宋体" w:cs="宋体" w:eastAsia="宋体" w:hint="default"/>
                <w:sz w:val="20"/>
                <w:szCs w:val="20"/>
              </w:rPr>
              <w:t>分红年度合并报表</w:t>
            </w:r>
            <w:r>
              <w:rPr>
                <w:rFonts w:ascii="宋体" w:hAnsi="宋体" w:cs="宋体" w:eastAsia="宋体" w:hint="default"/>
                <w:w w:val="100"/>
                <w:sz w:val="20"/>
                <w:szCs w:val="20"/>
              </w:rPr>
              <w:t> </w:t>
            </w:r>
            <w:r>
              <w:rPr>
                <w:rFonts w:ascii="宋体" w:hAnsi="宋体" w:cs="宋体" w:eastAsia="宋体" w:hint="default"/>
                <w:sz w:val="20"/>
                <w:szCs w:val="20"/>
              </w:rPr>
              <w:t>中归属于上市公司</w:t>
            </w:r>
            <w:r>
              <w:rPr>
                <w:rFonts w:ascii="宋体" w:hAnsi="宋体" w:cs="宋体" w:eastAsia="宋体" w:hint="default"/>
                <w:w w:val="100"/>
                <w:sz w:val="20"/>
                <w:szCs w:val="20"/>
              </w:rPr>
              <w:t> </w:t>
            </w:r>
            <w:r>
              <w:rPr>
                <w:rFonts w:ascii="宋体" w:hAnsi="宋体" w:cs="宋体" w:eastAsia="宋体" w:hint="default"/>
                <w:sz w:val="20"/>
                <w:szCs w:val="20"/>
              </w:rPr>
              <w:t>股东的净利润</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59" w:right="0"/>
              <w:jc w:val="both"/>
              <w:rPr>
                <w:rFonts w:ascii="宋体" w:hAnsi="宋体" w:cs="宋体" w:eastAsia="宋体" w:hint="default"/>
                <w:sz w:val="20"/>
                <w:szCs w:val="20"/>
              </w:rPr>
            </w:pPr>
            <w:r>
              <w:rPr>
                <w:rFonts w:ascii="宋体" w:hAnsi="宋体" w:cs="宋体" w:eastAsia="宋体" w:hint="default"/>
                <w:sz w:val="20"/>
                <w:szCs w:val="20"/>
              </w:rPr>
              <w:t>占合并报表中</w:t>
            </w:r>
          </w:p>
          <w:p>
            <w:pPr>
              <w:pStyle w:val="TableParagraph"/>
              <w:spacing w:line="237" w:lineRule="auto" w:before="1"/>
              <w:ind w:left="159" w:right="158"/>
              <w:jc w:val="both"/>
              <w:rPr>
                <w:rFonts w:ascii="Arial" w:hAnsi="Arial" w:cs="Arial" w:eastAsia="Arial" w:hint="default"/>
                <w:sz w:val="20"/>
                <w:szCs w:val="20"/>
              </w:rPr>
            </w:pPr>
            <w:r>
              <w:rPr>
                <w:rFonts w:ascii="宋体" w:hAnsi="宋体" w:cs="宋体" w:eastAsia="宋体" w:hint="default"/>
                <w:sz w:val="20"/>
                <w:szCs w:val="20"/>
              </w:rPr>
              <w:t>归属于上市公</w:t>
            </w:r>
            <w:r>
              <w:rPr>
                <w:rFonts w:ascii="宋体" w:hAnsi="宋体" w:cs="宋体" w:eastAsia="宋体" w:hint="default"/>
                <w:w w:val="100"/>
                <w:sz w:val="20"/>
                <w:szCs w:val="20"/>
              </w:rPr>
              <w:t> </w:t>
            </w:r>
            <w:r>
              <w:rPr>
                <w:rFonts w:ascii="宋体" w:hAnsi="宋体" w:cs="宋体" w:eastAsia="宋体" w:hint="default"/>
                <w:sz w:val="20"/>
                <w:szCs w:val="20"/>
              </w:rPr>
              <w:t>司股东的净利</w:t>
            </w:r>
            <w:r>
              <w:rPr>
                <w:rFonts w:ascii="宋体" w:hAnsi="宋体" w:cs="宋体" w:eastAsia="宋体" w:hint="default"/>
                <w:w w:val="100"/>
                <w:sz w:val="20"/>
                <w:szCs w:val="20"/>
              </w:rPr>
              <w:t> </w:t>
            </w:r>
            <w:r>
              <w:rPr>
                <w:rFonts w:ascii="宋体" w:hAnsi="宋体" w:cs="宋体" w:eastAsia="宋体" w:hint="default"/>
                <w:sz w:val="20"/>
                <w:szCs w:val="20"/>
              </w:rPr>
              <w:t>润的比率</w:t>
            </w:r>
            <w:r>
              <w:rPr>
                <w:rFonts w:ascii="Arial" w:hAnsi="Arial" w:cs="Arial" w:eastAsia="Arial" w:hint="default"/>
                <w:sz w:val="20"/>
                <w:szCs w:val="20"/>
              </w:rPr>
              <w:t>(%)</w:t>
            </w:r>
          </w:p>
        </w:tc>
      </w:tr>
      <w:tr>
        <w:trPr>
          <w:trHeight w:val="274"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52"/>
              <w:jc w:val="righ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Arial" w:hAnsi="Arial" w:cs="Arial" w:eastAsia="Arial" w:hint="default"/>
                <w:sz w:val="20"/>
                <w:szCs w:val="20"/>
              </w:rPr>
            </w:pPr>
            <w:r>
              <w:rPr>
                <w:rFonts w:ascii="Arial"/>
                <w:w w:val="100"/>
                <w:sz w:val="20"/>
              </w:rPr>
              <w:t>-</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z w:val="20"/>
              </w:rPr>
              <w:t>0.399</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Arial" w:hAnsi="Arial" w:cs="Arial" w:eastAsia="Arial" w:hint="default"/>
                <w:sz w:val="20"/>
                <w:szCs w:val="20"/>
              </w:rPr>
            </w:pPr>
            <w:r>
              <w:rPr>
                <w:rFonts w:ascii="Arial"/>
                <w:w w:val="100"/>
                <w:sz w:val="20"/>
              </w:rPr>
              <w:t>-</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18" w:right="0"/>
              <w:jc w:val="left"/>
              <w:rPr>
                <w:rFonts w:ascii="Arial" w:hAnsi="Arial" w:cs="Arial" w:eastAsia="Arial" w:hint="default"/>
                <w:sz w:val="20"/>
                <w:szCs w:val="20"/>
              </w:rPr>
            </w:pPr>
            <w:r>
              <w:rPr>
                <w:rFonts w:ascii="Arial"/>
                <w:sz w:val="20"/>
              </w:rPr>
              <w:t>845,744,196</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Arial" w:hAnsi="Arial" w:cs="Arial" w:eastAsia="Arial" w:hint="default"/>
                <w:sz w:val="20"/>
                <w:szCs w:val="20"/>
              </w:rPr>
            </w:pPr>
            <w:r>
              <w:rPr>
                <w:rFonts w:ascii="Arial"/>
                <w:spacing w:val="-1"/>
                <w:sz w:val="20"/>
              </w:rPr>
              <w:t>2,368,106,789</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z w:val="20"/>
              </w:rPr>
              <w:t>35.71</w:t>
            </w:r>
          </w:p>
        </w:tc>
      </w:tr>
      <w:tr>
        <w:trPr>
          <w:trHeight w:val="275"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right="152"/>
              <w:jc w:val="righ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Arial" w:hAnsi="Arial" w:cs="Arial" w:eastAsia="Arial" w:hint="default"/>
                <w:sz w:val="20"/>
                <w:szCs w:val="20"/>
              </w:rPr>
            </w:pPr>
            <w:r>
              <w:rPr>
                <w:rFonts w:ascii="Arial"/>
                <w:w w:val="100"/>
                <w:sz w:val="20"/>
              </w:rPr>
              <w:t>-</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z w:val="20"/>
              </w:rPr>
              <w:t>0.335</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Arial" w:hAnsi="Arial" w:cs="Arial" w:eastAsia="Arial" w:hint="default"/>
                <w:sz w:val="20"/>
                <w:szCs w:val="20"/>
              </w:rPr>
            </w:pPr>
            <w:r>
              <w:rPr>
                <w:rFonts w:ascii="Arial"/>
                <w:w w:val="100"/>
                <w:sz w:val="20"/>
              </w:rPr>
              <w:t>-</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18" w:right="0"/>
              <w:jc w:val="left"/>
              <w:rPr>
                <w:rFonts w:ascii="Arial" w:hAnsi="Arial" w:cs="Arial" w:eastAsia="Arial" w:hint="default"/>
                <w:sz w:val="20"/>
                <w:szCs w:val="20"/>
              </w:rPr>
            </w:pPr>
            <w:r>
              <w:rPr>
                <w:rFonts w:ascii="Arial"/>
                <w:sz w:val="20"/>
              </w:rPr>
              <w:t>710,085,981</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Arial" w:hAnsi="Arial" w:cs="Arial" w:eastAsia="Arial" w:hint="default"/>
                <w:sz w:val="20"/>
                <w:szCs w:val="20"/>
              </w:rPr>
            </w:pPr>
            <w:r>
              <w:rPr>
                <w:rFonts w:ascii="Arial"/>
                <w:spacing w:val="-1"/>
                <w:sz w:val="20"/>
              </w:rPr>
              <w:t>1,412,245,739</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z w:val="20"/>
              </w:rPr>
              <w:t>50.28</w:t>
            </w:r>
          </w:p>
        </w:tc>
      </w:tr>
      <w:tr>
        <w:trPr>
          <w:trHeight w:val="275"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right="152"/>
              <w:jc w:val="righ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Arial" w:hAnsi="Arial" w:cs="Arial" w:eastAsia="Arial" w:hint="default"/>
                <w:sz w:val="20"/>
                <w:szCs w:val="20"/>
              </w:rPr>
            </w:pPr>
            <w:r>
              <w:rPr>
                <w:rFonts w:ascii="Arial"/>
                <w:w w:val="100"/>
                <w:sz w:val="20"/>
              </w:rPr>
              <w:t>-</w:t>
            </w:r>
          </w:p>
        </w:tc>
        <w:tc>
          <w:tcPr>
            <w:tcW w:w="1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Arial" w:hAnsi="Arial" w:cs="Arial" w:eastAsia="Arial" w:hint="default"/>
                <w:sz w:val="20"/>
                <w:szCs w:val="20"/>
              </w:rPr>
            </w:pPr>
            <w:r>
              <w:rPr>
                <w:rFonts w:ascii="Arial"/>
                <w:sz w:val="20"/>
              </w:rPr>
              <w:t>0.26</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Arial" w:hAnsi="Arial" w:cs="Arial" w:eastAsia="Arial" w:hint="default"/>
                <w:sz w:val="20"/>
                <w:szCs w:val="20"/>
              </w:rPr>
            </w:pPr>
            <w:r>
              <w:rPr>
                <w:rFonts w:ascii="Arial"/>
                <w:w w:val="100"/>
                <w:sz w:val="20"/>
              </w:rPr>
              <w:t>-</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18" w:right="0"/>
              <w:jc w:val="left"/>
              <w:rPr>
                <w:rFonts w:ascii="Arial" w:hAnsi="Arial" w:cs="Arial" w:eastAsia="Arial" w:hint="default"/>
                <w:sz w:val="20"/>
                <w:szCs w:val="20"/>
              </w:rPr>
            </w:pPr>
            <w:r>
              <w:rPr>
                <w:rFonts w:ascii="Arial"/>
                <w:sz w:val="20"/>
              </w:rPr>
              <w:t>551,111,506</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Arial" w:hAnsi="Arial" w:cs="Arial" w:eastAsia="Arial" w:hint="default"/>
                <w:sz w:val="20"/>
                <w:szCs w:val="20"/>
              </w:rPr>
            </w:pPr>
            <w:r>
              <w:rPr>
                <w:rFonts w:ascii="Arial"/>
                <w:spacing w:val="-1"/>
                <w:sz w:val="20"/>
              </w:rPr>
              <w:t>1,234,506,831</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z w:val="20"/>
              </w:rPr>
              <w:t>44.64</w:t>
            </w:r>
          </w:p>
        </w:tc>
      </w:tr>
    </w:tbl>
    <w:p>
      <w:pPr>
        <w:spacing w:line="240" w:lineRule="auto" w:before="12"/>
        <w:rPr>
          <w:rFonts w:ascii="宋体" w:hAnsi="宋体" w:cs="宋体" w:eastAsia="宋体" w:hint="default"/>
          <w:sz w:val="15"/>
          <w:szCs w:val="15"/>
        </w:rPr>
      </w:pPr>
    </w:p>
    <w:p>
      <w:pPr>
        <w:pStyle w:val="Heading3"/>
        <w:spacing w:line="240" w:lineRule="auto"/>
        <w:ind w:right="0"/>
        <w:jc w:val="left"/>
        <w:rPr>
          <w:b w:val="0"/>
          <w:bCs w:val="0"/>
        </w:rPr>
      </w:pPr>
      <w:r>
        <w:rPr/>
        <w:t>五、积极履行社会责任的工作情况</w:t>
      </w:r>
      <w:r>
        <w:rPr>
          <w:b w:val="0"/>
          <w:bCs w:val="0"/>
        </w:rPr>
      </w:r>
    </w:p>
    <w:p>
      <w:pPr>
        <w:spacing w:line="240" w:lineRule="auto" w:before="2"/>
        <w:rPr>
          <w:rFonts w:ascii="宋体" w:hAnsi="宋体" w:cs="宋体" w:eastAsia="宋体" w:hint="default"/>
          <w:b/>
          <w:bCs/>
          <w:sz w:val="19"/>
          <w:szCs w:val="19"/>
        </w:rPr>
      </w:pPr>
    </w:p>
    <w:p>
      <w:pPr>
        <w:pStyle w:val="BodyText"/>
        <w:spacing w:line="240" w:lineRule="auto"/>
        <w:ind w:left="658" w:right="0"/>
        <w:jc w:val="left"/>
      </w:pPr>
      <w:r>
        <w:rPr/>
        <w:t>社会责任工作情况</w:t>
      </w:r>
    </w:p>
    <w:p>
      <w:pPr>
        <w:pStyle w:val="BodyText"/>
        <w:spacing w:line="286" w:lineRule="exact" w:before="82"/>
        <w:ind w:left="658" w:right="151"/>
        <w:jc w:val="left"/>
      </w:pPr>
      <w:r>
        <w:rPr/>
        <w:t>公司</w:t>
      </w:r>
      <w:r>
        <w:rPr>
          <w:spacing w:val="-70"/>
        </w:rPr>
        <w:t> </w:t>
      </w:r>
      <w:r>
        <w:rPr>
          <w:rFonts w:ascii="Arial" w:hAnsi="Arial" w:cs="Arial" w:eastAsia="Arial" w:hint="default"/>
        </w:rPr>
        <w:t>2012</w:t>
      </w:r>
      <w:r>
        <w:rPr>
          <w:rFonts w:ascii="Arial" w:hAnsi="Arial" w:cs="Arial" w:eastAsia="Arial" w:hint="default"/>
          <w:spacing w:val="-21"/>
        </w:rPr>
        <w:t> </w:t>
      </w:r>
      <w:r>
        <w:rPr/>
        <w:t>年度社会责任报告详见</w:t>
      </w:r>
      <w:r>
        <w:rPr>
          <w:spacing w:val="-69"/>
        </w:rPr>
        <w:t> </w:t>
      </w:r>
      <w:r>
        <w:rPr>
          <w:rFonts w:ascii="Arial" w:hAnsi="Arial" w:cs="Arial" w:eastAsia="Arial" w:hint="default"/>
        </w:rPr>
        <w:t>2013</w:t>
      </w:r>
      <w:r>
        <w:rPr>
          <w:rFonts w:ascii="Arial" w:hAnsi="Arial" w:cs="Arial" w:eastAsia="Arial" w:hint="default"/>
          <w:spacing w:val="-21"/>
        </w:rPr>
        <w:t> </w:t>
      </w:r>
      <w:r>
        <w:rPr/>
        <w:t>年</w:t>
      </w:r>
      <w:r>
        <w:rPr>
          <w:spacing w:val="-70"/>
        </w:rPr>
        <w:t> </w:t>
      </w:r>
      <w:r>
        <w:rPr>
          <w:rFonts w:ascii="Arial" w:hAnsi="Arial" w:cs="Arial" w:eastAsia="Arial" w:hint="default"/>
        </w:rPr>
        <w:t>3</w:t>
      </w:r>
      <w:r>
        <w:rPr>
          <w:rFonts w:ascii="Arial" w:hAnsi="Arial" w:cs="Arial" w:eastAsia="Arial" w:hint="default"/>
          <w:spacing w:val="-21"/>
        </w:rPr>
        <w:t> </w:t>
      </w:r>
      <w:r>
        <w:rPr/>
        <w:t>月</w:t>
      </w:r>
      <w:r>
        <w:rPr>
          <w:spacing w:val="-70"/>
        </w:rPr>
        <w:t> </w:t>
      </w:r>
      <w:r>
        <w:rPr>
          <w:rFonts w:ascii="Arial" w:hAnsi="Arial" w:cs="Arial" w:eastAsia="Arial" w:hint="default"/>
        </w:rPr>
        <w:t>22</w:t>
      </w:r>
      <w:r>
        <w:rPr>
          <w:rFonts w:ascii="Arial" w:hAnsi="Arial" w:cs="Arial" w:eastAsia="Arial" w:hint="default"/>
          <w:spacing w:val="-21"/>
        </w:rPr>
        <w:t> </w:t>
      </w:r>
      <w:r>
        <w:rPr/>
        <w:t>日上海证券交易所</w:t>
      </w:r>
      <w:r>
        <w:rPr>
          <w:rFonts w:ascii="Arial" w:hAnsi="Arial" w:cs="Arial" w:eastAsia="Arial" w:hint="default"/>
        </w:rPr>
        <w:t>(www.sse.com.cn)</w:t>
      </w:r>
      <w:r>
        <w:rPr/>
        <w:t>和公司</w:t>
      </w:r>
      <w:r>
        <w:rPr>
          <w:w w:val="99"/>
        </w:rPr>
        <w:t> </w:t>
      </w:r>
      <w:r>
        <w:rPr/>
        <w:t>网站</w:t>
      </w:r>
      <w:r>
        <w:rPr>
          <w:rFonts w:ascii="Arial" w:hAnsi="Arial" w:cs="Arial" w:eastAsia="Arial" w:hint="default"/>
        </w:rPr>
        <w:t>(www.chinaunicom-a.com)</w:t>
      </w:r>
      <w:r>
        <w:rPr/>
        <w:t>披露的相关报告。</w:t>
      </w:r>
    </w:p>
    <w:p>
      <w:pPr>
        <w:spacing w:line="240" w:lineRule="auto" w:before="4"/>
        <w:rPr>
          <w:rFonts w:ascii="宋体" w:hAnsi="宋体" w:cs="宋体" w:eastAsia="宋体" w:hint="default"/>
          <w:sz w:val="16"/>
          <w:szCs w:val="16"/>
        </w:rPr>
      </w:pPr>
    </w:p>
    <w:p>
      <w:pPr>
        <w:pStyle w:val="Heading1"/>
        <w:tabs>
          <w:tab w:pos="1253" w:val="left" w:leader="none"/>
        </w:tabs>
        <w:spacing w:line="240" w:lineRule="auto" w:before="0"/>
        <w:ind w:right="4"/>
        <w:jc w:val="center"/>
        <w:rPr>
          <w:b w:val="0"/>
          <w:bCs w:val="0"/>
        </w:rPr>
      </w:pPr>
      <w:bookmarkStart w:name="_TOC_250006" w:id="5"/>
      <w:r>
        <w:rPr>
          <w:w w:val="95"/>
        </w:rPr>
        <w:t>第五节</w:t>
        <w:tab/>
      </w:r>
      <w:r>
        <w:rPr/>
        <w:t>重要事项</w:t>
      </w:r>
      <w:bookmarkEnd w:id="5"/>
      <w:r>
        <w:rPr>
          <w:b w:val="0"/>
          <w:bCs w:val="0"/>
        </w:rPr>
      </w:r>
    </w:p>
    <w:p>
      <w:pPr>
        <w:spacing w:line="240" w:lineRule="auto" w:before="1"/>
        <w:rPr>
          <w:rFonts w:ascii="宋体" w:hAnsi="宋体" w:cs="宋体" w:eastAsia="宋体" w:hint="default"/>
          <w:b/>
          <w:bCs/>
          <w:sz w:val="22"/>
          <w:szCs w:val="22"/>
        </w:rPr>
      </w:pPr>
    </w:p>
    <w:p>
      <w:pPr>
        <w:spacing w:line="286" w:lineRule="exact" w:before="0"/>
        <w:ind w:left="632" w:right="1342" w:hanging="486"/>
        <w:jc w:val="left"/>
        <w:rPr>
          <w:rFonts w:ascii="宋体" w:hAnsi="宋体" w:cs="宋体" w:eastAsia="宋体" w:hint="default"/>
          <w:sz w:val="22"/>
          <w:szCs w:val="22"/>
        </w:rPr>
      </w:pPr>
      <w:r>
        <w:rPr>
          <w:rFonts w:ascii="宋体" w:hAnsi="宋体" w:cs="宋体" w:eastAsia="宋体" w:hint="default"/>
          <w:b/>
          <w:bCs/>
          <w:sz w:val="22"/>
          <w:szCs w:val="22"/>
        </w:rPr>
        <w:t>一、重大诉讼、仲裁和媒体普遍质疑的事项</w:t>
      </w:r>
      <w:r>
        <w:rPr>
          <w:rFonts w:ascii="宋体" w:hAnsi="宋体" w:cs="宋体" w:eastAsia="宋体" w:hint="default"/>
          <w:b/>
          <w:bCs/>
          <w:spacing w:val="1"/>
          <w:w w:val="99"/>
          <w:sz w:val="22"/>
          <w:szCs w:val="22"/>
        </w:rPr>
        <w:t> </w:t>
      </w:r>
      <w:r>
        <w:rPr>
          <w:rFonts w:ascii="宋体" w:hAnsi="宋体" w:cs="宋体" w:eastAsia="宋体" w:hint="default"/>
          <w:w w:val="95"/>
          <w:sz w:val="22"/>
          <w:szCs w:val="22"/>
        </w:rPr>
        <w:t>本年度公司无重大诉讼、仲裁和媒体质疑事项。</w:t>
      </w:r>
      <w:r>
        <w:rPr>
          <w:rFonts w:ascii="宋体" w:hAnsi="宋体" w:cs="宋体" w:eastAsia="宋体" w:hint="default"/>
          <w:sz w:val="22"/>
          <w:szCs w:val="22"/>
        </w:rPr>
      </w:r>
    </w:p>
    <w:p>
      <w:pPr>
        <w:spacing w:line="240" w:lineRule="auto" w:before="1"/>
        <w:rPr>
          <w:rFonts w:ascii="宋体" w:hAnsi="宋体" w:cs="宋体" w:eastAsia="宋体" w:hint="default"/>
          <w:sz w:val="17"/>
          <w:szCs w:val="17"/>
        </w:rPr>
      </w:pPr>
    </w:p>
    <w:p>
      <w:pPr>
        <w:pStyle w:val="Heading3"/>
        <w:spacing w:line="287" w:lineRule="exact" w:before="0"/>
        <w:ind w:right="0"/>
        <w:jc w:val="left"/>
        <w:rPr>
          <w:b w:val="0"/>
          <w:bCs w:val="0"/>
        </w:rPr>
      </w:pPr>
      <w:r>
        <w:rPr/>
        <w:t>二、报告期内资金被占用情况及清欠进展情况</w:t>
      </w:r>
      <w:r>
        <w:rPr>
          <w:b w:val="0"/>
          <w:bCs w:val="0"/>
        </w:rPr>
      </w:r>
    </w:p>
    <w:p>
      <w:pPr>
        <w:pStyle w:val="BodyText"/>
        <w:spacing w:line="302" w:lineRule="exact"/>
        <w:ind w:left="641" w:right="0"/>
        <w:jc w:val="left"/>
      </w:pPr>
      <w:r>
        <w:rPr>
          <w:rFonts w:ascii="Arial" w:hAnsi="Arial" w:cs="Arial" w:eastAsia="Arial" w:hint="default"/>
        </w:rPr>
        <w:t>√</w:t>
      </w:r>
      <w:r>
        <w:rPr>
          <w:rFonts w:ascii="Arial" w:hAnsi="Arial" w:cs="Arial" w:eastAsia="Arial" w:hint="default"/>
          <w:spacing w:val="46"/>
        </w:rPr>
        <w:t> </w:t>
      </w:r>
      <w:r>
        <w:rPr/>
        <w:t>不适用</w:t>
      </w:r>
    </w:p>
    <w:p>
      <w:pPr>
        <w:spacing w:line="240" w:lineRule="auto" w:before="3"/>
        <w:rPr>
          <w:rFonts w:ascii="宋体" w:hAnsi="宋体" w:cs="宋体" w:eastAsia="宋体" w:hint="default"/>
          <w:sz w:val="20"/>
          <w:szCs w:val="20"/>
        </w:rPr>
      </w:pPr>
    </w:p>
    <w:p>
      <w:pPr>
        <w:spacing w:line="284" w:lineRule="exact" w:before="0"/>
        <w:ind w:left="641" w:right="5442" w:hanging="496"/>
        <w:jc w:val="left"/>
        <w:rPr>
          <w:rFonts w:ascii="宋体" w:hAnsi="宋体" w:cs="宋体" w:eastAsia="宋体" w:hint="default"/>
          <w:sz w:val="22"/>
          <w:szCs w:val="22"/>
        </w:rPr>
      </w:pPr>
      <w:r>
        <w:rPr>
          <w:rFonts w:ascii="宋体" w:hAnsi="宋体" w:cs="宋体" w:eastAsia="宋体" w:hint="default"/>
          <w:b/>
          <w:bCs/>
          <w:sz w:val="22"/>
          <w:szCs w:val="22"/>
        </w:rPr>
        <w:t>三、破产重整相关事项</w:t>
      </w:r>
      <w:r>
        <w:rPr>
          <w:rFonts w:ascii="宋体" w:hAnsi="宋体" w:cs="宋体" w:eastAsia="宋体" w:hint="default"/>
          <w:b/>
          <w:bCs/>
          <w:spacing w:val="1"/>
          <w:w w:val="99"/>
          <w:sz w:val="22"/>
          <w:szCs w:val="22"/>
        </w:rPr>
        <w:t> </w:t>
      </w:r>
      <w:r>
        <w:rPr>
          <w:rFonts w:ascii="宋体" w:hAnsi="宋体" w:cs="宋体" w:eastAsia="宋体" w:hint="default"/>
          <w:w w:val="95"/>
          <w:sz w:val="22"/>
          <w:szCs w:val="22"/>
        </w:rPr>
        <w:t>本年度公司无破产重整相关事项。</w:t>
      </w:r>
      <w:r>
        <w:rPr>
          <w:rFonts w:ascii="宋体" w:hAnsi="宋体" w:cs="宋体" w:eastAsia="宋体" w:hint="default"/>
          <w:sz w:val="22"/>
          <w:szCs w:val="22"/>
        </w:rPr>
      </w:r>
    </w:p>
    <w:p>
      <w:pPr>
        <w:spacing w:after="0" w:line="284" w:lineRule="exact"/>
        <w:jc w:val="left"/>
        <w:rPr>
          <w:rFonts w:ascii="宋体" w:hAnsi="宋体" w:cs="宋体" w:eastAsia="宋体" w:hint="default"/>
          <w:sz w:val="22"/>
          <w:szCs w:val="22"/>
        </w:rPr>
        <w:sectPr>
          <w:pgSz w:w="11910" w:h="16840"/>
          <w:pgMar w:header="567" w:footer="745" w:top="800" w:bottom="940" w:left="1380" w:right="740"/>
        </w:sectPr>
      </w:pPr>
    </w:p>
    <w:p>
      <w:pPr>
        <w:spacing w:line="240" w:lineRule="auto" w:before="8"/>
        <w:rPr>
          <w:rFonts w:ascii="宋体" w:hAnsi="宋体" w:cs="宋体" w:eastAsia="宋体" w:hint="default"/>
          <w:sz w:val="22"/>
          <w:szCs w:val="22"/>
        </w:rPr>
      </w:pPr>
    </w:p>
    <w:p>
      <w:pPr>
        <w:spacing w:line="448" w:lineRule="auto" w:before="31"/>
        <w:ind w:left="641" w:right="0" w:hanging="496"/>
        <w:jc w:val="left"/>
        <w:rPr>
          <w:rFonts w:ascii="宋体" w:hAnsi="宋体" w:cs="宋体" w:eastAsia="宋体" w:hint="default"/>
          <w:sz w:val="22"/>
          <w:szCs w:val="22"/>
        </w:rPr>
      </w:pPr>
      <w:r>
        <w:rPr>
          <w:rFonts w:ascii="宋体" w:hAnsi="宋体" w:cs="宋体" w:eastAsia="宋体" w:hint="default"/>
          <w:b/>
          <w:bCs/>
          <w:sz w:val="22"/>
          <w:szCs w:val="22"/>
        </w:rPr>
        <w:t>四、资产交易、企业合并事项</w:t>
      </w:r>
      <w:r>
        <w:rPr>
          <w:rFonts w:ascii="宋体" w:hAnsi="宋体" w:cs="宋体" w:eastAsia="宋体" w:hint="default"/>
          <w:b/>
          <w:bCs/>
          <w:spacing w:val="1"/>
          <w:w w:val="99"/>
          <w:sz w:val="22"/>
          <w:szCs w:val="22"/>
        </w:rPr>
        <w:t> </w:t>
      </w:r>
      <w:r>
        <w:rPr>
          <w:rFonts w:ascii="宋体" w:hAnsi="宋体" w:cs="宋体" w:eastAsia="宋体" w:hint="default"/>
          <w:w w:val="95"/>
          <w:sz w:val="22"/>
          <w:szCs w:val="22"/>
        </w:rPr>
        <w:t>公司收购、出售资产和企业合并事项已在临时公告披露且后续实施无变化的</w:t>
      </w:r>
      <w:r>
        <w:rPr>
          <w:rFonts w:ascii="宋体" w:hAnsi="宋体" w:cs="宋体" w:eastAsia="宋体" w:hint="default"/>
          <w:sz w:val="22"/>
          <w:szCs w:val="22"/>
        </w:rPr>
      </w:r>
    </w:p>
    <w:p>
      <w:pPr>
        <w:spacing w:line="240" w:lineRule="auto" w:before="3"/>
        <w:rPr>
          <w:rFonts w:ascii="宋体" w:hAnsi="宋体" w:cs="宋体" w:eastAsia="宋体" w:hint="default"/>
          <w:sz w:val="7"/>
          <w:szCs w:val="7"/>
        </w:rPr>
      </w:pPr>
    </w:p>
    <w:tbl>
      <w:tblPr>
        <w:tblW w:w="0" w:type="auto"/>
        <w:jc w:val="left"/>
        <w:tblInd w:w="634" w:type="dxa"/>
        <w:tblLayout w:type="fixed"/>
        <w:tblCellMar>
          <w:top w:w="0" w:type="dxa"/>
          <w:left w:w="0" w:type="dxa"/>
          <w:bottom w:w="0" w:type="dxa"/>
          <w:right w:w="0" w:type="dxa"/>
        </w:tblCellMar>
        <w:tblLook w:val="01E0"/>
      </w:tblPr>
      <w:tblGrid>
        <w:gridCol w:w="4698"/>
        <w:gridCol w:w="4320"/>
      </w:tblGrid>
      <w:tr>
        <w:trPr>
          <w:trHeight w:val="301" w:hRule="exact"/>
        </w:trPr>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3"/>
              <w:jc w:val="center"/>
              <w:rPr>
                <w:rFonts w:ascii="宋体" w:hAnsi="宋体" w:cs="宋体" w:eastAsia="宋体" w:hint="default"/>
                <w:sz w:val="22"/>
                <w:szCs w:val="22"/>
              </w:rPr>
            </w:pPr>
            <w:r>
              <w:rPr>
                <w:rFonts w:ascii="宋体" w:hAnsi="宋体" w:cs="宋体" w:eastAsia="宋体" w:hint="default"/>
                <w:sz w:val="22"/>
                <w:szCs w:val="22"/>
              </w:rPr>
              <w:t>事项概述及类型</w:t>
            </w:r>
          </w:p>
        </w:tc>
        <w:tc>
          <w:tcPr>
            <w:tcW w:w="432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2"/>
              <w:jc w:val="center"/>
              <w:rPr>
                <w:rFonts w:ascii="宋体" w:hAnsi="宋体" w:cs="宋体" w:eastAsia="宋体" w:hint="default"/>
                <w:sz w:val="22"/>
                <w:szCs w:val="22"/>
              </w:rPr>
            </w:pPr>
            <w:r>
              <w:rPr>
                <w:rFonts w:ascii="宋体" w:hAnsi="宋体" w:cs="宋体" w:eastAsia="宋体" w:hint="default"/>
                <w:sz w:val="22"/>
                <w:szCs w:val="22"/>
              </w:rPr>
              <w:t>查询索引</w:t>
            </w:r>
          </w:p>
        </w:tc>
      </w:tr>
      <w:tr>
        <w:trPr>
          <w:trHeight w:val="8219" w:hRule="exact"/>
        </w:trPr>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99" w:right="0"/>
              <w:jc w:val="left"/>
              <w:rPr>
                <w:rFonts w:ascii="宋体" w:hAnsi="宋体" w:cs="宋体" w:eastAsia="宋体" w:hint="default"/>
                <w:sz w:val="22"/>
                <w:szCs w:val="22"/>
              </w:rPr>
            </w:pPr>
            <w:r>
              <w:rPr>
                <w:rFonts w:ascii="Arial" w:hAnsi="Arial" w:cs="Arial" w:eastAsia="Arial" w:hint="default"/>
                <w:sz w:val="22"/>
                <w:szCs w:val="22"/>
              </w:rPr>
              <w:t>1.</w:t>
            </w:r>
            <w:r>
              <w:rPr>
                <w:rFonts w:ascii="宋体" w:hAnsi="宋体" w:cs="宋体" w:eastAsia="宋体" w:hint="default"/>
                <w:sz w:val="22"/>
                <w:szCs w:val="22"/>
              </w:rPr>
              <w:t>联通集团于</w:t>
            </w:r>
            <w:r>
              <w:rPr>
                <w:rFonts w:ascii="宋体" w:hAnsi="宋体" w:cs="宋体" w:eastAsia="宋体" w:hint="default"/>
                <w:spacing w:val="-73"/>
                <w:sz w:val="22"/>
                <w:szCs w:val="22"/>
              </w:rPr>
              <w:t> </w:t>
            </w:r>
            <w:r>
              <w:rPr>
                <w:rFonts w:ascii="Arial" w:hAnsi="Arial" w:cs="Arial" w:eastAsia="Arial" w:hint="default"/>
                <w:sz w:val="22"/>
                <w:szCs w:val="22"/>
              </w:rPr>
              <w:t>2012</w:t>
            </w:r>
            <w:r>
              <w:rPr>
                <w:rFonts w:ascii="Arial" w:hAnsi="Arial" w:cs="Arial" w:eastAsia="Arial" w:hint="default"/>
                <w:spacing w:val="-24"/>
                <w:sz w:val="22"/>
                <w:szCs w:val="22"/>
              </w:rPr>
              <w:t> </w:t>
            </w:r>
            <w:r>
              <w:rPr>
                <w:rFonts w:ascii="宋体" w:hAnsi="宋体" w:cs="宋体" w:eastAsia="宋体" w:hint="default"/>
                <w:sz w:val="22"/>
                <w:szCs w:val="22"/>
              </w:rPr>
              <w:t>年</w:t>
            </w:r>
            <w:r>
              <w:rPr>
                <w:rFonts w:ascii="宋体" w:hAnsi="宋体" w:cs="宋体" w:eastAsia="宋体" w:hint="default"/>
                <w:spacing w:val="-73"/>
                <w:sz w:val="22"/>
                <w:szCs w:val="22"/>
              </w:rPr>
              <w:t> </w:t>
            </w:r>
            <w:r>
              <w:rPr>
                <w:rFonts w:ascii="Arial" w:hAnsi="Arial" w:cs="Arial" w:eastAsia="Arial" w:hint="default"/>
                <w:sz w:val="22"/>
                <w:szCs w:val="22"/>
              </w:rPr>
              <w:t>11</w:t>
            </w:r>
            <w:r>
              <w:rPr>
                <w:rFonts w:ascii="Arial" w:hAnsi="Arial" w:cs="Arial" w:eastAsia="Arial" w:hint="default"/>
                <w:spacing w:val="-24"/>
                <w:sz w:val="22"/>
                <w:szCs w:val="22"/>
              </w:rPr>
              <w:t> </w:t>
            </w:r>
            <w:r>
              <w:rPr>
                <w:rFonts w:ascii="宋体" w:hAnsi="宋体" w:cs="宋体" w:eastAsia="宋体" w:hint="default"/>
                <w:sz w:val="22"/>
                <w:szCs w:val="22"/>
              </w:rPr>
              <w:t>月</w:t>
            </w:r>
            <w:r>
              <w:rPr>
                <w:rFonts w:ascii="宋体" w:hAnsi="宋体" w:cs="宋体" w:eastAsia="宋体" w:hint="default"/>
                <w:spacing w:val="-73"/>
                <w:sz w:val="22"/>
                <w:szCs w:val="22"/>
              </w:rPr>
              <w:t> </w:t>
            </w:r>
            <w:r>
              <w:rPr>
                <w:rFonts w:ascii="Arial" w:hAnsi="Arial" w:cs="Arial" w:eastAsia="Arial" w:hint="default"/>
                <w:sz w:val="22"/>
                <w:szCs w:val="22"/>
              </w:rPr>
              <w:t>21</w:t>
            </w:r>
            <w:r>
              <w:rPr>
                <w:rFonts w:ascii="Arial" w:hAnsi="Arial" w:cs="Arial" w:eastAsia="Arial" w:hint="default"/>
                <w:spacing w:val="-24"/>
                <w:sz w:val="22"/>
                <w:szCs w:val="22"/>
              </w:rPr>
              <w:t> </w:t>
            </w:r>
            <w:r>
              <w:rPr>
                <w:rFonts w:ascii="宋体" w:hAnsi="宋体" w:cs="宋体" w:eastAsia="宋体" w:hint="default"/>
                <w:sz w:val="22"/>
                <w:szCs w:val="22"/>
              </w:rPr>
              <w:t>日与本公司签署</w:t>
            </w:r>
          </w:p>
          <w:p>
            <w:pPr>
              <w:pStyle w:val="TableParagraph"/>
              <w:spacing w:line="232" w:lineRule="auto"/>
              <w:ind w:left="99" w:right="183"/>
              <w:jc w:val="left"/>
              <w:rPr>
                <w:rFonts w:ascii="宋体" w:hAnsi="宋体" w:cs="宋体" w:eastAsia="宋体" w:hint="default"/>
                <w:sz w:val="22"/>
                <w:szCs w:val="22"/>
              </w:rPr>
            </w:pPr>
            <w:r>
              <w:rPr>
                <w:rFonts w:ascii="宋体" w:hAnsi="宋体" w:cs="宋体" w:eastAsia="宋体" w:hint="default"/>
                <w:sz w:val="22"/>
                <w:szCs w:val="22"/>
              </w:rPr>
              <w:t>《关于联通新时空通信有限公司的股权转让协</w:t>
            </w:r>
            <w:r>
              <w:rPr>
                <w:rFonts w:ascii="宋体" w:hAnsi="宋体" w:cs="宋体" w:eastAsia="宋体" w:hint="default"/>
                <w:w w:val="99"/>
                <w:sz w:val="22"/>
                <w:szCs w:val="22"/>
              </w:rPr>
              <w:t> </w:t>
            </w:r>
            <w:r>
              <w:rPr>
                <w:rFonts w:ascii="宋体" w:hAnsi="宋体" w:cs="宋体" w:eastAsia="宋体" w:hint="default"/>
                <w:sz w:val="22"/>
                <w:szCs w:val="22"/>
              </w:rPr>
              <w:t>议》（简称“股权转让协议”）。据此：</w:t>
            </w:r>
            <w:r>
              <w:rPr>
                <w:rFonts w:ascii="Arial" w:hAnsi="Arial" w:cs="Arial" w:eastAsia="Arial" w:hint="default"/>
                <w:sz w:val="22"/>
                <w:szCs w:val="22"/>
              </w:rPr>
              <w:t>1)</w:t>
            </w:r>
            <w:r>
              <w:rPr>
                <w:rFonts w:ascii="宋体" w:hAnsi="宋体" w:cs="宋体" w:eastAsia="宋体" w:hint="default"/>
                <w:sz w:val="22"/>
                <w:szCs w:val="22"/>
              </w:rPr>
              <w:t>本</w:t>
            </w:r>
            <w:r>
              <w:rPr>
                <w:rFonts w:ascii="宋体" w:hAnsi="宋体" w:cs="宋体" w:eastAsia="宋体" w:hint="default"/>
                <w:w w:val="99"/>
                <w:sz w:val="22"/>
                <w:szCs w:val="22"/>
              </w:rPr>
              <w:t> </w:t>
            </w:r>
            <w:r>
              <w:rPr>
                <w:rFonts w:ascii="宋体" w:hAnsi="宋体" w:cs="宋体" w:eastAsia="宋体" w:hint="default"/>
                <w:sz w:val="22"/>
                <w:szCs w:val="22"/>
              </w:rPr>
              <w:t>公司将向联通集团收购其拥有的联通新时空</w:t>
            </w:r>
            <w:r>
              <w:rPr>
                <w:rFonts w:ascii="宋体" w:hAnsi="宋体" w:cs="宋体" w:eastAsia="宋体" w:hint="default"/>
                <w:w w:val="99"/>
                <w:sz w:val="22"/>
                <w:szCs w:val="22"/>
              </w:rPr>
              <w:t> </w:t>
            </w:r>
            <w:r>
              <w:rPr>
                <w:rFonts w:ascii="Arial" w:hAnsi="Arial" w:cs="Arial" w:eastAsia="Arial" w:hint="default"/>
                <w:sz w:val="22"/>
                <w:szCs w:val="22"/>
              </w:rPr>
              <w:t>100%</w:t>
            </w:r>
            <w:r>
              <w:rPr>
                <w:rFonts w:ascii="宋体" w:hAnsi="宋体" w:cs="宋体" w:eastAsia="宋体" w:hint="default"/>
                <w:sz w:val="22"/>
                <w:szCs w:val="22"/>
              </w:rPr>
              <w:t>的股权；</w:t>
            </w:r>
            <w:r>
              <w:rPr>
                <w:rFonts w:ascii="Arial" w:hAnsi="Arial" w:cs="Arial" w:eastAsia="Arial" w:hint="default"/>
                <w:sz w:val="22"/>
                <w:szCs w:val="22"/>
              </w:rPr>
              <w:t>2)</w:t>
            </w:r>
            <w:r>
              <w:rPr>
                <w:rFonts w:ascii="宋体" w:hAnsi="宋体" w:cs="宋体" w:eastAsia="宋体" w:hint="default"/>
                <w:sz w:val="22"/>
                <w:szCs w:val="22"/>
              </w:rPr>
              <w:t>本次收购的对价为人民币</w:t>
            </w:r>
          </w:p>
          <w:p>
            <w:pPr>
              <w:pStyle w:val="TableParagraph"/>
              <w:spacing w:line="287" w:lineRule="exact"/>
              <w:ind w:left="99" w:right="0"/>
              <w:jc w:val="left"/>
              <w:rPr>
                <w:rFonts w:ascii="宋体" w:hAnsi="宋体" w:cs="宋体" w:eastAsia="宋体" w:hint="default"/>
                <w:sz w:val="22"/>
                <w:szCs w:val="22"/>
              </w:rPr>
            </w:pPr>
            <w:r>
              <w:rPr>
                <w:rFonts w:ascii="Arial" w:hAnsi="Arial" w:cs="Arial" w:eastAsia="Arial" w:hint="default"/>
                <w:sz w:val="22"/>
                <w:szCs w:val="22"/>
              </w:rPr>
              <w:t>12,165,750,000</w:t>
            </w:r>
            <w:r>
              <w:rPr>
                <w:rFonts w:ascii="Arial" w:hAnsi="Arial" w:cs="Arial" w:eastAsia="Arial" w:hint="default"/>
                <w:spacing w:val="-12"/>
                <w:sz w:val="22"/>
                <w:szCs w:val="22"/>
              </w:rPr>
              <w:t> </w:t>
            </w:r>
            <w:r>
              <w:rPr>
                <w:rFonts w:ascii="宋体" w:hAnsi="宋体" w:cs="宋体" w:eastAsia="宋体" w:hint="default"/>
                <w:sz w:val="22"/>
                <w:szCs w:val="22"/>
              </w:rPr>
              <w:t>元。</w:t>
            </w:r>
          </w:p>
          <w:p>
            <w:pPr>
              <w:pStyle w:val="TableParagraph"/>
              <w:spacing w:line="240" w:lineRule="auto" w:before="10"/>
              <w:ind w:right="0"/>
              <w:jc w:val="left"/>
              <w:rPr>
                <w:rFonts w:ascii="宋体" w:hAnsi="宋体" w:cs="宋体" w:eastAsia="宋体" w:hint="default"/>
                <w:sz w:val="18"/>
                <w:szCs w:val="18"/>
              </w:rPr>
            </w:pPr>
          </w:p>
          <w:p>
            <w:pPr>
              <w:pStyle w:val="TableParagraph"/>
              <w:spacing w:line="230" w:lineRule="auto"/>
              <w:ind w:left="99" w:right="101"/>
              <w:jc w:val="left"/>
              <w:rPr>
                <w:rFonts w:ascii="宋体" w:hAnsi="宋体" w:cs="宋体" w:eastAsia="宋体" w:hint="default"/>
                <w:sz w:val="22"/>
                <w:szCs w:val="22"/>
              </w:rPr>
            </w:pPr>
            <w:r>
              <w:rPr>
                <w:rFonts w:ascii="Arial" w:hAnsi="Arial" w:cs="Arial" w:eastAsia="Arial" w:hint="default"/>
                <w:sz w:val="22"/>
                <w:szCs w:val="22"/>
              </w:rPr>
              <w:t>2.</w:t>
            </w:r>
            <w:r>
              <w:rPr>
                <w:rFonts w:ascii="宋体" w:hAnsi="宋体" w:cs="宋体" w:eastAsia="宋体" w:hint="default"/>
                <w:sz w:val="22"/>
                <w:szCs w:val="22"/>
              </w:rPr>
              <w:t>本公司于</w:t>
            </w:r>
            <w:r>
              <w:rPr>
                <w:rFonts w:ascii="宋体" w:hAnsi="宋体" w:cs="宋体" w:eastAsia="宋体" w:hint="default"/>
                <w:spacing w:val="-73"/>
                <w:sz w:val="22"/>
                <w:szCs w:val="22"/>
              </w:rPr>
              <w:t> </w:t>
            </w:r>
            <w:r>
              <w:rPr>
                <w:rFonts w:ascii="Arial" w:hAnsi="Arial" w:cs="Arial" w:eastAsia="Arial" w:hint="default"/>
                <w:sz w:val="22"/>
                <w:szCs w:val="22"/>
              </w:rPr>
              <w:t>2012</w:t>
            </w:r>
            <w:r>
              <w:rPr>
                <w:rFonts w:ascii="Arial" w:hAnsi="Arial" w:cs="Arial" w:eastAsia="Arial" w:hint="default"/>
                <w:spacing w:val="-23"/>
                <w:sz w:val="22"/>
                <w:szCs w:val="22"/>
              </w:rPr>
              <w:t> </w:t>
            </w:r>
            <w:r>
              <w:rPr>
                <w:rFonts w:ascii="宋体" w:hAnsi="宋体" w:cs="宋体" w:eastAsia="宋体" w:hint="default"/>
                <w:sz w:val="22"/>
                <w:szCs w:val="22"/>
              </w:rPr>
              <w:t>年</w:t>
            </w:r>
            <w:r>
              <w:rPr>
                <w:rFonts w:ascii="宋体" w:hAnsi="宋体" w:cs="宋体" w:eastAsia="宋体" w:hint="default"/>
                <w:spacing w:val="-73"/>
                <w:sz w:val="22"/>
                <w:szCs w:val="22"/>
              </w:rPr>
              <w:t> </w:t>
            </w:r>
            <w:r>
              <w:rPr>
                <w:rFonts w:ascii="Arial" w:hAnsi="Arial" w:cs="Arial" w:eastAsia="Arial" w:hint="default"/>
                <w:sz w:val="22"/>
                <w:szCs w:val="22"/>
              </w:rPr>
              <w:t>11</w:t>
            </w:r>
            <w:r>
              <w:rPr>
                <w:rFonts w:ascii="Arial" w:hAnsi="Arial" w:cs="Arial" w:eastAsia="Arial" w:hint="default"/>
                <w:spacing w:val="-23"/>
                <w:sz w:val="22"/>
                <w:szCs w:val="22"/>
              </w:rPr>
              <w:t> </w:t>
            </w:r>
            <w:r>
              <w:rPr>
                <w:rFonts w:ascii="宋体" w:hAnsi="宋体" w:cs="宋体" w:eastAsia="宋体" w:hint="default"/>
                <w:sz w:val="22"/>
                <w:szCs w:val="22"/>
              </w:rPr>
              <w:t>月</w:t>
            </w:r>
            <w:r>
              <w:rPr>
                <w:rFonts w:ascii="宋体" w:hAnsi="宋体" w:cs="宋体" w:eastAsia="宋体" w:hint="default"/>
                <w:spacing w:val="-72"/>
                <w:sz w:val="22"/>
                <w:szCs w:val="22"/>
              </w:rPr>
              <w:t> </w:t>
            </w:r>
            <w:r>
              <w:rPr>
                <w:rFonts w:ascii="Arial" w:hAnsi="Arial" w:cs="Arial" w:eastAsia="Arial" w:hint="default"/>
                <w:sz w:val="22"/>
                <w:szCs w:val="22"/>
              </w:rPr>
              <w:t>21</w:t>
            </w:r>
            <w:r>
              <w:rPr>
                <w:rFonts w:ascii="Arial" w:hAnsi="Arial" w:cs="Arial" w:eastAsia="Arial" w:hint="default"/>
                <w:spacing w:val="-24"/>
                <w:sz w:val="22"/>
                <w:szCs w:val="22"/>
              </w:rPr>
              <w:t> </w:t>
            </w:r>
            <w:r>
              <w:rPr>
                <w:rFonts w:ascii="宋体" w:hAnsi="宋体" w:cs="宋体" w:eastAsia="宋体" w:hint="default"/>
                <w:sz w:val="22"/>
                <w:szCs w:val="22"/>
              </w:rPr>
              <w:t>日与联通运营公司</w:t>
            </w:r>
            <w:r>
              <w:rPr>
                <w:rFonts w:ascii="宋体" w:hAnsi="宋体" w:cs="宋体" w:eastAsia="宋体" w:hint="default"/>
                <w:w w:val="99"/>
                <w:sz w:val="22"/>
                <w:szCs w:val="22"/>
              </w:rPr>
              <w:t> </w:t>
            </w:r>
            <w:r>
              <w:rPr>
                <w:rFonts w:ascii="宋体" w:hAnsi="宋体" w:cs="宋体" w:eastAsia="宋体" w:hint="default"/>
                <w:sz w:val="22"/>
                <w:szCs w:val="22"/>
              </w:rPr>
              <w:t>签署《关于联通新时空通信有限公司的股权转</w:t>
            </w:r>
            <w:r>
              <w:rPr>
                <w:rFonts w:ascii="宋体" w:hAnsi="宋体" w:cs="宋体" w:eastAsia="宋体" w:hint="default"/>
                <w:w w:val="99"/>
                <w:sz w:val="22"/>
                <w:szCs w:val="22"/>
              </w:rPr>
              <w:t> </w:t>
            </w:r>
            <w:r>
              <w:rPr>
                <w:rFonts w:ascii="宋体" w:hAnsi="宋体" w:cs="宋体" w:eastAsia="宋体" w:hint="default"/>
                <w:sz w:val="22"/>
                <w:szCs w:val="22"/>
              </w:rPr>
              <w:t>让协议》（简称“股权再转让协议”）。根据</w:t>
            </w:r>
            <w:r>
              <w:rPr>
                <w:rFonts w:ascii="宋体" w:hAnsi="宋体" w:cs="宋体" w:eastAsia="宋体" w:hint="default"/>
                <w:w w:val="99"/>
                <w:sz w:val="22"/>
                <w:szCs w:val="22"/>
              </w:rPr>
              <w:t> </w:t>
            </w:r>
            <w:r>
              <w:rPr>
                <w:rFonts w:ascii="宋体" w:hAnsi="宋体" w:cs="宋体" w:eastAsia="宋体" w:hint="default"/>
                <w:sz w:val="22"/>
                <w:szCs w:val="22"/>
              </w:rPr>
              <w:t>该协议，本公司将以人民币</w:t>
            </w:r>
            <w:r>
              <w:rPr>
                <w:rFonts w:ascii="宋体" w:hAnsi="宋体" w:cs="宋体" w:eastAsia="宋体" w:hint="default"/>
                <w:spacing w:val="-65"/>
                <w:sz w:val="22"/>
                <w:szCs w:val="22"/>
              </w:rPr>
              <w:t> </w:t>
            </w:r>
            <w:r>
              <w:rPr>
                <w:rFonts w:ascii="Arial" w:hAnsi="Arial" w:cs="Arial" w:eastAsia="Arial" w:hint="default"/>
                <w:sz w:val="22"/>
                <w:szCs w:val="22"/>
              </w:rPr>
              <w:t>12,165,750,000</w:t>
            </w:r>
            <w:r>
              <w:rPr>
                <w:rFonts w:ascii="Arial" w:hAnsi="Arial" w:cs="Arial" w:eastAsia="Arial" w:hint="default"/>
                <w:spacing w:val="-18"/>
                <w:sz w:val="22"/>
                <w:szCs w:val="22"/>
              </w:rPr>
              <w:t> </w:t>
            </w:r>
            <w:r>
              <w:rPr>
                <w:rFonts w:ascii="宋体" w:hAnsi="宋体" w:cs="宋体" w:eastAsia="宋体" w:hint="default"/>
                <w:sz w:val="22"/>
                <w:szCs w:val="22"/>
              </w:rPr>
              <w:t>元</w:t>
            </w:r>
            <w:r>
              <w:rPr>
                <w:rFonts w:ascii="宋体" w:hAnsi="宋体" w:cs="宋体" w:eastAsia="宋体" w:hint="default"/>
                <w:w w:val="99"/>
                <w:sz w:val="22"/>
                <w:szCs w:val="22"/>
              </w:rPr>
              <w:t> </w:t>
            </w:r>
            <w:r>
              <w:rPr>
                <w:rFonts w:ascii="宋体" w:hAnsi="宋体" w:cs="宋体" w:eastAsia="宋体" w:hint="default"/>
                <w:sz w:val="22"/>
                <w:szCs w:val="22"/>
              </w:rPr>
              <w:t>将联通新时空的</w:t>
            </w:r>
            <w:r>
              <w:rPr>
                <w:rFonts w:ascii="宋体" w:hAnsi="宋体" w:cs="宋体" w:eastAsia="宋体" w:hint="default"/>
                <w:spacing w:val="-57"/>
                <w:sz w:val="22"/>
                <w:szCs w:val="22"/>
              </w:rPr>
              <w:t> </w:t>
            </w:r>
            <w:r>
              <w:rPr>
                <w:rFonts w:ascii="Arial" w:hAnsi="Arial" w:cs="Arial" w:eastAsia="Arial" w:hint="default"/>
                <w:sz w:val="22"/>
                <w:szCs w:val="22"/>
              </w:rPr>
              <w:t>100%</w:t>
            </w:r>
            <w:r>
              <w:rPr>
                <w:rFonts w:ascii="宋体" w:hAnsi="宋体" w:cs="宋体" w:eastAsia="宋体" w:hint="default"/>
                <w:sz w:val="22"/>
                <w:szCs w:val="22"/>
              </w:rPr>
              <w:t>股权出售给联通运营公</w:t>
            </w:r>
            <w:r>
              <w:rPr>
                <w:rFonts w:ascii="宋体" w:hAnsi="宋体" w:cs="宋体" w:eastAsia="宋体" w:hint="default"/>
                <w:w w:val="99"/>
                <w:sz w:val="22"/>
                <w:szCs w:val="22"/>
              </w:rPr>
              <w:t> </w:t>
            </w:r>
            <w:r>
              <w:rPr>
                <w:rFonts w:ascii="宋体" w:hAnsi="宋体" w:cs="宋体" w:eastAsia="宋体" w:hint="default"/>
                <w:sz w:val="22"/>
                <w:szCs w:val="22"/>
              </w:rPr>
              <w:t>司。</w:t>
            </w: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30" w:lineRule="auto"/>
              <w:ind w:left="99" w:right="162"/>
              <w:jc w:val="both"/>
              <w:rPr>
                <w:rFonts w:ascii="Arial" w:hAnsi="Arial" w:cs="Arial" w:eastAsia="Arial" w:hint="default"/>
                <w:sz w:val="22"/>
                <w:szCs w:val="22"/>
              </w:rPr>
            </w:pPr>
            <w:r>
              <w:rPr>
                <w:rFonts w:ascii="Arial" w:hAnsi="Arial" w:cs="Arial" w:eastAsia="Arial" w:hint="default"/>
                <w:sz w:val="22"/>
                <w:szCs w:val="22"/>
              </w:rPr>
              <w:t>3.</w:t>
            </w:r>
            <w:r>
              <w:rPr>
                <w:rFonts w:ascii="宋体" w:hAnsi="宋体" w:cs="宋体" w:eastAsia="宋体" w:hint="default"/>
                <w:sz w:val="22"/>
                <w:szCs w:val="22"/>
              </w:rPr>
              <w:t>上述本公司与联通集团签署的关于股权转让</w:t>
            </w:r>
            <w:r>
              <w:rPr>
                <w:rFonts w:ascii="宋体" w:hAnsi="宋体" w:cs="宋体" w:eastAsia="宋体" w:hint="default"/>
                <w:w w:val="99"/>
                <w:sz w:val="22"/>
                <w:szCs w:val="22"/>
              </w:rPr>
              <w:t> </w:t>
            </w:r>
            <w:r>
              <w:rPr>
                <w:rFonts w:ascii="宋体" w:hAnsi="宋体" w:cs="宋体" w:eastAsia="宋体" w:hint="default"/>
                <w:sz w:val="22"/>
                <w:szCs w:val="22"/>
              </w:rPr>
              <w:t>协议的议案以及本公司与联通运营公司签署的</w:t>
            </w:r>
            <w:r>
              <w:rPr>
                <w:rFonts w:ascii="宋体" w:hAnsi="宋体" w:cs="宋体" w:eastAsia="宋体" w:hint="default"/>
                <w:w w:val="99"/>
                <w:sz w:val="22"/>
                <w:szCs w:val="22"/>
              </w:rPr>
              <w:t> </w:t>
            </w:r>
            <w:r>
              <w:rPr>
                <w:rFonts w:ascii="宋体" w:hAnsi="宋体" w:cs="宋体" w:eastAsia="宋体" w:hint="default"/>
                <w:sz w:val="22"/>
                <w:szCs w:val="22"/>
              </w:rPr>
              <w:t>关于股权再转让协议的议案于公司</w:t>
            </w:r>
            <w:r>
              <w:rPr>
                <w:rFonts w:ascii="宋体" w:hAnsi="宋体" w:cs="宋体" w:eastAsia="宋体" w:hint="default"/>
                <w:spacing w:val="-56"/>
                <w:sz w:val="22"/>
                <w:szCs w:val="22"/>
              </w:rPr>
              <w:t> </w:t>
            </w: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Arial" w:hAnsi="Arial" w:cs="Arial" w:eastAsia="Arial" w:hint="default"/>
                <w:sz w:val="22"/>
                <w:szCs w:val="22"/>
              </w:rPr>
              <w:t>12</w:t>
            </w:r>
          </w:p>
          <w:p>
            <w:pPr>
              <w:pStyle w:val="TableParagraph"/>
              <w:spacing w:line="286" w:lineRule="exact" w:before="12"/>
              <w:ind w:left="99" w:right="108"/>
              <w:jc w:val="left"/>
              <w:rPr>
                <w:rFonts w:ascii="宋体" w:hAnsi="宋体" w:cs="宋体" w:eastAsia="宋体" w:hint="default"/>
                <w:sz w:val="22"/>
                <w:szCs w:val="22"/>
              </w:rPr>
            </w:pP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Arial" w:hAnsi="Arial" w:cs="Arial" w:eastAsia="Arial" w:hint="default"/>
                <w:sz w:val="22"/>
                <w:szCs w:val="22"/>
              </w:rPr>
              <w:t>21</w:t>
            </w:r>
            <w:r>
              <w:rPr>
                <w:rFonts w:ascii="Arial" w:hAnsi="Arial" w:cs="Arial" w:eastAsia="Arial" w:hint="default"/>
                <w:spacing w:val="-8"/>
                <w:sz w:val="22"/>
                <w:szCs w:val="22"/>
              </w:rPr>
              <w:t> </w:t>
            </w:r>
            <w:r>
              <w:rPr>
                <w:rFonts w:ascii="宋体" w:hAnsi="宋体" w:cs="宋体" w:eastAsia="宋体" w:hint="default"/>
                <w:sz w:val="22"/>
                <w:szCs w:val="22"/>
              </w:rPr>
              <w:t>日召开的</w:t>
            </w:r>
            <w:r>
              <w:rPr>
                <w:rFonts w:ascii="宋体" w:hAnsi="宋体" w:cs="宋体" w:eastAsia="宋体" w:hint="default"/>
                <w:spacing w:val="-57"/>
                <w:sz w:val="22"/>
                <w:szCs w:val="22"/>
              </w:rPr>
              <w:t> </w:t>
            </w: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年第一次临时股东大会通</w:t>
            </w:r>
            <w:r>
              <w:rPr>
                <w:rFonts w:ascii="宋体" w:hAnsi="宋体" w:cs="宋体" w:eastAsia="宋体" w:hint="default"/>
                <w:w w:val="99"/>
                <w:sz w:val="22"/>
                <w:szCs w:val="22"/>
              </w:rPr>
              <w:t> </w:t>
            </w:r>
            <w:r>
              <w:rPr>
                <w:rFonts w:ascii="宋体" w:hAnsi="宋体" w:cs="宋体" w:eastAsia="宋体" w:hint="default"/>
                <w:sz w:val="22"/>
                <w:szCs w:val="22"/>
              </w:rPr>
              <w:t>过。</w:t>
            </w: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95" w:lineRule="exact" w:before="154"/>
              <w:ind w:left="99" w:right="0"/>
              <w:jc w:val="left"/>
              <w:rPr>
                <w:rFonts w:ascii="宋体" w:hAnsi="宋体" w:cs="宋体" w:eastAsia="宋体" w:hint="default"/>
                <w:sz w:val="22"/>
                <w:szCs w:val="22"/>
              </w:rPr>
            </w:pPr>
            <w:r>
              <w:rPr>
                <w:rFonts w:ascii="Arial" w:hAnsi="Arial" w:cs="Arial" w:eastAsia="Arial" w:hint="default"/>
                <w:sz w:val="22"/>
                <w:szCs w:val="22"/>
              </w:rPr>
              <w:t>4.</w:t>
            </w:r>
            <w:r>
              <w:rPr>
                <w:rFonts w:ascii="宋体" w:hAnsi="宋体" w:cs="宋体" w:eastAsia="宋体" w:hint="default"/>
                <w:sz w:val="22"/>
                <w:szCs w:val="22"/>
              </w:rPr>
              <w:t>上述收购交易所涉及的先决条件于</w:t>
            </w:r>
            <w:r>
              <w:rPr>
                <w:rFonts w:ascii="宋体" w:hAnsi="宋体" w:cs="宋体" w:eastAsia="宋体" w:hint="default"/>
                <w:spacing w:val="-58"/>
                <w:sz w:val="22"/>
                <w:szCs w:val="22"/>
              </w:rPr>
              <w:t> </w:t>
            </w:r>
            <w:r>
              <w:rPr>
                <w:rFonts w:ascii="Arial" w:hAnsi="Arial" w:cs="Arial" w:eastAsia="Arial" w:hint="default"/>
                <w:sz w:val="22"/>
                <w:szCs w:val="22"/>
              </w:rPr>
              <w:t>2012</w:t>
            </w:r>
            <w:r>
              <w:rPr>
                <w:rFonts w:ascii="Arial" w:hAnsi="Arial" w:cs="Arial" w:eastAsia="Arial" w:hint="default"/>
                <w:spacing w:val="-10"/>
                <w:sz w:val="22"/>
                <w:szCs w:val="22"/>
              </w:rPr>
              <w:t> </w:t>
            </w:r>
            <w:r>
              <w:rPr>
                <w:rFonts w:ascii="宋体" w:hAnsi="宋体" w:cs="宋体" w:eastAsia="宋体" w:hint="default"/>
                <w:sz w:val="22"/>
                <w:szCs w:val="22"/>
              </w:rPr>
              <w:t>年</w:t>
            </w:r>
          </w:p>
          <w:p>
            <w:pPr>
              <w:pStyle w:val="TableParagraph"/>
              <w:spacing w:line="295" w:lineRule="exact"/>
              <w:ind w:left="99" w:right="-6"/>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17"/>
                <w:sz w:val="22"/>
                <w:szCs w:val="22"/>
              </w:rPr>
              <w:t> </w:t>
            </w:r>
            <w:r>
              <w:rPr>
                <w:rFonts w:ascii="宋体" w:hAnsi="宋体" w:cs="宋体" w:eastAsia="宋体" w:hint="default"/>
                <w:sz w:val="22"/>
                <w:szCs w:val="22"/>
              </w:rPr>
              <w:t>月</w:t>
            </w:r>
            <w:r>
              <w:rPr>
                <w:rFonts w:ascii="宋体" w:hAnsi="宋体" w:cs="宋体" w:eastAsia="宋体" w:hint="default"/>
                <w:spacing w:val="-66"/>
                <w:sz w:val="22"/>
                <w:szCs w:val="22"/>
              </w:rPr>
              <w:t> </w:t>
            </w:r>
            <w:r>
              <w:rPr>
                <w:rFonts w:ascii="Arial" w:hAnsi="Arial" w:cs="Arial" w:eastAsia="Arial" w:hint="default"/>
                <w:sz w:val="22"/>
                <w:szCs w:val="22"/>
              </w:rPr>
              <w:t>26</w:t>
            </w:r>
            <w:r>
              <w:rPr>
                <w:rFonts w:ascii="Arial" w:hAnsi="Arial" w:cs="Arial" w:eastAsia="Arial" w:hint="default"/>
                <w:spacing w:val="-17"/>
                <w:sz w:val="22"/>
                <w:szCs w:val="22"/>
              </w:rPr>
              <w:t> </w:t>
            </w:r>
            <w:r>
              <w:rPr>
                <w:rFonts w:ascii="宋体" w:hAnsi="宋体" w:cs="宋体" w:eastAsia="宋体" w:hint="default"/>
                <w:sz w:val="22"/>
                <w:szCs w:val="22"/>
              </w:rPr>
              <w:t>日已经全部满足，本次收购交易完成。</w:t>
            </w:r>
          </w:p>
        </w:tc>
        <w:tc>
          <w:tcPr>
            <w:tcW w:w="4320"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99" w:right="0"/>
              <w:jc w:val="both"/>
              <w:rPr>
                <w:rFonts w:ascii="Arial" w:hAnsi="Arial" w:cs="Arial" w:eastAsia="Arial" w:hint="default"/>
                <w:sz w:val="22"/>
                <w:szCs w:val="22"/>
              </w:rPr>
            </w:pPr>
            <w:r>
              <w:rPr>
                <w:rFonts w:ascii="宋体" w:hAnsi="宋体" w:cs="宋体" w:eastAsia="宋体" w:hint="default"/>
                <w:sz w:val="22"/>
                <w:szCs w:val="22"/>
              </w:rPr>
              <w:t>第</w:t>
            </w:r>
            <w:r>
              <w:rPr>
                <w:rFonts w:ascii="宋体" w:hAnsi="宋体" w:cs="宋体" w:eastAsia="宋体" w:hint="default"/>
                <w:spacing w:val="-45"/>
                <w:sz w:val="22"/>
                <w:szCs w:val="22"/>
              </w:rPr>
              <w:t> </w:t>
            </w:r>
            <w:r>
              <w:rPr>
                <w:rFonts w:ascii="Arial" w:hAnsi="Arial" w:cs="Arial" w:eastAsia="Arial" w:hint="default"/>
                <w:sz w:val="22"/>
                <w:szCs w:val="22"/>
              </w:rPr>
              <w:t>1</w:t>
            </w:r>
            <w:r>
              <w:rPr>
                <w:rFonts w:ascii="宋体" w:hAnsi="宋体" w:cs="宋体" w:eastAsia="宋体" w:hint="default"/>
                <w:sz w:val="22"/>
                <w:szCs w:val="22"/>
              </w:rPr>
              <w:t>、</w:t>
            </w:r>
            <w:r>
              <w:rPr>
                <w:rFonts w:ascii="Arial" w:hAnsi="Arial" w:cs="Arial" w:eastAsia="Arial" w:hint="default"/>
                <w:sz w:val="22"/>
                <w:szCs w:val="22"/>
              </w:rPr>
              <w:t>2</w:t>
            </w:r>
            <w:r>
              <w:rPr>
                <w:rFonts w:ascii="Arial" w:hAnsi="Arial" w:cs="Arial" w:eastAsia="Arial" w:hint="default"/>
                <w:spacing w:val="4"/>
                <w:sz w:val="22"/>
                <w:szCs w:val="22"/>
              </w:rPr>
              <w:t> </w:t>
            </w:r>
            <w:r>
              <w:rPr>
                <w:rFonts w:ascii="宋体" w:hAnsi="宋体" w:cs="宋体" w:eastAsia="宋体" w:hint="default"/>
                <w:sz w:val="22"/>
                <w:szCs w:val="22"/>
              </w:rPr>
              <w:t>项详见本公司于</w:t>
            </w:r>
            <w:r>
              <w:rPr>
                <w:rFonts w:ascii="宋体" w:hAnsi="宋体" w:cs="宋体" w:eastAsia="宋体" w:hint="default"/>
                <w:spacing w:val="-45"/>
                <w:sz w:val="22"/>
                <w:szCs w:val="22"/>
              </w:rPr>
              <w:t> </w:t>
            </w:r>
            <w:r>
              <w:rPr>
                <w:rFonts w:ascii="Arial" w:hAnsi="Arial" w:cs="Arial" w:eastAsia="Arial" w:hint="default"/>
                <w:sz w:val="22"/>
                <w:szCs w:val="22"/>
              </w:rPr>
              <w:t>2012</w:t>
            </w:r>
            <w:r>
              <w:rPr>
                <w:rFonts w:ascii="Arial" w:hAnsi="Arial" w:cs="Arial" w:eastAsia="Arial"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45"/>
                <w:sz w:val="22"/>
                <w:szCs w:val="22"/>
              </w:rPr>
              <w:t> </w:t>
            </w:r>
            <w:r>
              <w:rPr>
                <w:rFonts w:ascii="Arial" w:hAnsi="Arial" w:cs="Arial" w:eastAsia="Arial" w:hint="default"/>
                <w:sz w:val="22"/>
                <w:szCs w:val="22"/>
              </w:rPr>
              <w:t>11</w:t>
            </w:r>
            <w:r>
              <w:rPr>
                <w:rFonts w:ascii="Arial" w:hAnsi="Arial" w:cs="Arial" w:eastAsia="Arial" w:hint="default"/>
                <w:spacing w:val="4"/>
                <w:sz w:val="22"/>
                <w:szCs w:val="22"/>
              </w:rPr>
              <w:t> </w:t>
            </w:r>
            <w:r>
              <w:rPr>
                <w:rFonts w:ascii="宋体" w:hAnsi="宋体" w:cs="宋体" w:eastAsia="宋体" w:hint="default"/>
                <w:sz w:val="22"/>
                <w:szCs w:val="22"/>
              </w:rPr>
              <w:t>月</w:t>
            </w:r>
            <w:r>
              <w:rPr>
                <w:rFonts w:ascii="宋体" w:hAnsi="宋体" w:cs="宋体" w:eastAsia="宋体" w:hint="default"/>
                <w:spacing w:val="-45"/>
                <w:sz w:val="22"/>
                <w:szCs w:val="22"/>
              </w:rPr>
              <w:t> </w:t>
            </w:r>
            <w:r>
              <w:rPr>
                <w:rFonts w:ascii="Arial" w:hAnsi="Arial" w:cs="Arial" w:eastAsia="Arial" w:hint="default"/>
                <w:sz w:val="22"/>
                <w:szCs w:val="22"/>
              </w:rPr>
              <w:t>22</w:t>
            </w:r>
          </w:p>
          <w:p>
            <w:pPr>
              <w:pStyle w:val="TableParagraph"/>
              <w:spacing w:line="230" w:lineRule="auto" w:before="1"/>
              <w:ind w:left="99" w:right="101"/>
              <w:jc w:val="both"/>
              <w:rPr>
                <w:rFonts w:ascii="宋体" w:hAnsi="宋体" w:cs="宋体" w:eastAsia="宋体" w:hint="default"/>
                <w:sz w:val="22"/>
                <w:szCs w:val="22"/>
              </w:rPr>
            </w:pPr>
            <w:r>
              <w:rPr>
                <w:rFonts w:ascii="宋体" w:hAnsi="宋体" w:cs="宋体" w:eastAsia="宋体" w:hint="default"/>
                <w:spacing w:val="7"/>
                <w:sz w:val="22"/>
                <w:szCs w:val="22"/>
              </w:rPr>
              <w:t>日在中国证券报、上海证券报、上海证券</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交</w:t>
            </w:r>
            <w:r>
              <w:rPr>
                <w:rFonts w:ascii="宋体" w:hAnsi="宋体" w:cs="宋体" w:eastAsia="宋体" w:hint="default"/>
                <w:spacing w:val="-76"/>
                <w:sz w:val="22"/>
                <w:szCs w:val="22"/>
              </w:rPr>
              <w:t> </w:t>
            </w:r>
            <w:r>
              <w:rPr>
                <w:rFonts w:ascii="宋体" w:hAnsi="宋体" w:cs="宋体" w:eastAsia="宋体" w:hint="default"/>
                <w:sz w:val="22"/>
                <w:szCs w:val="22"/>
              </w:rPr>
              <w:t>易</w:t>
            </w:r>
            <w:r>
              <w:rPr>
                <w:rFonts w:ascii="宋体" w:hAnsi="宋体" w:cs="宋体" w:eastAsia="宋体" w:hint="default"/>
                <w:spacing w:val="-75"/>
                <w:sz w:val="22"/>
                <w:szCs w:val="22"/>
              </w:rPr>
              <w:t> </w:t>
            </w:r>
            <w:r>
              <w:rPr>
                <w:rFonts w:ascii="宋体" w:hAnsi="宋体" w:cs="宋体" w:eastAsia="宋体" w:hint="default"/>
                <w:sz w:val="22"/>
                <w:szCs w:val="22"/>
              </w:rPr>
              <w:t>所</w:t>
            </w:r>
            <w:r>
              <w:rPr>
                <w:rFonts w:ascii="宋体" w:hAnsi="宋体" w:cs="宋体" w:eastAsia="宋体" w:hint="default"/>
                <w:spacing w:val="-75"/>
                <w:sz w:val="22"/>
                <w:szCs w:val="22"/>
              </w:rPr>
              <w:t> </w:t>
            </w:r>
            <w:r>
              <w:rPr>
                <w:rFonts w:ascii="Arial" w:hAnsi="Arial" w:cs="Arial" w:eastAsia="Arial" w:hint="default"/>
                <w:sz w:val="22"/>
                <w:szCs w:val="22"/>
              </w:rPr>
              <w:t>(www.sse.com.cn)</w:t>
            </w:r>
            <w:r>
              <w:rPr>
                <w:rFonts w:ascii="Arial" w:hAnsi="Arial" w:cs="Arial" w:eastAsia="Arial" w:hint="default"/>
                <w:spacing w:val="-27"/>
                <w:sz w:val="22"/>
                <w:szCs w:val="22"/>
              </w:rPr>
              <w:t> </w:t>
            </w:r>
            <w:r>
              <w:rPr>
                <w:rFonts w:ascii="宋体" w:hAnsi="宋体" w:cs="宋体" w:eastAsia="宋体" w:hint="default"/>
                <w:sz w:val="22"/>
                <w:szCs w:val="22"/>
              </w:rPr>
              <w:t>及</w:t>
            </w:r>
            <w:r>
              <w:rPr>
                <w:rFonts w:ascii="宋体" w:hAnsi="宋体" w:cs="宋体" w:eastAsia="宋体" w:hint="default"/>
                <w:spacing w:val="-75"/>
                <w:sz w:val="22"/>
                <w:szCs w:val="22"/>
              </w:rPr>
              <w:t> </w:t>
            </w:r>
            <w:r>
              <w:rPr>
                <w:rFonts w:ascii="宋体" w:hAnsi="宋体" w:cs="宋体" w:eastAsia="宋体" w:hint="default"/>
                <w:sz w:val="22"/>
                <w:szCs w:val="22"/>
              </w:rPr>
              <w:t>本</w:t>
            </w:r>
            <w:r>
              <w:rPr>
                <w:rFonts w:ascii="宋体" w:hAnsi="宋体" w:cs="宋体" w:eastAsia="宋体" w:hint="default"/>
                <w:spacing w:val="-76"/>
                <w:sz w:val="22"/>
                <w:szCs w:val="22"/>
              </w:rPr>
              <w:t> </w:t>
            </w:r>
            <w:r>
              <w:rPr>
                <w:rFonts w:ascii="宋体" w:hAnsi="宋体" w:cs="宋体" w:eastAsia="宋体" w:hint="default"/>
                <w:sz w:val="22"/>
                <w:szCs w:val="22"/>
              </w:rPr>
              <w:t>公</w:t>
            </w:r>
            <w:r>
              <w:rPr>
                <w:rFonts w:ascii="宋体" w:hAnsi="宋体" w:cs="宋体" w:eastAsia="宋体" w:hint="default"/>
                <w:spacing w:val="-75"/>
                <w:sz w:val="22"/>
                <w:szCs w:val="22"/>
              </w:rPr>
              <w:t> </w:t>
            </w:r>
            <w:r>
              <w:rPr>
                <w:rFonts w:ascii="宋体" w:hAnsi="宋体" w:cs="宋体" w:eastAsia="宋体" w:hint="default"/>
                <w:sz w:val="22"/>
                <w:szCs w:val="22"/>
              </w:rPr>
              <w:t>司</w:t>
            </w:r>
            <w:r>
              <w:rPr>
                <w:rFonts w:ascii="宋体" w:hAnsi="宋体" w:cs="宋体" w:eastAsia="宋体" w:hint="default"/>
                <w:spacing w:val="-76"/>
                <w:sz w:val="22"/>
                <w:szCs w:val="22"/>
              </w:rPr>
              <w:t> </w:t>
            </w:r>
            <w:r>
              <w:rPr>
                <w:rFonts w:ascii="宋体" w:hAnsi="宋体" w:cs="宋体" w:eastAsia="宋体" w:hint="default"/>
                <w:sz w:val="22"/>
                <w:szCs w:val="22"/>
              </w:rPr>
              <w:t>网</w:t>
            </w:r>
            <w:r>
              <w:rPr>
                <w:rFonts w:ascii="宋体" w:hAnsi="宋体" w:cs="宋体" w:eastAsia="宋体" w:hint="default"/>
                <w:spacing w:val="-75"/>
                <w:sz w:val="22"/>
                <w:szCs w:val="22"/>
              </w:rPr>
              <w:t> </w:t>
            </w:r>
            <w:r>
              <w:rPr>
                <w:rFonts w:ascii="宋体" w:hAnsi="宋体" w:cs="宋体" w:eastAsia="宋体" w:hint="default"/>
                <w:sz w:val="22"/>
                <w:szCs w:val="22"/>
              </w:rPr>
              <w:t>站</w:t>
            </w:r>
            <w:r>
              <w:rPr>
                <w:rFonts w:ascii="宋体" w:hAnsi="宋体" w:cs="宋体" w:eastAsia="宋体" w:hint="default"/>
                <w:w w:val="99"/>
                <w:sz w:val="22"/>
                <w:szCs w:val="22"/>
              </w:rPr>
              <w:t> </w:t>
            </w:r>
            <w:r>
              <w:rPr>
                <w:rFonts w:ascii="Arial" w:hAnsi="Arial" w:cs="Arial" w:eastAsia="Arial" w:hint="default"/>
                <w:spacing w:val="-1"/>
                <w:sz w:val="22"/>
                <w:szCs w:val="22"/>
              </w:rPr>
              <w:t>(www.chinaunicom-a.com)</w:t>
            </w:r>
            <w:r>
              <w:rPr>
                <w:rFonts w:ascii="宋体" w:hAnsi="宋体" w:cs="宋体" w:eastAsia="宋体" w:hint="default"/>
                <w:spacing w:val="-1"/>
                <w:sz w:val="22"/>
                <w:szCs w:val="22"/>
              </w:rPr>
              <w:t>发布的《中国联</w:t>
            </w:r>
            <w:r>
              <w:rPr>
                <w:rFonts w:ascii="宋体" w:hAnsi="宋体" w:cs="宋体" w:eastAsia="宋体" w:hint="default"/>
                <w:w w:val="99"/>
                <w:sz w:val="22"/>
                <w:szCs w:val="22"/>
              </w:rPr>
              <w:t> </w:t>
            </w:r>
            <w:r>
              <w:rPr>
                <w:rFonts w:ascii="宋体" w:hAnsi="宋体" w:cs="宋体" w:eastAsia="宋体" w:hint="default"/>
                <w:spacing w:val="7"/>
                <w:sz w:val="22"/>
                <w:szCs w:val="22"/>
              </w:rPr>
              <w:t>合网络通信股份有限公司关于收购联通新</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pacing w:val="7"/>
                <w:sz w:val="22"/>
                <w:szCs w:val="22"/>
              </w:rPr>
              <w:t>时空通信有限公司的</w:t>
            </w:r>
            <w:r>
              <w:rPr>
                <w:rFonts w:ascii="宋体" w:hAnsi="宋体" w:cs="宋体" w:eastAsia="宋体" w:hint="default"/>
                <w:spacing w:val="9"/>
                <w:sz w:val="22"/>
                <w:szCs w:val="22"/>
              </w:rPr>
              <w:t> </w:t>
            </w:r>
            <w:r>
              <w:rPr>
                <w:rFonts w:ascii="Arial" w:hAnsi="Arial" w:cs="Arial" w:eastAsia="Arial" w:hint="default"/>
                <w:spacing w:val="5"/>
                <w:sz w:val="22"/>
                <w:szCs w:val="22"/>
              </w:rPr>
              <w:t>100%</w:t>
            </w:r>
            <w:r>
              <w:rPr>
                <w:rFonts w:ascii="宋体" w:hAnsi="宋体" w:cs="宋体" w:eastAsia="宋体" w:hint="default"/>
                <w:spacing w:val="5"/>
                <w:sz w:val="22"/>
                <w:szCs w:val="22"/>
              </w:rPr>
              <w:t>股权的关联交</w:t>
            </w:r>
            <w:r>
              <w:rPr>
                <w:rFonts w:ascii="宋体" w:hAnsi="宋体" w:cs="宋体" w:eastAsia="宋体" w:hint="default"/>
                <w:w w:val="99"/>
                <w:sz w:val="22"/>
                <w:szCs w:val="22"/>
              </w:rPr>
              <w:t> </w:t>
            </w:r>
            <w:r>
              <w:rPr>
                <w:rFonts w:ascii="宋体" w:hAnsi="宋体" w:cs="宋体" w:eastAsia="宋体" w:hint="default"/>
                <w:sz w:val="22"/>
                <w:szCs w:val="22"/>
              </w:rPr>
              <w:t>易公告》</w:t>
            </w: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28" w:lineRule="auto"/>
              <w:ind w:left="99" w:right="101"/>
              <w:jc w:val="both"/>
              <w:rPr>
                <w:rFonts w:ascii="宋体" w:hAnsi="宋体" w:cs="宋体" w:eastAsia="宋体" w:hint="default"/>
                <w:sz w:val="22"/>
                <w:szCs w:val="22"/>
              </w:rPr>
            </w:pPr>
            <w:r>
              <w:rPr>
                <w:rFonts w:ascii="宋体" w:hAnsi="宋体" w:cs="宋体" w:eastAsia="宋体" w:hint="default"/>
                <w:sz w:val="22"/>
                <w:szCs w:val="22"/>
              </w:rPr>
              <w:t>第</w:t>
            </w:r>
            <w:r>
              <w:rPr>
                <w:rFonts w:ascii="宋体" w:hAnsi="宋体" w:cs="宋体" w:eastAsia="宋体" w:hint="default"/>
                <w:spacing w:val="-65"/>
                <w:sz w:val="22"/>
                <w:szCs w:val="22"/>
              </w:rPr>
              <w:t> </w:t>
            </w:r>
            <w:r>
              <w:rPr>
                <w:rFonts w:ascii="Arial" w:hAnsi="Arial" w:cs="Arial" w:eastAsia="Arial" w:hint="default"/>
                <w:sz w:val="22"/>
                <w:szCs w:val="22"/>
              </w:rPr>
              <w:t>3</w:t>
            </w:r>
            <w:r>
              <w:rPr>
                <w:rFonts w:ascii="Arial" w:hAnsi="Arial" w:cs="Arial" w:eastAsia="Arial" w:hint="default"/>
                <w:spacing w:val="-17"/>
                <w:sz w:val="22"/>
                <w:szCs w:val="22"/>
              </w:rPr>
              <w:t> </w:t>
            </w:r>
            <w:r>
              <w:rPr>
                <w:rFonts w:ascii="宋体" w:hAnsi="宋体" w:cs="宋体" w:eastAsia="宋体" w:hint="default"/>
                <w:sz w:val="22"/>
                <w:szCs w:val="22"/>
              </w:rPr>
              <w:t>项详见本公司于</w:t>
            </w:r>
            <w:r>
              <w:rPr>
                <w:rFonts w:ascii="宋体" w:hAnsi="宋体" w:cs="宋体" w:eastAsia="宋体" w:hint="default"/>
                <w:spacing w:val="-66"/>
                <w:sz w:val="22"/>
                <w:szCs w:val="22"/>
              </w:rPr>
              <w:t> </w:t>
            </w:r>
            <w:r>
              <w:rPr>
                <w:rFonts w:ascii="Arial" w:hAnsi="Arial" w:cs="Arial" w:eastAsia="Arial" w:hint="default"/>
                <w:sz w:val="22"/>
                <w:szCs w:val="22"/>
              </w:rPr>
              <w:t>2012</w:t>
            </w:r>
            <w:r>
              <w:rPr>
                <w:rFonts w:ascii="Arial" w:hAnsi="Arial" w:cs="Arial" w:eastAsia="Arial" w:hint="default"/>
                <w:spacing w:val="-16"/>
                <w:sz w:val="22"/>
                <w:szCs w:val="22"/>
              </w:rPr>
              <w:t> </w:t>
            </w:r>
            <w:r>
              <w:rPr>
                <w:rFonts w:ascii="宋体" w:hAnsi="宋体" w:cs="宋体" w:eastAsia="宋体" w:hint="default"/>
                <w:sz w:val="22"/>
                <w:szCs w:val="22"/>
              </w:rPr>
              <w:t>年</w:t>
            </w:r>
            <w:r>
              <w:rPr>
                <w:rFonts w:ascii="宋体" w:hAnsi="宋体" w:cs="宋体" w:eastAsia="宋体" w:hint="default"/>
                <w:spacing w:val="-66"/>
                <w:sz w:val="22"/>
                <w:szCs w:val="22"/>
              </w:rPr>
              <w:t> </w:t>
            </w:r>
            <w:r>
              <w:rPr>
                <w:rFonts w:ascii="Arial" w:hAnsi="Arial" w:cs="Arial" w:eastAsia="Arial" w:hint="default"/>
                <w:sz w:val="22"/>
                <w:szCs w:val="22"/>
              </w:rPr>
              <w:t>12</w:t>
            </w:r>
            <w:r>
              <w:rPr>
                <w:rFonts w:ascii="Arial" w:hAnsi="Arial" w:cs="Arial" w:eastAsia="Arial" w:hint="default"/>
                <w:spacing w:val="-17"/>
                <w:sz w:val="22"/>
                <w:szCs w:val="22"/>
              </w:rPr>
              <w:t> </w:t>
            </w:r>
            <w:r>
              <w:rPr>
                <w:rFonts w:ascii="宋体" w:hAnsi="宋体" w:cs="宋体" w:eastAsia="宋体" w:hint="default"/>
                <w:sz w:val="22"/>
                <w:szCs w:val="22"/>
              </w:rPr>
              <w:t>月</w:t>
            </w:r>
            <w:r>
              <w:rPr>
                <w:rFonts w:ascii="宋体" w:hAnsi="宋体" w:cs="宋体" w:eastAsia="宋体" w:hint="default"/>
                <w:spacing w:val="-66"/>
                <w:sz w:val="22"/>
                <w:szCs w:val="22"/>
              </w:rPr>
              <w:t> </w:t>
            </w:r>
            <w:r>
              <w:rPr>
                <w:rFonts w:ascii="Arial" w:hAnsi="Arial" w:cs="Arial" w:eastAsia="Arial" w:hint="default"/>
                <w:sz w:val="22"/>
                <w:szCs w:val="22"/>
              </w:rPr>
              <w:t>22</w:t>
            </w:r>
            <w:r>
              <w:rPr>
                <w:rFonts w:ascii="Arial" w:hAnsi="Arial" w:cs="Arial" w:eastAsia="Arial" w:hint="default"/>
                <w:spacing w:val="-17"/>
                <w:sz w:val="22"/>
                <w:szCs w:val="22"/>
              </w:rPr>
              <w:t> </w:t>
            </w:r>
            <w:r>
              <w:rPr>
                <w:rFonts w:ascii="宋体" w:hAnsi="宋体" w:cs="宋体" w:eastAsia="宋体" w:hint="default"/>
                <w:sz w:val="22"/>
                <w:szCs w:val="22"/>
              </w:rPr>
              <w:t>日在</w:t>
            </w:r>
            <w:r>
              <w:rPr>
                <w:rFonts w:ascii="宋体" w:hAnsi="宋体" w:cs="宋体" w:eastAsia="宋体" w:hint="default"/>
                <w:w w:val="99"/>
                <w:sz w:val="22"/>
                <w:szCs w:val="22"/>
              </w:rPr>
              <w:t> </w:t>
            </w:r>
            <w:r>
              <w:rPr>
                <w:rFonts w:ascii="宋体" w:hAnsi="宋体" w:cs="宋体" w:eastAsia="宋体" w:hint="default"/>
                <w:spacing w:val="7"/>
                <w:sz w:val="22"/>
                <w:szCs w:val="22"/>
              </w:rPr>
              <w:t>中国证券报、上海证券报、上海证券交易</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所 </w:t>
            </w:r>
            <w:r>
              <w:rPr>
                <w:rFonts w:ascii="Arial" w:hAnsi="Arial" w:cs="Arial" w:eastAsia="Arial" w:hint="default"/>
                <w:sz w:val="22"/>
                <w:szCs w:val="22"/>
              </w:rPr>
              <w:t>(www.sse.com.cn) </w:t>
            </w:r>
            <w:r>
              <w:rPr>
                <w:rFonts w:ascii="宋体" w:hAnsi="宋体" w:cs="宋体" w:eastAsia="宋体" w:hint="default"/>
                <w:sz w:val="22"/>
                <w:szCs w:val="22"/>
              </w:rPr>
              <w:t>及 本 公 司 网</w:t>
            </w:r>
            <w:r>
              <w:rPr>
                <w:rFonts w:ascii="宋体" w:hAnsi="宋体" w:cs="宋体" w:eastAsia="宋体" w:hint="default"/>
                <w:spacing w:val="-23"/>
                <w:sz w:val="22"/>
                <w:szCs w:val="22"/>
              </w:rPr>
              <w:t> </w:t>
            </w:r>
            <w:r>
              <w:rPr>
                <w:rFonts w:ascii="宋体" w:hAnsi="宋体" w:cs="宋体" w:eastAsia="宋体" w:hint="default"/>
                <w:sz w:val="22"/>
                <w:szCs w:val="22"/>
              </w:rPr>
              <w:t>站</w:t>
            </w:r>
            <w:r>
              <w:rPr>
                <w:rFonts w:ascii="宋体" w:hAnsi="宋体" w:cs="宋体" w:eastAsia="宋体" w:hint="default"/>
                <w:w w:val="99"/>
                <w:sz w:val="22"/>
                <w:szCs w:val="22"/>
              </w:rPr>
              <w:t> </w:t>
            </w:r>
            <w:r>
              <w:rPr>
                <w:rFonts w:ascii="Arial" w:hAnsi="Arial" w:cs="Arial" w:eastAsia="Arial" w:hint="default"/>
                <w:spacing w:val="-1"/>
                <w:sz w:val="22"/>
                <w:szCs w:val="22"/>
              </w:rPr>
              <w:t>(www.chinaunicom-a.com)</w:t>
            </w:r>
            <w:r>
              <w:rPr>
                <w:rFonts w:ascii="宋体" w:hAnsi="宋体" w:cs="宋体" w:eastAsia="宋体" w:hint="default"/>
                <w:spacing w:val="-1"/>
                <w:sz w:val="22"/>
                <w:szCs w:val="22"/>
              </w:rPr>
              <w:t>发布的《中国联</w:t>
            </w:r>
            <w:r>
              <w:rPr>
                <w:rFonts w:ascii="宋体" w:hAnsi="宋体" w:cs="宋体" w:eastAsia="宋体" w:hint="default"/>
                <w:w w:val="99"/>
                <w:sz w:val="22"/>
                <w:szCs w:val="22"/>
              </w:rPr>
              <w:t> </w:t>
            </w:r>
            <w:r>
              <w:rPr>
                <w:rFonts w:ascii="宋体" w:hAnsi="宋体" w:cs="宋体" w:eastAsia="宋体" w:hint="default"/>
                <w:sz w:val="22"/>
                <w:szCs w:val="22"/>
              </w:rPr>
              <w:t>合网络通信股份有限公司</w:t>
            </w:r>
            <w:r>
              <w:rPr>
                <w:rFonts w:ascii="宋体" w:hAnsi="宋体" w:cs="宋体" w:eastAsia="宋体" w:hint="default"/>
                <w:spacing w:val="-66"/>
                <w:sz w:val="22"/>
                <w:szCs w:val="22"/>
              </w:rPr>
              <w:t> </w:t>
            </w:r>
            <w:r>
              <w:rPr>
                <w:rFonts w:ascii="Arial" w:hAnsi="Arial" w:cs="Arial" w:eastAsia="Arial" w:hint="default"/>
                <w:sz w:val="22"/>
                <w:szCs w:val="22"/>
              </w:rPr>
              <w:t>2012</w:t>
            </w:r>
            <w:r>
              <w:rPr>
                <w:rFonts w:ascii="Arial" w:hAnsi="Arial" w:cs="Arial" w:eastAsia="Arial" w:hint="default"/>
                <w:spacing w:val="-17"/>
                <w:sz w:val="22"/>
                <w:szCs w:val="22"/>
              </w:rPr>
              <w:t> </w:t>
            </w:r>
            <w:r>
              <w:rPr>
                <w:rFonts w:ascii="宋体" w:hAnsi="宋体" w:cs="宋体" w:eastAsia="宋体" w:hint="default"/>
                <w:sz w:val="22"/>
                <w:szCs w:val="22"/>
              </w:rPr>
              <w:t>年第一次临</w:t>
            </w:r>
            <w:r>
              <w:rPr>
                <w:rFonts w:ascii="宋体" w:hAnsi="宋体" w:cs="宋体" w:eastAsia="宋体" w:hint="default"/>
                <w:w w:val="99"/>
                <w:sz w:val="22"/>
                <w:szCs w:val="22"/>
              </w:rPr>
              <w:t> </w:t>
            </w:r>
            <w:r>
              <w:rPr>
                <w:rFonts w:ascii="宋体" w:hAnsi="宋体" w:cs="宋体" w:eastAsia="宋体" w:hint="default"/>
                <w:sz w:val="22"/>
                <w:szCs w:val="22"/>
              </w:rPr>
              <w:t>时股东大会决议公告》</w:t>
            </w: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28" w:lineRule="auto"/>
              <w:ind w:left="99" w:right="95"/>
              <w:jc w:val="both"/>
              <w:rPr>
                <w:rFonts w:ascii="宋体" w:hAnsi="宋体" w:cs="宋体" w:eastAsia="宋体" w:hint="default"/>
                <w:sz w:val="22"/>
                <w:szCs w:val="22"/>
              </w:rPr>
            </w:pPr>
            <w:r>
              <w:rPr>
                <w:rFonts w:ascii="宋体" w:hAnsi="宋体" w:cs="宋体" w:eastAsia="宋体" w:hint="default"/>
                <w:sz w:val="22"/>
                <w:szCs w:val="22"/>
              </w:rPr>
              <w:t>第</w:t>
            </w:r>
            <w:r>
              <w:rPr>
                <w:rFonts w:ascii="宋体" w:hAnsi="宋体" w:cs="宋体" w:eastAsia="宋体" w:hint="default"/>
                <w:spacing w:val="-65"/>
                <w:sz w:val="22"/>
                <w:szCs w:val="22"/>
              </w:rPr>
              <w:t> </w:t>
            </w:r>
            <w:r>
              <w:rPr>
                <w:rFonts w:ascii="Arial" w:hAnsi="Arial" w:cs="Arial" w:eastAsia="Arial" w:hint="default"/>
                <w:sz w:val="22"/>
                <w:szCs w:val="22"/>
              </w:rPr>
              <w:t>4</w:t>
            </w:r>
            <w:r>
              <w:rPr>
                <w:rFonts w:ascii="Arial" w:hAnsi="Arial" w:cs="Arial" w:eastAsia="Arial" w:hint="default"/>
                <w:spacing w:val="-17"/>
                <w:sz w:val="22"/>
                <w:szCs w:val="22"/>
              </w:rPr>
              <w:t> </w:t>
            </w:r>
            <w:r>
              <w:rPr>
                <w:rFonts w:ascii="宋体" w:hAnsi="宋体" w:cs="宋体" w:eastAsia="宋体" w:hint="default"/>
                <w:sz w:val="22"/>
                <w:szCs w:val="22"/>
              </w:rPr>
              <w:t>项详见本公司于</w:t>
            </w:r>
            <w:r>
              <w:rPr>
                <w:rFonts w:ascii="宋体" w:hAnsi="宋体" w:cs="宋体" w:eastAsia="宋体" w:hint="default"/>
                <w:spacing w:val="-66"/>
                <w:sz w:val="22"/>
                <w:szCs w:val="22"/>
              </w:rPr>
              <w:t> </w:t>
            </w:r>
            <w:r>
              <w:rPr>
                <w:rFonts w:ascii="Arial" w:hAnsi="Arial" w:cs="Arial" w:eastAsia="Arial" w:hint="default"/>
                <w:sz w:val="22"/>
                <w:szCs w:val="22"/>
              </w:rPr>
              <w:t>2012</w:t>
            </w:r>
            <w:r>
              <w:rPr>
                <w:rFonts w:ascii="Arial" w:hAnsi="Arial" w:cs="Arial" w:eastAsia="Arial" w:hint="default"/>
                <w:spacing w:val="-16"/>
                <w:sz w:val="22"/>
                <w:szCs w:val="22"/>
              </w:rPr>
              <w:t> </w:t>
            </w:r>
            <w:r>
              <w:rPr>
                <w:rFonts w:ascii="宋体" w:hAnsi="宋体" w:cs="宋体" w:eastAsia="宋体" w:hint="default"/>
                <w:sz w:val="22"/>
                <w:szCs w:val="22"/>
              </w:rPr>
              <w:t>年</w:t>
            </w:r>
            <w:r>
              <w:rPr>
                <w:rFonts w:ascii="宋体" w:hAnsi="宋体" w:cs="宋体" w:eastAsia="宋体" w:hint="default"/>
                <w:spacing w:val="-66"/>
                <w:sz w:val="22"/>
                <w:szCs w:val="22"/>
              </w:rPr>
              <w:t> </w:t>
            </w:r>
            <w:r>
              <w:rPr>
                <w:rFonts w:ascii="Arial" w:hAnsi="Arial" w:cs="Arial" w:eastAsia="Arial" w:hint="default"/>
                <w:sz w:val="22"/>
                <w:szCs w:val="22"/>
              </w:rPr>
              <w:t>12</w:t>
            </w:r>
            <w:r>
              <w:rPr>
                <w:rFonts w:ascii="Arial" w:hAnsi="Arial" w:cs="Arial" w:eastAsia="Arial" w:hint="default"/>
                <w:spacing w:val="-17"/>
                <w:sz w:val="22"/>
                <w:szCs w:val="22"/>
              </w:rPr>
              <w:t> </w:t>
            </w:r>
            <w:r>
              <w:rPr>
                <w:rFonts w:ascii="宋体" w:hAnsi="宋体" w:cs="宋体" w:eastAsia="宋体" w:hint="default"/>
                <w:sz w:val="22"/>
                <w:szCs w:val="22"/>
              </w:rPr>
              <w:t>月</w:t>
            </w:r>
            <w:r>
              <w:rPr>
                <w:rFonts w:ascii="宋体" w:hAnsi="宋体" w:cs="宋体" w:eastAsia="宋体" w:hint="default"/>
                <w:spacing w:val="-66"/>
                <w:sz w:val="22"/>
                <w:szCs w:val="22"/>
              </w:rPr>
              <w:t> </w:t>
            </w:r>
            <w:r>
              <w:rPr>
                <w:rFonts w:ascii="Arial" w:hAnsi="Arial" w:cs="Arial" w:eastAsia="Arial" w:hint="default"/>
                <w:sz w:val="22"/>
                <w:szCs w:val="22"/>
              </w:rPr>
              <w:t>28</w:t>
            </w:r>
            <w:r>
              <w:rPr>
                <w:rFonts w:ascii="Arial" w:hAnsi="Arial" w:cs="Arial" w:eastAsia="Arial" w:hint="default"/>
                <w:spacing w:val="-17"/>
                <w:sz w:val="22"/>
                <w:szCs w:val="22"/>
              </w:rPr>
              <w:t> </w:t>
            </w:r>
            <w:r>
              <w:rPr>
                <w:rFonts w:ascii="宋体" w:hAnsi="宋体" w:cs="宋体" w:eastAsia="宋体" w:hint="default"/>
                <w:sz w:val="22"/>
                <w:szCs w:val="22"/>
              </w:rPr>
              <w:t>日在</w:t>
            </w:r>
            <w:r>
              <w:rPr>
                <w:rFonts w:ascii="宋体" w:hAnsi="宋体" w:cs="宋体" w:eastAsia="宋体" w:hint="default"/>
                <w:w w:val="99"/>
                <w:sz w:val="22"/>
                <w:szCs w:val="22"/>
              </w:rPr>
              <w:t> </w:t>
            </w:r>
            <w:r>
              <w:rPr>
                <w:rFonts w:ascii="宋体" w:hAnsi="宋体" w:cs="宋体" w:eastAsia="宋体" w:hint="default"/>
                <w:spacing w:val="7"/>
                <w:sz w:val="22"/>
                <w:szCs w:val="22"/>
              </w:rPr>
              <w:t>中国证券报、上海证券报、上海证券交易</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所 </w:t>
            </w:r>
            <w:r>
              <w:rPr>
                <w:rFonts w:ascii="Arial" w:hAnsi="Arial" w:cs="Arial" w:eastAsia="Arial" w:hint="default"/>
                <w:sz w:val="22"/>
                <w:szCs w:val="22"/>
              </w:rPr>
              <w:t>(www.sse.com.cn) </w:t>
            </w:r>
            <w:r>
              <w:rPr>
                <w:rFonts w:ascii="宋体" w:hAnsi="宋体" w:cs="宋体" w:eastAsia="宋体" w:hint="default"/>
                <w:sz w:val="22"/>
                <w:szCs w:val="22"/>
              </w:rPr>
              <w:t>及 本 公 司 网</w:t>
            </w:r>
            <w:r>
              <w:rPr>
                <w:rFonts w:ascii="宋体" w:hAnsi="宋体" w:cs="宋体" w:eastAsia="宋体" w:hint="default"/>
                <w:spacing w:val="-23"/>
                <w:sz w:val="22"/>
                <w:szCs w:val="22"/>
              </w:rPr>
              <w:t> </w:t>
            </w:r>
            <w:r>
              <w:rPr>
                <w:rFonts w:ascii="宋体" w:hAnsi="宋体" w:cs="宋体" w:eastAsia="宋体" w:hint="default"/>
                <w:sz w:val="22"/>
                <w:szCs w:val="22"/>
              </w:rPr>
              <w:t>站</w:t>
            </w:r>
            <w:r>
              <w:rPr>
                <w:rFonts w:ascii="宋体" w:hAnsi="宋体" w:cs="宋体" w:eastAsia="宋体" w:hint="default"/>
                <w:w w:val="99"/>
                <w:sz w:val="22"/>
                <w:szCs w:val="22"/>
              </w:rPr>
              <w:t> </w:t>
            </w:r>
            <w:r>
              <w:rPr>
                <w:rFonts w:ascii="Arial" w:hAnsi="Arial" w:cs="Arial" w:eastAsia="Arial" w:hint="default"/>
                <w:spacing w:val="-1"/>
                <w:sz w:val="22"/>
                <w:szCs w:val="22"/>
              </w:rPr>
              <w:t>(www.chinaunicom-a.com)</w:t>
            </w:r>
            <w:r>
              <w:rPr>
                <w:rFonts w:ascii="宋体" w:hAnsi="宋体" w:cs="宋体" w:eastAsia="宋体" w:hint="default"/>
                <w:spacing w:val="-1"/>
                <w:sz w:val="22"/>
                <w:szCs w:val="22"/>
              </w:rPr>
              <w:t>发布的《关于收</w:t>
            </w:r>
            <w:r>
              <w:rPr>
                <w:rFonts w:ascii="宋体" w:hAnsi="宋体" w:cs="宋体" w:eastAsia="宋体" w:hint="default"/>
                <w:w w:val="99"/>
                <w:sz w:val="22"/>
                <w:szCs w:val="22"/>
              </w:rPr>
              <w:t> </w:t>
            </w:r>
            <w:r>
              <w:rPr>
                <w:rFonts w:ascii="宋体" w:hAnsi="宋体" w:cs="宋体" w:eastAsia="宋体" w:hint="default"/>
                <w:spacing w:val="7"/>
                <w:sz w:val="22"/>
                <w:szCs w:val="22"/>
              </w:rPr>
              <w:t>购联通新时空通信有限公司的</w:t>
            </w:r>
            <w:r>
              <w:rPr>
                <w:rFonts w:ascii="宋体" w:hAnsi="宋体" w:cs="宋体" w:eastAsia="宋体" w:hint="default"/>
                <w:spacing w:val="14"/>
                <w:sz w:val="22"/>
                <w:szCs w:val="22"/>
              </w:rPr>
              <w:t> </w:t>
            </w:r>
            <w:r>
              <w:rPr>
                <w:rFonts w:ascii="Arial" w:hAnsi="Arial" w:cs="Arial" w:eastAsia="Arial" w:hint="default"/>
                <w:spacing w:val="4"/>
                <w:sz w:val="22"/>
                <w:szCs w:val="22"/>
              </w:rPr>
              <w:t>100%</w:t>
            </w:r>
            <w:r>
              <w:rPr>
                <w:rFonts w:ascii="宋体" w:hAnsi="宋体" w:cs="宋体" w:eastAsia="宋体" w:hint="default"/>
                <w:spacing w:val="4"/>
                <w:sz w:val="22"/>
                <w:szCs w:val="22"/>
              </w:rPr>
              <w:t>股权</w:t>
            </w:r>
            <w:r>
              <w:rPr>
                <w:rFonts w:ascii="宋体" w:hAnsi="宋体" w:cs="宋体" w:eastAsia="宋体" w:hint="default"/>
                <w:spacing w:val="8"/>
                <w:w w:val="99"/>
                <w:sz w:val="22"/>
                <w:szCs w:val="22"/>
              </w:rPr>
              <w:t> </w:t>
            </w:r>
            <w:r>
              <w:rPr>
                <w:rFonts w:ascii="宋体" w:hAnsi="宋体" w:cs="宋体" w:eastAsia="宋体" w:hint="default"/>
                <w:sz w:val="22"/>
                <w:szCs w:val="22"/>
              </w:rPr>
              <w:t>完成公告》</w:t>
            </w:r>
          </w:p>
        </w:tc>
      </w:tr>
      <w:tr>
        <w:trPr>
          <w:trHeight w:val="1442" w:hRule="exact"/>
        </w:trPr>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99" w:right="0"/>
              <w:jc w:val="both"/>
              <w:rPr>
                <w:rFonts w:ascii="宋体" w:hAnsi="宋体" w:cs="宋体" w:eastAsia="宋体" w:hint="default"/>
                <w:sz w:val="22"/>
                <w:szCs w:val="22"/>
              </w:rPr>
            </w:pPr>
            <w:r>
              <w:rPr>
                <w:rFonts w:ascii="宋体" w:hAnsi="宋体" w:cs="宋体" w:eastAsia="宋体" w:hint="default"/>
                <w:spacing w:val="4"/>
                <w:sz w:val="22"/>
                <w:szCs w:val="22"/>
              </w:rPr>
              <w:t>公司此次收购联通新时空不仅增厚上市公司的</w:t>
            </w:r>
            <w:r>
              <w:rPr>
                <w:rFonts w:ascii="宋体" w:hAnsi="宋体" w:cs="宋体" w:eastAsia="宋体" w:hint="default"/>
                <w:sz w:val="22"/>
                <w:szCs w:val="22"/>
              </w:rPr>
            </w:r>
          </w:p>
          <w:p>
            <w:pPr>
              <w:pStyle w:val="TableParagraph"/>
              <w:spacing w:line="237" w:lineRule="auto" w:before="1"/>
              <w:ind w:left="99" w:right="95"/>
              <w:jc w:val="both"/>
              <w:rPr>
                <w:rFonts w:ascii="宋体" w:hAnsi="宋体" w:cs="宋体" w:eastAsia="宋体" w:hint="default"/>
                <w:sz w:val="22"/>
                <w:szCs w:val="22"/>
              </w:rPr>
            </w:pPr>
            <w:r>
              <w:rPr>
                <w:rFonts w:ascii="宋体" w:hAnsi="宋体" w:cs="宋体" w:eastAsia="宋体" w:hint="default"/>
                <w:spacing w:val="4"/>
                <w:sz w:val="22"/>
                <w:szCs w:val="22"/>
              </w:rPr>
              <w:t>盈利，提升股东长期价值，也有利于南方固网</w:t>
            </w:r>
            <w:r>
              <w:rPr>
                <w:rFonts w:ascii="宋体" w:hAnsi="宋体" w:cs="宋体" w:eastAsia="宋体" w:hint="default"/>
                <w:spacing w:val="4"/>
                <w:w w:val="99"/>
                <w:sz w:val="22"/>
                <w:szCs w:val="22"/>
              </w:rPr>
              <w:t> </w:t>
            </w:r>
            <w:r>
              <w:rPr>
                <w:rFonts w:ascii="宋体" w:hAnsi="宋体" w:cs="宋体" w:eastAsia="宋体" w:hint="default"/>
                <w:spacing w:val="4"/>
                <w:sz w:val="22"/>
                <w:szCs w:val="22"/>
              </w:rPr>
              <w:t>网络和业务的统一规划和管理，提升经营管理</w:t>
            </w:r>
            <w:r>
              <w:rPr>
                <w:rFonts w:ascii="宋体" w:hAnsi="宋体" w:cs="宋体" w:eastAsia="宋体" w:hint="default"/>
                <w:spacing w:val="4"/>
                <w:w w:val="99"/>
                <w:sz w:val="22"/>
                <w:szCs w:val="22"/>
              </w:rPr>
              <w:t> </w:t>
            </w:r>
            <w:r>
              <w:rPr>
                <w:rFonts w:ascii="宋体" w:hAnsi="宋体" w:cs="宋体" w:eastAsia="宋体" w:hint="default"/>
                <w:spacing w:val="4"/>
                <w:sz w:val="22"/>
                <w:szCs w:val="22"/>
              </w:rPr>
              <w:t>效率。而且减少上市公司与联通集团之间的关</w:t>
            </w:r>
            <w:r>
              <w:rPr>
                <w:rFonts w:ascii="宋体" w:hAnsi="宋体" w:cs="宋体" w:eastAsia="宋体" w:hint="default"/>
                <w:spacing w:val="4"/>
                <w:w w:val="99"/>
                <w:sz w:val="22"/>
                <w:szCs w:val="22"/>
              </w:rPr>
              <w:t> </w:t>
            </w:r>
            <w:r>
              <w:rPr>
                <w:rFonts w:ascii="宋体" w:hAnsi="宋体" w:cs="宋体" w:eastAsia="宋体" w:hint="default"/>
                <w:sz w:val="22"/>
                <w:szCs w:val="22"/>
              </w:rPr>
              <w:t>联交易，可提升公司治理水平。</w:t>
            </w:r>
          </w:p>
        </w:tc>
        <w:tc>
          <w:tcPr>
            <w:tcW w:w="432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567" w:footer="745" w:top="800" w:bottom="940" w:left="1380" w:right="740"/>
        </w:sectPr>
      </w:pPr>
    </w:p>
    <w:p>
      <w:pPr>
        <w:spacing w:line="240" w:lineRule="auto" w:before="8"/>
        <w:rPr>
          <w:rFonts w:ascii="宋体" w:hAnsi="宋体" w:cs="宋体" w:eastAsia="宋体" w:hint="default"/>
          <w:sz w:val="22"/>
          <w:szCs w:val="22"/>
        </w:rPr>
      </w:pPr>
    </w:p>
    <w:p>
      <w:pPr>
        <w:pStyle w:val="Heading3"/>
        <w:spacing w:line="287" w:lineRule="exact"/>
        <w:ind w:left="206" w:right="5667"/>
        <w:jc w:val="left"/>
        <w:rPr>
          <w:b w:val="0"/>
          <w:bCs w:val="0"/>
        </w:rPr>
      </w:pPr>
      <w:r>
        <w:rPr/>
        <w:t>五、公司股权激励情况及其影响</w:t>
      </w:r>
      <w:r>
        <w:rPr>
          <w:b w:val="0"/>
          <w:bCs w:val="0"/>
        </w:rPr>
      </w:r>
    </w:p>
    <w:p>
      <w:pPr>
        <w:pStyle w:val="BodyText"/>
        <w:spacing w:line="424" w:lineRule="auto"/>
        <w:ind w:left="701" w:right="5667"/>
        <w:jc w:val="left"/>
      </w:pPr>
      <w:r>
        <w:rPr>
          <w:rFonts w:ascii="Arial" w:hAnsi="Arial" w:cs="Arial" w:eastAsia="Arial" w:hint="default"/>
        </w:rPr>
        <w:t>√</w:t>
      </w:r>
      <w:r>
        <w:rPr>
          <w:rFonts w:ascii="Arial" w:hAnsi="Arial" w:cs="Arial" w:eastAsia="Arial" w:hint="default"/>
          <w:spacing w:val="48"/>
        </w:rPr>
        <w:t> </w:t>
      </w:r>
      <w:r>
        <w:rPr/>
        <w:t>不适用</w:t>
      </w:r>
      <w:r>
        <w:rPr>
          <w:w w:val="99"/>
        </w:rPr>
        <w:t> </w:t>
      </w:r>
      <w:r>
        <w:rPr/>
        <w:t>本公司并未实施任何股权激励计划。</w:t>
      </w:r>
    </w:p>
    <w:p>
      <w:pPr>
        <w:pStyle w:val="BodyText"/>
        <w:spacing w:line="295" w:lineRule="exact" w:before="80"/>
        <w:ind w:left="701" w:right="0"/>
        <w:jc w:val="both"/>
      </w:pPr>
      <w:r>
        <w:rPr/>
        <w:t>本公司子公司联通红筹公司于</w:t>
      </w:r>
      <w:r>
        <w:rPr>
          <w:spacing w:val="-57"/>
        </w:rPr>
        <w:t> </w:t>
      </w:r>
      <w:r>
        <w:rPr>
          <w:rFonts w:ascii="Arial" w:hAnsi="Arial" w:cs="Arial" w:eastAsia="Arial" w:hint="default"/>
        </w:rPr>
        <w:t>2000</w:t>
      </w:r>
      <w:r>
        <w:rPr>
          <w:rFonts w:ascii="Arial" w:hAnsi="Arial" w:cs="Arial" w:eastAsia="Arial" w:hint="default"/>
          <w:spacing w:val="-8"/>
        </w:rPr>
        <w:t> </w:t>
      </w:r>
      <w:r>
        <w:rPr/>
        <w:t>年</w:t>
      </w:r>
      <w:r>
        <w:rPr>
          <w:spacing w:val="-57"/>
        </w:rPr>
        <w:t> </w:t>
      </w:r>
      <w:r>
        <w:rPr>
          <w:rFonts w:ascii="Arial" w:hAnsi="Arial" w:cs="Arial" w:eastAsia="Arial" w:hint="default"/>
        </w:rPr>
        <w:t>6</w:t>
      </w:r>
      <w:r>
        <w:rPr>
          <w:rFonts w:ascii="Arial" w:hAnsi="Arial" w:cs="Arial" w:eastAsia="Arial" w:hint="default"/>
          <w:spacing w:val="-7"/>
        </w:rPr>
        <w:t> </w:t>
      </w:r>
      <w:r>
        <w:rPr/>
        <w:t>月</w:t>
      </w:r>
      <w:r>
        <w:rPr>
          <w:spacing w:val="-57"/>
        </w:rPr>
        <w:t> </w:t>
      </w:r>
      <w:r>
        <w:rPr>
          <w:rFonts w:ascii="Arial" w:hAnsi="Arial" w:cs="Arial" w:eastAsia="Arial" w:hint="default"/>
        </w:rPr>
        <w:t>1</w:t>
      </w:r>
      <w:r>
        <w:rPr>
          <w:rFonts w:ascii="Arial" w:hAnsi="Arial" w:cs="Arial" w:eastAsia="Arial" w:hint="default"/>
          <w:spacing w:val="-7"/>
        </w:rPr>
        <w:t> </w:t>
      </w:r>
      <w:r>
        <w:rPr/>
        <w:t>日采纳了一份股份期权计划，向符合资格的联通</w:t>
      </w:r>
    </w:p>
    <w:p>
      <w:pPr>
        <w:pStyle w:val="BodyText"/>
        <w:spacing w:line="286" w:lineRule="exact"/>
        <w:ind w:left="701" w:right="0"/>
        <w:jc w:val="both"/>
      </w:pPr>
      <w:r>
        <w:rPr/>
        <w:t>红筹公司及其附属子公司的员工授予股份期权。此等期权计划的条款已于</w:t>
      </w:r>
      <w:r>
        <w:rPr>
          <w:spacing w:val="-55"/>
        </w:rPr>
        <w:t> </w:t>
      </w:r>
      <w:r>
        <w:rPr>
          <w:rFonts w:ascii="Arial" w:hAnsi="Arial" w:cs="Arial" w:eastAsia="Arial" w:hint="default"/>
        </w:rPr>
        <w:t>2002</w:t>
      </w:r>
      <w:r>
        <w:rPr>
          <w:rFonts w:ascii="Arial" w:hAnsi="Arial" w:cs="Arial" w:eastAsia="Arial" w:hint="default"/>
          <w:spacing w:val="-10"/>
        </w:rPr>
        <w:t> </w:t>
      </w:r>
      <w:r>
        <w:rPr/>
        <w:t>年</w:t>
      </w:r>
      <w:r>
        <w:rPr>
          <w:spacing w:val="-59"/>
        </w:rPr>
        <w:t> </w:t>
      </w:r>
      <w:r>
        <w:rPr>
          <w:rFonts w:ascii="Arial" w:hAnsi="Arial" w:cs="Arial" w:eastAsia="Arial" w:hint="default"/>
        </w:rPr>
        <w:t>5</w:t>
      </w:r>
      <w:r>
        <w:rPr>
          <w:rFonts w:ascii="Arial" w:hAnsi="Arial" w:cs="Arial" w:eastAsia="Arial" w:hint="default"/>
          <w:spacing w:val="-10"/>
        </w:rPr>
        <w:t> </w:t>
      </w:r>
      <w:r>
        <w:rPr/>
        <w:t>月</w:t>
      </w:r>
      <w:r>
        <w:rPr>
          <w:spacing w:val="-59"/>
        </w:rPr>
        <w:t> </w:t>
      </w:r>
      <w:r>
        <w:rPr>
          <w:rFonts w:ascii="Arial" w:hAnsi="Arial" w:cs="Arial" w:eastAsia="Arial" w:hint="default"/>
        </w:rPr>
        <w:t>13</w:t>
      </w:r>
      <w:r>
        <w:rPr>
          <w:rFonts w:ascii="Arial" w:hAnsi="Arial" w:cs="Arial" w:eastAsia="Arial" w:hint="default"/>
          <w:spacing w:val="-10"/>
        </w:rPr>
        <w:t> </w:t>
      </w:r>
      <w:r>
        <w:rPr/>
        <w:t>日、</w:t>
      </w:r>
    </w:p>
    <w:p>
      <w:pPr>
        <w:pStyle w:val="BodyText"/>
        <w:spacing w:line="286" w:lineRule="exact"/>
        <w:ind w:left="701" w:right="0"/>
        <w:jc w:val="both"/>
      </w:pPr>
      <w:r>
        <w:rPr>
          <w:rFonts w:ascii="Arial" w:hAnsi="Arial" w:cs="Arial" w:eastAsia="Arial" w:hint="default"/>
        </w:rPr>
        <w:t>2007</w:t>
      </w:r>
      <w:r>
        <w:rPr>
          <w:rFonts w:ascii="Arial" w:hAnsi="Arial" w:cs="Arial" w:eastAsia="Arial" w:hint="default"/>
          <w:spacing w:val="-8"/>
        </w:rPr>
        <w:t> </w:t>
      </w:r>
      <w:r>
        <w:rPr/>
        <w:t>年</w:t>
      </w:r>
      <w:r>
        <w:rPr>
          <w:spacing w:val="-57"/>
        </w:rPr>
        <w:t> </w:t>
      </w:r>
      <w:r>
        <w:rPr>
          <w:rFonts w:ascii="Arial" w:hAnsi="Arial" w:cs="Arial" w:eastAsia="Arial" w:hint="default"/>
        </w:rPr>
        <w:t>5</w:t>
      </w:r>
      <w:r>
        <w:rPr>
          <w:rFonts w:ascii="Arial" w:hAnsi="Arial" w:cs="Arial" w:eastAsia="Arial" w:hint="default"/>
          <w:spacing w:val="-8"/>
        </w:rPr>
        <w:t> </w:t>
      </w:r>
      <w:r>
        <w:rPr/>
        <w:t>月</w:t>
      </w:r>
      <w:r>
        <w:rPr>
          <w:spacing w:val="-57"/>
        </w:rPr>
        <w:t> </w:t>
      </w:r>
      <w:r>
        <w:rPr>
          <w:rFonts w:ascii="Arial" w:hAnsi="Arial" w:cs="Arial" w:eastAsia="Arial" w:hint="default"/>
        </w:rPr>
        <w:t>11</w:t>
      </w:r>
      <w:r>
        <w:rPr>
          <w:rFonts w:ascii="Arial" w:hAnsi="Arial" w:cs="Arial" w:eastAsia="Arial" w:hint="default"/>
          <w:spacing w:val="-8"/>
        </w:rPr>
        <w:t> </w:t>
      </w:r>
      <w:r>
        <w:rPr/>
        <w:t>日及</w:t>
      </w:r>
      <w:r>
        <w:rPr>
          <w:spacing w:val="-57"/>
        </w:rPr>
        <w:t> </w:t>
      </w:r>
      <w:r>
        <w:rPr>
          <w:rFonts w:ascii="Arial" w:hAnsi="Arial" w:cs="Arial" w:eastAsia="Arial" w:hint="default"/>
        </w:rPr>
        <w:t>2009</w:t>
      </w:r>
      <w:r>
        <w:rPr>
          <w:rFonts w:ascii="Arial" w:hAnsi="Arial" w:cs="Arial" w:eastAsia="Arial" w:hint="default"/>
          <w:spacing w:val="-8"/>
        </w:rPr>
        <w:t> </w:t>
      </w:r>
      <w:r>
        <w:rPr/>
        <w:t>年</w:t>
      </w:r>
      <w:r>
        <w:rPr>
          <w:spacing w:val="-57"/>
        </w:rPr>
        <w:t> </w:t>
      </w:r>
      <w:r>
        <w:rPr>
          <w:rFonts w:ascii="Arial" w:hAnsi="Arial" w:cs="Arial" w:eastAsia="Arial" w:hint="default"/>
        </w:rPr>
        <w:t>5</w:t>
      </w:r>
      <w:r>
        <w:rPr>
          <w:rFonts w:ascii="Arial" w:hAnsi="Arial" w:cs="Arial" w:eastAsia="Arial" w:hint="default"/>
          <w:spacing w:val="-8"/>
        </w:rPr>
        <w:t> </w:t>
      </w:r>
      <w:r>
        <w:rPr/>
        <w:t>月</w:t>
      </w:r>
      <w:r>
        <w:rPr>
          <w:spacing w:val="-57"/>
        </w:rPr>
        <w:t> </w:t>
      </w:r>
      <w:r>
        <w:rPr>
          <w:rFonts w:ascii="Arial" w:hAnsi="Arial" w:cs="Arial" w:eastAsia="Arial" w:hint="default"/>
        </w:rPr>
        <w:t>26</w:t>
      </w:r>
      <w:r>
        <w:rPr>
          <w:rFonts w:ascii="Arial" w:hAnsi="Arial" w:cs="Arial" w:eastAsia="Arial" w:hint="default"/>
          <w:spacing w:val="-8"/>
        </w:rPr>
        <w:t> </w:t>
      </w:r>
      <w:r>
        <w:rPr/>
        <w:t>日分别作出修订。此外，根据</w:t>
      </w:r>
      <w:r>
        <w:rPr>
          <w:spacing w:val="-57"/>
        </w:rPr>
        <w:t> </w:t>
      </w:r>
      <w:r>
        <w:rPr>
          <w:rFonts w:ascii="Arial" w:hAnsi="Arial" w:cs="Arial" w:eastAsia="Arial" w:hint="default"/>
        </w:rPr>
        <w:t>2008</w:t>
      </w:r>
      <w:r>
        <w:rPr>
          <w:rFonts w:ascii="Arial" w:hAnsi="Arial" w:cs="Arial" w:eastAsia="Arial" w:hint="default"/>
          <w:spacing w:val="-8"/>
        </w:rPr>
        <w:t> </w:t>
      </w:r>
      <w:r>
        <w:rPr/>
        <w:t>年</w:t>
      </w:r>
      <w:r>
        <w:rPr>
          <w:spacing w:val="-57"/>
        </w:rPr>
        <w:t> </w:t>
      </w:r>
      <w:r>
        <w:rPr>
          <w:rFonts w:ascii="Arial" w:hAnsi="Arial" w:cs="Arial" w:eastAsia="Arial" w:hint="default"/>
        </w:rPr>
        <w:t>9</w:t>
      </w:r>
      <w:r>
        <w:rPr>
          <w:rFonts w:ascii="Arial" w:hAnsi="Arial" w:cs="Arial" w:eastAsia="Arial" w:hint="default"/>
          <w:spacing w:val="-8"/>
        </w:rPr>
        <w:t> </w:t>
      </w:r>
      <w:r>
        <w:rPr/>
        <w:t>月</w:t>
      </w:r>
      <w:r>
        <w:rPr>
          <w:spacing w:val="-57"/>
        </w:rPr>
        <w:t> </w:t>
      </w:r>
      <w:r>
        <w:rPr>
          <w:rFonts w:ascii="Arial" w:hAnsi="Arial" w:cs="Arial" w:eastAsia="Arial" w:hint="default"/>
        </w:rPr>
        <w:t>16</w:t>
      </w:r>
      <w:r>
        <w:rPr>
          <w:rFonts w:ascii="Arial" w:hAnsi="Arial" w:cs="Arial" w:eastAsia="Arial" w:hint="default"/>
          <w:spacing w:val="-8"/>
        </w:rPr>
        <w:t> </w:t>
      </w:r>
      <w:r>
        <w:rPr/>
        <w:t>日联通红</w:t>
      </w:r>
    </w:p>
    <w:p>
      <w:pPr>
        <w:pStyle w:val="BodyText"/>
        <w:spacing w:line="228" w:lineRule="auto" w:before="4"/>
        <w:ind w:left="701" w:right="138"/>
        <w:jc w:val="both"/>
      </w:pPr>
      <w:r>
        <w:rPr/>
        <w:t>筹公司特别股东大会审议并通过的与网通红筹公司合并的协议安排，于</w:t>
      </w:r>
      <w:r>
        <w:rPr>
          <w:spacing w:val="-59"/>
        </w:rPr>
        <w:t> </w:t>
      </w:r>
      <w:r>
        <w:rPr>
          <w:rFonts w:ascii="Arial" w:hAnsi="Arial" w:cs="Arial" w:eastAsia="Arial" w:hint="default"/>
        </w:rPr>
        <w:t>2008</w:t>
      </w:r>
      <w:r>
        <w:rPr>
          <w:rFonts w:ascii="Arial" w:hAnsi="Arial" w:cs="Arial" w:eastAsia="Arial" w:hint="default"/>
          <w:spacing w:val="-10"/>
        </w:rPr>
        <w:t> </w:t>
      </w:r>
      <w:r>
        <w:rPr/>
        <w:t>年</w:t>
      </w:r>
      <w:r>
        <w:rPr>
          <w:spacing w:val="-59"/>
        </w:rPr>
        <w:t> </w:t>
      </w:r>
      <w:r>
        <w:rPr>
          <w:rFonts w:ascii="Arial" w:hAnsi="Arial" w:cs="Arial" w:eastAsia="Arial" w:hint="default"/>
        </w:rPr>
        <w:t>10</w:t>
      </w:r>
      <w:r>
        <w:rPr>
          <w:rFonts w:ascii="Arial" w:hAnsi="Arial" w:cs="Arial" w:eastAsia="Arial" w:hint="default"/>
          <w:spacing w:val="-10"/>
        </w:rPr>
        <w:t> </w:t>
      </w:r>
      <w:r>
        <w:rPr/>
        <w:t>月</w:t>
      </w:r>
      <w:r>
        <w:rPr>
          <w:spacing w:val="-59"/>
        </w:rPr>
        <w:t> </w:t>
      </w:r>
      <w:r>
        <w:rPr>
          <w:rFonts w:ascii="Arial" w:hAnsi="Arial" w:cs="Arial" w:eastAsia="Arial" w:hint="default"/>
        </w:rPr>
        <w:t>14</w:t>
      </w:r>
      <w:r>
        <w:rPr>
          <w:rFonts w:ascii="Arial" w:hAnsi="Arial" w:cs="Arial" w:eastAsia="Arial" w:hint="default"/>
          <w:spacing w:val="-10"/>
        </w:rPr>
        <w:t> </w:t>
      </w:r>
      <w:r>
        <w:rPr/>
        <w:t>日持</w:t>
      </w:r>
      <w:r>
        <w:rPr>
          <w:spacing w:val="-2"/>
          <w:w w:val="99"/>
        </w:rPr>
        <w:t> </w:t>
      </w:r>
      <w:r>
        <w:rPr>
          <w:spacing w:val="4"/>
        </w:rPr>
        <w:t>有但尚未行使网通红筹公司股份期权的人士被授予由联通红筹公司制订和通过特殊目的股份</w:t>
      </w:r>
      <w:r>
        <w:rPr>
          <w:spacing w:val="-106"/>
        </w:rPr>
        <w:t> </w:t>
      </w:r>
      <w:r>
        <w:rPr>
          <w:spacing w:val="-106"/>
        </w:rPr>
      </w:r>
      <w:r>
        <w:rPr/>
        <w:t>期权计划，此期权计划的条款已于</w:t>
      </w:r>
      <w:r>
        <w:rPr>
          <w:spacing w:val="-37"/>
        </w:rPr>
        <w:t> </w:t>
      </w:r>
      <w:r>
        <w:rPr>
          <w:rFonts w:ascii="Arial" w:hAnsi="Arial" w:cs="Arial" w:eastAsia="Arial" w:hint="default"/>
        </w:rPr>
        <w:t>2009</w:t>
      </w:r>
      <w:r>
        <w:rPr>
          <w:rFonts w:ascii="Arial" w:hAnsi="Arial" w:cs="Arial" w:eastAsia="Arial" w:hint="default"/>
          <w:spacing w:val="10"/>
        </w:rPr>
        <w:t> </w:t>
      </w:r>
      <w:r>
        <w:rPr/>
        <w:t>年</w:t>
      </w:r>
      <w:r>
        <w:rPr>
          <w:spacing w:val="-39"/>
        </w:rPr>
        <w:t> </w:t>
      </w:r>
      <w:r>
        <w:rPr>
          <w:rFonts w:ascii="Arial" w:hAnsi="Arial" w:cs="Arial" w:eastAsia="Arial" w:hint="default"/>
        </w:rPr>
        <w:t>5</w:t>
      </w:r>
      <w:r>
        <w:rPr>
          <w:rFonts w:ascii="Arial" w:hAnsi="Arial" w:cs="Arial" w:eastAsia="Arial" w:hint="default"/>
          <w:spacing w:val="10"/>
        </w:rPr>
        <w:t> </w:t>
      </w:r>
      <w:r>
        <w:rPr/>
        <w:t>月</w:t>
      </w:r>
      <w:r>
        <w:rPr>
          <w:spacing w:val="-39"/>
        </w:rPr>
        <w:t> </w:t>
      </w:r>
      <w:r>
        <w:rPr>
          <w:rFonts w:ascii="Arial" w:hAnsi="Arial" w:cs="Arial" w:eastAsia="Arial" w:hint="default"/>
        </w:rPr>
        <w:t>26</w:t>
      </w:r>
      <w:r>
        <w:rPr>
          <w:rFonts w:ascii="Arial" w:hAnsi="Arial" w:cs="Arial" w:eastAsia="Arial" w:hint="default"/>
          <w:spacing w:val="10"/>
        </w:rPr>
        <w:t> </w:t>
      </w:r>
      <w:r>
        <w:rPr/>
        <w:t>日作出修订。具体参见联通红筹公司网站</w:t>
      </w:r>
      <w:r>
        <w:rPr>
          <w:w w:val="99"/>
        </w:rPr>
        <w:t> </w:t>
      </w:r>
      <w:r>
        <w:rPr>
          <w:rFonts w:ascii="Arial" w:hAnsi="Arial" w:cs="Arial" w:eastAsia="Arial" w:hint="default"/>
          <w:w w:val="95"/>
        </w:rPr>
        <w:t>(www.chinaunicom.com.hk)</w:t>
      </w:r>
      <w:r>
        <w:rPr>
          <w:w w:val="95"/>
        </w:rPr>
        <w:t>所载公告。本集团预计此等股份期权不会对本集团产生重大影响，</w:t>
      </w:r>
      <w:r>
        <w:rPr>
          <w:spacing w:val="20"/>
          <w:w w:val="95"/>
        </w:rPr>
        <w:t> </w:t>
      </w:r>
      <w:r>
        <w:rPr/>
        <w:t>详情参见公司</w:t>
      </w:r>
      <w:r>
        <w:rPr>
          <w:spacing w:val="-58"/>
        </w:rPr>
        <w:t> </w:t>
      </w:r>
      <w:r>
        <w:rPr>
          <w:rFonts w:ascii="Arial" w:hAnsi="Arial" w:cs="Arial" w:eastAsia="Arial" w:hint="default"/>
        </w:rPr>
        <w:t>2012</w:t>
      </w:r>
      <w:r>
        <w:rPr>
          <w:rFonts w:ascii="Arial" w:hAnsi="Arial" w:cs="Arial" w:eastAsia="Arial" w:hint="default"/>
          <w:spacing w:val="-10"/>
        </w:rPr>
        <w:t> </w:t>
      </w:r>
      <w:r>
        <w:rPr/>
        <w:t>年财务报表附注五</w:t>
      </w:r>
      <w:r>
        <w:rPr>
          <w:rFonts w:ascii="Arial" w:hAnsi="Arial" w:cs="Arial" w:eastAsia="Arial" w:hint="default"/>
        </w:rPr>
        <w:t>(46)</w:t>
      </w:r>
      <w:r>
        <w:rPr/>
        <w:t>。</w:t>
      </w:r>
    </w:p>
    <w:p>
      <w:pPr>
        <w:spacing w:line="240" w:lineRule="auto" w:before="1"/>
        <w:rPr>
          <w:rFonts w:ascii="宋体" w:hAnsi="宋体" w:cs="宋体" w:eastAsia="宋体" w:hint="default"/>
          <w:sz w:val="18"/>
          <w:szCs w:val="18"/>
        </w:rPr>
      </w:pPr>
    </w:p>
    <w:p>
      <w:pPr>
        <w:pStyle w:val="Heading3"/>
        <w:spacing w:line="240" w:lineRule="auto" w:before="0"/>
        <w:ind w:left="206" w:right="5667"/>
        <w:jc w:val="left"/>
        <w:rPr>
          <w:b w:val="0"/>
          <w:bCs w:val="0"/>
        </w:rPr>
      </w:pPr>
      <w:r>
        <w:rPr/>
        <w:t>六、重大关联交易</w:t>
      </w:r>
      <w:r>
        <w:rPr>
          <w:b w:val="0"/>
          <w:bCs w:val="0"/>
        </w:rPr>
      </w:r>
    </w:p>
    <w:p>
      <w:pPr>
        <w:spacing w:line="240" w:lineRule="auto" w:before="2"/>
        <w:rPr>
          <w:rFonts w:ascii="宋体" w:hAnsi="宋体" w:cs="宋体" w:eastAsia="宋体" w:hint="default"/>
          <w:b/>
          <w:bCs/>
          <w:sz w:val="19"/>
          <w:szCs w:val="19"/>
        </w:rPr>
      </w:pPr>
    </w:p>
    <w:p>
      <w:pPr>
        <w:pStyle w:val="BodyText"/>
        <w:spacing w:line="240" w:lineRule="auto"/>
        <w:ind w:left="206" w:right="5667"/>
        <w:jc w:val="left"/>
      </w:pPr>
      <w:r>
        <w:rPr/>
        <w:t>（一）资产收购、出售发生的关联交易</w:t>
      </w:r>
    </w:p>
    <w:p>
      <w:pPr>
        <w:spacing w:line="240" w:lineRule="auto" w:before="1"/>
        <w:rPr>
          <w:rFonts w:ascii="宋体" w:hAnsi="宋体" w:cs="宋体" w:eastAsia="宋体" w:hint="default"/>
          <w:sz w:val="19"/>
          <w:szCs w:val="19"/>
        </w:rPr>
      </w:pPr>
    </w:p>
    <w:p>
      <w:pPr>
        <w:pStyle w:val="BodyText"/>
        <w:spacing w:line="240" w:lineRule="auto"/>
        <w:ind w:left="206" w:right="152"/>
        <w:jc w:val="left"/>
      </w:pPr>
      <w:r>
        <w:rPr>
          <w:rFonts w:ascii="Arial" w:hAnsi="Arial" w:cs="Arial" w:eastAsia="Arial" w:hint="default"/>
        </w:rPr>
        <w:t>1</w:t>
      </w:r>
      <w:r>
        <w:rPr/>
        <w:t>、已在临时公告披露，但有后续实施的进展或变化的事项</w:t>
      </w:r>
    </w:p>
    <w:p>
      <w:pPr>
        <w:spacing w:line="240" w:lineRule="auto" w:before="2"/>
        <w:rPr>
          <w:rFonts w:ascii="宋体" w:hAnsi="宋体" w:cs="宋体" w:eastAsia="宋体" w:hint="default"/>
          <w:sz w:val="20"/>
          <w:szCs w:val="20"/>
        </w:rPr>
      </w:pPr>
    </w:p>
    <w:p>
      <w:pPr>
        <w:pStyle w:val="BodyText"/>
        <w:spacing w:line="286" w:lineRule="exact"/>
        <w:ind w:left="566" w:right="152"/>
        <w:jc w:val="left"/>
      </w:pPr>
      <w:r>
        <w:rPr/>
        <w:t>公司关于收购联通新时空通信有限公司的</w:t>
      </w:r>
      <w:r>
        <w:rPr>
          <w:spacing w:val="-56"/>
        </w:rPr>
        <w:t> </w:t>
      </w:r>
      <w:r>
        <w:rPr>
          <w:rFonts w:ascii="Arial" w:hAnsi="Arial" w:cs="Arial" w:eastAsia="Arial" w:hint="default"/>
        </w:rPr>
        <w:t>100%</w:t>
      </w:r>
      <w:r>
        <w:rPr/>
        <w:t>股权的关联交易已于</w:t>
      </w:r>
      <w:r>
        <w:rPr>
          <w:spacing w:val="-56"/>
        </w:rPr>
        <w:t> </w:t>
      </w:r>
      <w:r>
        <w:rPr>
          <w:rFonts w:ascii="Arial" w:hAnsi="Arial" w:cs="Arial" w:eastAsia="Arial" w:hint="default"/>
        </w:rPr>
        <w:t>2012</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26</w:t>
      </w:r>
      <w:r>
        <w:rPr>
          <w:rFonts w:ascii="Arial" w:hAnsi="Arial" w:cs="Arial" w:eastAsia="Arial" w:hint="default"/>
          <w:spacing w:val="-9"/>
        </w:rPr>
        <w:t> </w:t>
      </w:r>
      <w:r>
        <w:rPr/>
        <w:t>日完成。</w:t>
      </w:r>
      <w:r>
        <w:rPr>
          <w:w w:val="99"/>
        </w:rPr>
        <w:t> </w:t>
      </w:r>
      <w:r>
        <w:rPr/>
        <w:t>具体内容详见前述“资产交易、企业合并事项”中公司收购、出售资产的相关内容。</w:t>
      </w:r>
    </w:p>
    <w:p>
      <w:pPr>
        <w:spacing w:line="240" w:lineRule="auto" w:before="1"/>
        <w:rPr>
          <w:rFonts w:ascii="宋体" w:hAnsi="宋体" w:cs="宋体" w:eastAsia="宋体" w:hint="default"/>
          <w:sz w:val="17"/>
          <w:szCs w:val="17"/>
        </w:rPr>
      </w:pPr>
    </w:p>
    <w:p>
      <w:pPr>
        <w:spacing w:line="448" w:lineRule="auto" w:before="0"/>
        <w:ind w:left="116" w:right="3742" w:firstLine="90"/>
        <w:jc w:val="left"/>
        <w:rPr>
          <w:rFonts w:ascii="宋体" w:hAnsi="宋体" w:cs="宋体" w:eastAsia="宋体" w:hint="default"/>
          <w:sz w:val="22"/>
          <w:szCs w:val="22"/>
        </w:rPr>
      </w:pPr>
      <w:r>
        <w:rPr>
          <w:rFonts w:ascii="宋体" w:hAnsi="宋体" w:cs="宋体" w:eastAsia="宋体" w:hint="default"/>
          <w:sz w:val="22"/>
          <w:szCs w:val="22"/>
        </w:rPr>
        <w:t>（二）其他本年度公司关联交易事项请参见财务报告附注七。</w:t>
      </w:r>
      <w:r>
        <w:rPr>
          <w:rFonts w:ascii="宋体" w:hAnsi="宋体" w:cs="宋体" w:eastAsia="宋体" w:hint="default"/>
          <w:w w:val="99"/>
          <w:sz w:val="22"/>
          <w:szCs w:val="22"/>
        </w:rPr>
        <w:t> </w:t>
      </w:r>
      <w:r>
        <w:rPr>
          <w:rFonts w:ascii="宋体" w:hAnsi="宋体" w:cs="宋体" w:eastAsia="宋体" w:hint="default"/>
          <w:b/>
          <w:bCs/>
          <w:sz w:val="22"/>
          <w:szCs w:val="22"/>
        </w:rPr>
        <w:t>七、重大合同及其履行情况</w:t>
      </w:r>
      <w:r>
        <w:rPr>
          <w:rFonts w:ascii="宋体" w:hAnsi="宋体" w:cs="宋体" w:eastAsia="宋体" w:hint="default"/>
          <w:sz w:val="22"/>
          <w:szCs w:val="22"/>
        </w:rPr>
      </w:r>
    </w:p>
    <w:p>
      <w:pPr>
        <w:pStyle w:val="BodyText"/>
        <w:spacing w:line="240" w:lineRule="auto" w:before="58"/>
        <w:ind w:left="206" w:right="5667"/>
        <w:jc w:val="left"/>
      </w:pPr>
      <w:r>
        <w:rPr/>
        <w:t>（一）托管、承包、租赁事项</w:t>
      </w:r>
    </w:p>
    <w:p>
      <w:pPr>
        <w:spacing w:line="240" w:lineRule="auto" w:before="4"/>
        <w:rPr>
          <w:rFonts w:ascii="宋体" w:hAnsi="宋体" w:cs="宋体" w:eastAsia="宋体" w:hint="default"/>
          <w:sz w:val="21"/>
          <w:szCs w:val="21"/>
        </w:rPr>
      </w:pPr>
    </w:p>
    <w:p>
      <w:pPr>
        <w:pStyle w:val="BodyText"/>
        <w:spacing w:line="286" w:lineRule="exact"/>
        <w:ind w:left="566" w:right="6902" w:hanging="360"/>
        <w:jc w:val="left"/>
      </w:pPr>
      <w:r>
        <w:rPr>
          <w:rFonts w:ascii="Arial" w:hAnsi="Arial" w:cs="Arial" w:eastAsia="Arial" w:hint="default"/>
        </w:rPr>
        <w:t>1</w:t>
      </w:r>
      <w:r>
        <w:rPr/>
        <w:t>、托管情况</w:t>
      </w:r>
      <w:r>
        <w:rPr>
          <w:w w:val="99"/>
        </w:rPr>
        <w:t> </w:t>
      </w:r>
      <w:r>
        <w:rPr/>
        <w:t>本年度公司无托管事项。</w:t>
      </w:r>
    </w:p>
    <w:p>
      <w:pPr>
        <w:spacing w:line="240" w:lineRule="auto" w:before="3"/>
        <w:rPr>
          <w:rFonts w:ascii="宋体" w:hAnsi="宋体" w:cs="宋体" w:eastAsia="宋体" w:hint="default"/>
          <w:sz w:val="19"/>
          <w:szCs w:val="19"/>
        </w:rPr>
      </w:pPr>
    </w:p>
    <w:p>
      <w:pPr>
        <w:pStyle w:val="BodyText"/>
        <w:spacing w:line="286" w:lineRule="exact"/>
        <w:ind w:left="566" w:right="6902" w:hanging="360"/>
        <w:jc w:val="left"/>
      </w:pPr>
      <w:r>
        <w:rPr>
          <w:rFonts w:ascii="Arial" w:hAnsi="Arial" w:cs="Arial" w:eastAsia="Arial" w:hint="default"/>
        </w:rPr>
        <w:t>2</w:t>
      </w:r>
      <w:r>
        <w:rPr/>
        <w:t>、承包情况</w:t>
      </w:r>
      <w:r>
        <w:rPr>
          <w:w w:val="99"/>
        </w:rPr>
        <w:t> </w:t>
      </w:r>
      <w:r>
        <w:rPr/>
        <w:t>本年度公司无承包事项。</w:t>
      </w:r>
    </w:p>
    <w:p>
      <w:pPr>
        <w:spacing w:line="240" w:lineRule="auto" w:before="6"/>
        <w:rPr>
          <w:rFonts w:ascii="宋体" w:hAnsi="宋体" w:cs="宋体" w:eastAsia="宋体" w:hint="default"/>
          <w:sz w:val="19"/>
          <w:szCs w:val="19"/>
        </w:rPr>
      </w:pPr>
    </w:p>
    <w:p>
      <w:pPr>
        <w:pStyle w:val="BodyText"/>
        <w:spacing w:line="284" w:lineRule="exact"/>
        <w:ind w:left="566" w:right="6462" w:hanging="360"/>
        <w:jc w:val="left"/>
      </w:pPr>
      <w:r>
        <w:rPr>
          <w:rFonts w:ascii="Arial" w:hAnsi="Arial" w:cs="Arial" w:eastAsia="Arial" w:hint="default"/>
        </w:rPr>
        <w:t>3</w:t>
      </w:r>
      <w:r>
        <w:rPr/>
        <w:t>、租赁情况</w:t>
      </w:r>
      <w:r>
        <w:rPr>
          <w:w w:val="99"/>
        </w:rPr>
        <w:t> </w:t>
      </w:r>
      <w:r>
        <w:rPr/>
        <w:t>本年度公司无重大租赁事项。</w:t>
      </w:r>
    </w:p>
    <w:p>
      <w:pPr>
        <w:spacing w:line="240" w:lineRule="auto" w:before="3"/>
        <w:rPr>
          <w:rFonts w:ascii="宋体" w:hAnsi="宋体" w:cs="宋体" w:eastAsia="宋体" w:hint="default"/>
          <w:sz w:val="17"/>
          <w:szCs w:val="17"/>
        </w:rPr>
      </w:pPr>
    </w:p>
    <w:p>
      <w:pPr>
        <w:pStyle w:val="BodyText"/>
        <w:spacing w:line="295" w:lineRule="exact"/>
        <w:ind w:left="206" w:right="5667"/>
        <w:jc w:val="left"/>
      </w:pPr>
      <w:r>
        <w:rPr>
          <w:rFonts w:ascii="Arial" w:hAnsi="Arial" w:cs="Arial" w:eastAsia="Arial" w:hint="default"/>
        </w:rPr>
        <w:t>4</w:t>
      </w:r>
      <w:r>
        <w:rPr/>
        <w:t>、担保情况</w:t>
      </w:r>
    </w:p>
    <w:p>
      <w:pPr>
        <w:pStyle w:val="BodyText"/>
        <w:spacing w:line="295" w:lineRule="exact"/>
        <w:ind w:left="620" w:right="0"/>
        <w:jc w:val="both"/>
      </w:pPr>
      <w:r>
        <w:rPr>
          <w:rFonts w:ascii="Arial" w:hAnsi="Arial" w:cs="Arial" w:eastAsia="Arial" w:hint="default"/>
        </w:rPr>
        <w:t>√</w:t>
      </w:r>
      <w:r>
        <w:rPr>
          <w:rFonts w:ascii="Arial" w:hAnsi="Arial" w:cs="Arial" w:eastAsia="Arial" w:hint="default"/>
          <w:spacing w:val="46"/>
        </w:rPr>
        <w:t> </w:t>
      </w:r>
      <w:r>
        <w:rPr/>
        <w:t>不适用</w:t>
      </w:r>
    </w:p>
    <w:p>
      <w:pPr>
        <w:spacing w:line="240" w:lineRule="auto" w:before="12"/>
        <w:rPr>
          <w:rFonts w:ascii="宋体" w:hAnsi="宋体" w:cs="宋体" w:eastAsia="宋体" w:hint="default"/>
          <w:sz w:val="17"/>
          <w:szCs w:val="17"/>
        </w:rPr>
      </w:pPr>
    </w:p>
    <w:p>
      <w:pPr>
        <w:pStyle w:val="BodyText"/>
        <w:spacing w:line="240" w:lineRule="auto"/>
        <w:ind w:left="206" w:right="5667"/>
        <w:jc w:val="left"/>
      </w:pPr>
      <w:r>
        <w:rPr/>
        <w:t>（二）其他重大合同</w:t>
      </w:r>
    </w:p>
    <w:p>
      <w:pPr>
        <w:spacing w:line="240" w:lineRule="auto" w:before="5"/>
        <w:rPr>
          <w:rFonts w:ascii="宋体" w:hAnsi="宋体" w:cs="宋体" w:eastAsia="宋体" w:hint="default"/>
          <w:sz w:val="19"/>
          <w:szCs w:val="19"/>
        </w:rPr>
      </w:pPr>
    </w:p>
    <w:p>
      <w:pPr>
        <w:pStyle w:val="BodyText"/>
        <w:spacing w:line="237" w:lineRule="auto"/>
        <w:ind w:left="898" w:right="210"/>
        <w:jc w:val="both"/>
      </w:pPr>
      <w:r>
        <w:rPr>
          <w:spacing w:val="5"/>
        </w:rPr>
        <w:t>本公司与联通集团签署的关于收购联通新时空的股权转让协议以及本公司与联通运营公司</w:t>
      </w:r>
      <w:r>
        <w:rPr>
          <w:spacing w:val="-93"/>
        </w:rPr>
        <w:t> </w:t>
      </w:r>
      <w:r>
        <w:rPr>
          <w:spacing w:val="-93"/>
        </w:rPr>
      </w:r>
      <w:r>
        <w:rPr>
          <w:w w:val="95"/>
        </w:rPr>
        <w:t>签署的关于股权再转让协议已经执行完毕，请参见前述“资产交易、企业合并事项”中公司</w:t>
      </w:r>
      <w:r>
        <w:rPr>
          <w:spacing w:val="4"/>
          <w:w w:val="95"/>
        </w:rPr>
        <w:t> </w:t>
      </w:r>
      <w:r>
        <w:rPr>
          <w:spacing w:val="4"/>
          <w:w w:val="95"/>
        </w:rPr>
      </w:r>
      <w:r>
        <w:rPr/>
        <w:t>收购、出售资产的相关内容。</w:t>
      </w:r>
    </w:p>
    <w:p>
      <w:pPr>
        <w:spacing w:after="0" w:line="237" w:lineRule="auto"/>
        <w:jc w:val="both"/>
        <w:sectPr>
          <w:pgSz w:w="11910" w:h="16840"/>
          <w:pgMar w:header="567" w:footer="745" w:top="800" w:bottom="940" w:left="1320" w:right="6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八、承诺事项履行情况</w:t>
      </w:r>
      <w:r>
        <w:rPr>
          <w:b w:val="0"/>
          <w:bCs w:val="0"/>
        </w:rPr>
      </w:r>
    </w:p>
    <w:p>
      <w:pPr>
        <w:spacing w:line="240" w:lineRule="auto" w:before="6"/>
        <w:rPr>
          <w:rFonts w:ascii="宋体" w:hAnsi="宋体" w:cs="宋体" w:eastAsia="宋体" w:hint="default"/>
          <w:b/>
          <w:bCs/>
          <w:sz w:val="21"/>
          <w:szCs w:val="21"/>
        </w:rPr>
      </w:pPr>
    </w:p>
    <w:p>
      <w:pPr>
        <w:pStyle w:val="BodyText"/>
        <w:spacing w:line="284" w:lineRule="exact"/>
        <w:ind w:left="812" w:right="241" w:hanging="666"/>
        <w:jc w:val="left"/>
      </w:pPr>
      <w:r>
        <w:rPr/>
        <w:t>（一）上市公司、持股</w:t>
      </w:r>
      <w:r>
        <w:rPr>
          <w:spacing w:val="-67"/>
        </w:rPr>
        <w:t> </w:t>
      </w:r>
      <w:r>
        <w:rPr>
          <w:rFonts w:ascii="Arial" w:hAnsi="Arial" w:cs="Arial" w:eastAsia="Arial" w:hint="default"/>
        </w:rPr>
        <w:t>5%</w:t>
      </w:r>
      <w:r>
        <w:rPr/>
        <w:t>以上的股东、控股股东及实际控制人在报告期内或持续到报告期内的承</w:t>
      </w:r>
      <w:r>
        <w:rPr>
          <w:w w:val="99"/>
        </w:rPr>
        <w:t> </w:t>
      </w:r>
      <w:r>
        <w:rPr/>
        <w:t>诺事项</w:t>
      </w:r>
    </w:p>
    <w:p>
      <w:pPr>
        <w:spacing w:line="240" w:lineRule="auto" w:before="13"/>
        <w:rPr>
          <w:rFonts w:ascii="宋体" w:hAnsi="宋体" w:cs="宋体" w:eastAsia="宋体" w:hint="default"/>
          <w:sz w:val="19"/>
          <w:szCs w:val="19"/>
        </w:rPr>
      </w:pPr>
    </w:p>
    <w:tbl>
      <w:tblPr>
        <w:tblW w:w="0" w:type="auto"/>
        <w:jc w:val="left"/>
        <w:tblInd w:w="267" w:type="dxa"/>
        <w:tblLayout w:type="fixed"/>
        <w:tblCellMar>
          <w:top w:w="0" w:type="dxa"/>
          <w:left w:w="0" w:type="dxa"/>
          <w:bottom w:w="0" w:type="dxa"/>
          <w:right w:w="0" w:type="dxa"/>
        </w:tblCellMar>
        <w:tblLook w:val="01E0"/>
      </w:tblPr>
      <w:tblGrid>
        <w:gridCol w:w="604"/>
        <w:gridCol w:w="603"/>
        <w:gridCol w:w="604"/>
        <w:gridCol w:w="3014"/>
        <w:gridCol w:w="1170"/>
        <w:gridCol w:w="702"/>
        <w:gridCol w:w="712"/>
        <w:gridCol w:w="1124"/>
        <w:gridCol w:w="846"/>
      </w:tblGrid>
      <w:tr>
        <w:trPr>
          <w:trHeight w:val="1131"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背景</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40" w:lineRule="auto" w:before="45"/>
              <w:ind w:left="102"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方</w:t>
            </w:r>
          </w:p>
        </w:tc>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9" w:right="0" w:hanging="90"/>
              <w:jc w:val="left"/>
              <w:rPr>
                <w:rFonts w:ascii="宋体" w:hAnsi="宋体" w:cs="宋体" w:eastAsia="宋体" w:hint="default"/>
                <w:sz w:val="18"/>
                <w:szCs w:val="18"/>
              </w:rPr>
            </w:pPr>
            <w:r>
              <w:rPr>
                <w:rFonts w:ascii="宋体" w:hAnsi="宋体" w:cs="宋体" w:eastAsia="宋体" w:hint="default"/>
                <w:sz w:val="18"/>
                <w:szCs w:val="18"/>
              </w:rPr>
              <w:t>承诺时间</w:t>
            </w:r>
          </w:p>
          <w:p>
            <w:pPr>
              <w:pStyle w:val="TableParagraph"/>
              <w:spacing w:line="240" w:lineRule="auto" w:before="45"/>
              <w:ind w:left="309" w:right="0"/>
              <w:jc w:val="left"/>
              <w:rPr>
                <w:rFonts w:ascii="宋体" w:hAnsi="宋体" w:cs="宋体" w:eastAsia="宋体" w:hint="default"/>
                <w:sz w:val="18"/>
                <w:szCs w:val="18"/>
              </w:rPr>
            </w:pPr>
            <w:r>
              <w:rPr>
                <w:rFonts w:ascii="宋体" w:hAnsi="宋体" w:cs="宋体" w:eastAsia="宋体" w:hint="default"/>
                <w:sz w:val="18"/>
                <w:szCs w:val="18"/>
              </w:rPr>
              <w:t>及期限</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是否有</w:t>
            </w:r>
          </w:p>
          <w:p>
            <w:pPr>
              <w:pStyle w:val="TableParagraph"/>
              <w:spacing w:line="285" w:lineRule="auto" w:before="45"/>
              <w:ind w:left="103" w:right="47"/>
              <w:jc w:val="left"/>
              <w:rPr>
                <w:rFonts w:ascii="宋体" w:hAnsi="宋体" w:cs="宋体" w:eastAsia="宋体" w:hint="default"/>
                <w:sz w:val="18"/>
                <w:szCs w:val="18"/>
              </w:rPr>
            </w:pPr>
            <w:r>
              <w:rPr>
                <w:rFonts w:ascii="宋体" w:hAnsi="宋体" w:cs="宋体" w:eastAsia="宋体" w:hint="default"/>
                <w:sz w:val="18"/>
                <w:szCs w:val="18"/>
              </w:rPr>
              <w:t>履行期 间</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是否及</w:t>
            </w:r>
          </w:p>
          <w:p>
            <w:pPr>
              <w:pStyle w:val="TableParagraph"/>
              <w:spacing w:line="285" w:lineRule="auto" w:before="45"/>
              <w:ind w:left="103" w:right="56"/>
              <w:jc w:val="left"/>
              <w:rPr>
                <w:rFonts w:ascii="宋体" w:hAnsi="宋体" w:cs="宋体" w:eastAsia="宋体" w:hint="default"/>
                <w:sz w:val="18"/>
                <w:szCs w:val="18"/>
              </w:rPr>
            </w:pPr>
            <w:r>
              <w:rPr>
                <w:rFonts w:ascii="宋体" w:hAnsi="宋体" w:cs="宋体" w:eastAsia="宋体" w:hint="default"/>
                <w:sz w:val="18"/>
                <w:szCs w:val="18"/>
              </w:rPr>
              <w:t>时和严 格履行</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如未能及时</w:t>
            </w:r>
          </w:p>
          <w:p>
            <w:pPr>
              <w:pStyle w:val="TableParagraph"/>
              <w:spacing w:line="285" w:lineRule="auto" w:before="45"/>
              <w:ind w:left="101" w:right="110"/>
              <w:jc w:val="both"/>
              <w:rPr>
                <w:rFonts w:ascii="宋体" w:hAnsi="宋体" w:cs="宋体" w:eastAsia="宋体" w:hint="default"/>
                <w:sz w:val="18"/>
                <w:szCs w:val="18"/>
              </w:rPr>
            </w:pPr>
            <w:r>
              <w:rPr>
                <w:rFonts w:ascii="宋体" w:hAnsi="宋体" w:cs="宋体" w:eastAsia="宋体" w:hint="default"/>
                <w:sz w:val="18"/>
                <w:szCs w:val="18"/>
              </w:rPr>
              <w:t>履行应说明 未完成履行 的具体原因</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7" w:right="0"/>
              <w:jc w:val="both"/>
              <w:rPr>
                <w:rFonts w:ascii="宋体" w:hAnsi="宋体" w:cs="宋体" w:eastAsia="宋体" w:hint="default"/>
                <w:sz w:val="18"/>
                <w:szCs w:val="18"/>
              </w:rPr>
            </w:pPr>
            <w:r>
              <w:rPr>
                <w:rFonts w:ascii="宋体" w:hAnsi="宋体" w:cs="宋体" w:eastAsia="宋体" w:hint="default"/>
                <w:sz w:val="18"/>
                <w:szCs w:val="18"/>
              </w:rPr>
              <w:t>如未能及</w:t>
            </w:r>
          </w:p>
          <w:p>
            <w:pPr>
              <w:pStyle w:val="TableParagraph"/>
              <w:spacing w:line="285" w:lineRule="auto" w:before="45"/>
              <w:ind w:left="67" w:right="47"/>
              <w:jc w:val="both"/>
              <w:rPr>
                <w:rFonts w:ascii="宋体" w:hAnsi="宋体" w:cs="宋体" w:eastAsia="宋体" w:hint="default"/>
                <w:sz w:val="18"/>
                <w:szCs w:val="18"/>
              </w:rPr>
            </w:pPr>
            <w:r>
              <w:rPr>
                <w:rFonts w:ascii="宋体" w:hAnsi="宋体" w:cs="宋体" w:eastAsia="宋体" w:hint="default"/>
                <w:sz w:val="18"/>
                <w:szCs w:val="18"/>
              </w:rPr>
              <w:t>时履行应 说明下一 步计划</w:t>
            </w:r>
          </w:p>
        </w:tc>
      </w:tr>
      <w:tr>
        <w:trPr>
          <w:trHeight w:val="9255" w:hRule="exact"/>
        </w:trPr>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6"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40" w:lineRule="auto" w:before="45"/>
              <w:ind w:left="116"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联通</w:t>
            </w:r>
          </w:p>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集团</w:t>
            </w:r>
          </w:p>
        </w:tc>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1" w:right="0"/>
              <w:jc w:val="left"/>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pacing w:val="-10"/>
                <w:sz w:val="18"/>
                <w:szCs w:val="18"/>
              </w:rPr>
              <w:t>日、</w:t>
            </w:r>
            <w:r>
              <w:rPr>
                <w:rFonts w:ascii="Arial" w:hAnsi="Arial" w:cs="Arial" w:eastAsia="Arial" w:hint="default"/>
                <w:spacing w:val="-10"/>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p>
          <w:p>
            <w:pPr>
              <w:pStyle w:val="TableParagraph"/>
              <w:spacing w:line="271" w:lineRule="auto" w:before="32"/>
              <w:ind w:left="101" w:right="20"/>
              <w:jc w:val="left"/>
              <w:rPr>
                <w:rFonts w:ascii="宋体" w:hAnsi="宋体" w:cs="宋体" w:eastAsia="宋体" w:hint="default"/>
                <w:sz w:val="18"/>
                <w:szCs w:val="18"/>
              </w:rPr>
            </w:pPr>
            <w:r>
              <w:rPr>
                <w:rFonts w:ascii="Arial" w:hAnsi="Arial" w:cs="Arial" w:eastAsia="Arial" w:hint="default"/>
                <w:w w:val="99"/>
                <w:sz w:val="18"/>
                <w:szCs w:val="18"/>
              </w:rPr>
              <w:t>5</w:t>
            </w:r>
            <w:r>
              <w:rPr>
                <w:rFonts w:ascii="Arial" w:hAnsi="Arial" w:cs="Arial" w:eastAsia="Arial" w:hint="default"/>
                <w:spacing w:val="-10"/>
                <w:w w:val="99"/>
                <w:sz w:val="18"/>
                <w:szCs w:val="18"/>
              </w:rPr>
              <w:t> </w:t>
            </w:r>
            <w:r>
              <w:rPr>
                <w:rFonts w:ascii="宋体" w:hAnsi="宋体" w:cs="宋体" w:eastAsia="宋体" w:hint="default"/>
                <w:sz w:val="18"/>
                <w:szCs w:val="18"/>
              </w:rPr>
              <w:t>日及</w:t>
            </w:r>
            <w:r>
              <w:rPr>
                <w:rFonts w:ascii="宋体" w:hAnsi="宋体" w:cs="宋体" w:eastAsia="宋体" w:hint="default"/>
                <w:spacing w:val="-50"/>
                <w:sz w:val="18"/>
                <w:szCs w:val="18"/>
              </w:rPr>
              <w:t> </w:t>
            </w:r>
            <w:r>
              <w:rPr>
                <w:rFonts w:ascii="Arial" w:hAnsi="Arial" w:cs="Arial" w:eastAsia="Arial" w:hint="default"/>
                <w:w w:val="99"/>
                <w:sz w:val="18"/>
                <w:szCs w:val="18"/>
              </w:rPr>
              <w:t>2013</w:t>
            </w:r>
            <w:r>
              <w:rPr>
                <w:rFonts w:ascii="Arial" w:hAnsi="Arial" w:cs="Arial" w:eastAsia="Arial" w:hint="default"/>
                <w:spacing w:val="-10"/>
                <w:w w:val="9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w w:val="99"/>
                <w:sz w:val="18"/>
                <w:szCs w:val="18"/>
              </w:rPr>
              <w:t>1</w:t>
            </w:r>
            <w:r>
              <w:rPr>
                <w:rFonts w:ascii="Arial" w:hAnsi="Arial" w:cs="Arial" w:eastAsia="Arial" w:hint="default"/>
                <w:spacing w:val="-10"/>
                <w:w w:val="99"/>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Arial" w:hAnsi="Arial" w:cs="Arial" w:eastAsia="Arial" w:hint="default"/>
                <w:w w:val="99"/>
                <w:sz w:val="18"/>
                <w:szCs w:val="18"/>
              </w:rPr>
              <w:t>10</w:t>
            </w:r>
            <w:r>
              <w:rPr>
                <w:rFonts w:ascii="Arial" w:hAnsi="Arial" w:cs="Arial" w:eastAsia="Arial" w:hint="default"/>
                <w:spacing w:val="-10"/>
                <w:w w:val="99"/>
                <w:sz w:val="18"/>
                <w:szCs w:val="18"/>
              </w:rPr>
              <w:t> </w:t>
            </w:r>
            <w:r>
              <w:rPr>
                <w:rFonts w:ascii="宋体" w:hAnsi="宋体" w:cs="宋体" w:eastAsia="宋体" w:hint="default"/>
                <w:spacing w:val="-15"/>
                <w:sz w:val="18"/>
                <w:szCs w:val="18"/>
              </w:rPr>
              <w:t>日发布的《关</w:t>
            </w:r>
            <w:r>
              <w:rPr>
                <w:rFonts w:ascii="宋体" w:hAnsi="宋体" w:cs="宋体" w:eastAsia="宋体" w:hint="default"/>
                <w:sz w:val="18"/>
                <w:szCs w:val="18"/>
              </w:rPr>
              <w:t> 于控股股东增持本公司股份的公告》</w:t>
            </w:r>
          </w:p>
          <w:p>
            <w:pPr>
              <w:pStyle w:val="TableParagraph"/>
              <w:spacing w:line="271" w:lineRule="auto" w:before="22"/>
              <w:ind w:left="101" w:right="115"/>
              <w:jc w:val="left"/>
              <w:rPr>
                <w:rFonts w:ascii="宋体" w:hAnsi="宋体" w:cs="宋体" w:eastAsia="宋体" w:hint="default"/>
                <w:sz w:val="18"/>
                <w:szCs w:val="18"/>
              </w:rPr>
            </w:pPr>
            <w:r>
              <w:rPr>
                <w:rFonts w:ascii="宋体" w:hAnsi="宋体" w:cs="宋体" w:eastAsia="宋体" w:hint="default"/>
                <w:sz w:val="18"/>
                <w:szCs w:val="18"/>
              </w:rPr>
              <w:t>（编号：临</w:t>
            </w:r>
            <w:r>
              <w:rPr>
                <w:rFonts w:ascii="宋体" w:hAnsi="宋体" w:cs="宋体" w:eastAsia="宋体" w:hint="default"/>
                <w:spacing w:val="-47"/>
                <w:sz w:val="18"/>
                <w:szCs w:val="18"/>
              </w:rPr>
              <w:t> </w:t>
            </w:r>
            <w:r>
              <w:rPr>
                <w:rFonts w:ascii="Arial" w:hAnsi="Arial" w:cs="Arial" w:eastAsia="Arial" w:hint="default"/>
                <w:sz w:val="18"/>
                <w:szCs w:val="18"/>
              </w:rPr>
              <w:t>2012-001</w:t>
            </w:r>
            <w:r>
              <w:rPr>
                <w:rFonts w:ascii="宋体" w:hAnsi="宋体" w:cs="宋体" w:eastAsia="宋体" w:hint="default"/>
                <w:sz w:val="18"/>
                <w:szCs w:val="18"/>
              </w:rPr>
              <w:t>）、《关于控 股股东增持公司股份达</w:t>
            </w:r>
            <w:r>
              <w:rPr>
                <w:rFonts w:ascii="宋体" w:hAnsi="宋体" w:cs="宋体" w:eastAsia="宋体" w:hint="default"/>
                <w:spacing w:val="-47"/>
                <w:sz w:val="18"/>
                <w:szCs w:val="18"/>
              </w:rPr>
              <w:t> </w:t>
            </w:r>
            <w:r>
              <w:rPr>
                <w:rFonts w:ascii="Arial" w:hAnsi="Arial" w:cs="Arial" w:eastAsia="Arial" w:hint="default"/>
                <w:sz w:val="18"/>
                <w:szCs w:val="18"/>
              </w:rPr>
              <w:t>1%</w:t>
            </w:r>
            <w:r>
              <w:rPr>
                <w:rFonts w:ascii="宋体" w:hAnsi="宋体" w:cs="宋体" w:eastAsia="宋体" w:hint="default"/>
                <w:sz w:val="18"/>
                <w:szCs w:val="18"/>
              </w:rPr>
              <w:t>的提示 性公告》（编号：临</w:t>
            </w:r>
            <w:r>
              <w:rPr>
                <w:rFonts w:ascii="宋体" w:hAnsi="宋体" w:cs="宋体" w:eastAsia="宋体" w:hint="default"/>
                <w:spacing w:val="-48"/>
                <w:sz w:val="18"/>
                <w:szCs w:val="18"/>
              </w:rPr>
              <w:t> </w:t>
            </w:r>
            <w:r>
              <w:rPr>
                <w:rFonts w:ascii="Arial" w:hAnsi="Arial" w:cs="Arial" w:eastAsia="Arial" w:hint="default"/>
                <w:sz w:val="18"/>
                <w:szCs w:val="18"/>
              </w:rPr>
              <w:t>2012-039</w:t>
            </w:r>
            <w:r>
              <w:rPr>
                <w:rFonts w:ascii="宋体" w:hAnsi="宋体" w:cs="宋体" w:eastAsia="宋体" w:hint="default"/>
                <w:sz w:val="18"/>
                <w:szCs w:val="18"/>
              </w:rPr>
              <w:t>）及</w:t>
            </w:r>
          </w:p>
          <w:p>
            <w:pPr>
              <w:pStyle w:val="TableParagraph"/>
              <w:spacing w:line="278" w:lineRule="auto" w:before="5"/>
              <w:ind w:left="101" w:right="101"/>
              <w:jc w:val="left"/>
              <w:rPr>
                <w:rFonts w:ascii="宋体" w:hAnsi="宋体" w:cs="宋体" w:eastAsia="宋体" w:hint="default"/>
                <w:sz w:val="18"/>
                <w:szCs w:val="18"/>
              </w:rPr>
            </w:pPr>
            <w:r>
              <w:rPr>
                <w:rFonts w:ascii="宋体" w:hAnsi="宋体" w:cs="宋体" w:eastAsia="宋体" w:hint="default"/>
                <w:sz w:val="18"/>
                <w:szCs w:val="18"/>
              </w:rPr>
              <w:t>《关于控股股东增持计划实施完毕 的公告》（编号：</w:t>
            </w:r>
            <w:r>
              <w:rPr>
                <w:rFonts w:ascii="Arial" w:hAnsi="Arial" w:cs="Arial" w:eastAsia="Arial" w:hint="default"/>
                <w:sz w:val="18"/>
                <w:szCs w:val="18"/>
              </w:rPr>
              <w:t>2013-001</w:t>
            </w:r>
            <w:r>
              <w:rPr>
                <w:rFonts w:ascii="宋体" w:hAnsi="宋体" w:cs="宋体" w:eastAsia="宋体" w:hint="default"/>
                <w:sz w:val="18"/>
                <w:szCs w:val="18"/>
              </w:rPr>
              <w:t>）。联 通集团于</w:t>
            </w:r>
            <w:r>
              <w:rPr>
                <w:rFonts w:ascii="宋体" w:hAnsi="宋体" w:cs="宋体" w:eastAsia="宋体" w:hint="default"/>
                <w:spacing w:val="-54"/>
                <w:sz w:val="18"/>
                <w:szCs w:val="18"/>
              </w:rPr>
              <w:t> </w:t>
            </w:r>
            <w:r>
              <w:rPr>
                <w:rFonts w:ascii="Arial" w:hAnsi="Arial" w:cs="Arial" w:eastAsia="Arial" w:hint="default"/>
                <w:sz w:val="18"/>
                <w:szCs w:val="18"/>
              </w:rPr>
              <w:t>2012</w:t>
            </w:r>
            <w:r>
              <w:rPr>
                <w:rFonts w:ascii="Arial" w:hAnsi="Arial" w:cs="Arial" w:eastAsia="Arial"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Arial" w:hAnsi="Arial" w:cs="Arial" w:eastAsia="Arial" w:hint="default"/>
                <w:sz w:val="18"/>
                <w:szCs w:val="18"/>
              </w:rPr>
              <w:t>1</w:t>
            </w:r>
            <w:r>
              <w:rPr>
                <w:rFonts w:ascii="Arial" w:hAnsi="Arial" w:cs="Arial" w:eastAsia="Arial"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9</w:t>
            </w:r>
            <w:r>
              <w:rPr>
                <w:rFonts w:ascii="Arial" w:hAnsi="Arial" w:cs="Arial" w:eastAsia="Arial" w:hint="default"/>
                <w:spacing w:val="-15"/>
                <w:sz w:val="18"/>
                <w:szCs w:val="18"/>
              </w:rPr>
              <w:t> </w:t>
            </w:r>
            <w:r>
              <w:rPr>
                <w:rFonts w:ascii="宋体" w:hAnsi="宋体" w:cs="宋体" w:eastAsia="宋体" w:hint="default"/>
                <w:sz w:val="18"/>
                <w:szCs w:val="18"/>
              </w:rPr>
              <w:t>日通过上海 证券交易所交易系统增持了本公司 部分股份，并计划在此后</w:t>
            </w:r>
            <w:r>
              <w:rPr>
                <w:rFonts w:ascii="宋体" w:hAnsi="宋体" w:cs="宋体" w:eastAsia="宋体" w:hint="default"/>
                <w:spacing w:val="-51"/>
                <w:sz w:val="18"/>
                <w:szCs w:val="18"/>
              </w:rPr>
              <w:t> </w:t>
            </w:r>
            <w:r>
              <w:rPr>
                <w:rFonts w:ascii="Arial" w:hAnsi="Arial" w:cs="Arial" w:eastAsia="Arial" w:hint="default"/>
                <w:sz w:val="18"/>
                <w:szCs w:val="18"/>
              </w:rPr>
              <w:t>12</w:t>
            </w:r>
            <w:r>
              <w:rPr>
                <w:rFonts w:ascii="Arial" w:hAnsi="Arial" w:cs="Arial" w:eastAsia="Arial" w:hint="default"/>
                <w:spacing w:val="-10"/>
                <w:sz w:val="18"/>
                <w:szCs w:val="18"/>
              </w:rPr>
              <w:t> </w:t>
            </w:r>
            <w:r>
              <w:rPr>
                <w:rFonts w:ascii="宋体" w:hAnsi="宋体" w:cs="宋体" w:eastAsia="宋体" w:hint="default"/>
                <w:sz w:val="18"/>
                <w:szCs w:val="18"/>
              </w:rPr>
              <w:t>个月内 以自身名义或通过一致行动人继续 通过上海证券交易所交易系统增持 </w:t>
            </w:r>
            <w:r>
              <w:rPr>
                <w:rFonts w:ascii="宋体" w:hAnsi="宋体" w:cs="宋体" w:eastAsia="宋体" w:hint="default"/>
                <w:spacing w:val="-6"/>
                <w:sz w:val="18"/>
                <w:szCs w:val="18"/>
              </w:rPr>
              <w:t>本公司股份，累计增持比例不超过公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司已发行总股本的</w:t>
            </w:r>
            <w:r>
              <w:rPr>
                <w:rFonts w:ascii="宋体" w:hAnsi="宋体" w:cs="宋体" w:eastAsia="宋体" w:hint="default"/>
                <w:spacing w:val="-44"/>
                <w:sz w:val="18"/>
                <w:szCs w:val="18"/>
              </w:rPr>
              <w:t> </w:t>
            </w:r>
            <w:r>
              <w:rPr>
                <w:rFonts w:ascii="Arial" w:hAnsi="Arial" w:cs="Arial" w:eastAsia="Arial" w:hint="default"/>
                <w:spacing w:val="-4"/>
                <w:sz w:val="18"/>
                <w:szCs w:val="18"/>
              </w:rPr>
              <w:t>2%</w:t>
            </w:r>
            <w:r>
              <w:rPr>
                <w:rFonts w:ascii="宋体" w:hAnsi="宋体" w:cs="宋体" w:eastAsia="宋体" w:hint="default"/>
                <w:spacing w:val="-4"/>
                <w:sz w:val="18"/>
                <w:szCs w:val="18"/>
              </w:rPr>
              <w:t>。联通集团承</w:t>
            </w:r>
            <w:r>
              <w:rPr>
                <w:rFonts w:ascii="宋体" w:hAnsi="宋体" w:cs="宋体" w:eastAsia="宋体" w:hint="default"/>
                <w:sz w:val="18"/>
                <w:szCs w:val="18"/>
              </w:rPr>
              <w:t> </w:t>
            </w:r>
            <w:r>
              <w:rPr>
                <w:rFonts w:ascii="宋体" w:hAnsi="宋体" w:cs="宋体" w:eastAsia="宋体" w:hint="default"/>
                <w:spacing w:val="-6"/>
                <w:sz w:val="18"/>
                <w:szCs w:val="18"/>
              </w:rPr>
              <w:t>诺，在增持计划实施期间及法定期限</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6"/>
                <w:sz w:val="18"/>
                <w:szCs w:val="18"/>
              </w:rPr>
              <w:t>内不减持其所持有的本公司股份。截</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Arial" w:hAnsi="Arial" w:cs="Arial" w:eastAsia="Arial" w:hint="default"/>
                <w:sz w:val="18"/>
                <w:szCs w:val="18"/>
              </w:rPr>
              <w:t>2012</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4</w:t>
            </w:r>
            <w:r>
              <w:rPr>
                <w:rFonts w:ascii="Arial" w:hAnsi="Arial" w:cs="Arial" w:eastAsia="Arial" w:hint="default"/>
                <w:spacing w:val="-7"/>
                <w:sz w:val="18"/>
                <w:szCs w:val="18"/>
              </w:rPr>
              <w:t> </w:t>
            </w:r>
            <w:r>
              <w:rPr>
                <w:rFonts w:ascii="宋体" w:hAnsi="宋体" w:cs="宋体" w:eastAsia="宋体" w:hint="default"/>
                <w:sz w:val="18"/>
                <w:szCs w:val="18"/>
              </w:rPr>
              <w:t>日，联通集团通 过二级市场购入本公司的股票达到 </w:t>
            </w:r>
            <w:r>
              <w:rPr>
                <w:rFonts w:ascii="Arial" w:hAnsi="Arial" w:cs="Arial" w:eastAsia="Arial" w:hint="default"/>
                <w:sz w:val="18"/>
                <w:szCs w:val="18"/>
              </w:rPr>
              <w:t>1%</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Arial" w:hAnsi="Arial" w:cs="Arial" w:eastAsia="Arial" w:hint="default"/>
                <w:sz w:val="18"/>
                <w:szCs w:val="18"/>
              </w:rPr>
              <w:t>2013</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8</w:t>
            </w:r>
            <w:r>
              <w:rPr>
                <w:rFonts w:ascii="Arial" w:hAnsi="Arial" w:cs="Arial" w:eastAsia="Arial" w:hint="default"/>
                <w:spacing w:val="-8"/>
                <w:sz w:val="18"/>
                <w:szCs w:val="18"/>
              </w:rPr>
              <w:t> </w:t>
            </w:r>
            <w:r>
              <w:rPr>
                <w:rFonts w:ascii="宋体" w:hAnsi="宋体" w:cs="宋体" w:eastAsia="宋体" w:hint="default"/>
                <w:sz w:val="18"/>
                <w:szCs w:val="18"/>
              </w:rPr>
              <w:t>日上海证 </w:t>
            </w:r>
            <w:r>
              <w:rPr>
                <w:rFonts w:ascii="宋体" w:hAnsi="宋体" w:cs="宋体" w:eastAsia="宋体" w:hint="default"/>
                <w:spacing w:val="-6"/>
                <w:sz w:val="18"/>
                <w:szCs w:val="18"/>
              </w:rPr>
              <w:t>券交易所收盘时间，联通集团增持本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公司计划实施已满</w:t>
            </w:r>
            <w:r>
              <w:rPr>
                <w:rFonts w:ascii="宋体" w:hAnsi="宋体" w:cs="宋体" w:eastAsia="宋体" w:hint="default"/>
                <w:spacing w:val="-52"/>
                <w:sz w:val="18"/>
                <w:szCs w:val="18"/>
              </w:rPr>
              <w:t> </w:t>
            </w:r>
            <w:r>
              <w:rPr>
                <w:rFonts w:ascii="Arial" w:hAnsi="Arial" w:cs="Arial" w:eastAsia="Arial" w:hint="default"/>
                <w:sz w:val="18"/>
                <w:szCs w:val="18"/>
              </w:rPr>
              <w:t>12</w:t>
            </w:r>
            <w:r>
              <w:rPr>
                <w:rFonts w:ascii="Arial" w:hAnsi="Arial" w:cs="Arial" w:eastAsia="Arial" w:hint="default"/>
                <w:spacing w:val="-13"/>
                <w:sz w:val="18"/>
                <w:szCs w:val="18"/>
              </w:rPr>
              <w:t> </w:t>
            </w:r>
            <w:r>
              <w:rPr>
                <w:rFonts w:ascii="宋体" w:hAnsi="宋体" w:cs="宋体" w:eastAsia="宋体" w:hint="default"/>
                <w:sz w:val="18"/>
                <w:szCs w:val="18"/>
              </w:rPr>
              <w:t>个月，本次增</w:t>
            </w:r>
          </w:p>
          <w:p>
            <w:pPr>
              <w:pStyle w:val="TableParagraph"/>
              <w:spacing w:line="247" w:lineRule="exact"/>
              <w:ind w:left="101" w:right="0"/>
              <w:jc w:val="left"/>
              <w:rPr>
                <w:rFonts w:ascii="Arial" w:hAnsi="Arial" w:cs="Arial" w:eastAsia="Arial" w:hint="default"/>
                <w:sz w:val="18"/>
                <w:szCs w:val="18"/>
              </w:rPr>
            </w:pPr>
            <w:r>
              <w:rPr>
                <w:rFonts w:ascii="宋体" w:hAnsi="宋体" w:cs="宋体" w:eastAsia="宋体" w:hint="default"/>
                <w:sz w:val="18"/>
                <w:szCs w:val="18"/>
              </w:rPr>
              <w:t>持计划已经实施完毕。自</w:t>
            </w:r>
            <w:r>
              <w:rPr>
                <w:rFonts w:ascii="宋体" w:hAnsi="宋体" w:cs="宋体" w:eastAsia="宋体" w:hint="default"/>
                <w:spacing w:val="-47"/>
                <w:sz w:val="18"/>
                <w:szCs w:val="18"/>
              </w:rPr>
              <w:t> </w:t>
            </w:r>
            <w:r>
              <w:rPr>
                <w:rFonts w:ascii="Arial" w:hAnsi="Arial" w:cs="Arial" w:eastAsia="Arial" w:hint="default"/>
                <w:sz w:val="18"/>
                <w:szCs w:val="18"/>
              </w:rPr>
              <w:t>2012</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w:t>
            </w:r>
          </w:p>
          <w:p>
            <w:pPr>
              <w:pStyle w:val="TableParagraph"/>
              <w:spacing w:line="278" w:lineRule="auto" w:before="32"/>
              <w:ind w:left="101" w:right="1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Arial" w:hAnsi="Arial" w:cs="Arial" w:eastAsia="Arial" w:hint="default"/>
                <w:sz w:val="18"/>
                <w:szCs w:val="18"/>
              </w:rPr>
              <w:t>2013</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8</w:t>
            </w:r>
            <w:r>
              <w:rPr>
                <w:rFonts w:ascii="Arial" w:hAnsi="Arial" w:cs="Arial" w:eastAsia="Arial" w:hint="default"/>
                <w:spacing w:val="-7"/>
                <w:sz w:val="18"/>
                <w:szCs w:val="18"/>
              </w:rPr>
              <w:t> </w:t>
            </w:r>
            <w:r>
              <w:rPr>
                <w:rFonts w:ascii="宋体" w:hAnsi="宋体" w:cs="宋体" w:eastAsia="宋体" w:hint="default"/>
                <w:spacing w:val="-13"/>
                <w:sz w:val="18"/>
                <w:szCs w:val="18"/>
              </w:rPr>
              <w:t>日，联通集</w:t>
            </w:r>
            <w:r>
              <w:rPr>
                <w:rFonts w:ascii="宋体" w:hAnsi="宋体" w:cs="宋体" w:eastAsia="宋体" w:hint="default"/>
                <w:sz w:val="18"/>
                <w:szCs w:val="18"/>
              </w:rPr>
              <w:t> 团通过上海证券交易所交易系统累 计增持本公司股份</w:t>
            </w:r>
            <w:r>
              <w:rPr>
                <w:rFonts w:ascii="宋体" w:hAnsi="宋体" w:cs="宋体" w:eastAsia="宋体" w:hint="default"/>
                <w:spacing w:val="-47"/>
                <w:sz w:val="18"/>
                <w:szCs w:val="18"/>
              </w:rPr>
              <w:t> </w:t>
            </w:r>
            <w:r>
              <w:rPr>
                <w:rFonts w:ascii="Arial" w:hAnsi="Arial" w:cs="Arial" w:eastAsia="Arial" w:hint="default"/>
                <w:sz w:val="18"/>
                <w:szCs w:val="18"/>
              </w:rPr>
              <w:t>249,413,469</w:t>
            </w:r>
            <w:r>
              <w:rPr>
                <w:rFonts w:ascii="Arial" w:hAnsi="Arial" w:cs="Arial" w:eastAsia="Arial" w:hint="default"/>
                <w:spacing w:val="-8"/>
                <w:sz w:val="18"/>
                <w:szCs w:val="18"/>
              </w:rPr>
              <w:t> </w:t>
            </w:r>
            <w:r>
              <w:rPr>
                <w:rFonts w:ascii="宋体" w:hAnsi="宋体" w:cs="宋体" w:eastAsia="宋体" w:hint="default"/>
                <w:sz w:val="18"/>
                <w:szCs w:val="18"/>
              </w:rPr>
              <w:t>股， 占公司已发行总股本的</w:t>
            </w:r>
            <w:r>
              <w:rPr>
                <w:rFonts w:ascii="宋体" w:hAnsi="宋体" w:cs="宋体" w:eastAsia="宋体" w:hint="default"/>
                <w:spacing w:val="-47"/>
                <w:sz w:val="18"/>
                <w:szCs w:val="18"/>
              </w:rPr>
              <w:t> </w:t>
            </w:r>
            <w:r>
              <w:rPr>
                <w:rFonts w:ascii="Arial" w:hAnsi="Arial" w:cs="Arial" w:eastAsia="Arial" w:hint="default"/>
                <w:sz w:val="18"/>
                <w:szCs w:val="18"/>
              </w:rPr>
              <w:t>1.18%</w:t>
            </w:r>
            <w:r>
              <w:rPr>
                <w:rFonts w:ascii="宋体" w:hAnsi="宋体" w:cs="宋体" w:eastAsia="宋体" w:hint="default"/>
                <w:sz w:val="18"/>
                <w:szCs w:val="18"/>
              </w:rPr>
              <w:t>。本 </w:t>
            </w:r>
            <w:r>
              <w:rPr>
                <w:rFonts w:ascii="宋体" w:hAnsi="宋体" w:cs="宋体" w:eastAsia="宋体" w:hint="default"/>
                <w:spacing w:val="-6"/>
                <w:sz w:val="18"/>
                <w:szCs w:val="18"/>
              </w:rPr>
              <w:t>次增持计划完成后，联通集团持有本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公司股份</w:t>
            </w:r>
            <w:r>
              <w:rPr>
                <w:rFonts w:ascii="宋体" w:hAnsi="宋体" w:cs="宋体" w:eastAsia="宋体" w:hint="default"/>
                <w:spacing w:val="-47"/>
                <w:sz w:val="18"/>
                <w:szCs w:val="18"/>
              </w:rPr>
              <w:t> </w:t>
            </w:r>
            <w:r>
              <w:rPr>
                <w:rFonts w:ascii="Arial" w:hAnsi="Arial" w:cs="Arial" w:eastAsia="Arial" w:hint="default"/>
                <w:sz w:val="18"/>
                <w:szCs w:val="18"/>
              </w:rPr>
              <w:t>13,189,159,621</w:t>
            </w:r>
            <w:r>
              <w:rPr>
                <w:rFonts w:ascii="Arial" w:hAnsi="Arial" w:cs="Arial" w:eastAsia="Arial" w:hint="default"/>
                <w:spacing w:val="-7"/>
                <w:sz w:val="18"/>
                <w:szCs w:val="18"/>
              </w:rPr>
              <w:t> </w:t>
            </w:r>
            <w:r>
              <w:rPr>
                <w:rFonts w:ascii="宋体" w:hAnsi="宋体" w:cs="宋体" w:eastAsia="宋体" w:hint="default"/>
                <w:sz w:val="18"/>
                <w:szCs w:val="18"/>
              </w:rPr>
              <w:t>股，占公 司已发行总股本的</w:t>
            </w:r>
            <w:r>
              <w:rPr>
                <w:rFonts w:ascii="宋体" w:hAnsi="宋体" w:cs="宋体" w:eastAsia="宋体" w:hint="default"/>
                <w:spacing w:val="-52"/>
                <w:sz w:val="18"/>
                <w:szCs w:val="18"/>
              </w:rPr>
              <w:t> </w:t>
            </w:r>
            <w:r>
              <w:rPr>
                <w:rFonts w:ascii="Arial" w:hAnsi="Arial" w:cs="Arial" w:eastAsia="Arial" w:hint="default"/>
                <w:sz w:val="18"/>
                <w:szCs w:val="18"/>
              </w:rPr>
              <w:t>62.22%</w:t>
            </w:r>
            <w:r>
              <w:rPr>
                <w:rFonts w:ascii="宋体" w:hAnsi="宋体" w:cs="宋体" w:eastAsia="宋体" w:hint="default"/>
                <w:sz w:val="18"/>
                <w:szCs w:val="18"/>
              </w:rPr>
              <w:t>。按照承 </w:t>
            </w:r>
            <w:r>
              <w:rPr>
                <w:rFonts w:ascii="宋体" w:hAnsi="宋体" w:cs="宋体" w:eastAsia="宋体" w:hint="default"/>
                <w:spacing w:val="-6"/>
                <w:sz w:val="18"/>
                <w:szCs w:val="18"/>
              </w:rPr>
              <w:t>诺，在增持计划实施期间及法定期限</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联通集团未减持所持有的本公司股 份。该项承诺履行完毕。</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7" w:right="0"/>
              <w:jc w:val="left"/>
              <w:rPr>
                <w:rFonts w:ascii="宋体" w:hAnsi="宋体" w:cs="宋体" w:eastAsia="宋体" w:hint="default"/>
                <w:sz w:val="18"/>
                <w:szCs w:val="18"/>
              </w:rPr>
            </w:pPr>
            <w:r>
              <w:rPr>
                <w:rFonts w:ascii="宋体" w:hAnsi="宋体" w:cs="宋体" w:eastAsia="宋体" w:hint="default"/>
                <w:sz w:val="18"/>
                <w:szCs w:val="18"/>
              </w:rPr>
              <w:t>承诺时间：</w:t>
            </w:r>
          </w:p>
          <w:p>
            <w:pPr>
              <w:pStyle w:val="TableParagraph"/>
              <w:spacing w:line="240" w:lineRule="auto" w:before="45"/>
              <w:ind w:left="67"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w:t>
            </w:r>
            <w:r>
              <w:rPr>
                <w:rFonts w:ascii="Arial" w:hAnsi="Arial" w:cs="Arial" w:eastAsia="Arial" w:hint="default"/>
                <w:spacing w:val="-9"/>
                <w:sz w:val="18"/>
                <w:szCs w:val="18"/>
              </w:rPr>
              <w:t> </w:t>
            </w:r>
            <w:r>
              <w:rPr>
                <w:rFonts w:ascii="宋体" w:hAnsi="宋体" w:cs="宋体" w:eastAsia="宋体" w:hint="default"/>
                <w:sz w:val="18"/>
                <w:szCs w:val="18"/>
              </w:rPr>
              <w:t>月</w:t>
            </w:r>
          </w:p>
          <w:p>
            <w:pPr>
              <w:pStyle w:val="TableParagraph"/>
              <w:spacing w:line="278" w:lineRule="auto" w:before="31"/>
              <w:ind w:left="67" w:right="129"/>
              <w:jc w:val="left"/>
              <w:rPr>
                <w:rFonts w:ascii="宋体" w:hAnsi="宋体" w:cs="宋体" w:eastAsia="宋体" w:hint="default"/>
                <w:sz w:val="18"/>
                <w:szCs w:val="18"/>
              </w:rPr>
            </w:pPr>
            <w:r>
              <w:rPr>
                <w:rFonts w:ascii="Arial" w:hAnsi="Arial" w:cs="Arial" w:eastAsia="Arial" w:hint="default"/>
                <w:sz w:val="18"/>
                <w:szCs w:val="18"/>
              </w:rPr>
              <w:t>9</w:t>
            </w:r>
            <w:r>
              <w:rPr>
                <w:rFonts w:ascii="Arial" w:hAnsi="Arial" w:cs="Arial" w:eastAsia="Arial" w:hint="default"/>
                <w:spacing w:val="-7"/>
                <w:sz w:val="18"/>
                <w:szCs w:val="18"/>
              </w:rPr>
              <w:t> </w:t>
            </w:r>
            <w:r>
              <w:rPr>
                <w:rFonts w:ascii="宋体" w:hAnsi="宋体" w:cs="宋体" w:eastAsia="宋体" w:hint="default"/>
                <w:sz w:val="18"/>
                <w:szCs w:val="18"/>
              </w:rPr>
              <w:t>日 承诺期限： </w:t>
            </w:r>
            <w:r>
              <w:rPr>
                <w:rFonts w:ascii="Arial" w:hAnsi="Arial" w:cs="Arial" w:eastAsia="Arial" w:hint="default"/>
                <w:sz w:val="18"/>
                <w:szCs w:val="18"/>
              </w:rPr>
              <w:t>12</w:t>
            </w:r>
            <w:r>
              <w:rPr>
                <w:rFonts w:ascii="Arial" w:hAnsi="Arial" w:cs="Arial" w:eastAsia="Arial" w:hint="default"/>
                <w:spacing w:val="-9"/>
                <w:sz w:val="18"/>
                <w:szCs w:val="18"/>
              </w:rPr>
              <w:t> </w:t>
            </w:r>
            <w:r>
              <w:rPr>
                <w:rFonts w:ascii="宋体" w:hAnsi="宋体" w:cs="宋体" w:eastAsia="宋体" w:hint="default"/>
                <w:sz w:val="18"/>
                <w:szCs w:val="18"/>
              </w:rPr>
              <w:t>个月（至</w:t>
            </w:r>
          </w:p>
          <w:p>
            <w:pPr>
              <w:pStyle w:val="TableParagraph"/>
              <w:spacing w:line="240" w:lineRule="auto"/>
              <w:ind w:left="67"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w:t>
            </w:r>
            <w:r>
              <w:rPr>
                <w:rFonts w:ascii="Arial" w:hAnsi="Arial" w:cs="Arial" w:eastAsia="Arial" w:hint="default"/>
                <w:spacing w:val="-9"/>
                <w:sz w:val="18"/>
                <w:szCs w:val="18"/>
              </w:rPr>
              <w:t> </w:t>
            </w:r>
            <w:r>
              <w:rPr>
                <w:rFonts w:ascii="宋体" w:hAnsi="宋体" w:cs="宋体" w:eastAsia="宋体" w:hint="default"/>
                <w:sz w:val="18"/>
                <w:szCs w:val="18"/>
              </w:rPr>
              <w:t>月</w:t>
            </w:r>
          </w:p>
          <w:p>
            <w:pPr>
              <w:pStyle w:val="TableParagraph"/>
              <w:spacing w:line="240" w:lineRule="auto" w:before="31"/>
              <w:ind w:left="67" w:right="0"/>
              <w:jc w:val="left"/>
              <w:rPr>
                <w:rFonts w:ascii="宋体" w:hAnsi="宋体" w:cs="宋体" w:eastAsia="宋体" w:hint="default"/>
                <w:sz w:val="18"/>
                <w:szCs w:val="18"/>
              </w:rPr>
            </w:pPr>
            <w:r>
              <w:rPr>
                <w:rFonts w:ascii="Arial" w:hAnsi="Arial" w:cs="Arial" w:eastAsia="Arial" w:hint="default"/>
                <w:sz w:val="18"/>
                <w:szCs w:val="18"/>
              </w:rPr>
              <w:t>8</w:t>
            </w:r>
            <w:r>
              <w:rPr>
                <w:rFonts w:ascii="Arial" w:hAnsi="Arial" w:cs="Arial" w:eastAsia="Arial" w:hint="default"/>
                <w:spacing w:val="-8"/>
                <w:sz w:val="18"/>
                <w:szCs w:val="18"/>
              </w:rPr>
              <w:t> </w:t>
            </w:r>
            <w:r>
              <w:rPr>
                <w:rFonts w:ascii="宋体" w:hAnsi="宋体" w:cs="宋体" w:eastAsia="宋体" w:hint="default"/>
                <w:sz w:val="18"/>
                <w:szCs w:val="18"/>
              </w:rPr>
              <w:t>日到期）</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05" w:lineRule="exact"/>
        <w:jc w:val="left"/>
        <w:rPr>
          <w:rFonts w:ascii="宋体" w:hAnsi="宋体" w:cs="宋体" w:eastAsia="宋体" w:hint="default"/>
          <w:sz w:val="18"/>
          <w:szCs w:val="18"/>
        </w:rPr>
        <w:sectPr>
          <w:pgSz w:w="11910" w:h="16840"/>
          <w:pgMar w:header="567" w:footer="745" w:top="800" w:bottom="940" w:left="1380" w:right="740"/>
        </w:sectPr>
      </w:pPr>
    </w:p>
    <w:p>
      <w:pPr>
        <w:spacing w:line="240" w:lineRule="auto" w:before="8"/>
        <w:rPr>
          <w:rFonts w:ascii="宋体" w:hAnsi="宋体" w:cs="宋体" w:eastAsia="宋体" w:hint="default"/>
          <w:sz w:val="22"/>
          <w:szCs w:val="22"/>
        </w:rPr>
      </w:pPr>
    </w:p>
    <w:p>
      <w:pPr>
        <w:pStyle w:val="Heading3"/>
        <w:spacing w:line="287" w:lineRule="exact"/>
        <w:ind w:right="89"/>
        <w:jc w:val="left"/>
        <w:rPr>
          <w:b w:val="0"/>
          <w:bCs w:val="0"/>
        </w:rPr>
      </w:pPr>
      <w:r>
        <w:rPr/>
        <w:t>九、聘任、解聘会计师事务所情况</w:t>
      </w:r>
      <w:r>
        <w:rPr>
          <w:b w:val="0"/>
          <w:bCs w:val="0"/>
        </w:rPr>
      </w:r>
    </w:p>
    <w:p>
      <w:pPr>
        <w:pStyle w:val="BodyText"/>
        <w:spacing w:line="287" w:lineRule="exact"/>
        <w:ind w:left="0" w:right="208"/>
        <w:jc w:val="right"/>
      </w:pPr>
      <w:r>
        <w:rPr/>
        <w:t>单位：万元</w:t>
      </w:r>
      <w:r>
        <w:rPr>
          <w:spacing w:val="-1"/>
        </w:rPr>
        <w:t> </w:t>
      </w:r>
      <w:r>
        <w:rPr/>
        <w:t>币种：人民币</w:t>
      </w:r>
    </w:p>
    <w:p>
      <w:pPr>
        <w:spacing w:line="240" w:lineRule="auto" w:before="8"/>
        <w:rPr>
          <w:rFonts w:ascii="宋体" w:hAnsi="宋体" w:cs="宋体" w:eastAsia="宋体" w:hint="default"/>
          <w:sz w:val="2"/>
          <w:szCs w:val="2"/>
        </w:rPr>
      </w:pPr>
    </w:p>
    <w:tbl>
      <w:tblPr>
        <w:tblW w:w="0" w:type="auto"/>
        <w:jc w:val="left"/>
        <w:tblInd w:w="634" w:type="dxa"/>
        <w:tblLayout w:type="fixed"/>
        <w:tblCellMar>
          <w:top w:w="0" w:type="dxa"/>
          <w:left w:w="0" w:type="dxa"/>
          <w:bottom w:w="0" w:type="dxa"/>
          <w:right w:w="0" w:type="dxa"/>
        </w:tblCellMar>
        <w:tblLook w:val="01E0"/>
      </w:tblPr>
      <w:tblGrid>
        <w:gridCol w:w="2922"/>
        <w:gridCol w:w="2883"/>
        <w:gridCol w:w="3196"/>
      </w:tblGrid>
      <w:tr>
        <w:trPr>
          <w:trHeight w:val="300" w:hRule="exact"/>
        </w:trPr>
        <w:tc>
          <w:tcPr>
            <w:tcW w:w="292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99" w:right="0"/>
              <w:jc w:val="left"/>
              <w:rPr>
                <w:rFonts w:ascii="宋体" w:hAnsi="宋体" w:cs="宋体" w:eastAsia="宋体" w:hint="default"/>
                <w:sz w:val="22"/>
                <w:szCs w:val="22"/>
              </w:rPr>
            </w:pPr>
            <w:r>
              <w:rPr>
                <w:rFonts w:ascii="宋体" w:hAnsi="宋体" w:cs="宋体" w:eastAsia="宋体" w:hint="default"/>
                <w:sz w:val="22"/>
                <w:szCs w:val="22"/>
              </w:rPr>
              <w:t>是否改聘会计师事务所：</w:t>
            </w:r>
          </w:p>
        </w:tc>
        <w:tc>
          <w:tcPr>
            <w:tcW w:w="60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00" w:hRule="exact"/>
        </w:trPr>
        <w:tc>
          <w:tcPr>
            <w:tcW w:w="2922" w:type="dxa"/>
            <w:tcBorders>
              <w:top w:val="single" w:sz="6" w:space="0" w:color="000000"/>
              <w:left w:val="single" w:sz="6" w:space="0" w:color="000000"/>
              <w:bottom w:val="single" w:sz="6" w:space="0" w:color="000000"/>
              <w:right w:val="single" w:sz="6" w:space="0" w:color="000000"/>
            </w:tcBorders>
          </w:tcPr>
          <w:p>
            <w:pP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sz w:val="22"/>
                <w:szCs w:val="22"/>
              </w:rPr>
              <w:t>原聘任</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现聘任</w:t>
            </w:r>
          </w:p>
        </w:tc>
      </w:tr>
      <w:tr>
        <w:trPr>
          <w:trHeight w:val="586" w:hRule="exact"/>
        </w:trPr>
        <w:tc>
          <w:tcPr>
            <w:tcW w:w="2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99" w:right="0"/>
              <w:jc w:val="left"/>
              <w:rPr>
                <w:rFonts w:ascii="宋体" w:hAnsi="宋体" w:cs="宋体" w:eastAsia="宋体" w:hint="default"/>
                <w:sz w:val="22"/>
                <w:szCs w:val="22"/>
              </w:rPr>
            </w:pPr>
            <w:r>
              <w:rPr>
                <w:rFonts w:ascii="宋体" w:hAnsi="宋体" w:cs="宋体" w:eastAsia="宋体" w:hint="default"/>
                <w:sz w:val="22"/>
                <w:szCs w:val="22"/>
              </w:rPr>
              <w:t>境内会计师事务所名称</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2"/>
              <w:jc w:val="center"/>
              <w:rPr>
                <w:rFonts w:ascii="宋体" w:hAnsi="宋体" w:cs="宋体" w:eastAsia="宋体" w:hint="default"/>
                <w:sz w:val="22"/>
                <w:szCs w:val="22"/>
              </w:rPr>
            </w:pPr>
            <w:r>
              <w:rPr>
                <w:rFonts w:ascii="宋体" w:hAnsi="宋体" w:cs="宋体" w:eastAsia="宋体" w:hint="default"/>
                <w:sz w:val="22"/>
                <w:szCs w:val="22"/>
              </w:rPr>
              <w:t>普华永道中天会计师事务所</w:t>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sz w:val="22"/>
                <w:szCs w:val="22"/>
              </w:rPr>
              <w:t>有限公司</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2"/>
              <w:jc w:val="center"/>
              <w:rPr>
                <w:rFonts w:ascii="宋体" w:hAnsi="宋体" w:cs="宋体" w:eastAsia="宋体" w:hint="default"/>
                <w:sz w:val="22"/>
                <w:szCs w:val="22"/>
              </w:rPr>
            </w:pPr>
            <w:r>
              <w:rPr>
                <w:rFonts w:ascii="宋体" w:hAnsi="宋体" w:cs="宋体" w:eastAsia="宋体" w:hint="default"/>
                <w:sz w:val="22"/>
                <w:szCs w:val="22"/>
              </w:rPr>
              <w:t>普华永道中天会计师事务所</w:t>
            </w:r>
          </w:p>
          <w:p>
            <w:pPr>
              <w:pStyle w:val="TableParagraph"/>
              <w:spacing w:line="287" w:lineRule="exact"/>
              <w:ind w:right="1"/>
              <w:jc w:val="center"/>
              <w:rPr>
                <w:rFonts w:ascii="宋体" w:hAnsi="宋体" w:cs="宋体" w:eastAsia="宋体" w:hint="default"/>
                <w:sz w:val="22"/>
                <w:szCs w:val="22"/>
              </w:rPr>
            </w:pPr>
            <w:r>
              <w:rPr>
                <w:rFonts w:ascii="宋体" w:hAnsi="宋体" w:cs="宋体" w:eastAsia="宋体" w:hint="default"/>
                <w:sz w:val="22"/>
                <w:szCs w:val="22"/>
              </w:rPr>
              <w:t>有限公司</w:t>
            </w:r>
          </w:p>
        </w:tc>
      </w:tr>
      <w:tr>
        <w:trPr>
          <w:trHeight w:val="301" w:hRule="exact"/>
        </w:trPr>
        <w:tc>
          <w:tcPr>
            <w:tcW w:w="292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99" w:right="0"/>
              <w:jc w:val="left"/>
              <w:rPr>
                <w:rFonts w:ascii="宋体" w:hAnsi="宋体" w:cs="宋体" w:eastAsia="宋体" w:hint="default"/>
                <w:sz w:val="22"/>
                <w:szCs w:val="22"/>
              </w:rPr>
            </w:pPr>
            <w:r>
              <w:rPr>
                <w:rFonts w:ascii="宋体" w:hAnsi="宋体" w:cs="宋体" w:eastAsia="宋体" w:hint="default"/>
                <w:sz w:val="22"/>
                <w:szCs w:val="22"/>
              </w:rPr>
              <w:t>境内会计师事务所报酬</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5"/>
                <w:sz w:val="22"/>
              </w:rPr>
              <w:t>390</w:t>
            </w:r>
            <w:r>
              <w:rPr>
                <w:rFonts w:ascii="Arial"/>
                <w:sz w:val="22"/>
              </w:rPr>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00" w:right="-8"/>
              <w:jc w:val="left"/>
              <w:rPr>
                <w:rFonts w:ascii="宋体" w:hAnsi="宋体" w:cs="宋体" w:eastAsia="宋体" w:hint="default"/>
                <w:sz w:val="22"/>
                <w:szCs w:val="22"/>
              </w:rPr>
            </w:pPr>
            <w:r>
              <w:rPr>
                <w:rFonts w:ascii="Arial" w:hAnsi="Arial" w:cs="Arial" w:eastAsia="Arial" w:hint="default"/>
                <w:spacing w:val="-5"/>
                <w:sz w:val="22"/>
                <w:szCs w:val="22"/>
              </w:rPr>
              <w:t>390</w:t>
            </w:r>
            <w:r>
              <w:rPr>
                <w:rFonts w:ascii="宋体" w:hAnsi="宋体" w:cs="宋体" w:eastAsia="宋体" w:hint="default"/>
                <w:spacing w:val="-5"/>
                <w:sz w:val="22"/>
                <w:szCs w:val="22"/>
              </w:rPr>
              <w:t>（含内控审计费用</w:t>
            </w:r>
            <w:r>
              <w:rPr>
                <w:rFonts w:ascii="宋体" w:hAnsi="宋体" w:cs="宋体" w:eastAsia="宋体" w:hint="default"/>
                <w:spacing w:val="-57"/>
                <w:sz w:val="22"/>
                <w:szCs w:val="22"/>
              </w:rPr>
              <w:t> </w:t>
            </w:r>
            <w:r>
              <w:rPr>
                <w:rFonts w:ascii="Arial" w:hAnsi="Arial" w:cs="Arial" w:eastAsia="Arial" w:hint="default"/>
                <w:sz w:val="22"/>
                <w:szCs w:val="22"/>
              </w:rPr>
              <w:t>60</w:t>
            </w:r>
            <w:r>
              <w:rPr>
                <w:rFonts w:ascii="Arial" w:hAnsi="Arial" w:cs="Arial" w:eastAsia="Arial" w:hint="default"/>
                <w:spacing w:val="-8"/>
                <w:sz w:val="22"/>
                <w:szCs w:val="22"/>
              </w:rPr>
              <w:t> </w:t>
            </w:r>
            <w:r>
              <w:rPr>
                <w:rFonts w:ascii="宋体" w:hAnsi="宋体" w:cs="宋体" w:eastAsia="宋体" w:hint="default"/>
                <w:sz w:val="22"/>
                <w:szCs w:val="22"/>
              </w:rPr>
              <w:t>万元）</w:t>
            </w:r>
          </w:p>
        </w:tc>
      </w:tr>
      <w:tr>
        <w:trPr>
          <w:trHeight w:val="300" w:hRule="exact"/>
        </w:trPr>
        <w:tc>
          <w:tcPr>
            <w:tcW w:w="292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99" w:right="0"/>
              <w:jc w:val="left"/>
              <w:rPr>
                <w:rFonts w:ascii="宋体" w:hAnsi="宋体" w:cs="宋体" w:eastAsia="宋体" w:hint="default"/>
                <w:sz w:val="22"/>
                <w:szCs w:val="22"/>
              </w:rPr>
            </w:pPr>
            <w:r>
              <w:rPr>
                <w:rFonts w:ascii="宋体" w:hAnsi="宋体" w:cs="宋体" w:eastAsia="宋体" w:hint="default"/>
                <w:sz w:val="22"/>
                <w:szCs w:val="22"/>
              </w:rPr>
              <w:t>境内会计师事务所审计年限</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5"/>
                <w:sz w:val="22"/>
              </w:rPr>
              <w:t>10</w:t>
            </w:r>
            <w:r>
              <w:rPr>
                <w:rFonts w:ascii="Arial"/>
                <w:sz w:val="22"/>
              </w:rPr>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5"/>
                <w:sz w:val="22"/>
              </w:rPr>
              <w:t>11</w:t>
            </w:r>
            <w:r>
              <w:rPr>
                <w:rFonts w:ascii="Arial"/>
                <w:sz w:val="22"/>
              </w:rPr>
            </w:r>
          </w:p>
        </w:tc>
      </w:tr>
    </w:tbl>
    <w:p>
      <w:pPr>
        <w:spacing w:line="240" w:lineRule="auto" w:before="8"/>
        <w:rPr>
          <w:rFonts w:ascii="宋体" w:hAnsi="宋体" w:cs="宋体" w:eastAsia="宋体" w:hint="default"/>
          <w:sz w:val="17"/>
          <w:szCs w:val="17"/>
        </w:rPr>
      </w:pPr>
    </w:p>
    <w:tbl>
      <w:tblPr>
        <w:tblW w:w="0" w:type="auto"/>
        <w:jc w:val="left"/>
        <w:tblInd w:w="634" w:type="dxa"/>
        <w:tblLayout w:type="fixed"/>
        <w:tblCellMar>
          <w:top w:w="0" w:type="dxa"/>
          <w:left w:w="0" w:type="dxa"/>
          <w:bottom w:w="0" w:type="dxa"/>
          <w:right w:w="0" w:type="dxa"/>
        </w:tblCellMar>
        <w:tblLook w:val="01E0"/>
      </w:tblPr>
      <w:tblGrid>
        <w:gridCol w:w="2927"/>
        <w:gridCol w:w="2878"/>
        <w:gridCol w:w="3196"/>
      </w:tblGrid>
      <w:tr>
        <w:trPr>
          <w:trHeight w:val="300" w:hRule="exact"/>
        </w:trPr>
        <w:tc>
          <w:tcPr>
            <w:tcW w:w="2927" w:type="dxa"/>
            <w:tcBorders>
              <w:top w:val="single" w:sz="6" w:space="0" w:color="000000"/>
              <w:left w:val="single" w:sz="6" w:space="0" w:color="000000"/>
              <w:bottom w:val="single" w:sz="6" w:space="0" w:color="000000"/>
              <w:right w:val="single" w:sz="6" w:space="0" w:color="000000"/>
            </w:tcBorders>
          </w:tcPr>
          <w:p>
            <w:pP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3"/>
              <w:jc w:val="center"/>
              <w:rPr>
                <w:rFonts w:ascii="宋体" w:hAnsi="宋体" w:cs="宋体" w:eastAsia="宋体" w:hint="default"/>
                <w:sz w:val="22"/>
                <w:szCs w:val="22"/>
              </w:rPr>
            </w:pPr>
            <w:r>
              <w:rPr>
                <w:rFonts w:ascii="宋体" w:hAnsi="宋体" w:cs="宋体" w:eastAsia="宋体" w:hint="default"/>
                <w:sz w:val="22"/>
                <w:szCs w:val="22"/>
              </w:rPr>
              <w:t>名称</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sz w:val="22"/>
                <w:szCs w:val="22"/>
              </w:rPr>
              <w:t>报酬</w:t>
            </w:r>
          </w:p>
        </w:tc>
      </w:tr>
      <w:tr>
        <w:trPr>
          <w:trHeight w:val="535" w:hRule="exact"/>
        </w:trPr>
        <w:tc>
          <w:tcPr>
            <w:tcW w:w="2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99" w:right="0"/>
              <w:jc w:val="left"/>
              <w:rPr>
                <w:rFonts w:ascii="宋体" w:hAnsi="宋体" w:cs="宋体" w:eastAsia="宋体" w:hint="default"/>
                <w:sz w:val="22"/>
                <w:szCs w:val="22"/>
              </w:rPr>
            </w:pPr>
            <w:r>
              <w:rPr>
                <w:rFonts w:ascii="宋体" w:hAnsi="宋体" w:cs="宋体" w:eastAsia="宋体" w:hint="default"/>
                <w:sz w:val="22"/>
                <w:szCs w:val="22"/>
              </w:rPr>
              <w:t>内部控制审计会计师事务所</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普华永道中天会计师事务所</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有限公司</w:t>
            </w:r>
          </w:p>
        </w:tc>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01"/>
              <w:jc w:val="right"/>
              <w:rPr>
                <w:rFonts w:ascii="宋体" w:hAnsi="宋体" w:cs="宋体" w:eastAsia="宋体" w:hint="default"/>
                <w:sz w:val="22"/>
                <w:szCs w:val="22"/>
              </w:rPr>
            </w:pPr>
            <w:r>
              <w:rPr>
                <w:rFonts w:ascii="Arial" w:hAnsi="Arial" w:cs="Arial" w:eastAsia="Arial" w:hint="default"/>
                <w:sz w:val="22"/>
                <w:szCs w:val="22"/>
              </w:rPr>
              <w:t>60</w:t>
            </w:r>
            <w:r>
              <w:rPr>
                <w:rFonts w:ascii="Arial" w:hAnsi="Arial" w:cs="Arial" w:eastAsia="Arial" w:hint="default"/>
                <w:spacing w:val="-8"/>
                <w:sz w:val="22"/>
                <w:szCs w:val="22"/>
              </w:rPr>
              <w:t> </w:t>
            </w:r>
            <w:r>
              <w:rPr>
                <w:rFonts w:ascii="宋体" w:hAnsi="宋体" w:cs="宋体" w:eastAsia="宋体" w:hint="default"/>
                <w:sz w:val="22"/>
                <w:szCs w:val="22"/>
              </w:rPr>
              <w:t>万元</w:t>
            </w:r>
          </w:p>
        </w:tc>
      </w:tr>
    </w:tbl>
    <w:p>
      <w:pPr>
        <w:spacing w:line="240" w:lineRule="auto" w:before="4"/>
        <w:rPr>
          <w:rFonts w:ascii="宋体" w:hAnsi="宋体" w:cs="宋体" w:eastAsia="宋体" w:hint="default"/>
          <w:sz w:val="12"/>
          <w:szCs w:val="12"/>
        </w:rPr>
      </w:pPr>
    </w:p>
    <w:p>
      <w:pPr>
        <w:pStyle w:val="Heading3"/>
        <w:spacing w:line="271" w:lineRule="auto"/>
        <w:ind w:left="624" w:right="263" w:hanging="478"/>
        <w:jc w:val="left"/>
        <w:rPr>
          <w:b w:val="0"/>
          <w:bCs w:val="0"/>
        </w:rPr>
      </w:pPr>
      <w:r>
        <w:rPr/>
        <w:t>十、上市公司及其董事、监事、高级管理人员、持有</w:t>
      </w:r>
      <w:r>
        <w:rPr>
          <w:spacing w:val="-65"/>
        </w:rPr>
        <w:t> </w:t>
      </w:r>
      <w:r>
        <w:rPr>
          <w:rFonts w:ascii="Arial" w:hAnsi="Arial" w:cs="Arial" w:eastAsia="Arial" w:hint="default"/>
        </w:rPr>
        <w:t>5%</w:t>
      </w:r>
      <w:r>
        <w:rPr/>
        <w:t>以上股份的股东、实际控制人、收购人处</w:t>
      </w:r>
      <w:r>
        <w:rPr>
          <w:spacing w:val="1"/>
          <w:w w:val="99"/>
        </w:rPr>
        <w:t> </w:t>
      </w:r>
      <w:r>
        <w:rPr/>
        <w:t>罚及整改情况</w:t>
      </w:r>
      <w:r>
        <w:rPr>
          <w:b w:val="0"/>
          <w:bCs w:val="0"/>
        </w:rPr>
      </w:r>
    </w:p>
    <w:p>
      <w:pPr>
        <w:spacing w:line="240" w:lineRule="auto" w:before="4"/>
        <w:rPr>
          <w:rFonts w:ascii="宋体" w:hAnsi="宋体" w:cs="宋体" w:eastAsia="宋体" w:hint="default"/>
          <w:b/>
          <w:bCs/>
          <w:sz w:val="27"/>
          <w:szCs w:val="27"/>
        </w:rPr>
      </w:pPr>
    </w:p>
    <w:p>
      <w:pPr>
        <w:pStyle w:val="BodyText"/>
        <w:spacing w:line="286" w:lineRule="exact"/>
        <w:ind w:left="614" w:right="100"/>
        <w:jc w:val="left"/>
      </w:pPr>
      <w:r>
        <w:rPr>
          <w:spacing w:val="-3"/>
        </w:rPr>
        <w:t>本年度公司及其董事、监事、高级管理人员、公司股东、实际控制人均未受中国证监会的稽查、</w:t>
      </w:r>
      <w:r>
        <w:rPr>
          <w:spacing w:val="-107"/>
        </w:rPr>
        <w:t> </w:t>
      </w:r>
      <w:r>
        <w:rPr>
          <w:spacing w:val="-107"/>
        </w:rPr>
      </w:r>
      <w:r>
        <w:rPr/>
        <w:t>行政处罚、通报批评及证券交易所的公开谴责。</w:t>
      </w:r>
    </w:p>
    <w:p>
      <w:pPr>
        <w:spacing w:line="240" w:lineRule="auto" w:before="4"/>
        <w:rPr>
          <w:rFonts w:ascii="宋体" w:hAnsi="宋体" w:cs="宋体" w:eastAsia="宋体" w:hint="default"/>
          <w:sz w:val="16"/>
          <w:szCs w:val="16"/>
        </w:rPr>
      </w:pPr>
    </w:p>
    <w:p>
      <w:pPr>
        <w:pStyle w:val="Heading1"/>
        <w:tabs>
          <w:tab w:pos="4253" w:val="left" w:leader="none"/>
        </w:tabs>
        <w:spacing w:line="240" w:lineRule="auto" w:before="0"/>
        <w:ind w:left="2999" w:right="89"/>
        <w:jc w:val="left"/>
        <w:rPr>
          <w:b w:val="0"/>
          <w:bCs w:val="0"/>
        </w:rPr>
      </w:pPr>
      <w:bookmarkStart w:name="_TOC_250005" w:id="6"/>
      <w:r>
        <w:rPr>
          <w:w w:val="95"/>
        </w:rPr>
        <w:t>第六节</w:t>
        <w:tab/>
      </w:r>
      <w:r>
        <w:rPr/>
        <w:t>股份变动及股东情况</w:t>
      </w:r>
      <w:bookmarkEnd w:id="6"/>
      <w:r>
        <w:rPr>
          <w:b w:val="0"/>
          <w:bCs w:val="0"/>
        </w:rPr>
      </w:r>
    </w:p>
    <w:p>
      <w:pPr>
        <w:spacing w:line="240" w:lineRule="auto" w:before="12"/>
        <w:rPr>
          <w:rFonts w:ascii="宋体" w:hAnsi="宋体" w:cs="宋体" w:eastAsia="宋体" w:hint="default"/>
          <w:b/>
          <w:bCs/>
          <w:sz w:val="19"/>
          <w:szCs w:val="19"/>
        </w:rPr>
      </w:pPr>
    </w:p>
    <w:p>
      <w:pPr>
        <w:pStyle w:val="Heading3"/>
        <w:spacing w:line="240" w:lineRule="auto" w:before="0"/>
        <w:ind w:right="89"/>
        <w:jc w:val="left"/>
        <w:rPr>
          <w:b w:val="0"/>
          <w:bCs w:val="0"/>
        </w:rPr>
      </w:pPr>
      <w:r>
        <w:rPr/>
        <w:t>一、股本变动情况</w:t>
      </w:r>
      <w:r>
        <w:rPr>
          <w:b w:val="0"/>
          <w:bCs w:val="0"/>
        </w:rPr>
      </w:r>
    </w:p>
    <w:p>
      <w:pPr>
        <w:spacing w:line="240" w:lineRule="auto" w:before="1"/>
        <w:rPr>
          <w:rFonts w:ascii="宋体" w:hAnsi="宋体" w:cs="宋体" w:eastAsia="宋体" w:hint="default"/>
          <w:b/>
          <w:bCs/>
          <w:sz w:val="19"/>
          <w:szCs w:val="19"/>
        </w:rPr>
      </w:pPr>
    </w:p>
    <w:p>
      <w:pPr>
        <w:pStyle w:val="BodyText"/>
        <w:spacing w:line="240" w:lineRule="auto"/>
        <w:ind w:left="146" w:right="89"/>
        <w:jc w:val="left"/>
      </w:pPr>
      <w:r>
        <w:rPr/>
        <w:t>（一）股份变动情况表</w:t>
      </w:r>
    </w:p>
    <w:p>
      <w:pPr>
        <w:spacing w:line="240" w:lineRule="auto" w:before="12"/>
        <w:rPr>
          <w:rFonts w:ascii="宋体" w:hAnsi="宋体" w:cs="宋体" w:eastAsia="宋体" w:hint="default"/>
          <w:sz w:val="21"/>
          <w:szCs w:val="21"/>
        </w:rPr>
      </w:pPr>
    </w:p>
    <w:tbl>
      <w:tblPr>
        <w:tblW w:w="0" w:type="auto"/>
        <w:jc w:val="left"/>
        <w:tblInd w:w="229" w:type="dxa"/>
        <w:tblLayout w:type="fixed"/>
        <w:tblCellMar>
          <w:top w:w="0" w:type="dxa"/>
          <w:left w:w="0" w:type="dxa"/>
          <w:bottom w:w="0" w:type="dxa"/>
          <w:right w:w="0" w:type="dxa"/>
        </w:tblCellMar>
        <w:tblLook w:val="01E0"/>
      </w:tblPr>
      <w:tblGrid>
        <w:gridCol w:w="2610"/>
        <w:gridCol w:w="1440"/>
        <w:gridCol w:w="629"/>
        <w:gridCol w:w="586"/>
        <w:gridCol w:w="488"/>
        <w:gridCol w:w="674"/>
        <w:gridCol w:w="478"/>
        <w:gridCol w:w="476"/>
        <w:gridCol w:w="1440"/>
        <w:gridCol w:w="566"/>
      </w:tblGrid>
      <w:tr>
        <w:trPr>
          <w:trHeight w:val="248" w:hRule="exact"/>
        </w:trPr>
        <w:tc>
          <w:tcPr>
            <w:tcW w:w="2610" w:type="dxa"/>
            <w:vMerge w:val="restart"/>
            <w:tcBorders>
              <w:top w:val="single" w:sz="6" w:space="0" w:color="000000"/>
              <w:left w:val="single" w:sz="6" w:space="0" w:color="000000"/>
              <w:right w:val="single" w:sz="6" w:space="0" w:color="000000"/>
            </w:tcBorders>
          </w:tcPr>
          <w:p>
            <w:pPr/>
          </w:p>
        </w:tc>
        <w:tc>
          <w:tcPr>
            <w:tcW w:w="20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7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2702" w:type="dxa"/>
            <w:gridSpan w:val="5"/>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636" w:right="0"/>
              <w:jc w:val="left"/>
              <w:rPr>
                <w:rFonts w:ascii="Arial" w:hAnsi="Arial" w:cs="Arial" w:eastAsia="Arial" w:hint="default"/>
                <w:sz w:val="18"/>
                <w:szCs w:val="18"/>
              </w:rPr>
            </w:pPr>
            <w:r>
              <w:rPr>
                <w:rFonts w:ascii="宋体" w:hAnsi="宋体" w:cs="宋体" w:eastAsia="宋体" w:hint="default"/>
                <w:sz w:val="18"/>
                <w:szCs w:val="18"/>
              </w:rPr>
              <w:t>本次变动增减</w:t>
            </w:r>
            <w:r>
              <w:rPr>
                <w:rFonts w:ascii="Arial" w:hAnsi="Arial" w:cs="Arial" w:eastAsia="Arial" w:hint="default"/>
                <w:sz w:val="18"/>
                <w:szCs w:val="18"/>
              </w:rPr>
              <w:t>(+,-)</w:t>
            </w:r>
          </w:p>
        </w:tc>
        <w:tc>
          <w:tcPr>
            <w:tcW w:w="20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4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81" w:hRule="exact"/>
        </w:trPr>
        <w:tc>
          <w:tcPr>
            <w:tcW w:w="2610" w:type="dxa"/>
            <w:vMerge/>
            <w:tcBorders>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1"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2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6"/>
              <w:ind w:left="166" w:right="0"/>
              <w:jc w:val="left"/>
              <w:rPr>
                <w:rFonts w:ascii="Arial" w:hAnsi="Arial" w:cs="Arial" w:eastAsia="Arial" w:hint="default"/>
                <w:sz w:val="18"/>
                <w:szCs w:val="18"/>
              </w:rPr>
            </w:pPr>
            <w:r>
              <w:rPr>
                <w:rFonts w:ascii="Arial"/>
                <w:sz w:val="18"/>
              </w:rPr>
              <w:t>(%)</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发行</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新股</w:t>
            </w:r>
          </w:p>
        </w:tc>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55"/>
              <w:jc w:val="right"/>
              <w:rPr>
                <w:rFonts w:ascii="宋体" w:hAnsi="宋体" w:cs="宋体" w:eastAsia="宋体" w:hint="default"/>
                <w:sz w:val="18"/>
                <w:szCs w:val="18"/>
              </w:rPr>
            </w:pPr>
            <w:r>
              <w:rPr>
                <w:rFonts w:ascii="宋体" w:hAnsi="宋体" w:cs="宋体" w:eastAsia="宋体" w:hint="default"/>
                <w:sz w:val="18"/>
                <w:szCs w:val="18"/>
              </w:rPr>
              <w:t>送股</w:t>
            </w:r>
          </w:p>
        </w:tc>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1" w:right="0" w:hanging="90"/>
              <w:jc w:val="left"/>
              <w:rPr>
                <w:rFonts w:ascii="宋体" w:hAnsi="宋体" w:cs="宋体" w:eastAsia="宋体" w:hint="default"/>
                <w:sz w:val="18"/>
                <w:szCs w:val="18"/>
              </w:rPr>
            </w:pPr>
            <w:r>
              <w:rPr>
                <w:rFonts w:ascii="宋体" w:hAnsi="宋体" w:cs="宋体" w:eastAsia="宋体" w:hint="default"/>
                <w:sz w:val="18"/>
                <w:szCs w:val="18"/>
              </w:rPr>
              <w:t>公积金</w:t>
            </w:r>
          </w:p>
          <w:p>
            <w:pPr>
              <w:pStyle w:val="TableParagraph"/>
              <w:spacing w:line="235" w:lineRule="exact"/>
              <w:ind w:left="161" w:right="0"/>
              <w:jc w:val="left"/>
              <w:rPr>
                <w:rFonts w:ascii="宋体" w:hAnsi="宋体" w:cs="宋体" w:eastAsia="宋体" w:hint="default"/>
                <w:sz w:val="18"/>
                <w:szCs w:val="18"/>
              </w:rPr>
            </w:pPr>
            <w:r>
              <w:rPr>
                <w:rFonts w:ascii="宋体" w:hAnsi="宋体" w:cs="宋体" w:eastAsia="宋体" w:hint="default"/>
                <w:sz w:val="18"/>
                <w:szCs w:val="18"/>
              </w:rPr>
              <w:t>转股</w:t>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7"/>
              <w:jc w:val="right"/>
              <w:rPr>
                <w:rFonts w:ascii="宋体" w:hAnsi="宋体" w:cs="宋体" w:eastAsia="宋体" w:hint="default"/>
                <w:sz w:val="18"/>
                <w:szCs w:val="18"/>
              </w:rPr>
            </w:pPr>
            <w:r>
              <w:rPr>
                <w:rFonts w:ascii="宋体" w:hAnsi="宋体" w:cs="宋体" w:eastAsia="宋体" w:hint="default"/>
                <w:sz w:val="18"/>
                <w:szCs w:val="18"/>
              </w:rPr>
              <w:t>其他</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5"/>
              <w:jc w:val="right"/>
              <w:rPr>
                <w:rFonts w:ascii="宋体" w:hAnsi="宋体" w:cs="宋体" w:eastAsia="宋体" w:hint="default"/>
                <w:sz w:val="18"/>
                <w:szCs w:val="18"/>
              </w:rPr>
            </w:pPr>
            <w:r>
              <w:rPr>
                <w:rFonts w:ascii="宋体" w:hAnsi="宋体" w:cs="宋体" w:eastAsia="宋体" w:hint="default"/>
                <w:sz w:val="18"/>
                <w:szCs w:val="18"/>
              </w:rPr>
              <w:t>小计</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6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6"/>
              <w:ind w:left="108" w:right="0"/>
              <w:jc w:val="left"/>
              <w:rPr>
                <w:rFonts w:ascii="Arial" w:hAnsi="Arial" w:cs="Arial" w:eastAsia="Arial" w:hint="default"/>
                <w:sz w:val="18"/>
                <w:szCs w:val="18"/>
              </w:rPr>
            </w:pPr>
            <w:r>
              <w:rPr>
                <w:rFonts w:ascii="Arial"/>
                <w:sz w:val="18"/>
              </w:rPr>
              <w:t>(%)</w:t>
            </w:r>
          </w:p>
        </w:tc>
      </w:tr>
      <w:tr>
        <w:trPr>
          <w:trHeight w:val="248"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6777" w:type="dxa"/>
            <w:gridSpan w:val="9"/>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、国家持股</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60"/>
              <w:jc w:val="right"/>
              <w:rPr>
                <w:rFonts w:ascii="Arial" w:hAnsi="Arial" w:cs="Arial" w:eastAsia="Arial" w:hint="default"/>
                <w:sz w:val="18"/>
                <w:szCs w:val="18"/>
              </w:rPr>
            </w:pPr>
            <w:r>
              <w:rPr>
                <w:rFonts w:ascii="Arial"/>
                <w:w w:val="99"/>
                <w:sz w:val="18"/>
              </w:rPr>
              <w:t>-</w:t>
            </w:r>
            <w:r>
              <w:rPr>
                <w:rFonts w:ascii="Arial"/>
                <w:sz w:val="18"/>
              </w:rPr>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w w:val="99"/>
                <w:sz w:val="18"/>
              </w:rPr>
              <w:t>-</w:t>
            </w:r>
            <w:r>
              <w:rPr>
                <w:rFonts w:ascii="Arial"/>
                <w:sz w:val="18"/>
              </w:rPr>
            </w:r>
          </w:p>
        </w:tc>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w w:val="99"/>
                <w:sz w:val="18"/>
              </w:rPr>
              <w:t>-</w:t>
            </w:r>
            <w:r>
              <w:rPr>
                <w:rFonts w:ascii="Arial"/>
                <w:sz w:val="18"/>
              </w:rPr>
            </w:r>
          </w:p>
        </w:tc>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w w:val="99"/>
                <w:sz w:val="18"/>
              </w:rPr>
              <w:t>-</w:t>
            </w:r>
            <w:r>
              <w:rPr>
                <w:rFonts w:ascii="Arial"/>
                <w:sz w:val="18"/>
              </w:rPr>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48"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、国有法人持股</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0"/>
              <w:jc w:val="right"/>
              <w:rPr>
                <w:rFonts w:ascii="Arial" w:hAnsi="Arial" w:cs="Arial" w:eastAsia="Arial" w:hint="default"/>
                <w:sz w:val="18"/>
                <w:szCs w:val="18"/>
              </w:rPr>
            </w:pPr>
            <w:r>
              <w:rPr>
                <w:rFonts w:ascii="Arial"/>
                <w:w w:val="99"/>
                <w:sz w:val="18"/>
              </w:rPr>
              <w:t>-</w:t>
            </w:r>
            <w:r>
              <w:rPr>
                <w:rFonts w:ascii="Arial"/>
                <w:sz w:val="18"/>
              </w:rPr>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9"/>
                <w:sz w:val="18"/>
              </w:rPr>
              <w:t>-</w:t>
            </w:r>
            <w:r>
              <w:rPr>
                <w:rFonts w:ascii="Arial"/>
                <w:sz w:val="18"/>
              </w:rPr>
            </w:r>
          </w:p>
        </w:tc>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9"/>
                <w:sz w:val="18"/>
              </w:rPr>
              <w:t>-</w:t>
            </w:r>
            <w:r>
              <w:rPr>
                <w:rFonts w:ascii="Arial"/>
                <w:sz w:val="18"/>
              </w:rPr>
            </w:r>
          </w:p>
        </w:tc>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9"/>
                <w:sz w:val="18"/>
              </w:rPr>
              <w:t>-</w:t>
            </w:r>
            <w:r>
              <w:rPr>
                <w:rFonts w:ascii="Arial"/>
                <w:sz w:val="18"/>
              </w:rPr>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48"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、其他内资持股</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0"/>
              <w:jc w:val="right"/>
              <w:rPr>
                <w:rFonts w:ascii="Arial" w:hAnsi="Arial" w:cs="Arial" w:eastAsia="Arial" w:hint="default"/>
                <w:sz w:val="18"/>
                <w:szCs w:val="18"/>
              </w:rPr>
            </w:pPr>
            <w:r>
              <w:rPr>
                <w:rFonts w:ascii="Arial"/>
                <w:w w:val="99"/>
                <w:sz w:val="18"/>
              </w:rPr>
              <w:t>-</w:t>
            </w:r>
            <w:r>
              <w:rPr>
                <w:rFonts w:ascii="Arial"/>
                <w:sz w:val="18"/>
              </w:rPr>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9"/>
                <w:sz w:val="18"/>
              </w:rPr>
              <w:t>-</w:t>
            </w:r>
            <w:r>
              <w:rPr>
                <w:rFonts w:ascii="Arial"/>
                <w:sz w:val="18"/>
              </w:rPr>
            </w:r>
          </w:p>
        </w:tc>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9"/>
                <w:sz w:val="18"/>
              </w:rPr>
              <w:t>-</w:t>
            </w:r>
            <w:r>
              <w:rPr>
                <w:rFonts w:ascii="Arial"/>
                <w:sz w:val="18"/>
              </w:rPr>
            </w:r>
          </w:p>
        </w:tc>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9"/>
                <w:sz w:val="18"/>
              </w:rPr>
              <w:t>-</w:t>
            </w:r>
            <w:r>
              <w:rPr>
                <w:rFonts w:ascii="Arial"/>
                <w:sz w:val="18"/>
              </w:rPr>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64" w:right="0"/>
              <w:jc w:val="left"/>
              <w:rPr>
                <w:rFonts w:ascii="宋体" w:hAnsi="宋体" w:cs="宋体" w:eastAsia="宋体" w:hint="default"/>
                <w:sz w:val="18"/>
                <w:szCs w:val="18"/>
              </w:rPr>
            </w:pPr>
            <w:r>
              <w:rPr>
                <w:rFonts w:ascii="宋体" w:hAnsi="宋体" w:cs="宋体" w:eastAsia="宋体" w:hint="default"/>
                <w:sz w:val="18"/>
                <w:szCs w:val="18"/>
              </w:rPr>
              <w:t>其中：境内非国有法人持股</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60"/>
              <w:jc w:val="right"/>
              <w:rPr>
                <w:rFonts w:ascii="Arial" w:hAnsi="Arial" w:cs="Arial" w:eastAsia="Arial" w:hint="default"/>
                <w:sz w:val="18"/>
                <w:szCs w:val="18"/>
              </w:rPr>
            </w:pPr>
            <w:r>
              <w:rPr>
                <w:rFonts w:ascii="Arial"/>
                <w:w w:val="99"/>
                <w:sz w:val="18"/>
              </w:rPr>
              <w:t>-</w:t>
            </w:r>
            <w:r>
              <w:rPr>
                <w:rFonts w:ascii="Arial"/>
                <w:sz w:val="18"/>
              </w:rPr>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w w:val="99"/>
                <w:sz w:val="18"/>
              </w:rPr>
              <w:t>-</w:t>
            </w:r>
            <w:r>
              <w:rPr>
                <w:rFonts w:ascii="Arial"/>
                <w:sz w:val="18"/>
              </w:rPr>
            </w:r>
          </w:p>
        </w:tc>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w w:val="99"/>
                <w:sz w:val="18"/>
              </w:rPr>
              <w:t>-</w:t>
            </w:r>
            <w:r>
              <w:rPr>
                <w:rFonts w:ascii="Arial"/>
                <w:sz w:val="18"/>
              </w:rPr>
            </w:r>
          </w:p>
        </w:tc>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w w:val="99"/>
                <w:sz w:val="18"/>
              </w:rPr>
              <w:t>-</w:t>
            </w:r>
            <w:r>
              <w:rPr>
                <w:rFonts w:ascii="Arial"/>
                <w:sz w:val="18"/>
              </w:rPr>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48"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0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60"/>
              <w:jc w:val="right"/>
              <w:rPr>
                <w:rFonts w:ascii="Arial" w:hAnsi="Arial" w:cs="Arial" w:eastAsia="Arial" w:hint="default"/>
                <w:sz w:val="18"/>
                <w:szCs w:val="18"/>
              </w:rPr>
            </w:pPr>
            <w:r>
              <w:rPr>
                <w:rFonts w:ascii="Arial"/>
                <w:w w:val="99"/>
                <w:sz w:val="18"/>
              </w:rPr>
              <w:t>-</w:t>
            </w:r>
            <w:r>
              <w:rPr>
                <w:rFonts w:ascii="Arial"/>
                <w:sz w:val="18"/>
              </w:rPr>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w w:val="99"/>
                <w:sz w:val="18"/>
              </w:rPr>
              <w:t>-</w:t>
            </w:r>
            <w:r>
              <w:rPr>
                <w:rFonts w:ascii="Arial"/>
                <w:sz w:val="18"/>
              </w:rPr>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w:t>
            </w:r>
            <w:r>
              <w:rPr>
                <w:rFonts w:ascii="Arial"/>
                <w:sz w:val="18"/>
              </w:rPr>
            </w:r>
          </w:p>
        </w:tc>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w:t>
            </w:r>
            <w:r>
              <w:rPr>
                <w:rFonts w:ascii="Arial"/>
                <w:sz w:val="18"/>
              </w:rPr>
            </w:r>
          </w:p>
        </w:tc>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w:t>
            </w:r>
            <w:r>
              <w:rPr>
                <w:rFonts w:ascii="Arial"/>
                <w:sz w:val="18"/>
              </w:rPr>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w w:val="99"/>
                <w:sz w:val="18"/>
              </w:rPr>
              <w:t>-</w:t>
            </w:r>
            <w:r>
              <w:rPr>
                <w:rFonts w:ascii="Arial"/>
                <w:sz w:val="18"/>
              </w:rPr>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w w:val="99"/>
                <w:sz w:val="18"/>
              </w:rPr>
              <w:t>-</w:t>
            </w:r>
            <w:r>
              <w:rPr>
                <w:rFonts w:ascii="Arial"/>
                <w:sz w:val="18"/>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w w:val="99"/>
                <w:sz w:val="18"/>
              </w:rPr>
              <w:t>-</w:t>
            </w:r>
            <w:r>
              <w:rPr>
                <w:rFonts w:ascii="Arial"/>
                <w:sz w:val="18"/>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49"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100"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、外资持股</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60"/>
              <w:jc w:val="right"/>
              <w:rPr>
                <w:rFonts w:ascii="Arial" w:hAnsi="Arial" w:cs="Arial" w:eastAsia="Arial" w:hint="default"/>
                <w:sz w:val="18"/>
                <w:szCs w:val="18"/>
              </w:rPr>
            </w:pPr>
            <w:r>
              <w:rPr>
                <w:rFonts w:ascii="Arial"/>
                <w:w w:val="99"/>
                <w:sz w:val="18"/>
              </w:rPr>
              <w:t>-</w:t>
            </w:r>
            <w:r>
              <w:rPr>
                <w:rFonts w:ascii="Arial"/>
                <w:sz w:val="18"/>
              </w:rPr>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w w:val="99"/>
                <w:sz w:val="18"/>
              </w:rPr>
              <w:t>-</w:t>
            </w:r>
            <w:r>
              <w:rPr>
                <w:rFonts w:ascii="Arial"/>
                <w:sz w:val="18"/>
              </w:rPr>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w:t>
            </w:r>
            <w:r>
              <w:rPr>
                <w:rFonts w:ascii="Arial"/>
                <w:sz w:val="18"/>
              </w:rPr>
            </w:r>
          </w:p>
        </w:tc>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w:t>
            </w:r>
            <w:r>
              <w:rPr>
                <w:rFonts w:ascii="Arial"/>
                <w:sz w:val="18"/>
              </w:rPr>
            </w:r>
          </w:p>
        </w:tc>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w:t>
            </w:r>
            <w:r>
              <w:rPr>
                <w:rFonts w:ascii="Arial"/>
                <w:sz w:val="18"/>
              </w:rPr>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w w:val="99"/>
                <w:sz w:val="18"/>
              </w:rPr>
              <w:t>-</w:t>
            </w:r>
            <w:r>
              <w:rPr>
                <w:rFonts w:ascii="Arial"/>
                <w:sz w:val="18"/>
              </w:rPr>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w w:val="99"/>
                <w:sz w:val="18"/>
              </w:rPr>
              <w:t>-</w:t>
            </w:r>
            <w:r>
              <w:rPr>
                <w:rFonts w:ascii="Arial"/>
                <w:sz w:val="18"/>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w w:val="99"/>
                <w:sz w:val="18"/>
              </w:rPr>
              <w:t>-</w:t>
            </w:r>
            <w:r>
              <w:rPr>
                <w:rFonts w:ascii="Arial"/>
                <w:sz w:val="18"/>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48"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6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60"/>
              <w:jc w:val="right"/>
              <w:rPr>
                <w:rFonts w:ascii="Arial" w:hAnsi="Arial" w:cs="Arial" w:eastAsia="Arial" w:hint="default"/>
                <w:sz w:val="18"/>
                <w:szCs w:val="18"/>
              </w:rPr>
            </w:pPr>
            <w:r>
              <w:rPr>
                <w:rFonts w:ascii="Arial"/>
                <w:w w:val="99"/>
                <w:sz w:val="18"/>
              </w:rPr>
              <w:t>-</w:t>
            </w:r>
            <w:r>
              <w:rPr>
                <w:rFonts w:ascii="Arial"/>
                <w:sz w:val="18"/>
              </w:rPr>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w w:val="99"/>
                <w:sz w:val="18"/>
              </w:rPr>
              <w:t>-</w:t>
            </w:r>
            <w:r>
              <w:rPr>
                <w:rFonts w:ascii="Arial"/>
                <w:sz w:val="18"/>
              </w:rPr>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w:t>
            </w:r>
            <w:r>
              <w:rPr>
                <w:rFonts w:ascii="Arial"/>
                <w:sz w:val="18"/>
              </w:rPr>
            </w:r>
          </w:p>
        </w:tc>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w:t>
            </w:r>
            <w:r>
              <w:rPr>
                <w:rFonts w:ascii="Arial"/>
                <w:sz w:val="18"/>
              </w:rPr>
            </w:r>
          </w:p>
        </w:tc>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w:t>
            </w:r>
            <w:r>
              <w:rPr>
                <w:rFonts w:ascii="Arial"/>
                <w:sz w:val="18"/>
              </w:rPr>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w w:val="99"/>
                <w:sz w:val="18"/>
              </w:rPr>
              <w:t>-</w:t>
            </w:r>
            <w:r>
              <w:rPr>
                <w:rFonts w:ascii="Arial"/>
                <w:sz w:val="18"/>
              </w:rPr>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w w:val="99"/>
                <w:sz w:val="18"/>
              </w:rPr>
              <w:t>-</w:t>
            </w:r>
            <w:r>
              <w:rPr>
                <w:rFonts w:ascii="Arial"/>
                <w:sz w:val="18"/>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w w:val="99"/>
                <w:sz w:val="18"/>
              </w:rPr>
              <w:t>-</w:t>
            </w:r>
            <w:r>
              <w:rPr>
                <w:rFonts w:ascii="Arial"/>
                <w:sz w:val="18"/>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48"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0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60"/>
              <w:jc w:val="right"/>
              <w:rPr>
                <w:rFonts w:ascii="Arial" w:hAnsi="Arial" w:cs="Arial" w:eastAsia="Arial" w:hint="default"/>
                <w:sz w:val="18"/>
                <w:szCs w:val="18"/>
              </w:rPr>
            </w:pPr>
            <w:r>
              <w:rPr>
                <w:rFonts w:ascii="Arial"/>
                <w:w w:val="99"/>
                <w:sz w:val="18"/>
              </w:rPr>
              <w:t>-</w:t>
            </w:r>
            <w:r>
              <w:rPr>
                <w:rFonts w:ascii="Arial"/>
                <w:sz w:val="18"/>
              </w:rPr>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w w:val="99"/>
                <w:sz w:val="18"/>
              </w:rPr>
              <w:t>-</w:t>
            </w:r>
            <w:r>
              <w:rPr>
                <w:rFonts w:ascii="Arial"/>
                <w:sz w:val="18"/>
              </w:rPr>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w:t>
            </w:r>
            <w:r>
              <w:rPr>
                <w:rFonts w:ascii="Arial"/>
                <w:sz w:val="18"/>
              </w:rPr>
            </w:r>
          </w:p>
        </w:tc>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w:t>
            </w:r>
            <w:r>
              <w:rPr>
                <w:rFonts w:ascii="Arial"/>
                <w:sz w:val="18"/>
              </w:rPr>
            </w:r>
          </w:p>
        </w:tc>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w:t>
            </w:r>
            <w:r>
              <w:rPr>
                <w:rFonts w:ascii="Arial"/>
                <w:sz w:val="18"/>
              </w:rPr>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w w:val="99"/>
                <w:sz w:val="18"/>
              </w:rPr>
              <w:t>-</w:t>
            </w:r>
            <w:r>
              <w:rPr>
                <w:rFonts w:ascii="Arial"/>
                <w:sz w:val="18"/>
              </w:rPr>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w w:val="99"/>
                <w:sz w:val="18"/>
              </w:rPr>
              <w:t>-</w:t>
            </w:r>
            <w:r>
              <w:rPr>
                <w:rFonts w:ascii="Arial"/>
                <w:sz w:val="18"/>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w w:val="99"/>
                <w:sz w:val="18"/>
              </w:rPr>
              <w:t>-</w:t>
            </w:r>
            <w:r>
              <w:rPr>
                <w:rFonts w:ascii="Arial"/>
                <w:sz w:val="18"/>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48"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二、无限售条件流通股份</w:t>
            </w:r>
          </w:p>
        </w:tc>
        <w:tc>
          <w:tcPr>
            <w:tcW w:w="6777"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61"/>
              <w:jc w:val="right"/>
              <w:rPr>
                <w:rFonts w:ascii="Arial" w:hAnsi="Arial" w:cs="Arial" w:eastAsia="Arial" w:hint="default"/>
                <w:sz w:val="18"/>
                <w:szCs w:val="18"/>
              </w:rPr>
            </w:pPr>
            <w:r>
              <w:rPr>
                <w:rFonts w:ascii="Arial"/>
                <w:w w:val="99"/>
                <w:sz w:val="18"/>
              </w:rPr>
              <w:t>-</w:t>
            </w:r>
            <w:r>
              <w:rPr>
                <w:rFonts w:ascii="Arial"/>
                <w:sz w:val="18"/>
              </w:rPr>
            </w:r>
          </w:p>
        </w:tc>
      </w:tr>
      <w:tr>
        <w:trPr>
          <w:trHeight w:val="248"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100"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、人民币普通股</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6"/>
              <w:jc w:val="right"/>
              <w:rPr>
                <w:rFonts w:ascii="Arial" w:hAnsi="Arial" w:cs="Arial" w:eastAsia="Arial" w:hint="default"/>
                <w:sz w:val="18"/>
                <w:szCs w:val="18"/>
              </w:rPr>
            </w:pPr>
            <w:r>
              <w:rPr>
                <w:rFonts w:ascii="Arial"/>
                <w:spacing w:val="-1"/>
                <w:sz w:val="18"/>
              </w:rPr>
              <w:t>21,196,596,395</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Arial" w:hAnsi="Arial" w:cs="Arial" w:eastAsia="Arial" w:hint="default"/>
                <w:sz w:val="18"/>
                <w:szCs w:val="18"/>
              </w:rPr>
            </w:pPr>
            <w:r>
              <w:rPr>
                <w:rFonts w:ascii="Arial"/>
                <w:spacing w:val="-1"/>
                <w:w w:val="95"/>
                <w:sz w:val="18"/>
              </w:rPr>
              <w:t>100</w:t>
            </w:r>
            <w:r>
              <w:rPr>
                <w:rFonts w:ascii="Arial"/>
                <w:sz w:val="18"/>
              </w:rPr>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Arial" w:hAnsi="Arial" w:cs="Arial" w:eastAsia="Arial" w:hint="default"/>
                <w:sz w:val="18"/>
                <w:szCs w:val="18"/>
              </w:rPr>
            </w:pPr>
            <w:r>
              <w:rPr>
                <w:rFonts w:ascii="Arial"/>
                <w:w w:val="99"/>
                <w:sz w:val="18"/>
              </w:rPr>
              <w:t>-</w:t>
            </w:r>
            <w:r>
              <w:rPr>
                <w:rFonts w:ascii="Arial"/>
                <w:sz w:val="18"/>
              </w:rPr>
            </w:r>
          </w:p>
        </w:tc>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Arial" w:hAnsi="Arial" w:cs="Arial" w:eastAsia="Arial" w:hint="default"/>
                <w:sz w:val="18"/>
                <w:szCs w:val="18"/>
              </w:rPr>
            </w:pPr>
            <w:r>
              <w:rPr>
                <w:rFonts w:ascii="Arial"/>
                <w:w w:val="99"/>
                <w:sz w:val="18"/>
              </w:rPr>
              <w:t>-</w:t>
            </w:r>
            <w:r>
              <w:rPr>
                <w:rFonts w:ascii="Arial"/>
                <w:sz w:val="18"/>
              </w:rPr>
            </w:r>
          </w:p>
        </w:tc>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Arial" w:hAnsi="Arial" w:cs="Arial" w:eastAsia="Arial" w:hint="default"/>
                <w:sz w:val="18"/>
                <w:szCs w:val="18"/>
              </w:rPr>
            </w:pPr>
            <w:r>
              <w:rPr>
                <w:rFonts w:ascii="Arial"/>
                <w:w w:val="99"/>
                <w:sz w:val="18"/>
              </w:rPr>
              <w:t>-</w:t>
            </w:r>
            <w:r>
              <w:rPr>
                <w:rFonts w:ascii="Arial"/>
                <w:sz w:val="18"/>
              </w:rPr>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43"/>
              <w:jc w:val="right"/>
              <w:rPr>
                <w:rFonts w:ascii="Arial" w:hAnsi="Arial" w:cs="Arial" w:eastAsia="Arial" w:hint="default"/>
                <w:sz w:val="18"/>
                <w:szCs w:val="18"/>
              </w:rPr>
            </w:pPr>
            <w:r>
              <w:rPr>
                <w:rFonts w:ascii="Arial"/>
                <w:spacing w:val="-1"/>
                <w:sz w:val="18"/>
              </w:rPr>
              <w:t>21,196,596,395</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Arial" w:hAnsi="Arial" w:cs="Arial" w:eastAsia="Arial" w:hint="default"/>
                <w:sz w:val="18"/>
                <w:szCs w:val="18"/>
              </w:rPr>
            </w:pPr>
            <w:r>
              <w:rPr>
                <w:rFonts w:ascii="Arial"/>
                <w:spacing w:val="-1"/>
                <w:w w:val="95"/>
                <w:sz w:val="18"/>
              </w:rPr>
              <w:t>100</w:t>
            </w:r>
            <w:r>
              <w:rPr>
                <w:rFonts w:ascii="Arial"/>
                <w:sz w:val="18"/>
              </w:rPr>
            </w:r>
          </w:p>
        </w:tc>
      </w:tr>
      <w:tr>
        <w:trPr>
          <w:trHeight w:val="248"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100"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、境内上市的外资股</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9"/>
              <w:jc w:val="right"/>
              <w:rPr>
                <w:rFonts w:ascii="Arial" w:hAnsi="Arial" w:cs="Arial" w:eastAsia="Arial" w:hint="default"/>
                <w:sz w:val="18"/>
                <w:szCs w:val="18"/>
              </w:rPr>
            </w:pPr>
            <w:r>
              <w:rPr>
                <w:rFonts w:ascii="Arial"/>
                <w:w w:val="99"/>
                <w:sz w:val="18"/>
              </w:rPr>
              <w:t>-</w:t>
            </w:r>
            <w:r>
              <w:rPr>
                <w:rFonts w:ascii="Arial"/>
                <w:sz w:val="18"/>
              </w:rPr>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Arial" w:hAnsi="Arial" w:cs="Arial" w:eastAsia="Arial" w:hint="default"/>
                <w:sz w:val="18"/>
                <w:szCs w:val="18"/>
              </w:rPr>
            </w:pPr>
            <w:r>
              <w:rPr>
                <w:rFonts w:ascii="Arial"/>
                <w:w w:val="99"/>
                <w:sz w:val="18"/>
              </w:rPr>
              <w:t>-</w:t>
            </w:r>
            <w:r>
              <w:rPr>
                <w:rFonts w:ascii="Arial"/>
                <w:sz w:val="18"/>
              </w:rPr>
            </w:r>
          </w:p>
        </w:tc>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Arial" w:hAnsi="Arial" w:cs="Arial" w:eastAsia="Arial" w:hint="default"/>
                <w:sz w:val="18"/>
                <w:szCs w:val="18"/>
              </w:rPr>
            </w:pPr>
            <w:r>
              <w:rPr>
                <w:rFonts w:ascii="Arial"/>
                <w:w w:val="99"/>
                <w:sz w:val="18"/>
              </w:rPr>
              <w:t>-</w:t>
            </w:r>
            <w:r>
              <w:rPr>
                <w:rFonts w:ascii="Arial"/>
                <w:sz w:val="18"/>
              </w:rPr>
            </w:r>
          </w:p>
        </w:tc>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Arial" w:hAnsi="Arial" w:cs="Arial" w:eastAsia="Arial" w:hint="default"/>
                <w:sz w:val="18"/>
                <w:szCs w:val="18"/>
              </w:rPr>
            </w:pPr>
            <w:r>
              <w:rPr>
                <w:rFonts w:ascii="Arial"/>
                <w:w w:val="99"/>
                <w:sz w:val="18"/>
              </w:rPr>
              <w:t>-</w:t>
            </w:r>
            <w:r>
              <w:rPr>
                <w:rFonts w:ascii="Arial"/>
                <w:sz w:val="18"/>
              </w:rPr>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48"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100"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、境外上市的外资股</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9"/>
              <w:jc w:val="right"/>
              <w:rPr>
                <w:rFonts w:ascii="Arial" w:hAnsi="Arial" w:cs="Arial" w:eastAsia="Arial" w:hint="default"/>
                <w:sz w:val="18"/>
                <w:szCs w:val="18"/>
              </w:rPr>
            </w:pPr>
            <w:r>
              <w:rPr>
                <w:rFonts w:ascii="Arial"/>
                <w:w w:val="99"/>
                <w:sz w:val="18"/>
              </w:rPr>
              <w:t>-</w:t>
            </w:r>
            <w:r>
              <w:rPr>
                <w:rFonts w:ascii="Arial"/>
                <w:sz w:val="18"/>
              </w:rPr>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Arial" w:hAnsi="Arial" w:cs="Arial" w:eastAsia="Arial" w:hint="default"/>
                <w:sz w:val="18"/>
                <w:szCs w:val="18"/>
              </w:rPr>
            </w:pPr>
            <w:r>
              <w:rPr>
                <w:rFonts w:ascii="Arial"/>
                <w:w w:val="99"/>
                <w:sz w:val="18"/>
              </w:rPr>
              <w:t>-</w:t>
            </w:r>
            <w:r>
              <w:rPr>
                <w:rFonts w:ascii="Arial"/>
                <w:sz w:val="18"/>
              </w:rPr>
            </w:r>
          </w:p>
        </w:tc>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Arial" w:hAnsi="Arial" w:cs="Arial" w:eastAsia="Arial" w:hint="default"/>
                <w:sz w:val="18"/>
                <w:szCs w:val="18"/>
              </w:rPr>
            </w:pPr>
            <w:r>
              <w:rPr>
                <w:rFonts w:ascii="Arial"/>
                <w:w w:val="99"/>
                <w:sz w:val="18"/>
              </w:rPr>
              <w:t>-</w:t>
            </w:r>
            <w:r>
              <w:rPr>
                <w:rFonts w:ascii="Arial"/>
                <w:sz w:val="18"/>
              </w:rPr>
            </w:r>
          </w:p>
        </w:tc>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Arial" w:hAnsi="Arial" w:cs="Arial" w:eastAsia="Arial" w:hint="default"/>
                <w:sz w:val="18"/>
                <w:szCs w:val="18"/>
              </w:rPr>
            </w:pPr>
            <w:r>
              <w:rPr>
                <w:rFonts w:ascii="Arial"/>
                <w:w w:val="99"/>
                <w:sz w:val="18"/>
              </w:rPr>
              <w:t>-</w:t>
            </w:r>
            <w:r>
              <w:rPr>
                <w:rFonts w:ascii="Arial"/>
                <w:sz w:val="18"/>
              </w:rPr>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48"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100"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89"/>
              <w:jc w:val="right"/>
              <w:rPr>
                <w:rFonts w:ascii="Arial" w:hAnsi="Arial" w:cs="Arial" w:eastAsia="Arial" w:hint="default"/>
                <w:sz w:val="18"/>
                <w:szCs w:val="18"/>
              </w:rPr>
            </w:pPr>
            <w:r>
              <w:rPr>
                <w:rFonts w:ascii="Arial"/>
                <w:w w:val="99"/>
                <w:sz w:val="18"/>
              </w:rPr>
              <w:t>-</w:t>
            </w:r>
            <w:r>
              <w:rPr>
                <w:rFonts w:ascii="Arial"/>
                <w:sz w:val="18"/>
              </w:rPr>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w w:val="99"/>
                <w:sz w:val="18"/>
              </w:rPr>
              <w:t>-</w:t>
            </w:r>
            <w:r>
              <w:rPr>
                <w:rFonts w:ascii="Arial"/>
                <w:sz w:val="18"/>
              </w:rPr>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w:t>
            </w:r>
            <w:r>
              <w:rPr>
                <w:rFonts w:ascii="Arial"/>
                <w:sz w:val="18"/>
              </w:rPr>
            </w:r>
          </w:p>
        </w:tc>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w:t>
            </w:r>
            <w:r>
              <w:rPr>
                <w:rFonts w:ascii="Arial"/>
                <w:sz w:val="18"/>
              </w:rPr>
            </w:r>
          </w:p>
        </w:tc>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w:t>
            </w:r>
            <w:r>
              <w:rPr>
                <w:rFonts w:ascii="Arial"/>
                <w:sz w:val="18"/>
              </w:rPr>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w w:val="99"/>
                <w:sz w:val="18"/>
              </w:rPr>
              <w:t>-</w:t>
            </w:r>
            <w:r>
              <w:rPr>
                <w:rFonts w:ascii="Arial"/>
                <w:sz w:val="18"/>
              </w:rPr>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w w:val="99"/>
                <w:sz w:val="18"/>
              </w:rPr>
              <w:t>-</w:t>
            </w:r>
            <w:r>
              <w:rPr>
                <w:rFonts w:ascii="Arial"/>
                <w:sz w:val="18"/>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w w:val="99"/>
                <w:sz w:val="18"/>
              </w:rPr>
              <w:t>-</w:t>
            </w:r>
            <w:r>
              <w:rPr>
                <w:rFonts w:ascii="Arial"/>
                <w:sz w:val="18"/>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48" w:hRule="exact"/>
        </w:trPr>
        <w:tc>
          <w:tcPr>
            <w:tcW w:w="2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7"/>
              <w:jc w:val="right"/>
              <w:rPr>
                <w:rFonts w:ascii="Arial" w:hAnsi="Arial" w:cs="Arial" w:eastAsia="Arial" w:hint="default"/>
                <w:sz w:val="18"/>
                <w:szCs w:val="18"/>
              </w:rPr>
            </w:pPr>
            <w:r>
              <w:rPr>
                <w:rFonts w:ascii="Arial"/>
                <w:spacing w:val="-1"/>
                <w:sz w:val="18"/>
              </w:rPr>
              <w:t>21,196,596,395</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Arial" w:hAnsi="Arial" w:cs="Arial" w:eastAsia="Arial" w:hint="default"/>
                <w:sz w:val="18"/>
                <w:szCs w:val="18"/>
              </w:rPr>
            </w:pPr>
            <w:r>
              <w:rPr>
                <w:rFonts w:ascii="Arial"/>
                <w:spacing w:val="-1"/>
                <w:w w:val="95"/>
                <w:sz w:val="18"/>
              </w:rPr>
              <w:t>100</w:t>
            </w:r>
            <w:r>
              <w:rPr>
                <w:rFonts w:ascii="Arial"/>
                <w:sz w:val="18"/>
              </w:rPr>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Arial" w:hAnsi="Arial" w:cs="Arial" w:eastAsia="Arial" w:hint="default"/>
                <w:sz w:val="18"/>
                <w:szCs w:val="18"/>
              </w:rPr>
            </w:pPr>
            <w:r>
              <w:rPr>
                <w:rFonts w:ascii="Arial"/>
                <w:w w:val="99"/>
                <w:sz w:val="18"/>
              </w:rPr>
              <w:t>-</w:t>
            </w:r>
            <w:r>
              <w:rPr>
                <w:rFonts w:ascii="Arial"/>
                <w:sz w:val="18"/>
              </w:rPr>
            </w:r>
          </w:p>
        </w:tc>
        <w:tc>
          <w:tcPr>
            <w:tcW w:w="4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Arial" w:hAnsi="Arial" w:cs="Arial" w:eastAsia="Arial" w:hint="default"/>
                <w:sz w:val="18"/>
                <w:szCs w:val="18"/>
              </w:rPr>
            </w:pPr>
            <w:r>
              <w:rPr>
                <w:rFonts w:ascii="Arial"/>
                <w:w w:val="99"/>
                <w:sz w:val="18"/>
              </w:rPr>
              <w:t>-</w:t>
            </w:r>
            <w:r>
              <w:rPr>
                <w:rFonts w:ascii="Arial"/>
                <w:sz w:val="18"/>
              </w:rPr>
            </w:r>
          </w:p>
        </w:tc>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Arial" w:hAnsi="Arial" w:cs="Arial" w:eastAsia="Arial" w:hint="default"/>
                <w:sz w:val="18"/>
                <w:szCs w:val="18"/>
              </w:rPr>
            </w:pPr>
            <w:r>
              <w:rPr>
                <w:rFonts w:ascii="Arial"/>
                <w:w w:val="99"/>
                <w:sz w:val="18"/>
              </w:rPr>
              <w:t>-</w:t>
            </w:r>
            <w:r>
              <w:rPr>
                <w:rFonts w:ascii="Arial"/>
                <w:sz w:val="18"/>
              </w:rPr>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43"/>
              <w:jc w:val="right"/>
              <w:rPr>
                <w:rFonts w:ascii="Arial" w:hAnsi="Arial" w:cs="Arial" w:eastAsia="Arial" w:hint="default"/>
                <w:sz w:val="18"/>
                <w:szCs w:val="18"/>
              </w:rPr>
            </w:pPr>
            <w:r>
              <w:rPr>
                <w:rFonts w:ascii="Arial"/>
                <w:spacing w:val="-1"/>
                <w:sz w:val="18"/>
              </w:rPr>
              <w:t>21,196,596,395</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Arial" w:hAnsi="Arial" w:cs="Arial" w:eastAsia="Arial" w:hint="default"/>
                <w:sz w:val="18"/>
                <w:szCs w:val="18"/>
              </w:rPr>
            </w:pPr>
            <w:r>
              <w:rPr>
                <w:rFonts w:ascii="Arial"/>
                <w:spacing w:val="-1"/>
                <w:w w:val="95"/>
                <w:sz w:val="18"/>
              </w:rPr>
              <w:t>100</w:t>
            </w:r>
            <w:r>
              <w:rPr>
                <w:rFonts w:ascii="Arial"/>
                <w:sz w:val="18"/>
              </w:rPr>
            </w:r>
          </w:p>
        </w:tc>
      </w:tr>
    </w:tbl>
    <w:p>
      <w:pPr>
        <w:spacing w:after="0" w:line="240" w:lineRule="auto"/>
        <w:jc w:val="right"/>
        <w:rPr>
          <w:rFonts w:ascii="Arial" w:hAnsi="Arial" w:cs="Arial" w:eastAsia="Arial" w:hint="default"/>
          <w:sz w:val="18"/>
          <w:szCs w:val="18"/>
        </w:rPr>
        <w:sectPr>
          <w:pgSz w:w="11910" w:h="16840"/>
          <w:pgMar w:header="567" w:footer="745" w:top="800" w:bottom="940" w:left="1380" w:right="680"/>
        </w:sectPr>
      </w:pPr>
    </w:p>
    <w:p>
      <w:pPr>
        <w:spacing w:line="240" w:lineRule="auto" w:before="8"/>
        <w:rPr>
          <w:rFonts w:ascii="宋体" w:hAnsi="宋体" w:cs="宋体" w:eastAsia="宋体" w:hint="default"/>
          <w:sz w:val="22"/>
          <w:szCs w:val="22"/>
        </w:rPr>
      </w:pPr>
    </w:p>
    <w:p>
      <w:pPr>
        <w:pStyle w:val="BodyText"/>
        <w:spacing w:line="448" w:lineRule="auto" w:before="31"/>
        <w:ind w:left="838" w:right="3521" w:hanging="693"/>
        <w:jc w:val="left"/>
      </w:pPr>
      <w:r>
        <w:rPr/>
        <w:t>（二）限售股份变动情况</w:t>
      </w:r>
      <w:r>
        <w:rPr>
          <w:w w:val="99"/>
        </w:rPr>
        <w:t> </w:t>
      </w:r>
      <w:r>
        <w:rPr>
          <w:w w:val="95"/>
        </w:rPr>
        <w:t>报告期内，本公司限售股份无变动情况。</w:t>
      </w:r>
      <w:r>
        <w:rPr/>
      </w:r>
    </w:p>
    <w:p>
      <w:pPr>
        <w:pStyle w:val="Heading3"/>
        <w:spacing w:line="240" w:lineRule="auto" w:before="58"/>
        <w:ind w:right="3521"/>
        <w:jc w:val="left"/>
        <w:rPr>
          <w:b w:val="0"/>
          <w:bCs w:val="0"/>
        </w:rPr>
      </w:pPr>
      <w:r>
        <w:rPr/>
        <w:t>二、证券发行与上市情况</w:t>
      </w:r>
      <w:r>
        <w:rPr>
          <w:b w:val="0"/>
          <w:bCs w:val="0"/>
        </w:rPr>
      </w:r>
    </w:p>
    <w:p>
      <w:pPr>
        <w:spacing w:line="240" w:lineRule="auto" w:before="4"/>
        <w:rPr>
          <w:rFonts w:ascii="宋体" w:hAnsi="宋体" w:cs="宋体" w:eastAsia="宋体" w:hint="default"/>
          <w:b/>
          <w:bCs/>
          <w:sz w:val="21"/>
          <w:szCs w:val="21"/>
        </w:rPr>
      </w:pPr>
    </w:p>
    <w:p>
      <w:pPr>
        <w:pStyle w:val="BodyText"/>
        <w:spacing w:line="286" w:lineRule="exact"/>
        <w:ind w:left="821" w:right="3521" w:hanging="676"/>
        <w:jc w:val="left"/>
      </w:pPr>
      <w:r>
        <w:rPr/>
        <w:t>（一）截至报告期末近</w:t>
      </w:r>
      <w:r>
        <w:rPr>
          <w:spacing w:val="-54"/>
        </w:rPr>
        <w:t> </w:t>
      </w:r>
      <w:r>
        <w:rPr>
          <w:rFonts w:ascii="Arial" w:hAnsi="Arial" w:cs="Arial" w:eastAsia="Arial" w:hint="default"/>
        </w:rPr>
        <w:t>3</w:t>
      </w:r>
      <w:r>
        <w:rPr>
          <w:rFonts w:ascii="Arial" w:hAnsi="Arial" w:cs="Arial" w:eastAsia="Arial" w:hint="default"/>
          <w:spacing w:val="-7"/>
        </w:rPr>
        <w:t> </w:t>
      </w:r>
      <w:r>
        <w:rPr/>
        <w:t>年历次证券发行情况</w:t>
      </w:r>
      <w:r>
        <w:rPr>
          <w:w w:val="99"/>
        </w:rPr>
        <w:t> </w:t>
      </w:r>
      <w:r>
        <w:rPr>
          <w:w w:val="95"/>
        </w:rPr>
        <w:t>截止本报告期末至前三年，公司未有证券发行与上市情况。</w:t>
      </w:r>
      <w:r>
        <w:rPr/>
      </w:r>
    </w:p>
    <w:p>
      <w:pPr>
        <w:spacing w:line="240" w:lineRule="auto" w:before="3"/>
        <w:rPr>
          <w:rFonts w:ascii="宋体" w:hAnsi="宋体" w:cs="宋体" w:eastAsia="宋体" w:hint="default"/>
          <w:sz w:val="19"/>
          <w:szCs w:val="19"/>
        </w:rPr>
      </w:pPr>
    </w:p>
    <w:p>
      <w:pPr>
        <w:pStyle w:val="BodyText"/>
        <w:spacing w:line="286" w:lineRule="exact"/>
        <w:ind w:left="821" w:right="0" w:hanging="676"/>
        <w:jc w:val="left"/>
      </w:pPr>
      <w:r>
        <w:rPr/>
        <w:t>（二）公司股份总数及股东结构变动及公司资产和负债结构的变动情况</w:t>
      </w:r>
      <w:r>
        <w:rPr>
          <w:w w:val="99"/>
        </w:rPr>
        <w:t> </w:t>
      </w:r>
      <w:r>
        <w:rPr>
          <w:w w:val="95"/>
        </w:rPr>
        <w:t>报告期内没有因送股、配股等原因引起公司股份总数及结构的变动。</w:t>
      </w:r>
      <w:r>
        <w:rPr/>
      </w:r>
    </w:p>
    <w:p>
      <w:pPr>
        <w:spacing w:line="240" w:lineRule="auto" w:before="6"/>
        <w:rPr>
          <w:rFonts w:ascii="宋体" w:hAnsi="宋体" w:cs="宋体" w:eastAsia="宋体" w:hint="default"/>
          <w:sz w:val="19"/>
          <w:szCs w:val="19"/>
        </w:rPr>
      </w:pPr>
    </w:p>
    <w:p>
      <w:pPr>
        <w:pStyle w:val="BodyText"/>
        <w:spacing w:line="284" w:lineRule="exact"/>
        <w:ind w:left="821" w:right="5907" w:hanging="676"/>
        <w:jc w:val="left"/>
      </w:pPr>
      <w:r>
        <w:rPr/>
        <w:t>（三）现存的内部职工股情况</w:t>
      </w:r>
      <w:r>
        <w:rPr>
          <w:w w:val="99"/>
        </w:rPr>
        <w:t> </w:t>
      </w:r>
      <w:r>
        <w:rPr/>
        <w:t>本报告期末公司无内部职工股。</w:t>
      </w:r>
    </w:p>
    <w:p>
      <w:pPr>
        <w:spacing w:line="240" w:lineRule="auto" w:before="3"/>
        <w:rPr>
          <w:rFonts w:ascii="宋体" w:hAnsi="宋体" w:cs="宋体" w:eastAsia="宋体" w:hint="default"/>
          <w:sz w:val="17"/>
          <w:szCs w:val="17"/>
        </w:rPr>
      </w:pPr>
    </w:p>
    <w:p>
      <w:pPr>
        <w:pStyle w:val="Heading3"/>
        <w:spacing w:line="240" w:lineRule="auto" w:before="0"/>
        <w:ind w:right="3521"/>
        <w:jc w:val="left"/>
        <w:rPr>
          <w:b w:val="0"/>
          <w:bCs w:val="0"/>
        </w:rPr>
      </w:pPr>
      <w:r>
        <w:rPr/>
        <w:t>三、股东和实际控制人情况</w:t>
      </w:r>
      <w:r>
        <w:rPr>
          <w:b w:val="0"/>
          <w:bCs w:val="0"/>
        </w:rPr>
      </w:r>
    </w:p>
    <w:p>
      <w:pPr>
        <w:spacing w:line="240" w:lineRule="auto" w:before="2"/>
        <w:rPr>
          <w:rFonts w:ascii="宋体" w:hAnsi="宋体" w:cs="宋体" w:eastAsia="宋体" w:hint="default"/>
          <w:b/>
          <w:bCs/>
          <w:sz w:val="19"/>
          <w:szCs w:val="19"/>
        </w:rPr>
      </w:pPr>
    </w:p>
    <w:p>
      <w:pPr>
        <w:pStyle w:val="BodyText"/>
        <w:spacing w:line="240" w:lineRule="auto"/>
        <w:ind w:left="146" w:right="3521"/>
        <w:jc w:val="left"/>
      </w:pPr>
      <w:r>
        <w:rPr/>
        <w:t>（一）股东数量和持股情况</w:t>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567" w:footer="745" w:top="800" w:bottom="940" w:left="1380" w:right="700"/>
        </w:sectPr>
      </w:pPr>
    </w:p>
    <w:p>
      <w:pPr>
        <w:pStyle w:val="BodyText"/>
        <w:spacing w:line="240" w:lineRule="auto" w:before="31"/>
        <w:ind w:left="821" w:right="-8"/>
        <w:jc w:val="left"/>
      </w:pPr>
      <w:r>
        <w:rPr/>
        <w:t>于</w:t>
      </w:r>
      <w:r>
        <w:rPr>
          <w:spacing w:val="-57"/>
        </w:rPr>
        <w:t> </w:t>
      </w:r>
      <w:r>
        <w:rPr>
          <w:rFonts w:ascii="Arial" w:hAnsi="Arial" w:cs="Arial" w:eastAsia="Arial" w:hint="default"/>
        </w:rPr>
        <w:t>2012</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日，股东数量和持股情况如下：</w:t>
      </w:r>
    </w:p>
    <w:p>
      <w:pPr>
        <w:spacing w:line="240" w:lineRule="auto" w:before="7"/>
        <w:rPr>
          <w:rFonts w:ascii="宋体" w:hAnsi="宋体" w:cs="宋体" w:eastAsia="宋体" w:hint="default"/>
          <w:sz w:val="24"/>
          <w:szCs w:val="24"/>
        </w:rPr>
      </w:pPr>
      <w:r>
        <w:rPr/>
        <w:br w:type="column"/>
      </w:r>
      <w:r>
        <w:rPr>
          <w:rFonts w:ascii="宋体"/>
          <w:sz w:val="24"/>
        </w:rPr>
      </w:r>
    </w:p>
    <w:p>
      <w:pPr>
        <w:spacing w:before="0"/>
        <w:ind w:left="821" w:right="0" w:firstLine="0"/>
        <w:jc w:val="left"/>
        <w:rPr>
          <w:rFonts w:ascii="宋体" w:hAnsi="宋体" w:cs="宋体" w:eastAsia="宋体" w:hint="default"/>
          <w:sz w:val="20"/>
          <w:szCs w:val="20"/>
        </w:rPr>
      </w:pPr>
      <w:r>
        <w:rPr>
          <w:rFonts w:ascii="宋体" w:hAnsi="宋体" w:cs="宋体" w:eastAsia="宋体" w:hint="default"/>
          <w:sz w:val="20"/>
          <w:szCs w:val="20"/>
        </w:rPr>
        <w:t>单位：股</w:t>
      </w:r>
    </w:p>
    <w:p>
      <w:pPr>
        <w:spacing w:after="0"/>
        <w:jc w:val="left"/>
        <w:rPr>
          <w:rFonts w:ascii="宋体" w:hAnsi="宋体" w:cs="宋体" w:eastAsia="宋体" w:hint="default"/>
          <w:sz w:val="20"/>
          <w:szCs w:val="20"/>
        </w:rPr>
        <w:sectPr>
          <w:type w:val="continuous"/>
          <w:pgSz w:w="11910" w:h="16840"/>
          <w:pgMar w:top="1100" w:bottom="280" w:left="1380" w:right="700"/>
          <w:cols w:num="2" w:equalWidth="0">
            <w:col w:w="5871" w:space="2143"/>
            <w:col w:w="1816"/>
          </w:cols>
        </w:sectPr>
      </w:pPr>
    </w:p>
    <w:p>
      <w:pPr>
        <w:spacing w:line="240" w:lineRule="auto" w:before="3"/>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2799"/>
        <w:gridCol w:w="720"/>
        <w:gridCol w:w="868"/>
        <w:gridCol w:w="1473"/>
        <w:gridCol w:w="1246"/>
        <w:gridCol w:w="1330"/>
        <w:gridCol w:w="1124"/>
      </w:tblGrid>
      <w:tr>
        <w:trPr>
          <w:trHeight w:val="482" w:hRule="exact"/>
        </w:trPr>
        <w:tc>
          <w:tcPr>
            <w:tcW w:w="43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截止报告期末股东总数（户）</w:t>
            </w:r>
          </w:p>
        </w:tc>
        <w:tc>
          <w:tcPr>
            <w:tcW w:w="1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859,862</w:t>
            </w:r>
          </w:p>
        </w:tc>
        <w:tc>
          <w:tcPr>
            <w:tcW w:w="25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7"/>
                <w:sz w:val="18"/>
                <w:szCs w:val="18"/>
              </w:rPr>
              <w:t> </w:t>
            </w:r>
            <w:r>
              <w:rPr>
                <w:rFonts w:ascii="宋体" w:hAnsi="宋体" w:cs="宋体" w:eastAsia="宋体" w:hint="default"/>
                <w:sz w:val="18"/>
                <w:szCs w:val="18"/>
              </w:rPr>
              <w:t>个交易</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日末股东总数（户）</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358" w:right="0"/>
              <w:jc w:val="left"/>
              <w:rPr>
                <w:rFonts w:ascii="Arial" w:hAnsi="Arial" w:cs="Arial" w:eastAsia="Arial" w:hint="default"/>
                <w:sz w:val="18"/>
                <w:szCs w:val="18"/>
              </w:rPr>
            </w:pPr>
            <w:r>
              <w:rPr>
                <w:rFonts w:ascii="Arial"/>
                <w:sz w:val="18"/>
              </w:rPr>
              <w:t>853,037</w:t>
            </w:r>
          </w:p>
        </w:tc>
      </w:tr>
      <w:tr>
        <w:trPr>
          <w:trHeight w:val="248" w:hRule="exact"/>
        </w:trPr>
        <w:tc>
          <w:tcPr>
            <w:tcW w:w="9559" w:type="dxa"/>
            <w:gridSpan w:val="7"/>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481"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hAnsi="宋体" w:cs="宋体" w:eastAsia="宋体" w:hint="default"/>
                <w:sz w:val="18"/>
                <w:szCs w:val="18"/>
              </w:rPr>
              <w:t>股东</w:t>
            </w:r>
          </w:p>
          <w:p>
            <w:pPr>
              <w:pStyle w:val="TableParagraph"/>
              <w:spacing w:line="235" w:lineRule="exact"/>
              <w:ind w:left="171" w:right="0"/>
              <w:jc w:val="left"/>
              <w:rPr>
                <w:rFonts w:ascii="宋体" w:hAnsi="宋体" w:cs="宋体" w:eastAsia="宋体" w:hint="default"/>
                <w:sz w:val="18"/>
                <w:szCs w:val="18"/>
              </w:rPr>
            </w:pPr>
            <w:r>
              <w:rPr>
                <w:rFonts w:ascii="宋体" w:hAnsi="宋体" w:cs="宋体" w:eastAsia="宋体" w:hint="default"/>
                <w:sz w:val="18"/>
                <w:szCs w:val="18"/>
              </w:rPr>
              <w:t>性质</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6" w:right="0" w:hanging="41"/>
              <w:jc w:val="left"/>
              <w:rPr>
                <w:rFonts w:ascii="宋体" w:hAnsi="宋体" w:cs="宋体" w:eastAsia="宋体" w:hint="default"/>
                <w:sz w:val="18"/>
                <w:szCs w:val="18"/>
              </w:rPr>
            </w:pPr>
            <w:r>
              <w:rPr>
                <w:rFonts w:ascii="宋体" w:hAnsi="宋体" w:cs="宋体" w:eastAsia="宋体" w:hint="default"/>
                <w:sz w:val="18"/>
                <w:szCs w:val="18"/>
              </w:rPr>
              <w:t>持股比</w:t>
            </w:r>
          </w:p>
          <w:p>
            <w:pPr>
              <w:pStyle w:val="TableParagraph"/>
              <w:spacing w:line="248" w:lineRule="exact"/>
              <w:ind w:left="196" w:right="0"/>
              <w:jc w:val="left"/>
              <w:rPr>
                <w:rFonts w:ascii="Arial" w:hAnsi="Arial" w:cs="Arial" w:eastAsia="Arial" w:hint="default"/>
                <w:sz w:val="18"/>
                <w:szCs w:val="18"/>
              </w:rPr>
            </w:pPr>
            <w:r>
              <w:rPr>
                <w:rFonts w:ascii="宋体" w:hAnsi="宋体" w:cs="宋体" w:eastAsia="宋体" w:hint="default"/>
                <w:sz w:val="18"/>
                <w:szCs w:val="18"/>
              </w:rPr>
              <w:t>例</w:t>
            </w:r>
            <w:r>
              <w:rPr>
                <w:rFonts w:ascii="Arial" w:hAnsi="Arial" w:cs="Arial" w:eastAsia="Arial" w:hint="default"/>
                <w:sz w:val="18"/>
                <w:szCs w:val="18"/>
              </w:rPr>
              <w:t>(%)</w:t>
            </w:r>
          </w:p>
        </w:tc>
        <w:tc>
          <w:tcPr>
            <w:tcW w:w="1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68"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报告期内增</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减</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06" w:right="0" w:hanging="90"/>
              <w:jc w:val="left"/>
              <w:rPr>
                <w:rFonts w:ascii="宋体" w:hAnsi="宋体" w:cs="宋体" w:eastAsia="宋体" w:hint="default"/>
                <w:sz w:val="18"/>
                <w:szCs w:val="18"/>
              </w:rPr>
            </w:pPr>
            <w:r>
              <w:rPr>
                <w:rFonts w:ascii="宋体" w:hAnsi="宋体" w:cs="宋体" w:eastAsia="宋体" w:hint="default"/>
                <w:sz w:val="18"/>
                <w:szCs w:val="18"/>
              </w:rPr>
              <w:t>持有有限售条</w:t>
            </w:r>
          </w:p>
          <w:p>
            <w:pPr>
              <w:pStyle w:val="TableParagraph"/>
              <w:spacing w:line="235" w:lineRule="exact"/>
              <w:ind w:left="206" w:right="0"/>
              <w:jc w:val="left"/>
              <w:rPr>
                <w:rFonts w:ascii="宋体" w:hAnsi="宋体" w:cs="宋体" w:eastAsia="宋体" w:hint="default"/>
                <w:sz w:val="18"/>
                <w:szCs w:val="18"/>
              </w:rPr>
            </w:pPr>
            <w:r>
              <w:rPr>
                <w:rFonts w:ascii="宋体" w:hAnsi="宋体" w:cs="宋体" w:eastAsia="宋体" w:hint="default"/>
                <w:sz w:val="18"/>
                <w:szCs w:val="18"/>
              </w:rPr>
              <w:t>件股份数量</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hAnsi="宋体" w:cs="宋体" w:eastAsia="宋体" w:hint="default"/>
                <w:sz w:val="18"/>
                <w:szCs w:val="18"/>
              </w:rPr>
              <w:t>质押或冻结</w:t>
            </w:r>
          </w:p>
          <w:p>
            <w:pPr>
              <w:pStyle w:val="TableParagraph"/>
              <w:spacing w:line="235" w:lineRule="exact"/>
              <w:ind w:left="110" w:right="0"/>
              <w:jc w:val="left"/>
              <w:rPr>
                <w:rFonts w:ascii="宋体" w:hAnsi="宋体" w:cs="宋体" w:eastAsia="宋体" w:hint="default"/>
                <w:sz w:val="18"/>
                <w:szCs w:val="18"/>
              </w:rPr>
            </w:pPr>
            <w:r>
              <w:rPr>
                <w:rFonts w:ascii="宋体" w:hAnsi="宋体" w:cs="宋体" w:eastAsia="宋体" w:hint="default"/>
                <w:sz w:val="18"/>
                <w:szCs w:val="18"/>
              </w:rPr>
              <w:t>的股份数量</w:t>
            </w:r>
          </w:p>
        </w:tc>
      </w:tr>
      <w:tr>
        <w:trPr>
          <w:trHeight w:val="482"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中国联合网络通信集团有限公司</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hAnsi="宋体" w:cs="宋体" w:eastAsia="宋体" w:hint="default"/>
                <w:sz w:val="18"/>
                <w:szCs w:val="18"/>
              </w:rPr>
              <w:t>国有</w:t>
            </w:r>
          </w:p>
          <w:p>
            <w:pPr>
              <w:pStyle w:val="TableParagraph"/>
              <w:spacing w:line="234" w:lineRule="exact"/>
              <w:ind w:left="171" w:right="0"/>
              <w:jc w:val="left"/>
              <w:rPr>
                <w:rFonts w:ascii="宋体" w:hAnsi="宋体" w:cs="宋体" w:eastAsia="宋体" w:hint="default"/>
                <w:sz w:val="18"/>
                <w:szCs w:val="18"/>
              </w:rPr>
            </w:pPr>
            <w:r>
              <w:rPr>
                <w:rFonts w:ascii="宋体" w:hAnsi="宋体" w:cs="宋体" w:eastAsia="宋体" w:hint="default"/>
                <w:sz w:val="18"/>
                <w:szCs w:val="18"/>
              </w:rPr>
              <w:t>法人</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62.18</w:t>
            </w:r>
          </w:p>
        </w:tc>
        <w:tc>
          <w:tcPr>
            <w:tcW w:w="1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13,180,937,021</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83"/>
              <w:jc w:val="right"/>
              <w:rPr>
                <w:rFonts w:ascii="Arial" w:hAnsi="Arial" w:cs="Arial" w:eastAsia="Arial" w:hint="default"/>
                <w:sz w:val="18"/>
                <w:szCs w:val="18"/>
              </w:rPr>
            </w:pPr>
            <w:r>
              <w:rPr>
                <w:rFonts w:ascii="Arial"/>
                <w:spacing w:val="-1"/>
                <w:sz w:val="18"/>
              </w:rPr>
              <w:t>241,190,869</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81"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中国建设银行</w:t>
            </w:r>
            <w:r>
              <w:rPr>
                <w:rFonts w:ascii="Arial" w:hAnsi="Arial" w:cs="Arial" w:eastAsia="Arial" w:hint="default"/>
                <w:sz w:val="18"/>
                <w:szCs w:val="18"/>
              </w:rPr>
              <w:t>—</w:t>
            </w:r>
            <w:r>
              <w:rPr>
                <w:rFonts w:ascii="宋体" w:hAnsi="宋体" w:cs="宋体" w:eastAsia="宋体" w:hint="default"/>
                <w:sz w:val="18"/>
                <w:szCs w:val="18"/>
              </w:rPr>
              <w:t>鹏华价值优势股</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票型证券投资基金</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0.80</w:t>
            </w:r>
          </w:p>
        </w:tc>
        <w:tc>
          <w:tcPr>
            <w:tcW w:w="1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168,823,505</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84"/>
              <w:jc w:val="right"/>
              <w:rPr>
                <w:rFonts w:ascii="Arial" w:hAnsi="Arial" w:cs="Arial" w:eastAsia="Arial" w:hint="default"/>
                <w:sz w:val="18"/>
                <w:szCs w:val="18"/>
              </w:rPr>
            </w:pPr>
            <w:r>
              <w:rPr>
                <w:rFonts w:ascii="Arial"/>
                <w:spacing w:val="-1"/>
                <w:sz w:val="18"/>
              </w:rPr>
              <w:t>17,223,505</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82"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中国建设银行</w:t>
            </w:r>
            <w:r>
              <w:rPr>
                <w:rFonts w:ascii="Arial" w:hAnsi="Arial" w:cs="Arial" w:eastAsia="Arial" w:hint="default"/>
                <w:sz w:val="18"/>
                <w:szCs w:val="18"/>
              </w:rPr>
              <w:t>—</w:t>
            </w:r>
            <w:r>
              <w:rPr>
                <w:rFonts w:ascii="宋体" w:hAnsi="宋体" w:cs="宋体" w:eastAsia="宋体" w:hint="default"/>
                <w:sz w:val="18"/>
                <w:szCs w:val="18"/>
              </w:rPr>
              <w:t>华夏红利混合型</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开放式证券投资基金</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0.42</w:t>
            </w:r>
          </w:p>
        </w:tc>
        <w:tc>
          <w:tcPr>
            <w:tcW w:w="1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89,480,698</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84"/>
              <w:jc w:val="right"/>
              <w:rPr>
                <w:rFonts w:ascii="Arial" w:hAnsi="Arial" w:cs="Arial" w:eastAsia="Arial" w:hint="default"/>
                <w:sz w:val="18"/>
                <w:szCs w:val="18"/>
              </w:rPr>
            </w:pPr>
            <w:r>
              <w:rPr>
                <w:rFonts w:ascii="Arial"/>
                <w:spacing w:val="-1"/>
                <w:sz w:val="18"/>
              </w:rPr>
              <w:t>24,670,160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中国人寿保险股份有限公司</w:t>
            </w:r>
            <w:r>
              <w:rPr>
                <w:rFonts w:ascii="Arial" w:hAnsi="Arial" w:cs="Arial" w:eastAsia="Arial" w:hint="default"/>
                <w:sz w:val="18"/>
                <w:szCs w:val="18"/>
              </w:rPr>
              <w:t>—</w:t>
            </w:r>
            <w:r>
              <w:rPr>
                <w:rFonts w:ascii="宋体" w:hAnsi="宋体" w:cs="宋体" w:eastAsia="宋体" w:hint="default"/>
                <w:sz w:val="18"/>
                <w:szCs w:val="18"/>
              </w:rPr>
              <w:t>分</w:t>
            </w:r>
          </w:p>
          <w:p>
            <w:pPr>
              <w:pStyle w:val="TableParagraph"/>
              <w:spacing w:line="234" w:lineRule="exact"/>
              <w:ind w:left="100" w:right="0"/>
              <w:jc w:val="left"/>
              <w:rPr>
                <w:rFonts w:ascii="Arial" w:hAnsi="Arial" w:cs="Arial" w:eastAsia="Arial" w:hint="default"/>
                <w:sz w:val="18"/>
                <w:szCs w:val="18"/>
              </w:rPr>
            </w:pPr>
            <w:r>
              <w:rPr>
                <w:rFonts w:ascii="宋体" w:hAnsi="宋体" w:cs="宋体" w:eastAsia="宋体" w:hint="default"/>
                <w:sz w:val="18"/>
                <w:szCs w:val="18"/>
              </w:rPr>
              <w:t>红</w:t>
            </w:r>
            <w:r>
              <w:rPr>
                <w:rFonts w:ascii="Arial" w:hAnsi="Arial" w:cs="Arial" w:eastAsia="Arial" w:hint="default"/>
                <w:sz w:val="18"/>
                <w:szCs w:val="18"/>
              </w:rPr>
              <w:t>—</w:t>
            </w:r>
            <w:r>
              <w:rPr>
                <w:rFonts w:ascii="宋体" w:hAnsi="宋体" w:cs="宋体" w:eastAsia="宋体" w:hint="default"/>
                <w:sz w:val="18"/>
                <w:szCs w:val="18"/>
              </w:rPr>
              <w:t>个人分红</w:t>
            </w:r>
            <w:r>
              <w:rPr>
                <w:rFonts w:ascii="Arial" w:hAnsi="Arial" w:cs="Arial" w:eastAsia="Arial" w:hint="default"/>
                <w:sz w:val="18"/>
                <w:szCs w:val="18"/>
              </w:rPr>
              <w:t>—</w:t>
            </w:r>
            <w:r>
              <w:rPr>
                <w:rFonts w:ascii="Arial" w:hAnsi="Arial" w:cs="Arial" w:eastAsia="Arial" w:hint="default"/>
                <w:sz w:val="18"/>
                <w:szCs w:val="18"/>
              </w:rPr>
              <w:t>005L</w:t>
            </w:r>
            <w:r>
              <w:rPr>
                <w:rFonts w:ascii="Arial" w:hAnsi="Arial" w:cs="Arial" w:eastAsia="Arial" w:hint="default"/>
                <w:sz w:val="18"/>
                <w:szCs w:val="18"/>
              </w:rPr>
              <w:t>—</w:t>
            </w:r>
            <w:r>
              <w:rPr>
                <w:rFonts w:ascii="Arial" w:hAnsi="Arial" w:cs="Arial" w:eastAsia="Arial" w:hint="default"/>
                <w:sz w:val="18"/>
                <w:szCs w:val="18"/>
              </w:rPr>
              <w:t>FH002</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沪</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0.41</w:t>
            </w:r>
          </w:p>
        </w:tc>
        <w:tc>
          <w:tcPr>
            <w:tcW w:w="1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86,070,707</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84"/>
              <w:jc w:val="right"/>
              <w:rPr>
                <w:rFonts w:ascii="Arial" w:hAnsi="Arial" w:cs="Arial" w:eastAsia="Arial" w:hint="default"/>
                <w:sz w:val="18"/>
                <w:szCs w:val="18"/>
              </w:rPr>
            </w:pPr>
            <w:r>
              <w:rPr>
                <w:rFonts w:ascii="Arial"/>
                <w:spacing w:val="-1"/>
                <w:sz w:val="18"/>
              </w:rPr>
              <w:t>58,639,149</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82"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张大中</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1" w:right="0" w:hanging="90"/>
              <w:jc w:val="left"/>
              <w:rPr>
                <w:rFonts w:ascii="宋体" w:hAnsi="宋体" w:cs="宋体" w:eastAsia="宋体" w:hint="default"/>
                <w:sz w:val="18"/>
                <w:szCs w:val="18"/>
              </w:rPr>
            </w:pPr>
            <w:r>
              <w:rPr>
                <w:rFonts w:ascii="宋体" w:hAnsi="宋体" w:cs="宋体" w:eastAsia="宋体" w:hint="default"/>
                <w:sz w:val="18"/>
                <w:szCs w:val="18"/>
              </w:rPr>
              <w:t>境内自</w:t>
            </w:r>
          </w:p>
          <w:p>
            <w:pPr>
              <w:pStyle w:val="TableParagraph"/>
              <w:spacing w:line="234" w:lineRule="exact"/>
              <w:ind w:left="171" w:right="0"/>
              <w:jc w:val="left"/>
              <w:rPr>
                <w:rFonts w:ascii="宋体" w:hAnsi="宋体" w:cs="宋体" w:eastAsia="宋体" w:hint="default"/>
                <w:sz w:val="18"/>
                <w:szCs w:val="18"/>
              </w:rPr>
            </w:pPr>
            <w:r>
              <w:rPr>
                <w:rFonts w:ascii="宋体" w:hAnsi="宋体" w:cs="宋体" w:eastAsia="宋体" w:hint="default"/>
                <w:sz w:val="18"/>
                <w:szCs w:val="18"/>
              </w:rPr>
              <w:t>然人</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0.37</w:t>
            </w:r>
          </w:p>
        </w:tc>
        <w:tc>
          <w:tcPr>
            <w:tcW w:w="1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78,237,247</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84"/>
              <w:jc w:val="right"/>
              <w:rPr>
                <w:rFonts w:ascii="Arial" w:hAnsi="Arial" w:cs="Arial" w:eastAsia="Arial" w:hint="default"/>
                <w:sz w:val="18"/>
                <w:szCs w:val="18"/>
              </w:rPr>
            </w:pPr>
            <w:r>
              <w:rPr>
                <w:rFonts w:ascii="Arial"/>
                <w:spacing w:val="-1"/>
                <w:sz w:val="18"/>
              </w:rPr>
              <w:t>77,952,647</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249"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全国社保基金一一零组合</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0.34</w:t>
            </w:r>
          </w:p>
        </w:tc>
        <w:tc>
          <w:tcPr>
            <w:tcW w:w="1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spacing w:val="-1"/>
                <w:sz w:val="18"/>
              </w:rPr>
              <w:t>71,048,325</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84"/>
              <w:jc w:val="right"/>
              <w:rPr>
                <w:rFonts w:ascii="Arial" w:hAnsi="Arial" w:cs="Arial" w:eastAsia="Arial" w:hint="default"/>
                <w:sz w:val="18"/>
                <w:szCs w:val="18"/>
              </w:rPr>
            </w:pPr>
            <w:r>
              <w:rPr>
                <w:rFonts w:ascii="Arial"/>
                <w:spacing w:val="-1"/>
                <w:sz w:val="18"/>
              </w:rPr>
              <w:t>33,549,503</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81"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中国工商银行</w:t>
            </w:r>
            <w:r>
              <w:rPr>
                <w:rFonts w:ascii="Arial" w:hAnsi="Arial" w:cs="Arial" w:eastAsia="Arial" w:hint="default"/>
                <w:sz w:val="18"/>
                <w:szCs w:val="18"/>
              </w:rPr>
              <w:t>—</w:t>
            </w:r>
            <w:r>
              <w:rPr>
                <w:rFonts w:ascii="宋体" w:hAnsi="宋体" w:cs="宋体" w:eastAsia="宋体" w:hint="default"/>
                <w:sz w:val="18"/>
                <w:szCs w:val="18"/>
              </w:rPr>
              <w:t>上证</w:t>
            </w:r>
            <w:r>
              <w:rPr>
                <w:rFonts w:ascii="宋体" w:hAnsi="宋体" w:cs="宋体" w:eastAsia="宋体" w:hint="default"/>
                <w:spacing w:val="-46"/>
                <w:sz w:val="18"/>
                <w:szCs w:val="18"/>
              </w:rPr>
              <w:t> </w:t>
            </w:r>
            <w:r>
              <w:rPr>
                <w:rFonts w:ascii="Arial" w:hAnsi="Arial" w:cs="Arial" w:eastAsia="Arial" w:hint="default"/>
                <w:sz w:val="18"/>
                <w:szCs w:val="18"/>
              </w:rPr>
              <w:t>50</w:t>
            </w:r>
            <w:r>
              <w:rPr>
                <w:rFonts w:ascii="Arial" w:hAnsi="Arial" w:cs="Arial" w:eastAsia="Arial" w:hint="default"/>
                <w:spacing w:val="-7"/>
                <w:sz w:val="18"/>
                <w:szCs w:val="18"/>
              </w:rPr>
              <w:t> </w:t>
            </w:r>
            <w:r>
              <w:rPr>
                <w:rFonts w:ascii="宋体" w:hAnsi="宋体" w:cs="宋体" w:eastAsia="宋体" w:hint="default"/>
                <w:sz w:val="18"/>
                <w:szCs w:val="18"/>
              </w:rPr>
              <w:t>交易型</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开放式指数证券投资基金</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9"/>
              <w:jc w:val="right"/>
              <w:rPr>
                <w:rFonts w:ascii="Arial" w:hAnsi="Arial" w:cs="Arial" w:eastAsia="Arial" w:hint="default"/>
                <w:sz w:val="18"/>
                <w:szCs w:val="18"/>
              </w:rPr>
            </w:pPr>
            <w:r>
              <w:rPr>
                <w:rFonts w:ascii="Arial"/>
                <w:spacing w:val="-1"/>
                <w:sz w:val="18"/>
              </w:rPr>
              <w:t>0.32</w:t>
            </w:r>
          </w:p>
        </w:tc>
        <w:tc>
          <w:tcPr>
            <w:tcW w:w="1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0"/>
              <w:jc w:val="right"/>
              <w:rPr>
                <w:rFonts w:ascii="Arial" w:hAnsi="Arial" w:cs="Arial" w:eastAsia="Arial" w:hint="default"/>
                <w:sz w:val="18"/>
                <w:szCs w:val="18"/>
              </w:rPr>
            </w:pPr>
            <w:r>
              <w:rPr>
                <w:rFonts w:ascii="Arial"/>
                <w:spacing w:val="-1"/>
                <w:sz w:val="18"/>
              </w:rPr>
              <w:t>68,222,567</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30"/>
              <w:jc w:val="right"/>
              <w:rPr>
                <w:rFonts w:ascii="Arial" w:hAnsi="Arial" w:cs="Arial" w:eastAsia="Arial" w:hint="default"/>
                <w:sz w:val="18"/>
                <w:szCs w:val="18"/>
              </w:rPr>
            </w:pPr>
            <w:r>
              <w:rPr>
                <w:rFonts w:ascii="Arial"/>
                <w:spacing w:val="-1"/>
                <w:sz w:val="18"/>
              </w:rPr>
              <w:t>(20,470,978)</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r>
              <w:rPr>
                <w:rFonts w:ascii="Arial" w:hAnsi="Arial" w:cs="Arial" w:eastAsia="Arial" w:hint="default"/>
                <w:sz w:val="18"/>
                <w:szCs w:val="18"/>
              </w:rPr>
              <w:t>—</w:t>
            </w:r>
            <w:r>
              <w:rPr>
                <w:rFonts w:ascii="宋体" w:hAnsi="宋体" w:cs="宋体" w:eastAsia="宋体" w:hint="default"/>
                <w:sz w:val="18"/>
                <w:szCs w:val="18"/>
              </w:rPr>
              <w:t>嘉实沪</w:t>
            </w:r>
          </w:p>
          <w:p>
            <w:pPr>
              <w:pStyle w:val="TableParagraph"/>
              <w:spacing w:line="234" w:lineRule="exact" w:before="15"/>
              <w:ind w:left="100" w:right="131"/>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46"/>
                <w:sz w:val="18"/>
                <w:szCs w:val="18"/>
              </w:rPr>
              <w:t> </w:t>
            </w:r>
            <w:r>
              <w:rPr>
                <w:rFonts w:ascii="Arial" w:hAnsi="Arial" w:cs="Arial" w:eastAsia="Arial" w:hint="default"/>
                <w:sz w:val="18"/>
                <w:szCs w:val="18"/>
              </w:rPr>
              <w:t>300</w:t>
            </w:r>
            <w:r>
              <w:rPr>
                <w:rFonts w:ascii="Arial" w:hAnsi="Arial" w:cs="Arial" w:eastAsia="Arial" w:hint="default"/>
                <w:spacing w:val="-6"/>
                <w:sz w:val="18"/>
                <w:szCs w:val="18"/>
              </w:rPr>
              <w:t> </w:t>
            </w:r>
            <w:r>
              <w:rPr>
                <w:rFonts w:ascii="宋体" w:hAnsi="宋体" w:cs="宋体" w:eastAsia="宋体" w:hint="default"/>
                <w:sz w:val="18"/>
                <w:szCs w:val="18"/>
              </w:rPr>
              <w:t>交易型开放式指数证券投 资基金</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0.32</w:t>
            </w:r>
          </w:p>
        </w:tc>
        <w:tc>
          <w:tcPr>
            <w:tcW w:w="1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67,198,119</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84"/>
              <w:jc w:val="right"/>
              <w:rPr>
                <w:rFonts w:ascii="Arial" w:hAnsi="Arial" w:cs="Arial" w:eastAsia="Arial" w:hint="default"/>
                <w:sz w:val="18"/>
                <w:szCs w:val="18"/>
              </w:rPr>
            </w:pPr>
            <w:r>
              <w:rPr>
                <w:rFonts w:ascii="Arial"/>
                <w:spacing w:val="-1"/>
                <w:sz w:val="18"/>
              </w:rPr>
              <w:t>67,198,119</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宋体" w:hAnsi="宋体" w:cs="宋体" w:eastAsia="宋体" w:hint="default"/>
                <w:sz w:val="18"/>
                <w:szCs w:val="18"/>
              </w:rPr>
            </w:pPr>
            <w:r>
              <w:rPr>
                <w:rFonts w:ascii="宋体" w:hAnsi="宋体" w:cs="宋体" w:eastAsia="宋体" w:hint="default"/>
                <w:sz w:val="18"/>
                <w:szCs w:val="18"/>
              </w:rPr>
              <w:t>质押或冻结</w:t>
            </w:r>
          </w:p>
          <w:p>
            <w:pPr>
              <w:pStyle w:val="TableParagraph"/>
              <w:spacing w:line="240" w:lineRule="auto" w:before="26"/>
              <w:ind w:right="2"/>
              <w:jc w:val="center"/>
              <w:rPr>
                <w:rFonts w:ascii="Arial" w:hAnsi="Arial" w:cs="Arial" w:eastAsia="Arial" w:hint="default"/>
                <w:sz w:val="18"/>
                <w:szCs w:val="18"/>
              </w:rPr>
            </w:pPr>
            <w:r>
              <w:rPr>
                <w:rFonts w:ascii="Arial"/>
                <w:sz w:val="18"/>
              </w:rPr>
              <w:t>140,600</w:t>
            </w:r>
          </w:p>
        </w:tc>
      </w:tr>
      <w:tr>
        <w:trPr>
          <w:trHeight w:val="482"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南方东英资产管理有限公司</w:t>
            </w:r>
            <w:r>
              <w:rPr>
                <w:rFonts w:ascii="Arial" w:hAnsi="Arial" w:cs="Arial" w:eastAsia="Arial" w:hint="default"/>
                <w:sz w:val="18"/>
                <w:szCs w:val="18"/>
              </w:rPr>
              <w:t>-</w:t>
            </w:r>
            <w:r>
              <w:rPr>
                <w:rFonts w:ascii="宋体" w:hAnsi="宋体" w:cs="宋体" w:eastAsia="宋体" w:hint="default"/>
                <w:sz w:val="18"/>
                <w:szCs w:val="18"/>
              </w:rPr>
              <w:t>南方</w:t>
            </w:r>
          </w:p>
          <w:p>
            <w:pPr>
              <w:pStyle w:val="TableParagraph"/>
              <w:spacing w:line="241" w:lineRule="exact"/>
              <w:ind w:left="100" w:right="0"/>
              <w:jc w:val="left"/>
              <w:rPr>
                <w:rFonts w:ascii="Arial" w:hAnsi="Arial" w:cs="Arial" w:eastAsia="Arial" w:hint="default"/>
                <w:sz w:val="18"/>
                <w:szCs w:val="18"/>
              </w:rPr>
            </w:pPr>
            <w:r>
              <w:rPr>
                <w:rFonts w:ascii="宋体" w:hAnsi="宋体" w:cs="宋体" w:eastAsia="宋体" w:hint="default"/>
                <w:sz w:val="18"/>
                <w:szCs w:val="18"/>
              </w:rPr>
              <w:t>富时中国</w:t>
            </w:r>
            <w:r>
              <w:rPr>
                <w:rFonts w:ascii="宋体" w:hAnsi="宋体" w:cs="宋体" w:eastAsia="宋体" w:hint="default"/>
                <w:spacing w:val="-47"/>
                <w:sz w:val="18"/>
                <w:szCs w:val="18"/>
              </w:rPr>
              <w:t> </w:t>
            </w:r>
            <w:r>
              <w:rPr>
                <w:rFonts w:ascii="Arial" w:hAnsi="Arial" w:cs="Arial" w:eastAsia="Arial" w:hint="default"/>
                <w:sz w:val="18"/>
                <w:szCs w:val="18"/>
              </w:rPr>
              <w:t>A50ETF</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0.26</w:t>
            </w:r>
          </w:p>
        </w:tc>
        <w:tc>
          <w:tcPr>
            <w:tcW w:w="1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56,064,042</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84"/>
              <w:jc w:val="right"/>
              <w:rPr>
                <w:rFonts w:ascii="Arial" w:hAnsi="Arial" w:cs="Arial" w:eastAsia="Arial" w:hint="default"/>
                <w:sz w:val="18"/>
                <w:szCs w:val="18"/>
              </w:rPr>
            </w:pPr>
            <w:r>
              <w:rPr>
                <w:rFonts w:ascii="Arial"/>
                <w:spacing w:val="-1"/>
                <w:sz w:val="18"/>
              </w:rPr>
              <w:t>56,064,042</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中国人寿保险股份有限公司</w:t>
            </w:r>
            <w:r>
              <w:rPr>
                <w:rFonts w:ascii="Arial" w:hAnsi="Arial" w:cs="Arial" w:eastAsia="Arial" w:hint="default"/>
                <w:sz w:val="18"/>
                <w:szCs w:val="18"/>
              </w:rPr>
              <w:t>—</w:t>
            </w:r>
            <w:r>
              <w:rPr>
                <w:rFonts w:ascii="宋体" w:hAnsi="宋体" w:cs="宋体" w:eastAsia="宋体" w:hint="default"/>
                <w:sz w:val="18"/>
                <w:szCs w:val="18"/>
              </w:rPr>
              <w:t>传</w:t>
            </w:r>
          </w:p>
          <w:p>
            <w:pPr>
              <w:pStyle w:val="TableParagraph"/>
              <w:spacing w:line="232" w:lineRule="exact" w:before="17"/>
              <w:ind w:left="100" w:right="181"/>
              <w:jc w:val="left"/>
              <w:rPr>
                <w:rFonts w:ascii="宋体" w:hAnsi="宋体" w:cs="宋体" w:eastAsia="宋体" w:hint="default"/>
                <w:sz w:val="18"/>
                <w:szCs w:val="18"/>
              </w:rPr>
            </w:pPr>
            <w:r>
              <w:rPr>
                <w:rFonts w:ascii="宋体" w:hAnsi="宋体" w:cs="宋体" w:eastAsia="宋体" w:hint="default"/>
                <w:sz w:val="18"/>
                <w:szCs w:val="18"/>
              </w:rPr>
              <w:t>统</w:t>
            </w:r>
            <w:r>
              <w:rPr>
                <w:rFonts w:ascii="Arial" w:hAnsi="Arial" w:cs="Arial" w:eastAsia="Arial" w:hint="default"/>
                <w:sz w:val="18"/>
                <w:szCs w:val="18"/>
              </w:rPr>
              <w:t>—</w:t>
            </w:r>
            <w:r>
              <w:rPr>
                <w:rFonts w:ascii="宋体" w:hAnsi="宋体" w:cs="宋体" w:eastAsia="宋体" w:hint="default"/>
                <w:sz w:val="18"/>
                <w:szCs w:val="18"/>
              </w:rPr>
              <w:t>普通保险产品</w:t>
            </w:r>
            <w:r>
              <w:rPr>
                <w:rFonts w:ascii="Arial" w:hAnsi="Arial" w:cs="Arial" w:eastAsia="Arial" w:hint="default"/>
                <w:sz w:val="18"/>
                <w:szCs w:val="18"/>
              </w:rPr>
              <w:t>-005L-CT001</w:t>
            </w:r>
            <w:r>
              <w:rPr>
                <w:rFonts w:ascii="Arial" w:hAnsi="Arial" w:cs="Arial" w:eastAsia="Arial" w:hint="default"/>
                <w:w w:val="99"/>
                <w:sz w:val="18"/>
                <w:szCs w:val="18"/>
              </w:rPr>
              <w:t> </w:t>
            </w:r>
            <w:r>
              <w:rPr>
                <w:rFonts w:ascii="宋体" w:hAnsi="宋体" w:cs="宋体" w:eastAsia="宋体" w:hint="default"/>
                <w:sz w:val="18"/>
                <w:szCs w:val="18"/>
              </w:rPr>
              <w:t>沪</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0.23</w:t>
            </w:r>
          </w:p>
        </w:tc>
        <w:tc>
          <w:tcPr>
            <w:tcW w:w="1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49,048,385</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84"/>
              <w:jc w:val="right"/>
              <w:rPr>
                <w:rFonts w:ascii="Arial" w:hAnsi="Arial" w:cs="Arial" w:eastAsia="Arial" w:hint="default"/>
                <w:sz w:val="18"/>
                <w:szCs w:val="18"/>
              </w:rPr>
            </w:pPr>
            <w:r>
              <w:rPr>
                <w:rFonts w:ascii="Arial"/>
                <w:spacing w:val="-1"/>
                <w:sz w:val="18"/>
              </w:rPr>
              <w:t>49,048,385</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center"/>
        <w:rPr>
          <w:rFonts w:ascii="宋体" w:hAnsi="宋体" w:cs="宋体" w:eastAsia="宋体" w:hint="default"/>
          <w:sz w:val="18"/>
          <w:szCs w:val="18"/>
        </w:rPr>
        <w:sectPr>
          <w:type w:val="continuous"/>
          <w:pgSz w:w="11910" w:h="16840"/>
          <w:pgMar w:top="1100" w:bottom="280" w:left="1380" w:right="700"/>
        </w:sectPr>
      </w:pPr>
    </w:p>
    <w:p>
      <w:pPr>
        <w:spacing w:line="240" w:lineRule="auto" w:before="8"/>
        <w:rPr>
          <w:rFonts w:ascii="宋体" w:hAnsi="宋体" w:cs="宋体" w:eastAsia="宋体" w:hint="default"/>
          <w:sz w:val="22"/>
          <w:szCs w:val="22"/>
        </w:rPr>
      </w:pPr>
    </w:p>
    <w:p>
      <w:pPr>
        <w:pStyle w:val="BodyText"/>
        <w:spacing w:line="240" w:lineRule="auto" w:before="31"/>
        <w:ind w:left="821" w:right="0"/>
        <w:jc w:val="left"/>
      </w:pPr>
      <w:r>
        <w:rPr/>
        <w:t>于</w:t>
      </w:r>
      <w:r>
        <w:rPr>
          <w:spacing w:val="-57"/>
        </w:rPr>
        <w:t> </w:t>
      </w:r>
      <w:r>
        <w:rPr>
          <w:rFonts w:ascii="Arial" w:hAnsi="Arial" w:cs="Arial" w:eastAsia="Arial" w:hint="default"/>
        </w:rPr>
        <w:t>2012</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日，前十名无限售条件股东持股情况如下：</w:t>
      </w:r>
    </w:p>
    <w:p>
      <w:pPr>
        <w:spacing w:line="240" w:lineRule="auto" w:before="13"/>
        <w:rPr>
          <w:rFonts w:ascii="宋体" w:hAnsi="宋体" w:cs="宋体" w:eastAsia="宋体" w:hint="default"/>
          <w:sz w:val="18"/>
          <w:szCs w:val="18"/>
        </w:rPr>
      </w:pPr>
    </w:p>
    <w:tbl>
      <w:tblPr>
        <w:tblW w:w="0" w:type="auto"/>
        <w:jc w:val="left"/>
        <w:tblInd w:w="130" w:type="dxa"/>
        <w:tblLayout w:type="fixed"/>
        <w:tblCellMar>
          <w:top w:w="0" w:type="dxa"/>
          <w:left w:w="0" w:type="dxa"/>
          <w:bottom w:w="0" w:type="dxa"/>
          <w:right w:w="0" w:type="dxa"/>
        </w:tblCellMar>
        <w:tblLook w:val="01E0"/>
      </w:tblPr>
      <w:tblGrid>
        <w:gridCol w:w="4824"/>
        <w:gridCol w:w="1638"/>
        <w:gridCol w:w="1350"/>
        <w:gridCol w:w="1718"/>
      </w:tblGrid>
      <w:tr>
        <w:trPr>
          <w:trHeight w:val="534" w:hRule="exact"/>
        </w:trPr>
        <w:tc>
          <w:tcPr>
            <w:tcW w:w="4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股东名称</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持有无限售条件</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sz w:val="20"/>
                <w:szCs w:val="20"/>
              </w:rPr>
              <w:t>股份的数量</w:t>
            </w:r>
          </w:p>
        </w:tc>
        <w:tc>
          <w:tcPr>
            <w:tcW w:w="30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825" w:right="0"/>
              <w:jc w:val="left"/>
              <w:rPr>
                <w:rFonts w:ascii="宋体" w:hAnsi="宋体" w:cs="宋体" w:eastAsia="宋体" w:hint="default"/>
                <w:sz w:val="20"/>
                <w:szCs w:val="20"/>
              </w:rPr>
            </w:pPr>
            <w:r>
              <w:rPr>
                <w:rFonts w:ascii="宋体" w:hAnsi="宋体" w:cs="宋体" w:eastAsia="宋体" w:hint="default"/>
                <w:sz w:val="20"/>
                <w:szCs w:val="20"/>
              </w:rPr>
              <w:t>股份种类及数量</w:t>
            </w:r>
          </w:p>
        </w:tc>
      </w:tr>
      <w:tr>
        <w:trPr>
          <w:trHeight w:val="274" w:hRule="exact"/>
        </w:trPr>
        <w:tc>
          <w:tcPr>
            <w:tcW w:w="482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中国联合网络通信集团有限公司</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Arial" w:hAnsi="Arial" w:cs="Arial" w:eastAsia="Arial" w:hint="default"/>
                <w:sz w:val="20"/>
                <w:szCs w:val="20"/>
              </w:rPr>
            </w:pPr>
            <w:r>
              <w:rPr>
                <w:rFonts w:ascii="Arial"/>
                <w:spacing w:val="-1"/>
                <w:sz w:val="20"/>
              </w:rPr>
              <w:t>13,180,937,021</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right"/>
              <w:rPr>
                <w:rFonts w:ascii="宋体" w:hAnsi="宋体" w:cs="宋体" w:eastAsia="宋体" w:hint="default"/>
                <w:sz w:val="20"/>
                <w:szCs w:val="20"/>
              </w:rPr>
            </w:pPr>
            <w:r>
              <w:rPr>
                <w:rFonts w:ascii="宋体" w:hAnsi="宋体" w:cs="宋体" w:eastAsia="宋体" w:hint="default"/>
                <w:spacing w:val="-1"/>
                <w:sz w:val="20"/>
                <w:szCs w:val="20"/>
              </w:rPr>
              <w:t>人民币普通股</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Arial" w:hAnsi="Arial" w:cs="Arial" w:eastAsia="Arial" w:hint="default"/>
                <w:sz w:val="20"/>
                <w:szCs w:val="20"/>
              </w:rPr>
            </w:pPr>
            <w:r>
              <w:rPr>
                <w:rFonts w:ascii="Arial"/>
                <w:spacing w:val="-1"/>
                <w:sz w:val="20"/>
              </w:rPr>
              <w:t>13,180,937,021</w:t>
            </w:r>
          </w:p>
        </w:tc>
      </w:tr>
      <w:tr>
        <w:trPr>
          <w:trHeight w:val="275" w:hRule="exact"/>
        </w:trPr>
        <w:tc>
          <w:tcPr>
            <w:tcW w:w="4824"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中国建设银行</w:t>
            </w:r>
            <w:r>
              <w:rPr>
                <w:rFonts w:ascii="Arial" w:hAnsi="Arial" w:cs="Arial" w:eastAsia="Arial" w:hint="default"/>
                <w:sz w:val="20"/>
                <w:szCs w:val="20"/>
              </w:rPr>
              <w:t>—</w:t>
            </w:r>
            <w:r>
              <w:rPr>
                <w:rFonts w:ascii="宋体" w:hAnsi="宋体" w:cs="宋体" w:eastAsia="宋体" w:hint="default"/>
                <w:sz w:val="20"/>
                <w:szCs w:val="20"/>
              </w:rPr>
              <w:t>鹏华价值优势股票型证券投资基金</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Arial" w:hAnsi="Arial" w:cs="Arial" w:eastAsia="Arial" w:hint="default"/>
                <w:sz w:val="20"/>
                <w:szCs w:val="20"/>
              </w:rPr>
            </w:pPr>
            <w:r>
              <w:rPr>
                <w:rFonts w:ascii="Arial"/>
                <w:spacing w:val="-1"/>
                <w:sz w:val="20"/>
              </w:rPr>
              <w:t>168,823,505</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0"/>
              <w:jc w:val="right"/>
              <w:rPr>
                <w:rFonts w:ascii="宋体" w:hAnsi="宋体" w:cs="宋体" w:eastAsia="宋体" w:hint="default"/>
                <w:sz w:val="20"/>
                <w:szCs w:val="20"/>
              </w:rPr>
            </w:pPr>
            <w:r>
              <w:rPr>
                <w:rFonts w:ascii="宋体" w:hAnsi="宋体" w:cs="宋体" w:eastAsia="宋体" w:hint="default"/>
                <w:spacing w:val="-1"/>
                <w:sz w:val="20"/>
                <w:szCs w:val="20"/>
              </w:rPr>
              <w:t>人民币普通股</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Arial" w:hAnsi="Arial" w:cs="Arial" w:eastAsia="Arial" w:hint="default"/>
                <w:sz w:val="20"/>
                <w:szCs w:val="20"/>
              </w:rPr>
            </w:pPr>
            <w:r>
              <w:rPr>
                <w:rFonts w:ascii="Arial"/>
                <w:spacing w:val="-1"/>
                <w:sz w:val="20"/>
              </w:rPr>
              <w:t>168,823,505</w:t>
            </w:r>
          </w:p>
        </w:tc>
      </w:tr>
      <w:tr>
        <w:trPr>
          <w:trHeight w:val="274" w:hRule="exact"/>
        </w:trPr>
        <w:tc>
          <w:tcPr>
            <w:tcW w:w="482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中国建设银行</w:t>
            </w:r>
            <w:r>
              <w:rPr>
                <w:rFonts w:ascii="Arial" w:hAnsi="Arial" w:cs="Arial" w:eastAsia="Arial" w:hint="default"/>
                <w:sz w:val="20"/>
                <w:szCs w:val="20"/>
              </w:rPr>
              <w:t>—</w:t>
            </w:r>
            <w:r>
              <w:rPr>
                <w:rFonts w:ascii="宋体" w:hAnsi="宋体" w:cs="宋体" w:eastAsia="宋体" w:hint="default"/>
                <w:sz w:val="20"/>
                <w:szCs w:val="20"/>
              </w:rPr>
              <w:t>华夏红利混合型开放式证券投资基金</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Arial" w:hAnsi="Arial" w:cs="Arial" w:eastAsia="Arial" w:hint="default"/>
                <w:sz w:val="20"/>
                <w:szCs w:val="20"/>
              </w:rPr>
            </w:pPr>
            <w:r>
              <w:rPr>
                <w:rFonts w:ascii="Arial"/>
                <w:spacing w:val="-1"/>
                <w:sz w:val="20"/>
              </w:rPr>
              <w:t>89,480,698</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right"/>
              <w:rPr>
                <w:rFonts w:ascii="宋体" w:hAnsi="宋体" w:cs="宋体" w:eastAsia="宋体" w:hint="default"/>
                <w:sz w:val="20"/>
                <w:szCs w:val="20"/>
              </w:rPr>
            </w:pPr>
            <w:r>
              <w:rPr>
                <w:rFonts w:ascii="宋体" w:hAnsi="宋体" w:cs="宋体" w:eastAsia="宋体" w:hint="default"/>
                <w:spacing w:val="-1"/>
                <w:sz w:val="20"/>
                <w:szCs w:val="20"/>
              </w:rPr>
              <w:t>人民币普通股</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Arial" w:hAnsi="Arial" w:cs="Arial" w:eastAsia="Arial" w:hint="default"/>
                <w:sz w:val="20"/>
                <w:szCs w:val="20"/>
              </w:rPr>
            </w:pPr>
            <w:r>
              <w:rPr>
                <w:rFonts w:ascii="Arial"/>
                <w:spacing w:val="-1"/>
                <w:sz w:val="20"/>
              </w:rPr>
              <w:t>89,480,698</w:t>
            </w:r>
          </w:p>
        </w:tc>
      </w:tr>
      <w:tr>
        <w:trPr>
          <w:trHeight w:val="534" w:hRule="exact"/>
        </w:trPr>
        <w:tc>
          <w:tcPr>
            <w:tcW w:w="482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中国人寿保险股份有限公司</w:t>
            </w:r>
            <w:r>
              <w:rPr>
                <w:rFonts w:ascii="Arial" w:hAnsi="Arial" w:cs="Arial" w:eastAsia="Arial" w:hint="default"/>
                <w:sz w:val="20"/>
                <w:szCs w:val="20"/>
              </w:rPr>
              <w:t>—</w:t>
            </w:r>
            <w:r>
              <w:rPr>
                <w:rFonts w:ascii="宋体" w:hAnsi="宋体" w:cs="宋体" w:eastAsia="宋体" w:hint="default"/>
                <w:sz w:val="20"/>
                <w:szCs w:val="20"/>
              </w:rPr>
              <w:t>分红</w:t>
            </w:r>
            <w:r>
              <w:rPr>
                <w:rFonts w:ascii="Arial" w:hAnsi="Arial" w:cs="Arial" w:eastAsia="Arial" w:hint="default"/>
                <w:sz w:val="20"/>
                <w:szCs w:val="20"/>
              </w:rPr>
              <w:t>—</w:t>
            </w:r>
            <w:r>
              <w:rPr>
                <w:rFonts w:ascii="宋体" w:hAnsi="宋体" w:cs="宋体" w:eastAsia="宋体" w:hint="default"/>
                <w:sz w:val="20"/>
                <w:szCs w:val="20"/>
              </w:rPr>
              <w:t>个人分红</w:t>
            </w:r>
          </w:p>
          <w:p>
            <w:pPr>
              <w:pStyle w:val="TableParagraph"/>
              <w:spacing w:line="268" w:lineRule="exact"/>
              <w:ind w:left="100" w:right="0"/>
              <w:jc w:val="left"/>
              <w:rPr>
                <w:rFonts w:ascii="宋体" w:hAnsi="宋体" w:cs="宋体" w:eastAsia="宋体" w:hint="default"/>
                <w:sz w:val="20"/>
                <w:szCs w:val="20"/>
              </w:rPr>
            </w:pPr>
            <w:r>
              <w:rPr>
                <w:rFonts w:ascii="Arial" w:hAnsi="Arial" w:cs="Arial" w:eastAsia="Arial" w:hint="default"/>
                <w:sz w:val="20"/>
                <w:szCs w:val="20"/>
              </w:rPr>
              <w:t>—</w:t>
            </w:r>
            <w:r>
              <w:rPr>
                <w:rFonts w:ascii="Arial" w:hAnsi="Arial" w:cs="Arial" w:eastAsia="Arial" w:hint="default"/>
                <w:sz w:val="20"/>
                <w:szCs w:val="20"/>
              </w:rPr>
              <w:t>005L</w:t>
            </w:r>
            <w:r>
              <w:rPr>
                <w:rFonts w:ascii="Arial" w:hAnsi="Arial" w:cs="Arial" w:eastAsia="Arial" w:hint="default"/>
                <w:sz w:val="20"/>
                <w:szCs w:val="20"/>
              </w:rPr>
              <w:t>—</w:t>
            </w:r>
            <w:r>
              <w:rPr>
                <w:rFonts w:ascii="Arial" w:hAnsi="Arial" w:cs="Arial" w:eastAsia="Arial" w:hint="default"/>
                <w:sz w:val="20"/>
                <w:szCs w:val="20"/>
              </w:rPr>
              <w:t>FH002</w:t>
            </w:r>
            <w:r>
              <w:rPr>
                <w:rFonts w:ascii="Arial" w:hAnsi="Arial" w:cs="Arial" w:eastAsia="Arial" w:hint="default"/>
                <w:spacing w:val="-6"/>
                <w:sz w:val="20"/>
                <w:szCs w:val="20"/>
              </w:rPr>
              <w:t> </w:t>
            </w:r>
            <w:r>
              <w:rPr>
                <w:rFonts w:ascii="宋体" w:hAnsi="宋体" w:cs="宋体" w:eastAsia="宋体" w:hint="default"/>
                <w:sz w:val="20"/>
                <w:szCs w:val="20"/>
              </w:rPr>
              <w:t>沪</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Arial" w:hAnsi="Arial" w:cs="Arial" w:eastAsia="Arial" w:hint="default"/>
                <w:sz w:val="20"/>
                <w:szCs w:val="20"/>
              </w:rPr>
            </w:pPr>
            <w:r>
              <w:rPr>
                <w:rFonts w:ascii="Arial"/>
                <w:spacing w:val="-1"/>
                <w:sz w:val="20"/>
              </w:rPr>
              <w:t>86,070,707</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right"/>
              <w:rPr>
                <w:rFonts w:ascii="宋体" w:hAnsi="宋体" w:cs="宋体" w:eastAsia="宋体" w:hint="default"/>
                <w:sz w:val="20"/>
                <w:szCs w:val="20"/>
              </w:rPr>
            </w:pPr>
            <w:r>
              <w:rPr>
                <w:rFonts w:ascii="宋体" w:hAnsi="宋体" w:cs="宋体" w:eastAsia="宋体" w:hint="default"/>
                <w:spacing w:val="-1"/>
                <w:sz w:val="20"/>
                <w:szCs w:val="20"/>
              </w:rPr>
              <w:t>人民币普通股</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Arial" w:hAnsi="Arial" w:cs="Arial" w:eastAsia="Arial" w:hint="default"/>
                <w:sz w:val="20"/>
                <w:szCs w:val="20"/>
              </w:rPr>
            </w:pPr>
            <w:r>
              <w:rPr>
                <w:rFonts w:ascii="Arial"/>
                <w:spacing w:val="-1"/>
                <w:sz w:val="20"/>
              </w:rPr>
              <w:t>86,070,707</w:t>
            </w:r>
          </w:p>
        </w:tc>
      </w:tr>
      <w:tr>
        <w:trPr>
          <w:trHeight w:val="275" w:hRule="exact"/>
        </w:trPr>
        <w:tc>
          <w:tcPr>
            <w:tcW w:w="482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张大中</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Arial" w:hAnsi="Arial" w:cs="Arial" w:eastAsia="Arial" w:hint="default"/>
                <w:sz w:val="20"/>
                <w:szCs w:val="20"/>
              </w:rPr>
            </w:pPr>
            <w:r>
              <w:rPr>
                <w:rFonts w:ascii="Arial"/>
                <w:spacing w:val="-1"/>
                <w:sz w:val="20"/>
              </w:rPr>
              <w:t>78,237,247</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0"/>
              <w:jc w:val="right"/>
              <w:rPr>
                <w:rFonts w:ascii="宋体" w:hAnsi="宋体" w:cs="宋体" w:eastAsia="宋体" w:hint="default"/>
                <w:sz w:val="20"/>
                <w:szCs w:val="20"/>
              </w:rPr>
            </w:pPr>
            <w:r>
              <w:rPr>
                <w:rFonts w:ascii="宋体" w:hAnsi="宋体" w:cs="宋体" w:eastAsia="宋体" w:hint="default"/>
                <w:spacing w:val="-1"/>
                <w:sz w:val="20"/>
                <w:szCs w:val="20"/>
              </w:rPr>
              <w:t>人民币普通股</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Arial" w:hAnsi="Arial" w:cs="Arial" w:eastAsia="Arial" w:hint="default"/>
                <w:sz w:val="20"/>
                <w:szCs w:val="20"/>
              </w:rPr>
            </w:pPr>
            <w:r>
              <w:rPr>
                <w:rFonts w:ascii="Arial"/>
                <w:spacing w:val="-1"/>
                <w:sz w:val="20"/>
              </w:rPr>
              <w:t>78,237,247</w:t>
            </w:r>
          </w:p>
        </w:tc>
      </w:tr>
      <w:tr>
        <w:trPr>
          <w:trHeight w:val="275" w:hRule="exact"/>
        </w:trPr>
        <w:tc>
          <w:tcPr>
            <w:tcW w:w="482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全国社保基金一一零组合</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Arial" w:hAnsi="Arial" w:cs="Arial" w:eastAsia="Arial" w:hint="default"/>
                <w:sz w:val="20"/>
                <w:szCs w:val="20"/>
              </w:rPr>
            </w:pPr>
            <w:r>
              <w:rPr>
                <w:rFonts w:ascii="Arial"/>
                <w:spacing w:val="-1"/>
                <w:sz w:val="20"/>
              </w:rPr>
              <w:t>71,048,325</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right"/>
              <w:rPr>
                <w:rFonts w:ascii="宋体" w:hAnsi="宋体" w:cs="宋体" w:eastAsia="宋体" w:hint="default"/>
                <w:sz w:val="20"/>
                <w:szCs w:val="20"/>
              </w:rPr>
            </w:pPr>
            <w:r>
              <w:rPr>
                <w:rFonts w:ascii="宋体" w:hAnsi="宋体" w:cs="宋体" w:eastAsia="宋体" w:hint="default"/>
                <w:spacing w:val="-1"/>
                <w:sz w:val="20"/>
                <w:szCs w:val="20"/>
              </w:rPr>
              <w:t>人民币普通股</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Arial" w:hAnsi="Arial" w:cs="Arial" w:eastAsia="Arial" w:hint="default"/>
                <w:sz w:val="20"/>
                <w:szCs w:val="20"/>
              </w:rPr>
            </w:pPr>
            <w:r>
              <w:rPr>
                <w:rFonts w:ascii="Arial"/>
                <w:spacing w:val="-1"/>
                <w:sz w:val="20"/>
              </w:rPr>
              <w:t>71,048,325</w:t>
            </w:r>
          </w:p>
        </w:tc>
      </w:tr>
      <w:tr>
        <w:trPr>
          <w:trHeight w:val="533" w:hRule="exact"/>
        </w:trPr>
        <w:tc>
          <w:tcPr>
            <w:tcW w:w="4824"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中国工商银行</w:t>
            </w:r>
            <w:r>
              <w:rPr>
                <w:rFonts w:ascii="Arial" w:hAnsi="Arial" w:cs="Arial" w:eastAsia="Arial" w:hint="default"/>
                <w:sz w:val="20"/>
                <w:szCs w:val="20"/>
              </w:rPr>
              <w:t>—</w:t>
            </w:r>
            <w:r>
              <w:rPr>
                <w:rFonts w:ascii="宋体" w:hAnsi="宋体" w:cs="宋体" w:eastAsia="宋体" w:hint="default"/>
                <w:sz w:val="20"/>
                <w:szCs w:val="20"/>
              </w:rPr>
              <w:t>上证</w:t>
            </w:r>
            <w:r>
              <w:rPr>
                <w:rFonts w:ascii="宋体" w:hAnsi="宋体" w:cs="宋体" w:eastAsia="宋体" w:hint="default"/>
                <w:spacing w:val="-53"/>
                <w:sz w:val="20"/>
                <w:szCs w:val="20"/>
              </w:rPr>
              <w:t> </w:t>
            </w:r>
            <w:r>
              <w:rPr>
                <w:rFonts w:ascii="Arial" w:hAnsi="Arial" w:cs="Arial" w:eastAsia="Arial" w:hint="default"/>
                <w:sz w:val="20"/>
                <w:szCs w:val="20"/>
              </w:rPr>
              <w:t>50</w:t>
            </w:r>
            <w:r>
              <w:rPr>
                <w:rFonts w:ascii="Arial" w:hAnsi="Arial" w:cs="Arial" w:eastAsia="Arial" w:hint="default"/>
                <w:spacing w:val="-9"/>
                <w:sz w:val="20"/>
                <w:szCs w:val="20"/>
              </w:rPr>
              <w:t> </w:t>
            </w:r>
            <w:r>
              <w:rPr>
                <w:rFonts w:ascii="宋体" w:hAnsi="宋体" w:cs="宋体" w:eastAsia="宋体" w:hint="default"/>
                <w:sz w:val="20"/>
                <w:szCs w:val="20"/>
              </w:rPr>
              <w:t>交易型开放式指数证券投资</w:t>
            </w:r>
          </w:p>
          <w:p>
            <w:pPr>
              <w:pStyle w:val="TableParagraph"/>
              <w:spacing w:line="253" w:lineRule="exact"/>
              <w:ind w:left="100" w:right="0"/>
              <w:jc w:val="left"/>
              <w:rPr>
                <w:rFonts w:ascii="宋体" w:hAnsi="宋体" w:cs="宋体" w:eastAsia="宋体" w:hint="default"/>
                <w:sz w:val="20"/>
                <w:szCs w:val="20"/>
              </w:rPr>
            </w:pPr>
            <w:r>
              <w:rPr>
                <w:rFonts w:ascii="宋体" w:hAnsi="宋体" w:cs="宋体" w:eastAsia="宋体" w:hint="default"/>
                <w:sz w:val="20"/>
                <w:szCs w:val="20"/>
              </w:rPr>
              <w:t>基金</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9"/>
              <w:jc w:val="right"/>
              <w:rPr>
                <w:rFonts w:ascii="Arial" w:hAnsi="Arial" w:cs="Arial" w:eastAsia="Arial" w:hint="default"/>
                <w:sz w:val="20"/>
                <w:szCs w:val="20"/>
              </w:rPr>
            </w:pPr>
            <w:r>
              <w:rPr>
                <w:rFonts w:ascii="Arial"/>
                <w:spacing w:val="-1"/>
                <w:sz w:val="20"/>
              </w:rPr>
              <w:t>68,222,567</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right"/>
              <w:rPr>
                <w:rFonts w:ascii="宋体" w:hAnsi="宋体" w:cs="宋体" w:eastAsia="宋体" w:hint="default"/>
                <w:sz w:val="20"/>
                <w:szCs w:val="20"/>
              </w:rPr>
            </w:pPr>
            <w:r>
              <w:rPr>
                <w:rFonts w:ascii="宋体" w:hAnsi="宋体" w:cs="宋体" w:eastAsia="宋体" w:hint="default"/>
                <w:spacing w:val="-1"/>
                <w:sz w:val="20"/>
                <w:szCs w:val="20"/>
              </w:rPr>
              <w:t>人民币普通股</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9"/>
              <w:jc w:val="right"/>
              <w:rPr>
                <w:rFonts w:ascii="Arial" w:hAnsi="Arial" w:cs="Arial" w:eastAsia="Arial" w:hint="default"/>
                <w:sz w:val="20"/>
                <w:szCs w:val="20"/>
              </w:rPr>
            </w:pPr>
            <w:r>
              <w:rPr>
                <w:rFonts w:ascii="Arial"/>
                <w:spacing w:val="-1"/>
                <w:sz w:val="20"/>
              </w:rPr>
              <w:t>68,222,567</w:t>
            </w:r>
          </w:p>
        </w:tc>
      </w:tr>
      <w:tr>
        <w:trPr>
          <w:trHeight w:val="534" w:hRule="exact"/>
        </w:trPr>
        <w:tc>
          <w:tcPr>
            <w:tcW w:w="482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中国银行股份有限公司</w:t>
            </w:r>
            <w:r>
              <w:rPr>
                <w:rFonts w:ascii="Arial" w:hAnsi="Arial" w:cs="Arial" w:eastAsia="Arial" w:hint="default"/>
                <w:sz w:val="20"/>
                <w:szCs w:val="20"/>
              </w:rPr>
              <w:t>—</w:t>
            </w:r>
            <w:r>
              <w:rPr>
                <w:rFonts w:ascii="宋体" w:hAnsi="宋体" w:cs="宋体" w:eastAsia="宋体" w:hint="default"/>
                <w:sz w:val="20"/>
                <w:szCs w:val="20"/>
              </w:rPr>
              <w:t>嘉实沪深</w:t>
            </w:r>
            <w:r>
              <w:rPr>
                <w:rFonts w:ascii="宋体" w:hAnsi="宋体" w:cs="宋体" w:eastAsia="宋体" w:hint="default"/>
                <w:spacing w:val="-66"/>
                <w:sz w:val="20"/>
                <w:szCs w:val="20"/>
              </w:rPr>
              <w:t> </w:t>
            </w:r>
            <w:r>
              <w:rPr>
                <w:rFonts w:ascii="Arial" w:hAnsi="Arial" w:cs="Arial" w:eastAsia="Arial" w:hint="default"/>
                <w:sz w:val="20"/>
                <w:szCs w:val="20"/>
              </w:rPr>
              <w:t>300</w:t>
            </w:r>
            <w:r>
              <w:rPr>
                <w:rFonts w:ascii="Arial" w:hAnsi="Arial" w:cs="Arial" w:eastAsia="Arial" w:hint="default"/>
                <w:spacing w:val="-21"/>
                <w:sz w:val="20"/>
                <w:szCs w:val="20"/>
              </w:rPr>
              <w:t> </w:t>
            </w:r>
            <w:r>
              <w:rPr>
                <w:rFonts w:ascii="宋体" w:hAnsi="宋体" w:cs="宋体" w:eastAsia="宋体" w:hint="default"/>
                <w:sz w:val="20"/>
                <w:szCs w:val="20"/>
              </w:rPr>
              <w:t>交易型开放式</w:t>
            </w:r>
          </w:p>
          <w:p>
            <w:pPr>
              <w:pStyle w:val="TableParagraph"/>
              <w:spacing w:line="253" w:lineRule="exact"/>
              <w:ind w:left="100" w:right="0"/>
              <w:jc w:val="left"/>
              <w:rPr>
                <w:rFonts w:ascii="宋体" w:hAnsi="宋体" w:cs="宋体" w:eastAsia="宋体" w:hint="default"/>
                <w:sz w:val="20"/>
                <w:szCs w:val="20"/>
              </w:rPr>
            </w:pPr>
            <w:r>
              <w:rPr>
                <w:rFonts w:ascii="宋体" w:hAnsi="宋体" w:cs="宋体" w:eastAsia="宋体" w:hint="default"/>
                <w:sz w:val="20"/>
                <w:szCs w:val="20"/>
              </w:rPr>
              <w:t>指数证券投资基金</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Arial" w:hAnsi="Arial" w:cs="Arial" w:eastAsia="Arial" w:hint="default"/>
                <w:sz w:val="20"/>
                <w:szCs w:val="20"/>
              </w:rPr>
            </w:pPr>
            <w:r>
              <w:rPr>
                <w:rFonts w:ascii="Arial"/>
                <w:spacing w:val="-1"/>
                <w:sz w:val="20"/>
              </w:rPr>
              <w:t>67,198,119</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right"/>
              <w:rPr>
                <w:rFonts w:ascii="宋体" w:hAnsi="宋体" w:cs="宋体" w:eastAsia="宋体" w:hint="default"/>
                <w:sz w:val="20"/>
                <w:szCs w:val="20"/>
              </w:rPr>
            </w:pPr>
            <w:r>
              <w:rPr>
                <w:rFonts w:ascii="宋体" w:hAnsi="宋体" w:cs="宋体" w:eastAsia="宋体" w:hint="default"/>
                <w:spacing w:val="-1"/>
                <w:sz w:val="20"/>
                <w:szCs w:val="20"/>
              </w:rPr>
              <w:t>人民币普通股</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Arial" w:hAnsi="Arial" w:cs="Arial" w:eastAsia="Arial" w:hint="default"/>
                <w:sz w:val="20"/>
                <w:szCs w:val="20"/>
              </w:rPr>
            </w:pPr>
            <w:r>
              <w:rPr>
                <w:rFonts w:ascii="Arial"/>
                <w:spacing w:val="-1"/>
                <w:sz w:val="20"/>
              </w:rPr>
              <w:t>67,198,119</w:t>
            </w:r>
          </w:p>
        </w:tc>
      </w:tr>
      <w:tr>
        <w:trPr>
          <w:trHeight w:val="275" w:hRule="exact"/>
        </w:trPr>
        <w:tc>
          <w:tcPr>
            <w:tcW w:w="4824"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Arial" w:hAnsi="Arial" w:cs="Arial" w:eastAsia="Arial" w:hint="default"/>
                <w:sz w:val="20"/>
                <w:szCs w:val="20"/>
              </w:rPr>
            </w:pPr>
            <w:r>
              <w:rPr>
                <w:rFonts w:ascii="宋体" w:hAnsi="宋体" w:cs="宋体" w:eastAsia="宋体" w:hint="default"/>
                <w:sz w:val="20"/>
                <w:szCs w:val="20"/>
              </w:rPr>
              <w:t>南方东英资产管理有限公司</w:t>
            </w:r>
            <w:r>
              <w:rPr>
                <w:rFonts w:ascii="Arial" w:hAnsi="Arial" w:cs="Arial" w:eastAsia="Arial" w:hint="default"/>
                <w:sz w:val="20"/>
                <w:szCs w:val="20"/>
              </w:rPr>
              <w:t>-</w:t>
            </w:r>
            <w:r>
              <w:rPr>
                <w:rFonts w:ascii="宋体" w:hAnsi="宋体" w:cs="宋体" w:eastAsia="宋体" w:hint="default"/>
                <w:sz w:val="20"/>
                <w:szCs w:val="20"/>
              </w:rPr>
              <w:t>南方富时中国</w:t>
            </w:r>
            <w:r>
              <w:rPr>
                <w:rFonts w:ascii="宋体" w:hAnsi="宋体" w:cs="宋体" w:eastAsia="宋体" w:hint="default"/>
                <w:spacing w:val="-54"/>
                <w:sz w:val="20"/>
                <w:szCs w:val="20"/>
              </w:rPr>
              <w:t> </w:t>
            </w:r>
            <w:r>
              <w:rPr>
                <w:rFonts w:ascii="Arial" w:hAnsi="Arial" w:cs="Arial" w:eastAsia="Arial" w:hint="default"/>
                <w:sz w:val="20"/>
                <w:szCs w:val="20"/>
              </w:rPr>
              <w:t>A50ETF</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Arial" w:hAnsi="Arial" w:cs="Arial" w:eastAsia="Arial" w:hint="default"/>
                <w:sz w:val="20"/>
                <w:szCs w:val="20"/>
              </w:rPr>
            </w:pPr>
            <w:r>
              <w:rPr>
                <w:rFonts w:ascii="Arial"/>
                <w:spacing w:val="-1"/>
                <w:sz w:val="20"/>
              </w:rPr>
              <w:t>56,064,042</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0"/>
              <w:jc w:val="right"/>
              <w:rPr>
                <w:rFonts w:ascii="宋体" w:hAnsi="宋体" w:cs="宋体" w:eastAsia="宋体" w:hint="default"/>
                <w:sz w:val="20"/>
                <w:szCs w:val="20"/>
              </w:rPr>
            </w:pPr>
            <w:r>
              <w:rPr>
                <w:rFonts w:ascii="宋体" w:hAnsi="宋体" w:cs="宋体" w:eastAsia="宋体" w:hint="default"/>
                <w:spacing w:val="-1"/>
                <w:sz w:val="20"/>
                <w:szCs w:val="20"/>
              </w:rPr>
              <w:t>人民币普通股</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Arial" w:hAnsi="Arial" w:cs="Arial" w:eastAsia="Arial" w:hint="default"/>
                <w:sz w:val="20"/>
                <w:szCs w:val="20"/>
              </w:rPr>
            </w:pPr>
            <w:r>
              <w:rPr>
                <w:rFonts w:ascii="Arial"/>
                <w:spacing w:val="-1"/>
                <w:sz w:val="20"/>
              </w:rPr>
              <w:t>56,064,042</w:t>
            </w:r>
          </w:p>
        </w:tc>
      </w:tr>
      <w:tr>
        <w:trPr>
          <w:trHeight w:val="534" w:hRule="exact"/>
        </w:trPr>
        <w:tc>
          <w:tcPr>
            <w:tcW w:w="4824"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中国人寿保险股份有限公司</w:t>
            </w:r>
            <w:r>
              <w:rPr>
                <w:rFonts w:ascii="Arial" w:hAnsi="Arial" w:cs="Arial" w:eastAsia="Arial" w:hint="default"/>
                <w:sz w:val="20"/>
                <w:szCs w:val="20"/>
              </w:rPr>
              <w:t>—</w:t>
            </w:r>
            <w:r>
              <w:rPr>
                <w:rFonts w:ascii="宋体" w:hAnsi="宋体" w:cs="宋体" w:eastAsia="宋体" w:hint="default"/>
                <w:sz w:val="20"/>
                <w:szCs w:val="20"/>
              </w:rPr>
              <w:t>传统</w:t>
            </w:r>
            <w:r>
              <w:rPr>
                <w:rFonts w:ascii="Arial" w:hAnsi="Arial" w:cs="Arial" w:eastAsia="Arial" w:hint="default"/>
                <w:sz w:val="20"/>
                <w:szCs w:val="20"/>
              </w:rPr>
              <w:t>—</w:t>
            </w:r>
            <w:r>
              <w:rPr>
                <w:rFonts w:ascii="宋体" w:hAnsi="宋体" w:cs="宋体" w:eastAsia="宋体" w:hint="default"/>
                <w:sz w:val="20"/>
                <w:szCs w:val="20"/>
              </w:rPr>
              <w:t>普通保险产品</w:t>
            </w:r>
          </w:p>
          <w:p>
            <w:pPr>
              <w:pStyle w:val="TableParagraph"/>
              <w:spacing w:line="268" w:lineRule="exact"/>
              <w:ind w:left="100" w:right="0"/>
              <w:jc w:val="left"/>
              <w:rPr>
                <w:rFonts w:ascii="宋体" w:hAnsi="宋体" w:cs="宋体" w:eastAsia="宋体" w:hint="default"/>
                <w:sz w:val="20"/>
                <w:szCs w:val="20"/>
              </w:rPr>
            </w:pPr>
            <w:r>
              <w:rPr>
                <w:rFonts w:ascii="Arial" w:hAnsi="Arial" w:cs="Arial" w:eastAsia="Arial" w:hint="default"/>
                <w:sz w:val="20"/>
                <w:szCs w:val="20"/>
              </w:rPr>
              <w:t>-005L-CT001</w:t>
            </w:r>
            <w:r>
              <w:rPr>
                <w:rFonts w:ascii="Arial" w:hAnsi="Arial" w:cs="Arial" w:eastAsia="Arial" w:hint="default"/>
                <w:spacing w:val="-7"/>
                <w:sz w:val="20"/>
                <w:szCs w:val="20"/>
              </w:rPr>
              <w:t> </w:t>
            </w:r>
            <w:r>
              <w:rPr>
                <w:rFonts w:ascii="宋体" w:hAnsi="宋体" w:cs="宋体" w:eastAsia="宋体" w:hint="default"/>
                <w:sz w:val="20"/>
                <w:szCs w:val="20"/>
              </w:rPr>
              <w:t>沪</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Arial" w:hAnsi="Arial" w:cs="Arial" w:eastAsia="Arial" w:hint="default"/>
                <w:sz w:val="20"/>
                <w:szCs w:val="20"/>
              </w:rPr>
            </w:pPr>
            <w:r>
              <w:rPr>
                <w:rFonts w:ascii="Arial"/>
                <w:spacing w:val="-1"/>
                <w:sz w:val="20"/>
              </w:rPr>
              <w:t>49,048,385</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right"/>
              <w:rPr>
                <w:rFonts w:ascii="宋体" w:hAnsi="宋体" w:cs="宋体" w:eastAsia="宋体" w:hint="default"/>
                <w:sz w:val="20"/>
                <w:szCs w:val="20"/>
              </w:rPr>
            </w:pPr>
            <w:r>
              <w:rPr>
                <w:rFonts w:ascii="宋体" w:hAnsi="宋体" w:cs="宋体" w:eastAsia="宋体" w:hint="default"/>
                <w:spacing w:val="-1"/>
                <w:sz w:val="20"/>
                <w:szCs w:val="20"/>
              </w:rPr>
              <w:t>人民币普通股</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Arial" w:hAnsi="Arial" w:cs="Arial" w:eastAsia="Arial" w:hint="default"/>
                <w:sz w:val="20"/>
                <w:szCs w:val="20"/>
              </w:rPr>
            </w:pPr>
            <w:r>
              <w:rPr>
                <w:rFonts w:ascii="Arial"/>
                <w:spacing w:val="-1"/>
                <w:sz w:val="20"/>
              </w:rPr>
              <w:t>49,048,385</w:t>
            </w:r>
          </w:p>
        </w:tc>
      </w:tr>
      <w:tr>
        <w:trPr>
          <w:trHeight w:val="2090" w:hRule="exact"/>
        </w:trPr>
        <w:tc>
          <w:tcPr>
            <w:tcW w:w="4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上述股东关联关系或一致行动的说明</w:t>
            </w:r>
          </w:p>
        </w:tc>
        <w:tc>
          <w:tcPr>
            <w:tcW w:w="4707" w:type="dxa"/>
            <w:gridSpan w:val="3"/>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99" w:right="0"/>
              <w:jc w:val="left"/>
              <w:rPr>
                <w:rFonts w:ascii="宋体" w:hAnsi="宋体" w:cs="宋体" w:eastAsia="宋体" w:hint="default"/>
                <w:sz w:val="20"/>
                <w:szCs w:val="20"/>
              </w:rPr>
            </w:pPr>
            <w:r>
              <w:rPr>
                <w:rFonts w:ascii="宋体" w:hAnsi="宋体" w:cs="宋体" w:eastAsia="宋体" w:hint="default"/>
                <w:sz w:val="20"/>
                <w:szCs w:val="20"/>
              </w:rPr>
              <w:t>中国联合网络通信集团有限公司为本公司控股股</w:t>
            </w:r>
          </w:p>
          <w:p>
            <w:pPr>
              <w:pStyle w:val="TableParagraph"/>
              <w:spacing w:line="237" w:lineRule="auto" w:before="1"/>
              <w:ind w:left="99" w:right="189"/>
              <w:jc w:val="left"/>
              <w:rPr>
                <w:rFonts w:ascii="宋体" w:hAnsi="宋体" w:cs="宋体" w:eastAsia="宋体" w:hint="default"/>
                <w:sz w:val="20"/>
                <w:szCs w:val="20"/>
              </w:rPr>
            </w:pPr>
            <w:r>
              <w:rPr>
                <w:rFonts w:ascii="宋体" w:hAnsi="宋体" w:cs="宋体" w:eastAsia="宋体" w:hint="default"/>
                <w:sz w:val="20"/>
                <w:szCs w:val="20"/>
              </w:rPr>
              <w:t>东。</w:t>
            </w:r>
            <w:r>
              <w:rPr>
                <w:rFonts w:ascii="宋体" w:hAnsi="宋体" w:cs="宋体" w:eastAsia="宋体" w:hint="default"/>
                <w:w w:val="100"/>
                <w:sz w:val="20"/>
                <w:szCs w:val="20"/>
              </w:rPr>
              <w:t> </w:t>
            </w:r>
            <w:r>
              <w:rPr>
                <w:rFonts w:ascii="宋体" w:hAnsi="宋体" w:cs="宋体" w:eastAsia="宋体" w:hint="default"/>
                <w:sz w:val="20"/>
                <w:szCs w:val="20"/>
              </w:rPr>
              <w:t>本公司未知前十名股东之间存在关联关系或一致行</w:t>
            </w:r>
            <w:r>
              <w:rPr>
                <w:rFonts w:ascii="宋体" w:hAnsi="宋体" w:cs="宋体" w:eastAsia="宋体" w:hint="default"/>
                <w:w w:val="100"/>
                <w:sz w:val="20"/>
                <w:szCs w:val="20"/>
              </w:rPr>
              <w:t> </w:t>
            </w:r>
            <w:r>
              <w:rPr>
                <w:rFonts w:ascii="宋体" w:hAnsi="宋体" w:cs="宋体" w:eastAsia="宋体" w:hint="default"/>
                <w:sz w:val="20"/>
                <w:szCs w:val="20"/>
              </w:rPr>
              <w:t>动人的情况。</w:t>
            </w:r>
            <w:r>
              <w:rPr>
                <w:rFonts w:ascii="宋体" w:hAnsi="宋体" w:cs="宋体" w:eastAsia="宋体" w:hint="default"/>
                <w:w w:val="100"/>
                <w:sz w:val="20"/>
                <w:szCs w:val="20"/>
              </w:rPr>
              <w:t> </w:t>
            </w:r>
            <w:r>
              <w:rPr>
                <w:rFonts w:ascii="宋体" w:hAnsi="宋体" w:cs="宋体" w:eastAsia="宋体" w:hint="default"/>
                <w:sz w:val="20"/>
                <w:szCs w:val="20"/>
              </w:rPr>
              <w:t>本公司未知前十名无限售条件股东之间存在关联关</w:t>
            </w:r>
            <w:r>
              <w:rPr>
                <w:rFonts w:ascii="宋体" w:hAnsi="宋体" w:cs="宋体" w:eastAsia="宋体" w:hint="default"/>
                <w:w w:val="100"/>
                <w:sz w:val="20"/>
                <w:szCs w:val="20"/>
              </w:rPr>
              <w:t> </w:t>
            </w:r>
            <w:r>
              <w:rPr>
                <w:rFonts w:ascii="宋体" w:hAnsi="宋体" w:cs="宋体" w:eastAsia="宋体" w:hint="default"/>
                <w:sz w:val="20"/>
                <w:szCs w:val="20"/>
              </w:rPr>
              <w:t>系或一致行动人的情况。</w:t>
            </w:r>
            <w:r>
              <w:rPr>
                <w:rFonts w:ascii="宋体" w:hAnsi="宋体" w:cs="宋体" w:eastAsia="宋体" w:hint="default"/>
                <w:w w:val="100"/>
                <w:sz w:val="20"/>
                <w:szCs w:val="20"/>
              </w:rPr>
              <w:t> </w:t>
            </w:r>
            <w:r>
              <w:rPr>
                <w:rFonts w:ascii="宋体" w:hAnsi="宋体" w:cs="宋体" w:eastAsia="宋体" w:hint="default"/>
                <w:sz w:val="20"/>
                <w:szCs w:val="20"/>
              </w:rPr>
              <w:t>本公司未知前十名无限售条件股东和前十名股东之</w:t>
            </w:r>
            <w:r>
              <w:rPr>
                <w:rFonts w:ascii="宋体" w:hAnsi="宋体" w:cs="宋体" w:eastAsia="宋体" w:hint="default"/>
                <w:w w:val="100"/>
                <w:sz w:val="20"/>
                <w:szCs w:val="20"/>
              </w:rPr>
              <w:t> </w:t>
            </w:r>
            <w:r>
              <w:rPr>
                <w:rFonts w:ascii="宋体" w:hAnsi="宋体" w:cs="宋体" w:eastAsia="宋体" w:hint="default"/>
                <w:sz w:val="20"/>
                <w:szCs w:val="20"/>
              </w:rPr>
              <w:t>间存在关联关系的情况。</w:t>
            </w:r>
          </w:p>
        </w:tc>
      </w:tr>
    </w:tbl>
    <w:p>
      <w:pPr>
        <w:spacing w:line="240" w:lineRule="auto" w:before="4"/>
        <w:rPr>
          <w:rFonts w:ascii="宋体" w:hAnsi="宋体" w:cs="宋体" w:eastAsia="宋体" w:hint="default"/>
          <w:sz w:val="12"/>
          <w:szCs w:val="12"/>
        </w:rPr>
      </w:pPr>
    </w:p>
    <w:p>
      <w:pPr>
        <w:pStyle w:val="BodyText"/>
        <w:spacing w:line="240" w:lineRule="auto" w:before="31"/>
        <w:ind w:left="146" w:right="0"/>
        <w:jc w:val="left"/>
      </w:pPr>
      <w:r>
        <w:rPr/>
        <w:t>（二）战略投资者或一般法人因配售新股成为前</w:t>
      </w:r>
      <w:r>
        <w:rPr>
          <w:spacing w:val="-58"/>
        </w:rPr>
        <w:t> </w:t>
      </w:r>
      <w:r>
        <w:rPr>
          <w:rFonts w:ascii="Arial" w:hAnsi="Arial" w:cs="Arial" w:eastAsia="Arial" w:hint="default"/>
        </w:rPr>
        <w:t>10</w:t>
      </w:r>
      <w:r>
        <w:rPr>
          <w:rFonts w:ascii="Arial" w:hAnsi="Arial" w:cs="Arial" w:eastAsia="Arial" w:hint="default"/>
          <w:spacing w:val="-11"/>
        </w:rPr>
        <w:t> </w:t>
      </w:r>
      <w:r>
        <w:rPr/>
        <w:t>名股东</w:t>
      </w:r>
    </w:p>
    <w:p>
      <w:pPr>
        <w:spacing w:line="240" w:lineRule="auto" w:before="13"/>
        <w:rPr>
          <w:rFonts w:ascii="宋体" w:hAnsi="宋体" w:cs="宋体" w:eastAsia="宋体" w:hint="default"/>
          <w:sz w:val="17"/>
          <w:szCs w:val="17"/>
        </w:rPr>
      </w:pPr>
    </w:p>
    <w:p>
      <w:pPr>
        <w:spacing w:line="424" w:lineRule="auto" w:before="0"/>
        <w:ind w:left="146" w:right="333" w:firstLine="648"/>
        <w:jc w:val="left"/>
        <w:rPr>
          <w:rFonts w:ascii="宋体" w:hAnsi="宋体" w:cs="宋体" w:eastAsia="宋体" w:hint="default"/>
          <w:sz w:val="22"/>
          <w:szCs w:val="22"/>
        </w:rPr>
      </w:pPr>
      <w:r>
        <w:rPr>
          <w:rFonts w:ascii="宋体" w:hAnsi="宋体" w:cs="宋体" w:eastAsia="宋体" w:hint="default"/>
          <w:sz w:val="22"/>
          <w:szCs w:val="22"/>
        </w:rPr>
        <w:t>于</w:t>
      </w:r>
      <w:r>
        <w:rPr>
          <w:rFonts w:ascii="宋体" w:hAnsi="宋体" w:cs="宋体" w:eastAsia="宋体" w:hint="default"/>
          <w:spacing w:val="-59"/>
          <w:sz w:val="22"/>
          <w:szCs w:val="22"/>
        </w:rPr>
        <w:t> </w:t>
      </w:r>
      <w:r>
        <w:rPr>
          <w:rFonts w:ascii="Arial" w:hAnsi="Arial" w:cs="Arial" w:eastAsia="Arial" w:hint="default"/>
          <w:sz w:val="22"/>
          <w:szCs w:val="22"/>
        </w:rPr>
        <w:t>2012</w:t>
      </w:r>
      <w:r>
        <w:rPr>
          <w:rFonts w:ascii="Arial" w:hAnsi="Arial" w:cs="Arial" w:eastAsia="Arial" w:hint="default"/>
          <w:spacing w:val="-10"/>
          <w:sz w:val="22"/>
          <w:szCs w:val="22"/>
        </w:rPr>
        <w:t> </w:t>
      </w:r>
      <w:r>
        <w:rPr>
          <w:rFonts w:ascii="宋体" w:hAnsi="宋体" w:cs="宋体" w:eastAsia="宋体" w:hint="default"/>
          <w:sz w:val="22"/>
          <w:szCs w:val="22"/>
        </w:rPr>
        <w:t>年度，本集团不存在战略投资者或一般法人因配售新股成为前</w:t>
      </w:r>
      <w:r>
        <w:rPr>
          <w:rFonts w:ascii="宋体" w:hAnsi="宋体" w:cs="宋体" w:eastAsia="宋体" w:hint="default"/>
          <w:spacing w:val="-56"/>
          <w:sz w:val="22"/>
          <w:szCs w:val="22"/>
        </w:rPr>
        <w:t> </w:t>
      </w:r>
      <w:r>
        <w:rPr>
          <w:rFonts w:ascii="Arial" w:hAnsi="Arial" w:cs="Arial" w:eastAsia="Arial" w:hint="default"/>
          <w:sz w:val="22"/>
          <w:szCs w:val="22"/>
        </w:rPr>
        <w:t>10</w:t>
      </w:r>
      <w:r>
        <w:rPr>
          <w:rFonts w:ascii="Arial" w:hAnsi="Arial" w:cs="Arial" w:eastAsia="Arial" w:hint="default"/>
          <w:spacing w:val="-10"/>
          <w:sz w:val="22"/>
          <w:szCs w:val="22"/>
        </w:rPr>
        <w:t> </w:t>
      </w:r>
      <w:r>
        <w:rPr>
          <w:rFonts w:ascii="宋体" w:hAnsi="宋体" w:cs="宋体" w:eastAsia="宋体" w:hint="default"/>
          <w:sz w:val="22"/>
          <w:szCs w:val="22"/>
        </w:rPr>
        <w:t>名股东的情况。</w:t>
      </w:r>
      <w:r>
        <w:rPr>
          <w:rFonts w:ascii="宋体" w:hAnsi="宋体" w:cs="宋体" w:eastAsia="宋体" w:hint="default"/>
          <w:w w:val="99"/>
          <w:sz w:val="22"/>
          <w:szCs w:val="22"/>
        </w:rPr>
        <w:t> </w:t>
      </w:r>
      <w:r>
        <w:rPr>
          <w:rFonts w:ascii="宋体" w:hAnsi="宋体" w:cs="宋体" w:eastAsia="宋体" w:hint="default"/>
          <w:b/>
          <w:bCs/>
          <w:sz w:val="22"/>
          <w:szCs w:val="22"/>
        </w:rPr>
        <w:t>四、控股股东及实际控制人情况</w:t>
      </w:r>
      <w:r>
        <w:rPr>
          <w:rFonts w:ascii="宋体" w:hAnsi="宋体" w:cs="宋体" w:eastAsia="宋体" w:hint="default"/>
          <w:sz w:val="22"/>
          <w:szCs w:val="22"/>
        </w:rPr>
      </w:r>
    </w:p>
    <w:p>
      <w:pPr>
        <w:pStyle w:val="BodyText"/>
        <w:spacing w:line="240" w:lineRule="auto" w:before="80"/>
        <w:ind w:left="146" w:right="0"/>
        <w:jc w:val="left"/>
      </w:pPr>
      <w:r>
        <w:rPr/>
        <w:t>（一）控股股东情况</w:t>
      </w:r>
    </w:p>
    <w:p>
      <w:pPr>
        <w:spacing w:line="240" w:lineRule="auto" w:before="10"/>
        <w:rPr>
          <w:rFonts w:ascii="宋体" w:hAnsi="宋体" w:cs="宋体" w:eastAsia="宋体" w:hint="default"/>
          <w:sz w:val="16"/>
          <w:szCs w:val="16"/>
        </w:rPr>
      </w:pPr>
    </w:p>
    <w:p>
      <w:pPr>
        <w:pStyle w:val="BodyText"/>
        <w:spacing w:line="294" w:lineRule="exact" w:before="31"/>
        <w:ind w:left="146" w:right="0"/>
        <w:jc w:val="left"/>
      </w:pPr>
      <w:r>
        <w:rPr>
          <w:rFonts w:ascii="Arial" w:hAnsi="Arial" w:cs="Arial" w:eastAsia="Arial" w:hint="default"/>
        </w:rPr>
        <w:t>1</w:t>
      </w:r>
      <w:r>
        <w:rPr/>
        <w:t>、法人</w:t>
      </w:r>
    </w:p>
    <w:p>
      <w:pPr>
        <w:pStyle w:val="BodyText"/>
        <w:spacing w:line="279" w:lineRule="exact"/>
        <w:ind w:left="0" w:right="151"/>
        <w:jc w:val="right"/>
      </w:pPr>
      <w:r>
        <w:rPr/>
        <w:t>单位：元</w:t>
      </w:r>
      <w:r>
        <w:rPr>
          <w:spacing w:val="-4"/>
        </w:rPr>
        <w:t> </w:t>
      </w:r>
      <w:r>
        <w:rPr/>
        <w:t>币种：人民币</w:t>
      </w:r>
    </w:p>
    <w:p>
      <w:pPr>
        <w:spacing w:line="240" w:lineRule="auto" w:before="8"/>
        <w:rPr>
          <w:rFonts w:ascii="宋体" w:hAnsi="宋体" w:cs="宋体" w:eastAsia="宋体" w:hint="default"/>
          <w:sz w:val="2"/>
          <w:szCs w:val="2"/>
        </w:rPr>
      </w:pPr>
    </w:p>
    <w:tbl>
      <w:tblPr>
        <w:tblW w:w="0" w:type="auto"/>
        <w:jc w:val="left"/>
        <w:tblInd w:w="499" w:type="dxa"/>
        <w:tblLayout w:type="fixed"/>
        <w:tblCellMar>
          <w:top w:w="0" w:type="dxa"/>
          <w:left w:w="0" w:type="dxa"/>
          <w:bottom w:w="0" w:type="dxa"/>
          <w:right w:w="0" w:type="dxa"/>
        </w:tblCellMar>
        <w:tblLook w:val="01E0"/>
      </w:tblPr>
      <w:tblGrid>
        <w:gridCol w:w="3060"/>
        <w:gridCol w:w="6076"/>
      </w:tblGrid>
      <w:tr>
        <w:trPr>
          <w:trHeight w:val="300" w:hRule="exact"/>
        </w:trPr>
        <w:tc>
          <w:tcPr>
            <w:tcW w:w="3060" w:type="dxa"/>
            <w:tcBorders>
              <w:top w:val="single" w:sz="6" w:space="0" w:color="111111"/>
              <w:left w:val="single" w:sz="6" w:space="0" w:color="111111"/>
              <w:bottom w:val="single" w:sz="6" w:space="0" w:color="111111"/>
              <w:right w:val="single" w:sz="6" w:space="0" w:color="111111"/>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名称</w:t>
            </w:r>
          </w:p>
        </w:tc>
        <w:tc>
          <w:tcPr>
            <w:tcW w:w="6076" w:type="dxa"/>
            <w:tcBorders>
              <w:top w:val="single" w:sz="6" w:space="0" w:color="111111"/>
              <w:left w:val="single" w:sz="6" w:space="0" w:color="111111"/>
              <w:bottom w:val="single" w:sz="6" w:space="0" w:color="111111"/>
              <w:right w:val="single" w:sz="6" w:space="0" w:color="111111"/>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中国联合网络通信集团有限公司</w:t>
            </w:r>
          </w:p>
        </w:tc>
      </w:tr>
      <w:tr>
        <w:trPr>
          <w:trHeight w:val="301" w:hRule="exact"/>
        </w:trPr>
        <w:tc>
          <w:tcPr>
            <w:tcW w:w="3060" w:type="dxa"/>
            <w:tcBorders>
              <w:top w:val="single" w:sz="6" w:space="0" w:color="111111"/>
              <w:left w:val="single" w:sz="6" w:space="0" w:color="111111"/>
              <w:bottom w:val="single" w:sz="6" w:space="0" w:color="111111"/>
              <w:right w:val="single" w:sz="6" w:space="0" w:color="111111"/>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单位负责人或法定代表人</w:t>
            </w:r>
          </w:p>
        </w:tc>
        <w:tc>
          <w:tcPr>
            <w:tcW w:w="6076" w:type="dxa"/>
            <w:tcBorders>
              <w:top w:val="single" w:sz="6" w:space="0" w:color="111111"/>
              <w:left w:val="single" w:sz="6" w:space="0" w:color="111111"/>
              <w:bottom w:val="single" w:sz="6" w:space="0" w:color="111111"/>
              <w:right w:val="single" w:sz="6" w:space="0" w:color="111111"/>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常小兵</w:t>
            </w:r>
          </w:p>
        </w:tc>
      </w:tr>
      <w:tr>
        <w:trPr>
          <w:trHeight w:val="300" w:hRule="exact"/>
        </w:trPr>
        <w:tc>
          <w:tcPr>
            <w:tcW w:w="3060" w:type="dxa"/>
            <w:tcBorders>
              <w:top w:val="single" w:sz="6" w:space="0" w:color="111111"/>
              <w:left w:val="single" w:sz="6" w:space="0" w:color="111111"/>
              <w:bottom w:val="single" w:sz="6" w:space="0" w:color="111111"/>
              <w:right w:val="single" w:sz="6" w:space="0" w:color="111111"/>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成立日期</w:t>
            </w:r>
          </w:p>
        </w:tc>
        <w:tc>
          <w:tcPr>
            <w:tcW w:w="6076" w:type="dxa"/>
            <w:tcBorders>
              <w:top w:val="single" w:sz="6" w:space="0" w:color="111111"/>
              <w:left w:val="single" w:sz="6" w:space="0" w:color="111111"/>
              <w:bottom w:val="single" w:sz="6" w:space="0" w:color="111111"/>
              <w:right w:val="single" w:sz="6" w:space="0" w:color="111111"/>
            </w:tcBorders>
          </w:tcPr>
          <w:p>
            <w:pPr>
              <w:pStyle w:val="TableParagraph"/>
              <w:spacing w:line="267" w:lineRule="exact"/>
              <w:ind w:left="100" w:right="0"/>
              <w:jc w:val="left"/>
              <w:rPr>
                <w:rFonts w:ascii="宋体" w:hAnsi="宋体" w:cs="宋体" w:eastAsia="宋体" w:hint="default"/>
                <w:sz w:val="22"/>
                <w:szCs w:val="22"/>
              </w:rPr>
            </w:pPr>
            <w:r>
              <w:rPr>
                <w:rFonts w:ascii="Arial" w:hAnsi="Arial" w:cs="Arial" w:eastAsia="Arial" w:hint="default"/>
                <w:sz w:val="22"/>
                <w:szCs w:val="22"/>
              </w:rPr>
              <w:t>1994</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6</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18</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300" w:hRule="exact"/>
        </w:trPr>
        <w:tc>
          <w:tcPr>
            <w:tcW w:w="3060" w:type="dxa"/>
            <w:tcBorders>
              <w:top w:val="single" w:sz="6" w:space="0" w:color="111111"/>
              <w:left w:val="single" w:sz="6" w:space="0" w:color="111111"/>
              <w:bottom w:val="single" w:sz="6" w:space="0" w:color="111111"/>
              <w:right w:val="single" w:sz="6" w:space="0" w:color="111111"/>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组织机构代码</w:t>
            </w:r>
          </w:p>
        </w:tc>
        <w:tc>
          <w:tcPr>
            <w:tcW w:w="607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
              <w:ind w:left="100" w:right="0"/>
              <w:jc w:val="left"/>
              <w:rPr>
                <w:rFonts w:ascii="Arial" w:hAnsi="Arial" w:cs="Arial" w:eastAsia="Arial" w:hint="default"/>
                <w:sz w:val="22"/>
                <w:szCs w:val="22"/>
              </w:rPr>
            </w:pPr>
            <w:r>
              <w:rPr>
                <w:rFonts w:ascii="Arial"/>
                <w:sz w:val="22"/>
              </w:rPr>
              <w:t>10001650-1</w:t>
            </w:r>
          </w:p>
        </w:tc>
      </w:tr>
      <w:tr>
        <w:trPr>
          <w:trHeight w:val="301" w:hRule="exact"/>
        </w:trPr>
        <w:tc>
          <w:tcPr>
            <w:tcW w:w="3060" w:type="dxa"/>
            <w:tcBorders>
              <w:top w:val="single" w:sz="6" w:space="0" w:color="111111"/>
              <w:left w:val="single" w:sz="6" w:space="0" w:color="111111"/>
              <w:bottom w:val="single" w:sz="6" w:space="0" w:color="111111"/>
              <w:right w:val="single" w:sz="6" w:space="0" w:color="111111"/>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注册资本</w:t>
            </w:r>
          </w:p>
        </w:tc>
        <w:tc>
          <w:tcPr>
            <w:tcW w:w="6076" w:type="dxa"/>
            <w:tcBorders>
              <w:top w:val="single" w:sz="6" w:space="0" w:color="111111"/>
              <w:left w:val="single" w:sz="6" w:space="0" w:color="111111"/>
              <w:bottom w:val="single" w:sz="6" w:space="0" w:color="111111"/>
              <w:right w:val="single" w:sz="6" w:space="0" w:color="111111"/>
            </w:tcBorders>
          </w:tcPr>
          <w:p>
            <w:pPr>
              <w:pStyle w:val="TableParagraph"/>
              <w:spacing w:line="269" w:lineRule="exact"/>
              <w:ind w:left="100" w:right="0"/>
              <w:jc w:val="left"/>
              <w:rPr>
                <w:rFonts w:ascii="宋体" w:hAnsi="宋体" w:cs="宋体" w:eastAsia="宋体" w:hint="default"/>
                <w:sz w:val="22"/>
                <w:szCs w:val="22"/>
              </w:rPr>
            </w:pPr>
            <w:r>
              <w:rPr>
                <w:rFonts w:ascii="宋体" w:hAnsi="宋体" w:cs="宋体" w:eastAsia="宋体" w:hint="default"/>
                <w:sz w:val="22"/>
                <w:szCs w:val="22"/>
              </w:rPr>
              <w:t>人民币</w:t>
            </w:r>
            <w:r>
              <w:rPr>
                <w:rFonts w:ascii="宋体" w:hAnsi="宋体" w:cs="宋体" w:eastAsia="宋体" w:hint="default"/>
                <w:spacing w:val="-56"/>
                <w:sz w:val="22"/>
                <w:szCs w:val="22"/>
              </w:rPr>
              <w:t> </w:t>
            </w:r>
            <w:r>
              <w:rPr>
                <w:rFonts w:ascii="Arial" w:hAnsi="Arial" w:cs="Arial" w:eastAsia="Arial" w:hint="default"/>
                <w:sz w:val="22"/>
                <w:szCs w:val="22"/>
              </w:rPr>
              <w:t>106,471,198,904</w:t>
            </w:r>
            <w:r>
              <w:rPr>
                <w:rFonts w:ascii="Arial" w:hAnsi="Arial" w:cs="Arial" w:eastAsia="Arial" w:hint="default"/>
                <w:spacing w:val="-7"/>
                <w:sz w:val="22"/>
                <w:szCs w:val="22"/>
              </w:rPr>
              <w:t> </w:t>
            </w:r>
            <w:r>
              <w:rPr>
                <w:rFonts w:ascii="宋体" w:hAnsi="宋体" w:cs="宋体" w:eastAsia="宋体" w:hint="default"/>
                <w:sz w:val="22"/>
                <w:szCs w:val="22"/>
              </w:rPr>
              <w:t>元</w:t>
            </w:r>
          </w:p>
        </w:tc>
      </w:tr>
      <w:tr>
        <w:trPr>
          <w:trHeight w:val="2582" w:hRule="exact"/>
        </w:trPr>
        <w:tc>
          <w:tcPr>
            <w:tcW w:w="30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sz w:val="22"/>
                <w:szCs w:val="22"/>
              </w:rPr>
              <w:t>主要经营业务</w:t>
            </w:r>
          </w:p>
        </w:tc>
        <w:tc>
          <w:tcPr>
            <w:tcW w:w="6076" w:type="dxa"/>
            <w:tcBorders>
              <w:top w:val="single" w:sz="6" w:space="0" w:color="111111"/>
              <w:left w:val="single" w:sz="6" w:space="0" w:color="111111"/>
              <w:bottom w:val="single" w:sz="6" w:space="0" w:color="111111"/>
              <w:right w:val="single" w:sz="6" w:space="0" w:color="111111"/>
            </w:tcBorders>
          </w:tcPr>
          <w:p>
            <w:pPr>
              <w:pStyle w:val="TableParagraph"/>
              <w:spacing w:line="251" w:lineRule="exact"/>
              <w:ind w:left="100" w:right="0"/>
              <w:jc w:val="left"/>
              <w:rPr>
                <w:rFonts w:ascii="宋体" w:hAnsi="宋体" w:cs="宋体" w:eastAsia="宋体" w:hint="default"/>
                <w:sz w:val="22"/>
                <w:szCs w:val="22"/>
              </w:rPr>
            </w:pPr>
            <w:r>
              <w:rPr>
                <w:rFonts w:ascii="宋体" w:hAnsi="宋体" w:cs="宋体" w:eastAsia="宋体" w:hint="default"/>
                <w:spacing w:val="-4"/>
                <w:sz w:val="22"/>
                <w:szCs w:val="22"/>
              </w:rPr>
              <w:t>许可经营项目：固定通信业务、蜂窝移动通信业务、第一类卫</w:t>
            </w:r>
          </w:p>
          <w:p>
            <w:pPr>
              <w:pStyle w:val="TableParagraph"/>
              <w:spacing w:line="232" w:lineRule="auto" w:before="6"/>
              <w:ind w:left="100" w:right="-9"/>
              <w:jc w:val="left"/>
              <w:rPr>
                <w:rFonts w:ascii="宋体" w:hAnsi="宋体" w:cs="宋体" w:eastAsia="宋体" w:hint="default"/>
                <w:sz w:val="22"/>
                <w:szCs w:val="22"/>
              </w:rPr>
            </w:pPr>
            <w:r>
              <w:rPr>
                <w:rFonts w:ascii="宋体" w:hAnsi="宋体" w:cs="宋体" w:eastAsia="宋体" w:hint="default"/>
                <w:spacing w:val="-4"/>
                <w:sz w:val="22"/>
                <w:szCs w:val="22"/>
              </w:rPr>
              <w:t>星通信业务、第一类数据通信业务、网络接入业务（具体业务</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pacing w:val="-6"/>
                <w:sz w:val="22"/>
                <w:szCs w:val="22"/>
              </w:rPr>
              <w:t>种类、覆盖范围以许可证为准，有效期至</w:t>
            </w:r>
            <w:r>
              <w:rPr>
                <w:rFonts w:ascii="宋体" w:hAnsi="宋体" w:cs="宋体" w:eastAsia="宋体" w:hint="default"/>
                <w:spacing w:val="-54"/>
                <w:sz w:val="22"/>
                <w:szCs w:val="22"/>
              </w:rPr>
              <w:t> </w:t>
            </w:r>
            <w:r>
              <w:rPr>
                <w:rFonts w:ascii="Arial" w:hAnsi="Arial" w:cs="Arial" w:eastAsia="Arial" w:hint="default"/>
                <w:sz w:val="22"/>
                <w:szCs w:val="22"/>
              </w:rPr>
              <w:t>2019</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6</w:t>
            </w:r>
            <w:r>
              <w:rPr>
                <w:rFonts w:ascii="Arial" w:hAnsi="Arial" w:cs="Arial" w:eastAsia="Arial" w:hint="default"/>
                <w:spacing w:val="-7"/>
                <w:sz w:val="22"/>
                <w:szCs w:val="22"/>
              </w:rPr>
              <w:t> </w:t>
            </w:r>
            <w:r>
              <w:rPr>
                <w:rFonts w:ascii="宋体" w:hAnsi="宋体" w:cs="宋体" w:eastAsia="宋体" w:hint="default"/>
                <w:spacing w:val="-18"/>
                <w:sz w:val="22"/>
                <w:szCs w:val="22"/>
              </w:rPr>
              <w:t>日）；</w:t>
            </w:r>
            <w:r>
              <w:rPr>
                <w:rFonts w:ascii="宋体" w:hAnsi="宋体" w:cs="宋体" w:eastAsia="宋体" w:hint="default"/>
                <w:w w:val="99"/>
                <w:sz w:val="22"/>
                <w:szCs w:val="22"/>
              </w:rPr>
              <w:t> </w:t>
            </w:r>
            <w:r>
              <w:rPr>
                <w:rFonts w:ascii="宋体" w:hAnsi="宋体" w:cs="宋体" w:eastAsia="宋体" w:hint="default"/>
                <w:spacing w:val="2"/>
                <w:sz w:val="22"/>
                <w:szCs w:val="22"/>
              </w:rPr>
              <w:t>国内甚小口径终端地球站</w:t>
            </w:r>
            <w:r>
              <w:rPr>
                <w:rFonts w:ascii="Arial" w:hAnsi="Arial" w:cs="Arial" w:eastAsia="Arial" w:hint="default"/>
                <w:spacing w:val="2"/>
                <w:sz w:val="22"/>
                <w:szCs w:val="22"/>
              </w:rPr>
              <w:t>(VSAT)</w:t>
            </w:r>
            <w:r>
              <w:rPr>
                <w:rFonts w:ascii="宋体" w:hAnsi="宋体" w:cs="宋体" w:eastAsia="宋体" w:hint="default"/>
                <w:spacing w:val="2"/>
                <w:sz w:val="22"/>
                <w:szCs w:val="22"/>
              </w:rPr>
              <w:t>通信业务、固定网国内数据</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pacing w:val="-4"/>
                <w:sz w:val="22"/>
                <w:szCs w:val="22"/>
              </w:rPr>
              <w:t>传送业务、无线数据传送业务、用户驻地网业务和网络托管业</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pacing w:val="-4"/>
                <w:sz w:val="22"/>
                <w:szCs w:val="22"/>
              </w:rPr>
              <w:t>务、增值电信业务中的在线数据处理与交易处理业务、国内因</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z w:val="22"/>
                <w:szCs w:val="22"/>
              </w:rPr>
              <w:t>特网虚拟专用网业务、因特网数据中心业务、语音信箱业务、</w:t>
            </w:r>
            <w:r>
              <w:rPr>
                <w:rFonts w:ascii="宋体" w:hAnsi="宋体" w:cs="宋体" w:eastAsia="宋体" w:hint="default"/>
                <w:w w:val="99"/>
                <w:sz w:val="22"/>
                <w:szCs w:val="22"/>
              </w:rPr>
              <w:t> </w:t>
            </w:r>
            <w:r>
              <w:rPr>
                <w:rFonts w:ascii="宋体" w:hAnsi="宋体" w:cs="宋体" w:eastAsia="宋体" w:hint="default"/>
                <w:sz w:val="22"/>
                <w:szCs w:val="22"/>
              </w:rPr>
              <w:t>传真存储转发业务、</w:t>
            </w:r>
            <w:r>
              <w:rPr>
                <w:rFonts w:ascii="Arial" w:hAnsi="Arial" w:cs="Arial" w:eastAsia="Arial" w:hint="default"/>
                <w:sz w:val="22"/>
                <w:szCs w:val="22"/>
              </w:rPr>
              <w:t>X.400</w:t>
            </w:r>
            <w:r>
              <w:rPr>
                <w:rFonts w:ascii="Arial" w:hAnsi="Arial" w:cs="Arial" w:eastAsia="Arial" w:hint="default"/>
                <w:spacing w:val="-11"/>
                <w:sz w:val="22"/>
                <w:szCs w:val="22"/>
              </w:rPr>
              <w:t> </w:t>
            </w:r>
            <w:r>
              <w:rPr>
                <w:rFonts w:ascii="宋体" w:hAnsi="宋体" w:cs="宋体" w:eastAsia="宋体" w:hint="default"/>
                <w:spacing w:val="-3"/>
                <w:sz w:val="22"/>
                <w:szCs w:val="22"/>
              </w:rPr>
              <w:t>电子邮件业务、呼叫中心业务、因</w:t>
            </w:r>
            <w:r>
              <w:rPr>
                <w:rFonts w:ascii="宋体" w:hAnsi="宋体" w:cs="宋体" w:eastAsia="宋体" w:hint="default"/>
                <w:w w:val="99"/>
                <w:sz w:val="22"/>
                <w:szCs w:val="22"/>
              </w:rPr>
              <w:t> </w:t>
            </w:r>
            <w:r>
              <w:rPr>
                <w:rFonts w:ascii="宋体" w:hAnsi="宋体" w:cs="宋体" w:eastAsia="宋体" w:hint="default"/>
                <w:spacing w:val="-4"/>
                <w:sz w:val="22"/>
                <w:szCs w:val="22"/>
              </w:rPr>
              <w:t>特网接入服务业务和信息服务业务（含固定网电话信息服务业</w:t>
            </w:r>
          </w:p>
        </w:tc>
      </w:tr>
    </w:tbl>
    <w:p>
      <w:pPr>
        <w:spacing w:after="0" w:line="232" w:lineRule="auto"/>
        <w:jc w:val="left"/>
        <w:rPr>
          <w:rFonts w:ascii="宋体" w:hAnsi="宋体" w:cs="宋体" w:eastAsia="宋体" w:hint="default"/>
          <w:sz w:val="22"/>
          <w:szCs w:val="22"/>
        </w:rPr>
        <w:sectPr>
          <w:pgSz w:w="11910" w:h="16840"/>
          <w:pgMar w:header="567" w:footer="745" w:top="800" w:bottom="940" w:left="1380" w:right="740"/>
        </w:sectPr>
      </w:pPr>
    </w:p>
    <w:p>
      <w:pPr>
        <w:spacing w:line="240" w:lineRule="auto" w:before="10"/>
        <w:rPr>
          <w:rFonts w:ascii="宋体" w:hAnsi="宋体" w:cs="宋体" w:eastAsia="宋体" w:hint="default"/>
          <w:sz w:val="27"/>
          <w:szCs w:val="27"/>
        </w:rPr>
      </w:pPr>
    </w:p>
    <w:tbl>
      <w:tblPr>
        <w:tblW w:w="0" w:type="auto"/>
        <w:jc w:val="left"/>
        <w:tblInd w:w="499" w:type="dxa"/>
        <w:tblLayout w:type="fixed"/>
        <w:tblCellMar>
          <w:top w:w="0" w:type="dxa"/>
          <w:left w:w="0" w:type="dxa"/>
          <w:bottom w:w="0" w:type="dxa"/>
          <w:right w:w="0" w:type="dxa"/>
        </w:tblCellMar>
        <w:tblLook w:val="01E0"/>
      </w:tblPr>
      <w:tblGrid>
        <w:gridCol w:w="3060"/>
        <w:gridCol w:w="6076"/>
      </w:tblGrid>
      <w:tr>
        <w:trPr>
          <w:trHeight w:val="3154" w:hRule="exact"/>
        </w:trPr>
        <w:tc>
          <w:tcPr>
            <w:tcW w:w="3060" w:type="dxa"/>
            <w:tcBorders>
              <w:top w:val="single" w:sz="6" w:space="0" w:color="111111"/>
              <w:left w:val="single" w:sz="6" w:space="0" w:color="111111"/>
              <w:bottom w:val="single" w:sz="6" w:space="0" w:color="111111"/>
              <w:right w:val="single" w:sz="6" w:space="0" w:color="111111"/>
            </w:tcBorders>
          </w:tcPr>
          <w:p>
            <w:pPr/>
          </w:p>
        </w:tc>
        <w:tc>
          <w:tcPr>
            <w:tcW w:w="6076" w:type="dxa"/>
            <w:tcBorders>
              <w:top w:val="single" w:sz="6" w:space="0" w:color="111111"/>
              <w:left w:val="single" w:sz="6" w:space="0" w:color="111111"/>
              <w:bottom w:val="single" w:sz="6" w:space="0" w:color="111111"/>
              <w:right w:val="single" w:sz="6" w:space="0" w:color="111111"/>
            </w:tcBorders>
          </w:tcPr>
          <w:p>
            <w:pPr>
              <w:pStyle w:val="TableParagraph"/>
              <w:spacing w:line="252" w:lineRule="exact"/>
              <w:ind w:left="100" w:right="0"/>
              <w:jc w:val="both"/>
              <w:rPr>
                <w:rFonts w:ascii="宋体" w:hAnsi="宋体" w:cs="宋体" w:eastAsia="宋体" w:hint="default"/>
                <w:sz w:val="22"/>
                <w:szCs w:val="22"/>
              </w:rPr>
            </w:pPr>
            <w:r>
              <w:rPr>
                <w:rFonts w:ascii="宋体" w:hAnsi="宋体" w:cs="宋体" w:eastAsia="宋体" w:hint="default"/>
                <w:spacing w:val="6"/>
                <w:sz w:val="22"/>
                <w:szCs w:val="22"/>
              </w:rPr>
              <w:t>务、互联网信息服务业务和移动网信息服务业务，有效期至</w:t>
            </w:r>
            <w:r>
              <w:rPr>
                <w:rFonts w:ascii="宋体" w:hAnsi="宋体" w:cs="宋体" w:eastAsia="宋体" w:hint="default"/>
                <w:sz w:val="22"/>
                <w:szCs w:val="22"/>
              </w:rPr>
            </w:r>
          </w:p>
          <w:p>
            <w:pPr>
              <w:pStyle w:val="TableParagraph"/>
              <w:spacing w:line="235" w:lineRule="auto" w:before="4"/>
              <w:ind w:left="100" w:right="101"/>
              <w:jc w:val="both"/>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4</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Arial" w:hAnsi="Arial" w:cs="Arial" w:eastAsia="Arial" w:hint="default"/>
                <w:sz w:val="22"/>
                <w:szCs w:val="22"/>
              </w:rPr>
              <w:t>9</w:t>
            </w:r>
            <w:r>
              <w:rPr>
                <w:rFonts w:ascii="Arial" w:hAnsi="Arial" w:cs="Arial" w:eastAsia="Arial" w:hint="default"/>
                <w:spacing w:val="-7"/>
                <w:sz w:val="22"/>
                <w:szCs w:val="22"/>
              </w:rPr>
              <w:t> </w:t>
            </w:r>
            <w:r>
              <w:rPr>
                <w:rFonts w:ascii="宋体" w:hAnsi="宋体" w:cs="宋体" w:eastAsia="宋体" w:hint="default"/>
                <w:sz w:val="22"/>
                <w:szCs w:val="22"/>
              </w:rPr>
              <w:t>日）；《信息通信技术》期刊出版（限中国联</w:t>
            </w:r>
            <w:r>
              <w:rPr>
                <w:rFonts w:ascii="宋体" w:hAnsi="宋体" w:cs="宋体" w:eastAsia="宋体" w:hint="default"/>
                <w:w w:val="99"/>
                <w:sz w:val="22"/>
                <w:szCs w:val="22"/>
              </w:rPr>
              <w:t> </w:t>
            </w:r>
            <w:r>
              <w:rPr>
                <w:rFonts w:ascii="宋体" w:hAnsi="宋体" w:cs="宋体" w:eastAsia="宋体" w:hint="default"/>
                <w:spacing w:val="-4"/>
                <w:sz w:val="22"/>
                <w:szCs w:val="22"/>
              </w:rPr>
              <w:t>合网络通信集团有限公司《信息通信技术》编辑部经营，有限</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z w:val="22"/>
                <w:szCs w:val="22"/>
              </w:rPr>
              <w:t>期至</w:t>
            </w:r>
            <w:r>
              <w:rPr>
                <w:rFonts w:ascii="宋体" w:hAnsi="宋体" w:cs="宋体" w:eastAsia="宋体" w:hint="default"/>
                <w:spacing w:val="-55"/>
                <w:sz w:val="22"/>
                <w:szCs w:val="22"/>
              </w:rPr>
              <w:t> </w:t>
            </w:r>
            <w:r>
              <w:rPr>
                <w:rFonts w:ascii="Arial" w:hAnsi="Arial" w:cs="Arial" w:eastAsia="Arial" w:hint="default"/>
                <w:sz w:val="22"/>
                <w:szCs w:val="22"/>
              </w:rPr>
              <w:t>2013</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6"/>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6"/>
                <w:sz w:val="22"/>
                <w:szCs w:val="22"/>
              </w:rPr>
              <w:t> </w:t>
            </w:r>
            <w:r>
              <w:rPr>
                <w:rFonts w:ascii="宋体" w:hAnsi="宋体" w:cs="宋体" w:eastAsia="宋体" w:hint="default"/>
                <w:spacing w:val="-5"/>
                <w:sz w:val="22"/>
                <w:szCs w:val="22"/>
              </w:rPr>
              <w:t>日）；全国性互联网上网服务营业场所</w:t>
            </w:r>
            <w:r>
              <w:rPr>
                <w:rFonts w:ascii="宋体" w:hAnsi="宋体" w:cs="宋体" w:eastAsia="宋体" w:hint="default"/>
                <w:w w:val="99"/>
                <w:sz w:val="22"/>
                <w:szCs w:val="22"/>
              </w:rPr>
              <w:t> </w:t>
            </w:r>
            <w:r>
              <w:rPr>
                <w:rFonts w:ascii="宋体" w:hAnsi="宋体" w:cs="宋体" w:eastAsia="宋体" w:hint="default"/>
                <w:spacing w:val="-4"/>
                <w:sz w:val="22"/>
                <w:szCs w:val="22"/>
              </w:rPr>
              <w:t>连锁经营；利用互联网经营音像制品、游戏产品、艺术品、演</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pacing w:val="-4"/>
                <w:sz w:val="22"/>
                <w:szCs w:val="22"/>
              </w:rPr>
              <w:t>出剧（节）目、动画等其它文化产品，从事互联网文化产品展</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pacing w:val="-4"/>
                <w:sz w:val="22"/>
                <w:szCs w:val="22"/>
              </w:rPr>
              <w:t>览比赛等活动。一般经营项目：经营与通信及信息业务相关的</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pacing w:val="-4"/>
                <w:sz w:val="22"/>
                <w:szCs w:val="22"/>
              </w:rPr>
              <w:t>系统集成、技术开发、技术服务、设备生产、销售、设计施工</w:t>
            </w:r>
            <w:r>
              <w:rPr>
                <w:rFonts w:ascii="宋体" w:hAnsi="宋体" w:cs="宋体" w:eastAsia="宋体" w:hint="default"/>
                <w:spacing w:val="-93"/>
                <w:sz w:val="22"/>
                <w:szCs w:val="22"/>
              </w:rPr>
              <w:t> </w:t>
            </w:r>
            <w:r>
              <w:rPr>
                <w:rFonts w:ascii="宋体" w:hAnsi="宋体" w:cs="宋体" w:eastAsia="宋体" w:hint="default"/>
                <w:spacing w:val="-93"/>
                <w:sz w:val="22"/>
                <w:szCs w:val="22"/>
              </w:rPr>
            </w:r>
            <w:r>
              <w:rPr>
                <w:rFonts w:ascii="宋体" w:hAnsi="宋体" w:cs="宋体" w:eastAsia="宋体" w:hint="default"/>
                <w:spacing w:val="-4"/>
                <w:sz w:val="22"/>
                <w:szCs w:val="22"/>
              </w:rPr>
              <w:t>业务；招标代理；自有房屋出租；电子通信器材的销售；承办</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pacing w:val="-4"/>
                <w:sz w:val="22"/>
                <w:szCs w:val="22"/>
              </w:rPr>
              <w:t>展览；专业人员培训；物业管理；技术交流和信息咨询；广告</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业务；编制、发行电话号码簿。</w:t>
            </w:r>
          </w:p>
        </w:tc>
      </w:tr>
      <w:tr>
        <w:trPr>
          <w:trHeight w:val="586" w:hRule="exact"/>
        </w:trPr>
        <w:tc>
          <w:tcPr>
            <w:tcW w:w="30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8"/>
              <w:ind w:left="100" w:right="0"/>
              <w:jc w:val="left"/>
              <w:rPr>
                <w:rFonts w:ascii="宋体" w:hAnsi="宋体" w:cs="宋体" w:eastAsia="宋体" w:hint="default"/>
                <w:sz w:val="22"/>
                <w:szCs w:val="22"/>
              </w:rPr>
            </w:pPr>
            <w:r>
              <w:rPr>
                <w:rFonts w:ascii="宋体" w:hAnsi="宋体" w:cs="宋体" w:eastAsia="宋体" w:hint="default"/>
                <w:sz w:val="22"/>
                <w:szCs w:val="22"/>
              </w:rPr>
              <w:t>经营成果</w:t>
            </w:r>
          </w:p>
        </w:tc>
        <w:tc>
          <w:tcPr>
            <w:tcW w:w="6076" w:type="dxa"/>
            <w:tcBorders>
              <w:top w:val="single" w:sz="6" w:space="0" w:color="111111"/>
              <w:left w:val="single" w:sz="6" w:space="0" w:color="111111"/>
              <w:bottom w:val="single" w:sz="6" w:space="0" w:color="111111"/>
              <w:right w:val="single" w:sz="6" w:space="0" w:color="111111"/>
            </w:tcBorders>
          </w:tcPr>
          <w:p>
            <w:pPr>
              <w:pStyle w:val="TableParagraph"/>
              <w:spacing w:line="259" w:lineRule="exact"/>
              <w:ind w:left="100" w:right="0"/>
              <w:jc w:val="left"/>
              <w:rPr>
                <w:rFonts w:ascii="Arial" w:hAnsi="Arial" w:cs="Arial" w:eastAsia="Arial" w:hint="default"/>
                <w:sz w:val="22"/>
                <w:szCs w:val="22"/>
              </w:rPr>
            </w:pPr>
            <w:r>
              <w:rPr>
                <w:rFonts w:ascii="宋体" w:hAnsi="宋体" w:cs="宋体" w:eastAsia="宋体" w:hint="default"/>
                <w:sz w:val="22"/>
                <w:szCs w:val="22"/>
              </w:rPr>
              <w:t>经审计 </w:t>
            </w:r>
            <w:r>
              <w:rPr>
                <w:rFonts w:ascii="Arial" w:hAnsi="Arial" w:cs="Arial" w:eastAsia="Arial" w:hint="default"/>
                <w:sz w:val="22"/>
                <w:szCs w:val="22"/>
              </w:rPr>
              <w:t>2011 </w:t>
            </w:r>
            <w:r>
              <w:rPr>
                <w:rFonts w:ascii="宋体" w:hAnsi="宋体" w:cs="宋体" w:eastAsia="宋体" w:hint="default"/>
                <w:sz w:val="22"/>
                <w:szCs w:val="22"/>
              </w:rPr>
              <w:t>年度实现净利润约人民币 </w:t>
            </w:r>
            <w:r>
              <w:rPr>
                <w:rFonts w:ascii="Arial" w:hAnsi="Arial" w:cs="Arial" w:eastAsia="Arial" w:hint="default"/>
                <w:sz w:val="22"/>
                <w:szCs w:val="22"/>
              </w:rPr>
              <w:t>5 </w:t>
            </w:r>
            <w:r>
              <w:rPr>
                <w:rFonts w:ascii="宋体" w:hAnsi="宋体" w:cs="宋体" w:eastAsia="宋体" w:hint="default"/>
                <w:sz w:val="22"/>
                <w:szCs w:val="22"/>
              </w:rPr>
              <w:t>亿元；</w:t>
            </w:r>
            <w:r>
              <w:rPr>
                <w:rFonts w:ascii="Arial" w:hAnsi="Arial" w:cs="Arial" w:eastAsia="Arial" w:hint="default"/>
                <w:sz w:val="22"/>
                <w:szCs w:val="22"/>
              </w:rPr>
              <w:t>2012 </w:t>
            </w:r>
            <w:r>
              <w:rPr>
                <w:rFonts w:ascii="宋体" w:hAnsi="宋体" w:cs="宋体" w:eastAsia="宋体" w:hint="default"/>
                <w:sz w:val="22"/>
                <w:szCs w:val="22"/>
              </w:rPr>
              <w:t>年</w:t>
            </w:r>
            <w:r>
              <w:rPr>
                <w:rFonts w:ascii="宋体" w:hAnsi="宋体" w:cs="宋体" w:eastAsia="宋体" w:hint="default"/>
                <w:spacing w:val="-43"/>
                <w:sz w:val="22"/>
                <w:szCs w:val="22"/>
              </w:rPr>
              <w:t> </w:t>
            </w:r>
            <w:r>
              <w:rPr>
                <w:rFonts w:ascii="Arial" w:hAnsi="Arial" w:cs="Arial" w:eastAsia="Arial" w:hint="default"/>
                <w:sz w:val="22"/>
                <w:szCs w:val="22"/>
              </w:rPr>
              <w:t>1-6</w:t>
            </w:r>
          </w:p>
          <w:p>
            <w:pPr>
              <w:pStyle w:val="TableParagraph"/>
              <w:spacing w:line="294" w:lineRule="exact"/>
              <w:ind w:left="100" w:right="0"/>
              <w:jc w:val="left"/>
              <w:rPr>
                <w:rFonts w:ascii="宋体" w:hAnsi="宋体" w:cs="宋体" w:eastAsia="宋体" w:hint="default"/>
                <w:sz w:val="22"/>
                <w:szCs w:val="22"/>
              </w:rPr>
            </w:pPr>
            <w:r>
              <w:rPr>
                <w:rFonts w:ascii="宋体" w:hAnsi="宋体" w:cs="宋体" w:eastAsia="宋体" w:hint="default"/>
                <w:sz w:val="22"/>
                <w:szCs w:val="22"/>
              </w:rPr>
              <w:t>月实现净利润约人民币</w:t>
            </w:r>
            <w:r>
              <w:rPr>
                <w:rFonts w:ascii="宋体" w:hAnsi="宋体" w:cs="宋体" w:eastAsia="宋体" w:hint="default"/>
                <w:spacing w:val="-58"/>
                <w:sz w:val="22"/>
                <w:szCs w:val="22"/>
              </w:rPr>
              <w:t> </w:t>
            </w:r>
            <w:r>
              <w:rPr>
                <w:rFonts w:ascii="Arial" w:hAnsi="Arial" w:cs="Arial" w:eastAsia="Arial" w:hint="default"/>
                <w:sz w:val="22"/>
                <w:szCs w:val="22"/>
              </w:rPr>
              <w:t>3</w:t>
            </w:r>
            <w:r>
              <w:rPr>
                <w:rFonts w:ascii="Arial" w:hAnsi="Arial" w:cs="Arial" w:eastAsia="Arial" w:hint="default"/>
                <w:spacing w:val="-10"/>
                <w:sz w:val="22"/>
                <w:szCs w:val="22"/>
              </w:rPr>
              <w:t> </w:t>
            </w:r>
            <w:r>
              <w:rPr>
                <w:rFonts w:ascii="宋体" w:hAnsi="宋体" w:cs="宋体" w:eastAsia="宋体" w:hint="default"/>
                <w:sz w:val="22"/>
                <w:szCs w:val="22"/>
              </w:rPr>
              <w:t>亿元（未经审计）。</w:t>
            </w:r>
          </w:p>
        </w:tc>
      </w:tr>
      <w:tr>
        <w:trPr>
          <w:trHeight w:val="586" w:hRule="exact"/>
        </w:trPr>
        <w:tc>
          <w:tcPr>
            <w:tcW w:w="30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8"/>
              <w:ind w:left="100" w:right="0"/>
              <w:jc w:val="left"/>
              <w:rPr>
                <w:rFonts w:ascii="宋体" w:hAnsi="宋体" w:cs="宋体" w:eastAsia="宋体" w:hint="default"/>
                <w:sz w:val="22"/>
                <w:szCs w:val="22"/>
              </w:rPr>
            </w:pPr>
            <w:r>
              <w:rPr>
                <w:rFonts w:ascii="宋体" w:hAnsi="宋体" w:cs="宋体" w:eastAsia="宋体" w:hint="default"/>
                <w:sz w:val="22"/>
                <w:szCs w:val="22"/>
              </w:rPr>
              <w:t>财务状况</w:t>
            </w:r>
          </w:p>
        </w:tc>
        <w:tc>
          <w:tcPr>
            <w:tcW w:w="6076" w:type="dxa"/>
            <w:tcBorders>
              <w:top w:val="single" w:sz="6" w:space="0" w:color="111111"/>
              <w:left w:val="single" w:sz="6" w:space="0" w:color="111111"/>
              <w:bottom w:val="single" w:sz="6" w:space="0" w:color="111111"/>
              <w:right w:val="single" w:sz="6" w:space="0" w:color="111111"/>
            </w:tcBorders>
          </w:tcPr>
          <w:p>
            <w:pPr>
              <w:pStyle w:val="TableParagraph"/>
              <w:spacing w:line="259" w:lineRule="exact"/>
              <w:ind w:left="100" w:right="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0"/>
                <w:sz w:val="22"/>
                <w:szCs w:val="22"/>
              </w:rPr>
              <w:t> </w:t>
            </w:r>
            <w:r>
              <w:rPr>
                <w:rFonts w:ascii="Arial" w:hAnsi="Arial" w:cs="Arial" w:eastAsia="Arial" w:hint="default"/>
                <w:sz w:val="22"/>
                <w:szCs w:val="22"/>
              </w:rPr>
              <w:t>2012</w:t>
            </w:r>
            <w:r>
              <w:rPr>
                <w:rFonts w:ascii="Arial" w:hAnsi="Arial" w:cs="Arial" w:eastAsia="Arial"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Arial" w:hAnsi="Arial" w:cs="Arial" w:eastAsia="Arial" w:hint="default"/>
                <w:sz w:val="22"/>
                <w:szCs w:val="22"/>
              </w:rPr>
              <w:t>6</w:t>
            </w:r>
            <w:r>
              <w:rPr>
                <w:rFonts w:ascii="Arial" w:hAnsi="Arial" w:cs="Arial" w:eastAsia="Arial"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Arial" w:hAnsi="Arial" w:cs="Arial" w:eastAsia="Arial" w:hint="default"/>
                <w:sz w:val="22"/>
                <w:szCs w:val="22"/>
              </w:rPr>
              <w:t>30</w:t>
            </w:r>
            <w:r>
              <w:rPr>
                <w:rFonts w:ascii="Arial" w:hAnsi="Arial" w:cs="Arial" w:eastAsia="Arial" w:hint="default"/>
                <w:spacing w:val="-1"/>
                <w:sz w:val="22"/>
                <w:szCs w:val="22"/>
              </w:rPr>
              <w:t> </w:t>
            </w:r>
            <w:r>
              <w:rPr>
                <w:rFonts w:ascii="宋体" w:hAnsi="宋体" w:cs="宋体" w:eastAsia="宋体" w:hint="default"/>
                <w:sz w:val="22"/>
                <w:szCs w:val="22"/>
              </w:rPr>
              <w:t>日，总资产约人民币</w:t>
            </w:r>
            <w:r>
              <w:rPr>
                <w:rFonts w:ascii="宋体" w:hAnsi="宋体" w:cs="宋体" w:eastAsia="宋体" w:hint="default"/>
                <w:spacing w:val="-50"/>
                <w:sz w:val="22"/>
                <w:szCs w:val="22"/>
              </w:rPr>
              <w:t> </w:t>
            </w:r>
            <w:r>
              <w:rPr>
                <w:rFonts w:ascii="Arial" w:hAnsi="Arial" w:cs="Arial" w:eastAsia="Arial" w:hint="default"/>
                <w:sz w:val="22"/>
                <w:szCs w:val="22"/>
              </w:rPr>
              <w:t>1,584</w:t>
            </w:r>
            <w:r>
              <w:rPr>
                <w:rFonts w:ascii="Arial" w:hAnsi="Arial" w:cs="Arial" w:eastAsia="Arial" w:hint="default"/>
                <w:spacing w:val="-1"/>
                <w:sz w:val="22"/>
                <w:szCs w:val="22"/>
              </w:rPr>
              <w:t> </w:t>
            </w:r>
            <w:r>
              <w:rPr>
                <w:rFonts w:ascii="宋体" w:hAnsi="宋体" w:cs="宋体" w:eastAsia="宋体" w:hint="default"/>
                <w:sz w:val="22"/>
                <w:szCs w:val="22"/>
              </w:rPr>
              <w:t>亿元，净资</w:t>
            </w:r>
          </w:p>
          <w:p>
            <w:pPr>
              <w:pStyle w:val="TableParagraph"/>
              <w:spacing w:line="294" w:lineRule="exact"/>
              <w:ind w:left="100" w:right="0"/>
              <w:jc w:val="left"/>
              <w:rPr>
                <w:rFonts w:ascii="宋体" w:hAnsi="宋体" w:cs="宋体" w:eastAsia="宋体" w:hint="default"/>
                <w:sz w:val="22"/>
                <w:szCs w:val="22"/>
              </w:rPr>
            </w:pPr>
            <w:r>
              <w:rPr>
                <w:rFonts w:ascii="宋体" w:hAnsi="宋体" w:cs="宋体" w:eastAsia="宋体" w:hint="default"/>
                <w:sz w:val="22"/>
                <w:szCs w:val="22"/>
              </w:rPr>
              <w:t>产约人民币</w:t>
            </w:r>
            <w:r>
              <w:rPr>
                <w:rFonts w:ascii="宋体" w:hAnsi="宋体" w:cs="宋体" w:eastAsia="宋体" w:hint="default"/>
                <w:spacing w:val="-58"/>
                <w:sz w:val="22"/>
                <w:szCs w:val="22"/>
              </w:rPr>
              <w:t> </w:t>
            </w:r>
            <w:r>
              <w:rPr>
                <w:rFonts w:ascii="Arial" w:hAnsi="Arial" w:cs="Arial" w:eastAsia="Arial" w:hint="default"/>
                <w:sz w:val="22"/>
                <w:szCs w:val="22"/>
              </w:rPr>
              <w:t>1,329</w:t>
            </w:r>
            <w:r>
              <w:rPr>
                <w:rFonts w:ascii="Arial" w:hAnsi="Arial" w:cs="Arial" w:eastAsia="Arial" w:hint="default"/>
                <w:spacing w:val="-10"/>
                <w:sz w:val="22"/>
                <w:szCs w:val="22"/>
              </w:rPr>
              <w:t> </w:t>
            </w:r>
            <w:r>
              <w:rPr>
                <w:rFonts w:ascii="宋体" w:hAnsi="宋体" w:cs="宋体" w:eastAsia="宋体" w:hint="default"/>
                <w:sz w:val="22"/>
                <w:szCs w:val="22"/>
              </w:rPr>
              <w:t>亿元（未经审计）。</w:t>
            </w:r>
          </w:p>
        </w:tc>
      </w:tr>
      <w:tr>
        <w:trPr>
          <w:trHeight w:val="1442" w:hRule="exact"/>
        </w:trPr>
        <w:tc>
          <w:tcPr>
            <w:tcW w:w="306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sz w:val="22"/>
                <w:szCs w:val="22"/>
              </w:rPr>
              <w:t>现金流和未来发展战略</w:t>
            </w:r>
          </w:p>
        </w:tc>
        <w:tc>
          <w:tcPr>
            <w:tcW w:w="6076" w:type="dxa"/>
            <w:tcBorders>
              <w:top w:val="single" w:sz="6" w:space="0" w:color="111111"/>
              <w:left w:val="single" w:sz="6" w:space="0" w:color="111111"/>
              <w:bottom w:val="single" w:sz="6" w:space="0" w:color="111111"/>
              <w:right w:val="single" w:sz="6" w:space="0" w:color="111111"/>
            </w:tcBorders>
          </w:tcPr>
          <w:p>
            <w:pPr>
              <w:pStyle w:val="TableParagraph"/>
              <w:spacing w:line="251" w:lineRule="exact"/>
              <w:ind w:left="100" w:right="0"/>
              <w:jc w:val="left"/>
              <w:rPr>
                <w:rFonts w:ascii="宋体" w:hAnsi="宋体" w:cs="宋体" w:eastAsia="宋体" w:hint="default"/>
                <w:sz w:val="22"/>
                <w:szCs w:val="22"/>
              </w:rPr>
            </w:pPr>
            <w:r>
              <w:rPr>
                <w:rFonts w:ascii="宋体" w:hAnsi="宋体" w:cs="宋体" w:eastAsia="宋体" w:hint="default"/>
                <w:spacing w:val="-4"/>
                <w:sz w:val="22"/>
                <w:szCs w:val="22"/>
              </w:rPr>
              <w:t>联通集团现金流状况良好。面对公司内外部形势所发生的新变</w:t>
            </w:r>
          </w:p>
          <w:p>
            <w:pPr>
              <w:pStyle w:val="TableParagraph"/>
              <w:spacing w:line="286" w:lineRule="exact" w:before="26"/>
              <w:ind w:left="100" w:right="-8"/>
              <w:jc w:val="left"/>
              <w:rPr>
                <w:rFonts w:ascii="宋体" w:hAnsi="宋体" w:cs="宋体" w:eastAsia="宋体" w:hint="default"/>
                <w:sz w:val="22"/>
                <w:szCs w:val="22"/>
              </w:rPr>
            </w:pPr>
            <w:r>
              <w:rPr>
                <w:rFonts w:ascii="宋体" w:hAnsi="宋体" w:cs="宋体" w:eastAsia="宋体" w:hint="default"/>
                <w:spacing w:val="-4"/>
                <w:sz w:val="22"/>
                <w:szCs w:val="22"/>
              </w:rPr>
              <w:t>化，中国联通将以“信息生活的创新服务领导者”为愿景，深</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z w:val="22"/>
                <w:szCs w:val="22"/>
              </w:rPr>
              <w:t>入实施“</w:t>
            </w:r>
            <w:r>
              <w:rPr>
                <w:rFonts w:ascii="Arial" w:hAnsi="Arial" w:cs="Arial" w:eastAsia="Arial" w:hint="default"/>
                <w:sz w:val="22"/>
                <w:szCs w:val="22"/>
              </w:rPr>
              <w:t>3G</w:t>
            </w:r>
            <w:r>
              <w:rPr>
                <w:rFonts w:ascii="Arial" w:hAnsi="Arial" w:cs="Arial" w:eastAsia="Arial" w:hint="default"/>
                <w:spacing w:val="1"/>
                <w:sz w:val="22"/>
                <w:szCs w:val="22"/>
              </w:rPr>
              <w:t> </w:t>
            </w:r>
            <w:r>
              <w:rPr>
                <w:rFonts w:ascii="宋体" w:hAnsi="宋体" w:cs="宋体" w:eastAsia="宋体" w:hint="default"/>
                <w:sz w:val="22"/>
                <w:szCs w:val="22"/>
              </w:rPr>
              <w:t>领先与一体化创新战略”，以“聚焦增长、提升</w:t>
            </w:r>
            <w:r>
              <w:rPr>
                <w:rFonts w:ascii="宋体" w:hAnsi="宋体" w:cs="宋体" w:eastAsia="宋体" w:hint="default"/>
                <w:w w:val="99"/>
                <w:sz w:val="22"/>
                <w:szCs w:val="22"/>
              </w:rPr>
              <w:t> </w:t>
            </w:r>
            <w:r>
              <w:rPr>
                <w:rFonts w:ascii="宋体" w:hAnsi="宋体" w:cs="宋体" w:eastAsia="宋体" w:hint="default"/>
                <w:spacing w:val="-7"/>
                <w:sz w:val="22"/>
                <w:szCs w:val="22"/>
              </w:rPr>
              <w:t>效率”为目标，致力于将公司打造成为“行业领先、业绩突出、</w:t>
            </w:r>
            <w:r>
              <w:rPr>
                <w:rFonts w:ascii="宋体" w:hAnsi="宋体" w:cs="宋体" w:eastAsia="宋体" w:hint="default"/>
                <w:w w:val="99"/>
                <w:sz w:val="22"/>
                <w:szCs w:val="22"/>
              </w:rPr>
              <w:t> </w:t>
            </w:r>
            <w:r>
              <w:rPr>
                <w:rFonts w:ascii="宋体" w:hAnsi="宋体" w:cs="宋体" w:eastAsia="宋体" w:hint="default"/>
                <w:sz w:val="22"/>
                <w:szCs w:val="22"/>
              </w:rPr>
              <w:t>运营高效、服务卓越”的国际一流创新型企业。</w:t>
            </w:r>
          </w:p>
        </w:tc>
      </w:tr>
      <w:tr>
        <w:trPr>
          <w:trHeight w:val="586" w:hRule="exact"/>
        </w:trPr>
        <w:tc>
          <w:tcPr>
            <w:tcW w:w="3060" w:type="dxa"/>
            <w:tcBorders>
              <w:top w:val="single" w:sz="6" w:space="0" w:color="111111"/>
              <w:left w:val="single" w:sz="6" w:space="0" w:color="111111"/>
              <w:bottom w:val="single" w:sz="6" w:space="0" w:color="111111"/>
              <w:right w:val="single" w:sz="6" w:space="0" w:color="111111"/>
            </w:tcBorders>
          </w:tcPr>
          <w:p>
            <w:pPr>
              <w:pStyle w:val="TableParagraph"/>
              <w:spacing w:line="251" w:lineRule="exact"/>
              <w:ind w:left="100" w:right="0"/>
              <w:jc w:val="left"/>
              <w:rPr>
                <w:rFonts w:ascii="宋体" w:hAnsi="宋体" w:cs="宋体" w:eastAsia="宋体" w:hint="default"/>
                <w:sz w:val="22"/>
                <w:szCs w:val="22"/>
              </w:rPr>
            </w:pPr>
            <w:r>
              <w:rPr>
                <w:rFonts w:ascii="宋体" w:hAnsi="宋体" w:cs="宋体" w:eastAsia="宋体" w:hint="default"/>
                <w:sz w:val="22"/>
                <w:szCs w:val="22"/>
              </w:rPr>
              <w:t>报告期内控股和参股的其他</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境内外上市公司的股权情况</w:t>
            </w:r>
          </w:p>
        </w:tc>
        <w:tc>
          <w:tcPr>
            <w:tcW w:w="6076" w:type="dxa"/>
            <w:tcBorders>
              <w:top w:val="single" w:sz="6" w:space="0" w:color="111111"/>
              <w:left w:val="single" w:sz="6" w:space="0" w:color="111111"/>
              <w:bottom w:val="single" w:sz="6" w:space="0" w:color="111111"/>
              <w:right w:val="single" w:sz="6" w:space="0" w:color="111111"/>
            </w:tcBorders>
          </w:tcPr>
          <w:p>
            <w:pPr>
              <w:pStyle w:val="TableParagraph"/>
              <w:spacing w:line="258" w:lineRule="exact"/>
              <w:ind w:left="100" w:right="0"/>
              <w:jc w:val="left"/>
              <w:rPr>
                <w:rFonts w:ascii="宋体" w:hAnsi="宋体" w:cs="宋体" w:eastAsia="宋体" w:hint="default"/>
                <w:sz w:val="22"/>
                <w:szCs w:val="22"/>
              </w:rPr>
            </w:pPr>
            <w:r>
              <w:rPr>
                <w:rFonts w:ascii="宋体" w:hAnsi="宋体" w:cs="宋体" w:eastAsia="宋体" w:hint="default"/>
                <w:spacing w:val="49"/>
                <w:sz w:val="22"/>
                <w:szCs w:val="22"/>
              </w:rPr>
              <w:t>持有中国通信服务</w:t>
            </w:r>
            <w:r>
              <w:rPr>
                <w:rFonts w:ascii="宋体" w:hAnsi="宋体" w:cs="宋体" w:eastAsia="宋体" w:hint="default"/>
                <w:spacing w:val="-59"/>
                <w:sz w:val="22"/>
                <w:szCs w:val="22"/>
              </w:rPr>
              <w:t> </w:t>
            </w:r>
            <w:r>
              <w:rPr>
                <w:rFonts w:ascii="Arial" w:hAnsi="Arial" w:cs="Arial" w:eastAsia="Arial" w:hint="default"/>
                <w:sz w:val="22"/>
                <w:szCs w:val="22"/>
              </w:rPr>
              <w:t>(HK552)3.41%</w:t>
            </w:r>
            <w:r>
              <w:rPr>
                <w:rFonts w:ascii="Arial" w:hAnsi="Arial" w:cs="Arial" w:eastAsia="Arial" w:hint="default"/>
                <w:spacing w:val="-10"/>
                <w:sz w:val="22"/>
                <w:szCs w:val="22"/>
              </w:rPr>
              <w:t> </w:t>
            </w:r>
            <w:r>
              <w:rPr>
                <w:rFonts w:ascii="宋体" w:hAnsi="宋体" w:cs="宋体" w:eastAsia="宋体" w:hint="default"/>
                <w:spacing w:val="49"/>
                <w:sz w:val="22"/>
                <w:szCs w:val="22"/>
              </w:rPr>
              <w:t>股权；持有人民网</w:t>
            </w:r>
            <w:r>
              <w:rPr>
                <w:rFonts w:ascii="宋体" w:hAnsi="宋体" w:cs="宋体" w:eastAsia="宋体" w:hint="default"/>
                <w:spacing w:val="-54"/>
                <w:sz w:val="22"/>
                <w:szCs w:val="22"/>
              </w:rPr>
              <w:t> </w:t>
            </w:r>
            <w:r>
              <w:rPr>
                <w:rFonts w:ascii="宋体" w:hAnsi="宋体" w:cs="宋体" w:eastAsia="宋体" w:hint="default"/>
                <w:sz w:val="22"/>
                <w:szCs w:val="22"/>
              </w:rPr>
            </w:r>
          </w:p>
          <w:p>
            <w:pPr>
              <w:pStyle w:val="TableParagraph"/>
              <w:spacing w:line="295" w:lineRule="exact"/>
              <w:ind w:left="100" w:right="0"/>
              <w:jc w:val="left"/>
              <w:rPr>
                <w:rFonts w:ascii="宋体" w:hAnsi="宋体" w:cs="宋体" w:eastAsia="宋体" w:hint="default"/>
                <w:sz w:val="22"/>
                <w:szCs w:val="22"/>
              </w:rPr>
            </w:pPr>
            <w:r>
              <w:rPr>
                <w:rFonts w:ascii="Arial" w:hAnsi="Arial" w:cs="Arial" w:eastAsia="Arial" w:hint="default"/>
                <w:sz w:val="22"/>
                <w:szCs w:val="22"/>
              </w:rPr>
              <w:t>(SH603000)1.45%</w:t>
            </w:r>
            <w:r>
              <w:rPr>
                <w:rFonts w:ascii="宋体" w:hAnsi="宋体" w:cs="宋体" w:eastAsia="宋体" w:hint="default"/>
                <w:sz w:val="22"/>
                <w:szCs w:val="22"/>
              </w:rPr>
              <w:t>股权。</w:t>
            </w:r>
          </w:p>
        </w:tc>
      </w:tr>
    </w:tbl>
    <w:p>
      <w:pPr>
        <w:spacing w:line="240" w:lineRule="auto" w:before="5"/>
        <w:rPr>
          <w:rFonts w:ascii="宋体" w:hAnsi="宋体" w:cs="宋体" w:eastAsia="宋体" w:hint="default"/>
          <w:sz w:val="12"/>
          <w:szCs w:val="12"/>
        </w:rPr>
      </w:pPr>
    </w:p>
    <w:p>
      <w:pPr>
        <w:pStyle w:val="BodyText"/>
        <w:spacing w:line="240" w:lineRule="auto" w:before="31"/>
        <w:ind w:left="146" w:right="0"/>
        <w:jc w:val="left"/>
      </w:pPr>
      <w:r>
        <w:rPr/>
        <w:t>（二）实际控制人情况</w:t>
      </w:r>
    </w:p>
    <w:p>
      <w:pPr>
        <w:spacing w:line="240" w:lineRule="auto" w:before="1"/>
        <w:rPr>
          <w:rFonts w:ascii="宋体" w:hAnsi="宋体" w:cs="宋体" w:eastAsia="宋体" w:hint="default"/>
          <w:sz w:val="19"/>
          <w:szCs w:val="19"/>
        </w:rPr>
      </w:pPr>
    </w:p>
    <w:p>
      <w:pPr>
        <w:pStyle w:val="BodyText"/>
        <w:spacing w:line="240" w:lineRule="auto"/>
        <w:ind w:left="146" w:right="0"/>
        <w:jc w:val="left"/>
      </w:pPr>
      <w:r>
        <w:rPr>
          <w:rFonts w:ascii="Arial" w:hAnsi="Arial" w:cs="Arial" w:eastAsia="Arial" w:hint="default"/>
        </w:rPr>
        <w:t>1</w:t>
      </w:r>
      <w:r>
        <w:rPr/>
        <w:t>、公司与实际控制人之间的产权及控制关系的方框图</w:t>
      </w:r>
    </w:p>
    <w:p>
      <w:pPr>
        <w:spacing w:line="240" w:lineRule="auto" w:before="5"/>
        <w:rPr>
          <w:rFonts w:ascii="宋体" w:hAnsi="宋体" w:cs="宋体" w:eastAsia="宋体" w:hint="default"/>
          <w:sz w:val="15"/>
          <w:szCs w:val="15"/>
        </w:rPr>
      </w:pPr>
    </w:p>
    <w:p>
      <w:pPr>
        <w:spacing w:line="2370" w:lineRule="exact"/>
        <w:ind w:left="506" w:right="0" w:firstLine="0"/>
        <w:rPr>
          <w:rFonts w:ascii="宋体" w:hAnsi="宋体" w:cs="宋体" w:eastAsia="宋体" w:hint="default"/>
          <w:sz w:val="20"/>
          <w:szCs w:val="20"/>
        </w:rPr>
      </w:pPr>
      <w:r>
        <w:rPr>
          <w:rFonts w:ascii="宋体" w:hAnsi="宋体" w:cs="宋体" w:eastAsia="宋体" w:hint="default"/>
          <w:position w:val="-46"/>
          <w:sz w:val="20"/>
          <w:szCs w:val="20"/>
        </w:rPr>
        <w:drawing>
          <wp:inline distT="0" distB="0" distL="0" distR="0">
            <wp:extent cx="2429510" cy="15049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2429510" cy="1504950"/>
                    </a:xfrm>
                    <a:prstGeom prst="rect">
                      <a:avLst/>
                    </a:prstGeom>
                  </pic:spPr>
                </pic:pic>
              </a:graphicData>
            </a:graphic>
          </wp:inline>
        </w:drawing>
      </w:r>
      <w:r>
        <w:rPr>
          <w:rFonts w:ascii="宋体" w:hAnsi="宋体" w:cs="宋体" w:eastAsia="宋体" w:hint="default"/>
          <w:position w:val="-46"/>
          <w:sz w:val="20"/>
          <w:szCs w:val="20"/>
        </w:rPr>
      </w:r>
    </w:p>
    <w:p>
      <w:pPr>
        <w:pStyle w:val="BodyText"/>
        <w:spacing w:line="448" w:lineRule="auto" w:before="195"/>
        <w:ind w:left="821" w:right="1687" w:hanging="676"/>
        <w:jc w:val="left"/>
      </w:pPr>
      <w:r>
        <w:rPr/>
        <w:t>（三）控股股东及实际控制人其他情况介绍</w:t>
      </w:r>
      <w:r>
        <w:rPr>
          <w:w w:val="99"/>
        </w:rPr>
        <w:t> </w:t>
      </w:r>
      <w:r>
        <w:rPr/>
        <w:t>联通集团为本公司的控股股东，本公司的实际最终控制人为国务院国资委。</w:t>
      </w:r>
    </w:p>
    <w:p>
      <w:pPr>
        <w:spacing w:line="448" w:lineRule="auto" w:before="58"/>
        <w:ind w:left="641" w:right="162" w:hanging="496"/>
        <w:jc w:val="left"/>
        <w:rPr>
          <w:rFonts w:ascii="宋体" w:hAnsi="宋体" w:cs="宋体" w:eastAsia="宋体" w:hint="default"/>
          <w:sz w:val="22"/>
          <w:szCs w:val="22"/>
        </w:rPr>
      </w:pPr>
      <w:r>
        <w:rPr>
          <w:rFonts w:ascii="宋体" w:hAnsi="宋体" w:cs="宋体" w:eastAsia="宋体" w:hint="default"/>
          <w:b/>
          <w:bCs/>
          <w:sz w:val="22"/>
          <w:szCs w:val="22"/>
        </w:rPr>
        <w:t>五、其他持股在百分之十以上的法人股东</w:t>
      </w:r>
      <w:r>
        <w:rPr>
          <w:rFonts w:ascii="宋体" w:hAnsi="宋体" w:cs="宋体" w:eastAsia="宋体" w:hint="default"/>
          <w:b/>
          <w:bCs/>
          <w:spacing w:val="1"/>
          <w:w w:val="99"/>
          <w:sz w:val="22"/>
          <w:szCs w:val="22"/>
        </w:rPr>
        <w:t> </w:t>
      </w:r>
      <w:r>
        <w:rPr>
          <w:rFonts w:ascii="宋体" w:hAnsi="宋体" w:cs="宋体" w:eastAsia="宋体" w:hint="default"/>
          <w:w w:val="95"/>
          <w:sz w:val="22"/>
          <w:szCs w:val="22"/>
        </w:rPr>
        <w:t>截止本报告期末公司无其他持股在百分之十以上的法人股东。</w:t>
      </w:r>
      <w:r>
        <w:rPr>
          <w:rFonts w:ascii="宋体" w:hAnsi="宋体" w:cs="宋体" w:eastAsia="宋体" w:hint="default"/>
          <w:sz w:val="22"/>
          <w:szCs w:val="22"/>
        </w:rPr>
      </w:r>
    </w:p>
    <w:p>
      <w:pPr>
        <w:spacing w:after="0" w:line="448" w:lineRule="auto"/>
        <w:jc w:val="left"/>
        <w:rPr>
          <w:rFonts w:ascii="宋体" w:hAnsi="宋体" w:cs="宋体" w:eastAsia="宋体" w:hint="default"/>
          <w:sz w:val="22"/>
          <w:szCs w:val="22"/>
        </w:rPr>
        <w:sectPr>
          <w:pgSz w:w="11910" w:h="16840"/>
          <w:pgMar w:header="567" w:footer="745" w:top="800" w:bottom="940" w:left="1380" w:right="740"/>
        </w:sectPr>
      </w:pPr>
    </w:p>
    <w:p>
      <w:pPr>
        <w:spacing w:line="240" w:lineRule="auto" w:before="3"/>
        <w:rPr>
          <w:rFonts w:ascii="宋体" w:hAnsi="宋体" w:cs="宋体" w:eastAsia="宋体" w:hint="default"/>
          <w:sz w:val="23"/>
          <w:szCs w:val="23"/>
        </w:rPr>
      </w:pPr>
    </w:p>
    <w:p>
      <w:pPr>
        <w:pStyle w:val="Heading1"/>
        <w:tabs>
          <w:tab w:pos="3128" w:val="left" w:leader="none"/>
        </w:tabs>
        <w:spacing w:line="240" w:lineRule="auto"/>
        <w:ind w:left="1874" w:right="318"/>
        <w:jc w:val="left"/>
        <w:rPr>
          <w:b w:val="0"/>
          <w:bCs w:val="0"/>
        </w:rPr>
      </w:pPr>
      <w:bookmarkStart w:name="_TOC_250004" w:id="7"/>
      <w:r>
        <w:rPr>
          <w:w w:val="95"/>
        </w:rPr>
        <w:t>第七节</w:t>
        <w:tab/>
      </w:r>
      <w:r>
        <w:rPr/>
        <w:t>董事、监事、高级管理人员和员工情况</w:t>
      </w:r>
      <w:bookmarkEnd w:id="7"/>
      <w:r>
        <w:rPr>
          <w:b w:val="0"/>
          <w:bCs w:val="0"/>
        </w:rPr>
      </w:r>
    </w:p>
    <w:p>
      <w:pPr>
        <w:spacing w:line="240" w:lineRule="auto" w:before="12"/>
        <w:rPr>
          <w:rFonts w:ascii="宋体" w:hAnsi="宋体" w:cs="宋体" w:eastAsia="宋体" w:hint="default"/>
          <w:b/>
          <w:bCs/>
          <w:sz w:val="19"/>
          <w:szCs w:val="19"/>
        </w:rPr>
      </w:pPr>
    </w:p>
    <w:p>
      <w:pPr>
        <w:pStyle w:val="Heading3"/>
        <w:spacing w:line="240" w:lineRule="auto" w:before="0"/>
        <w:ind w:right="318"/>
        <w:jc w:val="left"/>
        <w:rPr>
          <w:b w:val="0"/>
          <w:bCs w:val="0"/>
        </w:rPr>
      </w:pPr>
      <w:r>
        <w:rPr/>
        <w:t>一、持股变动及报酬情况</w:t>
      </w:r>
      <w:r>
        <w:rPr>
          <w:b w:val="0"/>
          <w:bCs w:val="0"/>
        </w:rPr>
      </w:r>
    </w:p>
    <w:p>
      <w:pPr>
        <w:spacing w:line="240" w:lineRule="auto" w:before="1"/>
        <w:rPr>
          <w:rFonts w:ascii="宋体" w:hAnsi="宋体" w:cs="宋体" w:eastAsia="宋体" w:hint="default"/>
          <w:b/>
          <w:bCs/>
          <w:sz w:val="19"/>
          <w:szCs w:val="19"/>
        </w:rPr>
      </w:pPr>
    </w:p>
    <w:p>
      <w:pPr>
        <w:pStyle w:val="BodyText"/>
        <w:spacing w:line="240" w:lineRule="auto"/>
        <w:ind w:left="146" w:right="318"/>
        <w:jc w:val="left"/>
      </w:pPr>
      <w:r>
        <w:rPr/>
        <w:t>（一）现任及报告期内离任董事、监事和高级管理人员持股变动及报酬情况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44"/>
        <w:ind w:left="0" w:right="112" w:firstLine="0"/>
        <w:jc w:val="right"/>
        <w:rPr>
          <w:rFonts w:ascii="宋体" w:hAnsi="宋体" w:cs="宋体" w:eastAsia="宋体" w:hint="default"/>
          <w:sz w:val="18"/>
          <w:szCs w:val="18"/>
        </w:rPr>
      </w:pPr>
      <w:r>
        <w:rPr/>
        <w:pict>
          <v:shape style="position:absolute;margin-left:75.540001pt;margin-top:-43.768307pt;width:491.35pt;height:363.7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41"/>
                    <w:gridCol w:w="926"/>
                    <w:gridCol w:w="408"/>
                    <w:gridCol w:w="349"/>
                    <w:gridCol w:w="1577"/>
                    <w:gridCol w:w="1629"/>
                    <w:gridCol w:w="736"/>
                    <w:gridCol w:w="694"/>
                    <w:gridCol w:w="538"/>
                    <w:gridCol w:w="515"/>
                    <w:gridCol w:w="830"/>
                    <w:gridCol w:w="964"/>
                  </w:tblGrid>
                  <w:tr>
                    <w:trPr>
                      <w:trHeight w:val="1416"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5" w:right="107"/>
                          <w:jc w:val="left"/>
                          <w:rPr>
                            <w:rFonts w:ascii="宋体" w:hAnsi="宋体" w:cs="宋体" w:eastAsia="宋体" w:hint="default"/>
                            <w:sz w:val="18"/>
                            <w:szCs w:val="18"/>
                          </w:rPr>
                        </w:pPr>
                        <w:r>
                          <w:rPr>
                            <w:rFonts w:ascii="宋体" w:hAnsi="宋体" w:cs="宋体" w:eastAsia="宋体" w:hint="default"/>
                            <w:sz w:val="18"/>
                            <w:szCs w:val="18"/>
                          </w:rPr>
                          <w:t>性 别</w:t>
                        </w:r>
                      </w:p>
                    </w:tc>
                    <w:tc>
                      <w:tcPr>
                        <w:tcW w:w="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65" w:right="86"/>
                          <w:jc w:val="left"/>
                          <w:rPr>
                            <w:rFonts w:ascii="宋体" w:hAnsi="宋体" w:cs="宋体" w:eastAsia="宋体" w:hint="default"/>
                            <w:sz w:val="18"/>
                            <w:szCs w:val="18"/>
                          </w:rPr>
                        </w:pPr>
                        <w:r>
                          <w:rPr>
                            <w:rFonts w:ascii="宋体" w:hAnsi="宋体" w:cs="宋体" w:eastAsia="宋体" w:hint="default"/>
                            <w:sz w:val="18"/>
                            <w:szCs w:val="18"/>
                          </w:rPr>
                          <w:t>年 龄</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45"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7" w:right="113" w:hanging="90"/>
                          <w:jc w:val="left"/>
                          <w:rPr>
                            <w:rFonts w:ascii="宋体" w:hAnsi="宋体" w:cs="宋体" w:eastAsia="宋体" w:hint="default"/>
                            <w:sz w:val="18"/>
                            <w:szCs w:val="18"/>
                          </w:rPr>
                        </w:pPr>
                        <w:r>
                          <w:rPr>
                            <w:rFonts w:ascii="宋体" w:hAnsi="宋体" w:cs="宋体" w:eastAsia="宋体" w:hint="default"/>
                            <w:sz w:val="18"/>
                            <w:szCs w:val="18"/>
                          </w:rPr>
                          <w:t>年初持 股数</w:t>
                        </w:r>
                      </w:p>
                      <w:p>
                        <w:pPr>
                          <w:pStyle w:val="TableParagraph"/>
                          <w:spacing w:line="233" w:lineRule="exact"/>
                          <w:ind w:left="-8" w:right="0"/>
                          <w:jc w:val="left"/>
                          <w:rPr>
                            <w:rFonts w:ascii="宋体" w:hAnsi="宋体" w:cs="宋体" w:eastAsia="宋体" w:hint="default"/>
                            <w:sz w:val="18"/>
                            <w:szCs w:val="18"/>
                          </w:rPr>
                        </w:pPr>
                        <w:r>
                          <w:rPr>
                            <w:rFonts w:ascii="宋体" w:hAnsi="宋体" w:cs="宋体" w:eastAsia="宋体" w:hint="default"/>
                            <w:sz w:val="18"/>
                            <w:szCs w:val="18"/>
                          </w:rPr>
                          <w:t>（股数）</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81" w:right="47" w:hanging="90"/>
                          <w:jc w:val="left"/>
                          <w:rPr>
                            <w:rFonts w:ascii="宋体" w:hAnsi="宋体" w:cs="宋体" w:eastAsia="宋体" w:hint="default"/>
                            <w:sz w:val="18"/>
                            <w:szCs w:val="18"/>
                          </w:rPr>
                        </w:pPr>
                        <w:r>
                          <w:rPr>
                            <w:rFonts w:ascii="宋体" w:hAnsi="宋体" w:cs="宋体" w:eastAsia="宋体" w:hint="default"/>
                            <w:sz w:val="18"/>
                            <w:szCs w:val="18"/>
                          </w:rPr>
                          <w:t>年末持 股数</w:t>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94" w:right="66"/>
                          <w:jc w:val="both"/>
                          <w:rPr>
                            <w:rFonts w:ascii="宋体" w:hAnsi="宋体" w:cs="宋体" w:eastAsia="宋体" w:hint="default"/>
                            <w:sz w:val="18"/>
                            <w:szCs w:val="18"/>
                          </w:rPr>
                        </w:pPr>
                        <w:r>
                          <w:rPr>
                            <w:rFonts w:ascii="宋体" w:hAnsi="宋体" w:cs="宋体" w:eastAsia="宋体" w:hint="default"/>
                            <w:sz w:val="18"/>
                            <w:szCs w:val="18"/>
                          </w:rPr>
                          <w:t>年度 内股 份增 减变 动量</w:t>
                        </w:r>
                      </w:p>
                    </w:tc>
                    <w:tc>
                      <w:tcPr>
                        <w:tcW w:w="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85" w:right="53"/>
                          <w:jc w:val="both"/>
                          <w:rPr>
                            <w:rFonts w:ascii="宋体" w:hAnsi="宋体" w:cs="宋体" w:eastAsia="宋体" w:hint="default"/>
                            <w:sz w:val="18"/>
                            <w:szCs w:val="18"/>
                          </w:rPr>
                        </w:pPr>
                        <w:r>
                          <w:rPr>
                            <w:rFonts w:ascii="宋体" w:hAnsi="宋体" w:cs="宋体" w:eastAsia="宋体" w:hint="default"/>
                            <w:sz w:val="18"/>
                            <w:szCs w:val="18"/>
                          </w:rPr>
                          <w:t>增减 变动 原因</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7" w:right="0"/>
                          <w:jc w:val="both"/>
                          <w:rPr>
                            <w:rFonts w:ascii="宋体" w:hAnsi="宋体" w:cs="宋体" w:eastAsia="宋体" w:hint="default"/>
                            <w:sz w:val="18"/>
                            <w:szCs w:val="18"/>
                          </w:rPr>
                        </w:pPr>
                        <w:r>
                          <w:rPr>
                            <w:rFonts w:ascii="宋体" w:hAnsi="宋体" w:cs="宋体" w:eastAsia="宋体" w:hint="default"/>
                            <w:sz w:val="18"/>
                            <w:szCs w:val="18"/>
                          </w:rPr>
                          <w:t>报告期内</w:t>
                        </w:r>
                      </w:p>
                      <w:p>
                        <w:pPr>
                          <w:pStyle w:val="TableParagraph"/>
                          <w:spacing w:line="237" w:lineRule="auto" w:before="1"/>
                          <w:ind w:left="57" w:right="36"/>
                          <w:jc w:val="both"/>
                          <w:rPr>
                            <w:rFonts w:ascii="宋体" w:hAnsi="宋体" w:cs="宋体" w:eastAsia="宋体" w:hint="default"/>
                            <w:sz w:val="18"/>
                            <w:szCs w:val="18"/>
                          </w:rPr>
                        </w:pPr>
                        <w:r>
                          <w:rPr>
                            <w:rFonts w:ascii="宋体" w:hAnsi="宋体" w:cs="宋体" w:eastAsia="宋体" w:hint="default"/>
                            <w:sz w:val="18"/>
                            <w:szCs w:val="18"/>
                          </w:rPr>
                          <w:t>从公司领 取的应付 报酬总额</w:t>
                        </w:r>
                      </w:p>
                      <w:p>
                        <w:pPr>
                          <w:pStyle w:val="TableParagraph"/>
                          <w:spacing w:line="233" w:lineRule="exact"/>
                          <w:ind w:left="57"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34" w:lineRule="exact"/>
                          <w:ind w:left="57" w:right="0"/>
                          <w:jc w:val="both"/>
                          <w:rPr>
                            <w:rFonts w:ascii="宋体" w:hAnsi="宋体" w:cs="宋体" w:eastAsia="宋体" w:hint="default"/>
                            <w:sz w:val="18"/>
                            <w:szCs w:val="18"/>
                          </w:rPr>
                        </w:pPr>
                        <w:r>
                          <w:rPr>
                            <w:rFonts w:ascii="宋体" w:hAnsi="宋体" w:cs="宋体" w:eastAsia="宋体" w:hint="default"/>
                            <w:sz w:val="18"/>
                            <w:szCs w:val="18"/>
                          </w:rPr>
                          <w:t>（税前）</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8" w:right="35" w:firstLine="4"/>
                          <w:jc w:val="both"/>
                          <w:rPr>
                            <w:rFonts w:ascii="宋体" w:hAnsi="宋体" w:cs="宋体" w:eastAsia="宋体" w:hint="default"/>
                            <w:sz w:val="18"/>
                            <w:szCs w:val="18"/>
                          </w:rPr>
                        </w:pPr>
                        <w:r>
                          <w:rPr>
                            <w:rFonts w:ascii="宋体" w:hAnsi="宋体" w:cs="宋体" w:eastAsia="宋体" w:hint="default"/>
                            <w:sz w:val="18"/>
                            <w:szCs w:val="18"/>
                          </w:rPr>
                          <w:t>报告期从股 东单位获得 的应付报酬 </w:t>
                        </w:r>
                        <w:r>
                          <w:rPr>
                            <w:rFonts w:ascii="宋体" w:hAnsi="宋体" w:cs="宋体" w:eastAsia="宋体" w:hint="default"/>
                            <w:spacing w:val="-17"/>
                            <w:sz w:val="18"/>
                            <w:szCs w:val="18"/>
                          </w:rPr>
                          <w:t>总额（万元</w:t>
                        </w:r>
                      </w:p>
                    </w:tc>
                  </w:tr>
                  <w:tr>
                    <w:trPr>
                      <w:trHeight w:val="248"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z w:val="18"/>
                            <w:szCs w:val="18"/>
                          </w:rPr>
                          <w:t>常小兵</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6" w:right="0"/>
                          <w:jc w:val="left"/>
                          <w:rPr>
                            <w:rFonts w:ascii="Arial" w:hAnsi="Arial" w:cs="Arial" w:eastAsia="Arial" w:hint="default"/>
                            <w:sz w:val="18"/>
                            <w:szCs w:val="18"/>
                          </w:rPr>
                        </w:pPr>
                        <w:r>
                          <w:rPr>
                            <w:rFonts w:ascii="Arial"/>
                            <w:sz w:val="18"/>
                          </w:rPr>
                          <w:t>56</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43" w:right="-3"/>
                          <w:jc w:val="center"/>
                          <w:rPr>
                            <w:rFonts w:ascii="宋体" w:hAnsi="宋体" w:cs="宋体" w:eastAsia="宋体" w:hint="default"/>
                            <w:sz w:val="18"/>
                            <w:szCs w:val="18"/>
                          </w:rPr>
                        </w:pPr>
                        <w:r>
                          <w:rPr>
                            <w:rFonts w:ascii="Arial" w:hAnsi="Arial" w:cs="Arial" w:eastAsia="Arial" w:hint="default"/>
                            <w:sz w:val="18"/>
                            <w:szCs w:val="18"/>
                          </w:rPr>
                          <w:t>2004</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12</w:t>
                        </w:r>
                        <w:r>
                          <w:rPr>
                            <w:rFonts w:ascii="Arial" w:hAnsi="Arial" w:cs="Arial" w:eastAsia="Arial"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23</w:t>
                        </w:r>
                        <w:r>
                          <w:rPr>
                            <w:rFonts w:ascii="Arial" w:hAnsi="Arial" w:cs="Arial" w:eastAsia="Arial" w:hint="default"/>
                            <w:spacing w:val="-16"/>
                            <w:sz w:val="18"/>
                            <w:szCs w:val="18"/>
                          </w:rPr>
                          <w:t> </w:t>
                        </w:r>
                        <w:r>
                          <w:rPr>
                            <w:rFonts w:ascii="宋体" w:hAnsi="宋体" w:cs="宋体" w:eastAsia="宋体" w:hint="default"/>
                            <w:sz w:val="18"/>
                            <w:szCs w:val="18"/>
                          </w:rPr>
                          <w:t>日</w:t>
                        </w:r>
                      </w:p>
                    </w:tc>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17"/>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12</w:t>
                        </w:r>
                        <w:r>
                          <w:rPr>
                            <w:rFonts w:ascii="Arial" w:hAnsi="Arial" w:cs="Arial" w:eastAsia="Arial"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20</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7"/>
                          <w:jc w:val="right"/>
                          <w:rPr>
                            <w:rFonts w:ascii="Arial" w:hAnsi="Arial" w:cs="Arial" w:eastAsia="Arial" w:hint="default"/>
                            <w:sz w:val="18"/>
                            <w:szCs w:val="18"/>
                          </w:rPr>
                        </w:pPr>
                        <w:r>
                          <w:rPr>
                            <w:rFonts w:ascii="Arial"/>
                            <w:w w:val="99"/>
                            <w:sz w:val="18"/>
                          </w:rPr>
                          <w:t>-</w:t>
                        </w:r>
                        <w:r>
                          <w:rPr>
                            <w:rFonts w:ascii="Arial"/>
                            <w:sz w:val="18"/>
                          </w:rPr>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Arial" w:hAnsi="Arial" w:cs="Arial" w:eastAsia="Arial" w:hint="default"/>
                            <w:sz w:val="18"/>
                            <w:szCs w:val="18"/>
                          </w:rPr>
                        </w:pPr>
                        <w:r>
                          <w:rPr>
                            <w:rFonts w:ascii="Arial"/>
                            <w:w w:val="99"/>
                            <w:sz w:val="18"/>
                          </w:rPr>
                          <w:t>-</w:t>
                        </w:r>
                        <w:r>
                          <w:rPr>
                            <w:rFonts w:ascii="Arial"/>
                            <w:sz w:val="18"/>
                          </w:rPr>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w w:val="99"/>
                            <w:sz w:val="18"/>
                          </w:rPr>
                          <w:t>-</w:t>
                        </w:r>
                        <w:r>
                          <w:rPr>
                            <w:rFonts w:ascii="Arial"/>
                            <w:sz w:val="18"/>
                          </w:rPr>
                        </w:r>
                      </w:p>
                    </w:tc>
                    <w:tc>
                      <w:tcPr>
                        <w:tcW w:w="5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248"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z w:val="18"/>
                            <w:szCs w:val="18"/>
                          </w:rPr>
                          <w:t>陆益民</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6" w:right="0"/>
                          <w:jc w:val="left"/>
                          <w:rPr>
                            <w:rFonts w:ascii="Arial" w:hAnsi="Arial" w:cs="Arial" w:eastAsia="Arial" w:hint="default"/>
                            <w:sz w:val="18"/>
                            <w:szCs w:val="18"/>
                          </w:rPr>
                        </w:pPr>
                        <w:r>
                          <w:rPr>
                            <w:rFonts w:ascii="Arial"/>
                            <w:sz w:val="18"/>
                          </w:rPr>
                          <w:t>49</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43"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26</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17"/>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12</w:t>
                        </w:r>
                        <w:r>
                          <w:rPr>
                            <w:rFonts w:ascii="Arial" w:hAnsi="Arial" w:cs="Arial" w:eastAsia="Arial"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20</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7"/>
                          <w:jc w:val="right"/>
                          <w:rPr>
                            <w:rFonts w:ascii="Arial" w:hAnsi="Arial" w:cs="Arial" w:eastAsia="Arial" w:hint="default"/>
                            <w:sz w:val="18"/>
                            <w:szCs w:val="18"/>
                          </w:rPr>
                        </w:pPr>
                        <w:r>
                          <w:rPr>
                            <w:rFonts w:ascii="Arial"/>
                            <w:w w:val="99"/>
                            <w:sz w:val="18"/>
                          </w:rPr>
                          <w:t>-</w:t>
                        </w:r>
                        <w:r>
                          <w:rPr>
                            <w:rFonts w:ascii="Arial"/>
                            <w:sz w:val="18"/>
                          </w:rPr>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Arial" w:hAnsi="Arial" w:cs="Arial" w:eastAsia="Arial" w:hint="default"/>
                            <w:sz w:val="18"/>
                            <w:szCs w:val="18"/>
                          </w:rPr>
                        </w:pPr>
                        <w:r>
                          <w:rPr>
                            <w:rFonts w:ascii="Arial"/>
                            <w:w w:val="99"/>
                            <w:sz w:val="18"/>
                          </w:rPr>
                          <w:t>-</w:t>
                        </w:r>
                        <w:r>
                          <w:rPr>
                            <w:rFonts w:ascii="Arial"/>
                            <w:sz w:val="18"/>
                          </w:rPr>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w w:val="99"/>
                            <w:sz w:val="18"/>
                          </w:rPr>
                          <w:t>-</w:t>
                        </w:r>
                        <w:r>
                          <w:rPr>
                            <w:rFonts w:ascii="Arial"/>
                            <w:sz w:val="18"/>
                          </w:rPr>
                        </w:r>
                      </w:p>
                    </w:tc>
                    <w:tc>
                      <w:tcPr>
                        <w:tcW w:w="5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248"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z w:val="18"/>
                            <w:szCs w:val="18"/>
                          </w:rPr>
                          <w:t>陆益民</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6" w:right="0"/>
                          <w:jc w:val="left"/>
                          <w:rPr>
                            <w:rFonts w:ascii="Arial" w:hAnsi="Arial" w:cs="Arial" w:eastAsia="Arial" w:hint="default"/>
                            <w:sz w:val="18"/>
                            <w:szCs w:val="18"/>
                          </w:rPr>
                        </w:pPr>
                        <w:r>
                          <w:rPr>
                            <w:rFonts w:ascii="Arial"/>
                            <w:sz w:val="18"/>
                          </w:rPr>
                          <w:t>49</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43"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17"/>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12</w:t>
                        </w:r>
                        <w:r>
                          <w:rPr>
                            <w:rFonts w:ascii="Arial" w:hAnsi="Arial" w:cs="Arial" w:eastAsia="Arial"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20</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7"/>
                          <w:jc w:val="right"/>
                          <w:rPr>
                            <w:rFonts w:ascii="Arial" w:hAnsi="Arial" w:cs="Arial" w:eastAsia="Arial" w:hint="default"/>
                            <w:sz w:val="18"/>
                            <w:szCs w:val="18"/>
                          </w:rPr>
                        </w:pPr>
                        <w:r>
                          <w:rPr>
                            <w:rFonts w:ascii="Arial"/>
                            <w:w w:val="99"/>
                            <w:sz w:val="18"/>
                          </w:rPr>
                          <w:t>-</w:t>
                        </w:r>
                        <w:r>
                          <w:rPr>
                            <w:rFonts w:ascii="Arial"/>
                            <w:sz w:val="18"/>
                          </w:rPr>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Arial" w:hAnsi="Arial" w:cs="Arial" w:eastAsia="Arial" w:hint="default"/>
                            <w:sz w:val="18"/>
                            <w:szCs w:val="18"/>
                          </w:rPr>
                        </w:pPr>
                        <w:r>
                          <w:rPr>
                            <w:rFonts w:ascii="Arial"/>
                            <w:w w:val="99"/>
                            <w:sz w:val="18"/>
                          </w:rPr>
                          <w:t>-</w:t>
                        </w:r>
                        <w:r>
                          <w:rPr>
                            <w:rFonts w:ascii="Arial"/>
                            <w:sz w:val="18"/>
                          </w:rPr>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w w:val="99"/>
                            <w:sz w:val="18"/>
                          </w:rPr>
                          <w:t>-</w:t>
                        </w:r>
                        <w:r>
                          <w:rPr>
                            <w:rFonts w:ascii="Arial"/>
                            <w:sz w:val="18"/>
                          </w:rPr>
                        </w:r>
                      </w:p>
                    </w:tc>
                    <w:tc>
                      <w:tcPr>
                        <w:tcW w:w="5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64"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z w:val="18"/>
                            <w:szCs w:val="18"/>
                          </w:rPr>
                          <w:t>佟吉禄</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6" w:right="0"/>
                          <w:jc w:val="left"/>
                          <w:rPr>
                            <w:rFonts w:ascii="Arial" w:hAnsi="Arial" w:cs="Arial" w:eastAsia="Arial" w:hint="default"/>
                            <w:sz w:val="18"/>
                            <w:szCs w:val="18"/>
                          </w:rPr>
                        </w:pPr>
                        <w:r>
                          <w:rPr>
                            <w:rFonts w:ascii="Arial"/>
                            <w:sz w:val="18"/>
                          </w:rPr>
                          <w:t>54</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43" w:right="-3"/>
                          <w:jc w:val="center"/>
                          <w:rPr>
                            <w:rFonts w:ascii="宋体" w:hAnsi="宋体" w:cs="宋体" w:eastAsia="宋体" w:hint="default"/>
                            <w:sz w:val="18"/>
                            <w:szCs w:val="18"/>
                          </w:rPr>
                        </w:pPr>
                        <w:r>
                          <w:rPr>
                            <w:rFonts w:ascii="Arial" w:hAnsi="Arial" w:cs="Arial" w:eastAsia="Arial" w:hint="default"/>
                            <w:sz w:val="18"/>
                            <w:szCs w:val="18"/>
                          </w:rPr>
                          <w:t>2001</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12</w:t>
                        </w:r>
                        <w:r>
                          <w:rPr>
                            <w:rFonts w:ascii="Arial" w:hAnsi="Arial" w:cs="Arial" w:eastAsia="Arial"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30</w:t>
                        </w:r>
                        <w:r>
                          <w:rPr>
                            <w:rFonts w:ascii="Arial" w:hAnsi="Arial" w:cs="Arial" w:eastAsia="Arial" w:hint="default"/>
                            <w:spacing w:val="-16"/>
                            <w:sz w:val="18"/>
                            <w:szCs w:val="18"/>
                          </w:rPr>
                          <w:t> </w:t>
                        </w:r>
                        <w:r>
                          <w:rPr>
                            <w:rFonts w:ascii="宋体" w:hAnsi="宋体" w:cs="宋体" w:eastAsia="宋体" w:hint="default"/>
                            <w:sz w:val="18"/>
                            <w:szCs w:val="18"/>
                          </w:rPr>
                          <w:t>日</w:t>
                        </w:r>
                      </w:p>
                    </w:tc>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17"/>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12</w:t>
                        </w:r>
                        <w:r>
                          <w:rPr>
                            <w:rFonts w:ascii="Arial" w:hAnsi="Arial" w:cs="Arial" w:eastAsia="Arial"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20</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7"/>
                          <w:jc w:val="right"/>
                          <w:rPr>
                            <w:rFonts w:ascii="Arial" w:hAnsi="Arial" w:cs="Arial" w:eastAsia="Arial" w:hint="default"/>
                            <w:sz w:val="18"/>
                            <w:szCs w:val="18"/>
                          </w:rPr>
                        </w:pPr>
                        <w:r>
                          <w:rPr>
                            <w:rFonts w:ascii="Arial"/>
                            <w:w w:val="99"/>
                            <w:sz w:val="18"/>
                          </w:rPr>
                          <w:t>-</w:t>
                        </w:r>
                        <w:r>
                          <w:rPr>
                            <w:rFonts w:ascii="Arial"/>
                            <w:sz w:val="18"/>
                          </w:rPr>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Arial" w:hAnsi="Arial" w:cs="Arial" w:eastAsia="Arial" w:hint="default"/>
                            <w:sz w:val="18"/>
                            <w:szCs w:val="18"/>
                          </w:rPr>
                        </w:pPr>
                        <w:r>
                          <w:rPr>
                            <w:rFonts w:ascii="Arial"/>
                            <w:w w:val="99"/>
                            <w:sz w:val="18"/>
                          </w:rPr>
                          <w:t>-</w:t>
                        </w:r>
                        <w:r>
                          <w:rPr>
                            <w:rFonts w:ascii="Arial"/>
                            <w:sz w:val="18"/>
                          </w:rPr>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w w:val="99"/>
                            <w:sz w:val="18"/>
                          </w:rPr>
                          <w:t>-</w:t>
                        </w:r>
                        <w:r>
                          <w:rPr>
                            <w:rFonts w:ascii="Arial"/>
                            <w:sz w:val="18"/>
                          </w:rPr>
                        </w:r>
                      </w:p>
                    </w:tc>
                    <w:tc>
                      <w:tcPr>
                        <w:tcW w:w="5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248"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z w:val="18"/>
                            <w:szCs w:val="18"/>
                          </w:rPr>
                          <w:t>李福申</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6" w:right="0"/>
                          <w:jc w:val="left"/>
                          <w:rPr>
                            <w:rFonts w:ascii="Arial" w:hAnsi="Arial" w:cs="Arial" w:eastAsia="Arial" w:hint="default"/>
                            <w:sz w:val="18"/>
                            <w:szCs w:val="18"/>
                          </w:rPr>
                        </w:pPr>
                        <w:r>
                          <w:rPr>
                            <w:rFonts w:ascii="Arial"/>
                            <w:sz w:val="18"/>
                          </w:rPr>
                          <w:t>50</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43" w:right="0"/>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24</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17"/>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12</w:t>
                        </w:r>
                        <w:r>
                          <w:rPr>
                            <w:rFonts w:ascii="Arial" w:hAnsi="Arial" w:cs="Arial" w:eastAsia="Arial"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20</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7"/>
                          <w:jc w:val="right"/>
                          <w:rPr>
                            <w:rFonts w:ascii="Arial" w:hAnsi="Arial" w:cs="Arial" w:eastAsia="Arial" w:hint="default"/>
                            <w:sz w:val="18"/>
                            <w:szCs w:val="18"/>
                          </w:rPr>
                        </w:pPr>
                        <w:r>
                          <w:rPr>
                            <w:rFonts w:ascii="Arial"/>
                            <w:w w:val="99"/>
                            <w:sz w:val="18"/>
                          </w:rPr>
                          <w:t>-</w:t>
                        </w:r>
                        <w:r>
                          <w:rPr>
                            <w:rFonts w:ascii="Arial"/>
                            <w:sz w:val="18"/>
                          </w:rPr>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Arial" w:hAnsi="Arial" w:cs="Arial" w:eastAsia="Arial" w:hint="default"/>
                            <w:sz w:val="18"/>
                            <w:szCs w:val="18"/>
                          </w:rPr>
                        </w:pPr>
                        <w:r>
                          <w:rPr>
                            <w:rFonts w:ascii="Arial"/>
                            <w:w w:val="99"/>
                            <w:sz w:val="18"/>
                          </w:rPr>
                          <w:t>-</w:t>
                        </w:r>
                        <w:r>
                          <w:rPr>
                            <w:rFonts w:ascii="Arial"/>
                            <w:sz w:val="18"/>
                          </w:rPr>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w w:val="99"/>
                            <w:sz w:val="18"/>
                          </w:rPr>
                          <w:t>-</w:t>
                        </w:r>
                        <w:r>
                          <w:rPr>
                            <w:rFonts w:ascii="Arial"/>
                            <w:sz w:val="18"/>
                          </w:rPr>
                        </w:r>
                      </w:p>
                    </w:tc>
                    <w:tc>
                      <w:tcPr>
                        <w:tcW w:w="5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248"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z w:val="18"/>
                            <w:szCs w:val="18"/>
                          </w:rPr>
                          <w:t>刘彩</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6" w:right="0"/>
                          <w:jc w:val="left"/>
                          <w:rPr>
                            <w:rFonts w:ascii="Arial" w:hAnsi="Arial" w:cs="Arial" w:eastAsia="Arial" w:hint="default"/>
                            <w:sz w:val="18"/>
                            <w:szCs w:val="18"/>
                          </w:rPr>
                        </w:pPr>
                        <w:r>
                          <w:rPr>
                            <w:rFonts w:ascii="Arial"/>
                            <w:sz w:val="18"/>
                          </w:rPr>
                          <w:t>72</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43"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17"/>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12</w:t>
                        </w:r>
                        <w:r>
                          <w:rPr>
                            <w:rFonts w:ascii="Arial" w:hAnsi="Arial" w:cs="Arial" w:eastAsia="Arial"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20</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7"/>
                          <w:jc w:val="right"/>
                          <w:rPr>
                            <w:rFonts w:ascii="Arial" w:hAnsi="Arial" w:cs="Arial" w:eastAsia="Arial" w:hint="default"/>
                            <w:sz w:val="18"/>
                            <w:szCs w:val="18"/>
                          </w:rPr>
                        </w:pPr>
                        <w:r>
                          <w:rPr>
                            <w:rFonts w:ascii="Arial"/>
                            <w:w w:val="99"/>
                            <w:sz w:val="18"/>
                          </w:rPr>
                          <w:t>-</w:t>
                        </w:r>
                        <w:r>
                          <w:rPr>
                            <w:rFonts w:ascii="Arial"/>
                            <w:sz w:val="18"/>
                          </w:rPr>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Arial" w:hAnsi="Arial" w:cs="Arial" w:eastAsia="Arial" w:hint="default"/>
                            <w:sz w:val="18"/>
                            <w:szCs w:val="18"/>
                          </w:rPr>
                        </w:pPr>
                        <w:r>
                          <w:rPr>
                            <w:rFonts w:ascii="Arial"/>
                            <w:w w:val="99"/>
                            <w:sz w:val="18"/>
                          </w:rPr>
                          <w:t>-</w:t>
                        </w:r>
                        <w:r>
                          <w:rPr>
                            <w:rFonts w:ascii="Arial"/>
                            <w:sz w:val="18"/>
                          </w:rPr>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w w:val="99"/>
                            <w:sz w:val="18"/>
                          </w:rPr>
                          <w:t>-</w:t>
                        </w:r>
                        <w:r>
                          <w:rPr>
                            <w:rFonts w:ascii="Arial"/>
                            <w:sz w:val="18"/>
                          </w:rPr>
                        </w:r>
                      </w:p>
                    </w:tc>
                    <w:tc>
                      <w:tcPr>
                        <w:tcW w:w="5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7" w:right="0"/>
                          <w:jc w:val="center"/>
                          <w:rPr>
                            <w:rFonts w:ascii="Arial" w:hAnsi="Arial" w:cs="Arial" w:eastAsia="Arial" w:hint="default"/>
                            <w:sz w:val="18"/>
                            <w:szCs w:val="18"/>
                          </w:rPr>
                        </w:pPr>
                        <w:r>
                          <w:rPr>
                            <w:rFonts w:ascii="Arial"/>
                            <w:sz w:val="18"/>
                          </w:rPr>
                          <w:t>14.3</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248"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z w:val="18"/>
                            <w:szCs w:val="18"/>
                          </w:rPr>
                          <w:t>赵纯均</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6" w:right="0"/>
                          <w:jc w:val="left"/>
                          <w:rPr>
                            <w:rFonts w:ascii="Arial" w:hAnsi="Arial" w:cs="Arial" w:eastAsia="Arial" w:hint="default"/>
                            <w:sz w:val="18"/>
                            <w:szCs w:val="18"/>
                          </w:rPr>
                        </w:pPr>
                        <w:r>
                          <w:rPr>
                            <w:rFonts w:ascii="Arial"/>
                            <w:sz w:val="18"/>
                          </w:rPr>
                          <w:t>71</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43"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17"/>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12</w:t>
                        </w:r>
                        <w:r>
                          <w:rPr>
                            <w:rFonts w:ascii="Arial" w:hAnsi="Arial" w:cs="Arial" w:eastAsia="Arial"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20</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7"/>
                          <w:jc w:val="right"/>
                          <w:rPr>
                            <w:rFonts w:ascii="Arial" w:hAnsi="Arial" w:cs="Arial" w:eastAsia="Arial" w:hint="default"/>
                            <w:sz w:val="18"/>
                            <w:szCs w:val="18"/>
                          </w:rPr>
                        </w:pPr>
                        <w:r>
                          <w:rPr>
                            <w:rFonts w:ascii="Arial"/>
                            <w:w w:val="99"/>
                            <w:sz w:val="18"/>
                          </w:rPr>
                          <w:t>-</w:t>
                        </w:r>
                        <w:r>
                          <w:rPr>
                            <w:rFonts w:ascii="Arial"/>
                            <w:sz w:val="18"/>
                          </w:rPr>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Arial" w:hAnsi="Arial" w:cs="Arial" w:eastAsia="Arial" w:hint="default"/>
                            <w:sz w:val="18"/>
                            <w:szCs w:val="18"/>
                          </w:rPr>
                        </w:pPr>
                        <w:r>
                          <w:rPr>
                            <w:rFonts w:ascii="Arial"/>
                            <w:w w:val="99"/>
                            <w:sz w:val="18"/>
                          </w:rPr>
                          <w:t>-</w:t>
                        </w:r>
                        <w:r>
                          <w:rPr>
                            <w:rFonts w:ascii="Arial"/>
                            <w:sz w:val="18"/>
                          </w:rPr>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w w:val="99"/>
                            <w:sz w:val="18"/>
                          </w:rPr>
                          <w:t>-</w:t>
                        </w:r>
                        <w:r>
                          <w:rPr>
                            <w:rFonts w:ascii="Arial"/>
                            <w:sz w:val="18"/>
                          </w:rPr>
                        </w:r>
                      </w:p>
                    </w:tc>
                    <w:tc>
                      <w:tcPr>
                        <w:tcW w:w="5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7" w:right="0"/>
                          <w:jc w:val="center"/>
                          <w:rPr>
                            <w:rFonts w:ascii="Arial" w:hAnsi="Arial" w:cs="Arial" w:eastAsia="Arial" w:hint="default"/>
                            <w:sz w:val="18"/>
                            <w:szCs w:val="18"/>
                          </w:rPr>
                        </w:pPr>
                        <w:r>
                          <w:rPr>
                            <w:rFonts w:ascii="Arial"/>
                            <w:sz w:val="18"/>
                          </w:rPr>
                          <w:t>14.3</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248"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z w:val="18"/>
                            <w:szCs w:val="18"/>
                          </w:rPr>
                          <w:t>张英海</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6" w:right="0"/>
                          <w:jc w:val="left"/>
                          <w:rPr>
                            <w:rFonts w:ascii="Arial" w:hAnsi="Arial" w:cs="Arial" w:eastAsia="Arial" w:hint="default"/>
                            <w:sz w:val="18"/>
                            <w:szCs w:val="18"/>
                          </w:rPr>
                        </w:pPr>
                        <w:r>
                          <w:rPr>
                            <w:rFonts w:ascii="Arial"/>
                            <w:sz w:val="18"/>
                          </w:rPr>
                          <w:t>60</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43"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17"/>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12</w:t>
                        </w:r>
                        <w:r>
                          <w:rPr>
                            <w:rFonts w:ascii="Arial" w:hAnsi="Arial" w:cs="Arial" w:eastAsia="Arial"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20</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7"/>
                          <w:jc w:val="right"/>
                          <w:rPr>
                            <w:rFonts w:ascii="Arial" w:hAnsi="Arial" w:cs="Arial" w:eastAsia="Arial" w:hint="default"/>
                            <w:sz w:val="18"/>
                            <w:szCs w:val="18"/>
                          </w:rPr>
                        </w:pPr>
                        <w:r>
                          <w:rPr>
                            <w:rFonts w:ascii="Arial"/>
                            <w:w w:val="99"/>
                            <w:sz w:val="18"/>
                          </w:rPr>
                          <w:t>-</w:t>
                        </w:r>
                        <w:r>
                          <w:rPr>
                            <w:rFonts w:ascii="Arial"/>
                            <w:sz w:val="18"/>
                          </w:rPr>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Arial" w:hAnsi="Arial" w:cs="Arial" w:eastAsia="Arial" w:hint="default"/>
                            <w:sz w:val="18"/>
                            <w:szCs w:val="18"/>
                          </w:rPr>
                        </w:pPr>
                        <w:r>
                          <w:rPr>
                            <w:rFonts w:ascii="Arial"/>
                            <w:w w:val="99"/>
                            <w:sz w:val="18"/>
                          </w:rPr>
                          <w:t>-</w:t>
                        </w:r>
                        <w:r>
                          <w:rPr>
                            <w:rFonts w:ascii="Arial"/>
                            <w:sz w:val="18"/>
                          </w:rPr>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w w:val="99"/>
                            <w:sz w:val="18"/>
                          </w:rPr>
                          <w:t>-</w:t>
                        </w:r>
                        <w:r>
                          <w:rPr>
                            <w:rFonts w:ascii="Arial"/>
                            <w:sz w:val="18"/>
                          </w:rPr>
                        </w:r>
                      </w:p>
                    </w:tc>
                    <w:tc>
                      <w:tcPr>
                        <w:tcW w:w="5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7" w:right="0"/>
                          <w:jc w:val="center"/>
                          <w:rPr>
                            <w:rFonts w:ascii="Arial" w:hAnsi="Arial" w:cs="Arial" w:eastAsia="Arial" w:hint="default"/>
                            <w:sz w:val="18"/>
                            <w:szCs w:val="18"/>
                          </w:rPr>
                        </w:pPr>
                        <w:r>
                          <w:rPr>
                            <w:rFonts w:ascii="Arial"/>
                            <w:sz w:val="18"/>
                          </w:rPr>
                          <w:t>14.3</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248"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z w:val="18"/>
                            <w:szCs w:val="18"/>
                          </w:rPr>
                          <w:t>夏大慰</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6" w:right="0"/>
                          <w:jc w:val="left"/>
                          <w:rPr>
                            <w:rFonts w:ascii="Arial" w:hAnsi="Arial" w:cs="Arial" w:eastAsia="Arial" w:hint="default"/>
                            <w:sz w:val="18"/>
                            <w:szCs w:val="18"/>
                          </w:rPr>
                        </w:pPr>
                        <w:r>
                          <w:rPr>
                            <w:rFonts w:ascii="Arial"/>
                            <w:sz w:val="18"/>
                          </w:rPr>
                          <w:t>59</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43"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17"/>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12</w:t>
                        </w:r>
                        <w:r>
                          <w:rPr>
                            <w:rFonts w:ascii="Arial" w:hAnsi="Arial" w:cs="Arial" w:eastAsia="Arial"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20</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7"/>
                          <w:jc w:val="right"/>
                          <w:rPr>
                            <w:rFonts w:ascii="Arial" w:hAnsi="Arial" w:cs="Arial" w:eastAsia="Arial" w:hint="default"/>
                            <w:sz w:val="18"/>
                            <w:szCs w:val="18"/>
                          </w:rPr>
                        </w:pPr>
                        <w:r>
                          <w:rPr>
                            <w:rFonts w:ascii="Arial"/>
                            <w:w w:val="99"/>
                            <w:sz w:val="18"/>
                          </w:rPr>
                          <w:t>-</w:t>
                        </w:r>
                        <w:r>
                          <w:rPr>
                            <w:rFonts w:ascii="Arial"/>
                            <w:sz w:val="18"/>
                          </w:rPr>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Arial" w:hAnsi="Arial" w:cs="Arial" w:eastAsia="Arial" w:hint="default"/>
                            <w:sz w:val="18"/>
                            <w:szCs w:val="18"/>
                          </w:rPr>
                        </w:pPr>
                        <w:r>
                          <w:rPr>
                            <w:rFonts w:ascii="Arial"/>
                            <w:w w:val="99"/>
                            <w:sz w:val="18"/>
                          </w:rPr>
                          <w:t>-</w:t>
                        </w:r>
                        <w:r>
                          <w:rPr>
                            <w:rFonts w:ascii="Arial"/>
                            <w:sz w:val="18"/>
                          </w:rPr>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w w:val="99"/>
                            <w:sz w:val="18"/>
                          </w:rPr>
                          <w:t>-</w:t>
                        </w:r>
                        <w:r>
                          <w:rPr>
                            <w:rFonts w:ascii="Arial"/>
                            <w:sz w:val="18"/>
                          </w:rPr>
                        </w:r>
                      </w:p>
                    </w:tc>
                    <w:tc>
                      <w:tcPr>
                        <w:tcW w:w="5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7" w:right="0"/>
                          <w:jc w:val="center"/>
                          <w:rPr>
                            <w:rFonts w:ascii="Arial" w:hAnsi="Arial" w:cs="Arial" w:eastAsia="Arial" w:hint="default"/>
                            <w:sz w:val="18"/>
                            <w:szCs w:val="18"/>
                          </w:rPr>
                        </w:pPr>
                        <w:r>
                          <w:rPr>
                            <w:rFonts w:ascii="Arial"/>
                            <w:sz w:val="18"/>
                          </w:rPr>
                          <w:t>14.3</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81"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7"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监事会</w:t>
                        </w:r>
                      </w:p>
                      <w:p>
                        <w:pPr>
                          <w:pStyle w:val="TableParagraph"/>
                          <w:spacing w:line="235" w:lineRule="exact"/>
                          <w:ind w:left="38" w:right="0"/>
                          <w:jc w:val="left"/>
                          <w:rPr>
                            <w:rFonts w:ascii="宋体" w:hAnsi="宋体" w:cs="宋体" w:eastAsia="宋体" w:hint="default"/>
                            <w:sz w:val="18"/>
                            <w:szCs w:val="18"/>
                          </w:rPr>
                        </w:pPr>
                        <w:r>
                          <w:rPr>
                            <w:rFonts w:ascii="宋体" w:hAnsi="宋体" w:cs="宋体" w:eastAsia="宋体" w:hint="default"/>
                            <w:sz w:val="18"/>
                            <w:szCs w:val="18"/>
                          </w:rPr>
                          <w:t>主席</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56" w:right="0"/>
                          <w:jc w:val="left"/>
                          <w:rPr>
                            <w:rFonts w:ascii="Arial" w:hAnsi="Arial" w:cs="Arial" w:eastAsia="Arial" w:hint="default"/>
                            <w:sz w:val="18"/>
                            <w:szCs w:val="18"/>
                          </w:rPr>
                        </w:pPr>
                        <w:r>
                          <w:rPr>
                            <w:rFonts w:ascii="Arial"/>
                            <w:sz w:val="18"/>
                          </w:rPr>
                          <w:t>59</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3"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26</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7"/>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12</w:t>
                        </w:r>
                        <w:r>
                          <w:rPr>
                            <w:rFonts w:ascii="Arial" w:hAnsi="Arial" w:cs="Arial" w:eastAsia="Arial"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20</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37"/>
                          <w:jc w:val="right"/>
                          <w:rPr>
                            <w:rFonts w:ascii="Arial" w:hAnsi="Arial" w:cs="Arial" w:eastAsia="Arial" w:hint="default"/>
                            <w:sz w:val="18"/>
                            <w:szCs w:val="18"/>
                          </w:rPr>
                        </w:pPr>
                        <w:r>
                          <w:rPr>
                            <w:rFonts w:ascii="Arial"/>
                            <w:w w:val="99"/>
                            <w:sz w:val="18"/>
                          </w:rPr>
                          <w:t>-</w:t>
                        </w:r>
                        <w:r>
                          <w:rPr>
                            <w:rFonts w:ascii="Arial"/>
                            <w:sz w:val="18"/>
                          </w:rPr>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right"/>
                          <w:rPr>
                            <w:rFonts w:ascii="Arial" w:hAnsi="Arial" w:cs="Arial" w:eastAsia="Arial" w:hint="default"/>
                            <w:sz w:val="18"/>
                            <w:szCs w:val="18"/>
                          </w:rPr>
                        </w:pPr>
                        <w:r>
                          <w:rPr>
                            <w:rFonts w:ascii="Arial"/>
                            <w:w w:val="99"/>
                            <w:sz w:val="18"/>
                          </w:rPr>
                          <w:t>-</w:t>
                        </w:r>
                        <w:r>
                          <w:rPr>
                            <w:rFonts w:ascii="Arial"/>
                            <w:sz w:val="18"/>
                          </w:rPr>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w w:val="99"/>
                            <w:sz w:val="18"/>
                          </w:rPr>
                          <w:t>-</w:t>
                        </w:r>
                        <w:r>
                          <w:rPr>
                            <w:rFonts w:ascii="Arial"/>
                            <w:sz w:val="18"/>
                          </w:rPr>
                        </w:r>
                      </w:p>
                    </w:tc>
                    <w:tc>
                      <w:tcPr>
                        <w:tcW w:w="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8"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248"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7" w:right="0"/>
                          <w:jc w:val="left"/>
                          <w:rPr>
                            <w:rFonts w:ascii="宋体" w:hAnsi="宋体" w:cs="宋体" w:eastAsia="宋体" w:hint="default"/>
                            <w:sz w:val="18"/>
                            <w:szCs w:val="18"/>
                          </w:rPr>
                        </w:pPr>
                        <w:r>
                          <w:rPr>
                            <w:rFonts w:ascii="宋体" w:hAnsi="宋体" w:cs="宋体" w:eastAsia="宋体" w:hint="default"/>
                            <w:sz w:val="18"/>
                            <w:szCs w:val="18"/>
                          </w:rPr>
                          <w:t>郭小林</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8"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56" w:right="0"/>
                          <w:jc w:val="left"/>
                          <w:rPr>
                            <w:rFonts w:ascii="Arial" w:hAnsi="Arial" w:cs="Arial" w:eastAsia="Arial" w:hint="default"/>
                            <w:sz w:val="18"/>
                            <w:szCs w:val="18"/>
                          </w:rPr>
                        </w:pPr>
                        <w:r>
                          <w:rPr>
                            <w:rFonts w:ascii="Arial"/>
                            <w:sz w:val="18"/>
                          </w:rPr>
                          <w:t>47</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43"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29</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7"/>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12</w:t>
                        </w:r>
                        <w:r>
                          <w:rPr>
                            <w:rFonts w:ascii="Arial" w:hAnsi="Arial" w:cs="Arial" w:eastAsia="Arial"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20</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37"/>
                          <w:jc w:val="right"/>
                          <w:rPr>
                            <w:rFonts w:ascii="Arial" w:hAnsi="Arial" w:cs="Arial" w:eastAsia="Arial" w:hint="default"/>
                            <w:sz w:val="18"/>
                            <w:szCs w:val="18"/>
                          </w:rPr>
                        </w:pPr>
                        <w:r>
                          <w:rPr>
                            <w:rFonts w:ascii="Arial"/>
                            <w:w w:val="99"/>
                            <w:sz w:val="18"/>
                          </w:rPr>
                          <w:t>-</w:t>
                        </w:r>
                        <w:r>
                          <w:rPr>
                            <w:rFonts w:ascii="Arial"/>
                            <w:sz w:val="18"/>
                          </w:rPr>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right"/>
                          <w:rPr>
                            <w:rFonts w:ascii="Arial" w:hAnsi="Arial" w:cs="Arial" w:eastAsia="Arial" w:hint="default"/>
                            <w:sz w:val="18"/>
                            <w:szCs w:val="18"/>
                          </w:rPr>
                        </w:pPr>
                        <w:r>
                          <w:rPr>
                            <w:rFonts w:ascii="Arial"/>
                            <w:w w:val="99"/>
                            <w:sz w:val="18"/>
                          </w:rPr>
                          <w:t>-</w:t>
                        </w:r>
                        <w:r>
                          <w:rPr>
                            <w:rFonts w:ascii="Arial"/>
                            <w:sz w:val="18"/>
                          </w:rPr>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51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248"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7" w:right="0"/>
                          <w:jc w:val="left"/>
                          <w:rPr>
                            <w:rFonts w:ascii="宋体" w:hAnsi="宋体" w:cs="宋体" w:eastAsia="宋体" w:hint="default"/>
                            <w:sz w:val="18"/>
                            <w:szCs w:val="18"/>
                          </w:rPr>
                        </w:pPr>
                        <w:r>
                          <w:rPr>
                            <w:rFonts w:ascii="宋体" w:hAnsi="宋体" w:cs="宋体" w:eastAsia="宋体" w:hint="default"/>
                            <w:sz w:val="18"/>
                            <w:szCs w:val="18"/>
                          </w:rPr>
                          <w:t>郭晓科</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8"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56" w:right="0"/>
                          <w:jc w:val="left"/>
                          <w:rPr>
                            <w:rFonts w:ascii="Arial" w:hAnsi="Arial" w:cs="Arial" w:eastAsia="Arial" w:hint="default"/>
                            <w:sz w:val="18"/>
                            <w:szCs w:val="18"/>
                          </w:rPr>
                        </w:pPr>
                        <w:r>
                          <w:rPr>
                            <w:rFonts w:ascii="Arial"/>
                            <w:sz w:val="18"/>
                          </w:rPr>
                          <w:t>49</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43"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29</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7"/>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Arial" w:hAnsi="Arial" w:cs="Arial" w:eastAsia="Arial" w:hint="default"/>
                            <w:sz w:val="18"/>
                            <w:szCs w:val="18"/>
                          </w:rPr>
                          <w:t>12</w:t>
                        </w:r>
                        <w:r>
                          <w:rPr>
                            <w:rFonts w:ascii="Arial" w:hAnsi="Arial" w:cs="Arial" w:eastAsia="Arial"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20</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37"/>
                          <w:jc w:val="right"/>
                          <w:rPr>
                            <w:rFonts w:ascii="Arial" w:hAnsi="Arial" w:cs="Arial" w:eastAsia="Arial" w:hint="default"/>
                            <w:sz w:val="18"/>
                            <w:szCs w:val="18"/>
                          </w:rPr>
                        </w:pPr>
                        <w:r>
                          <w:rPr>
                            <w:rFonts w:ascii="Arial"/>
                            <w:w w:val="99"/>
                            <w:sz w:val="18"/>
                          </w:rPr>
                          <w:t>-</w:t>
                        </w:r>
                        <w:r>
                          <w:rPr>
                            <w:rFonts w:ascii="Arial"/>
                            <w:sz w:val="18"/>
                          </w:rPr>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right"/>
                          <w:rPr>
                            <w:rFonts w:ascii="Arial" w:hAnsi="Arial" w:cs="Arial" w:eastAsia="Arial" w:hint="default"/>
                            <w:sz w:val="18"/>
                            <w:szCs w:val="18"/>
                          </w:rPr>
                        </w:pPr>
                        <w:r>
                          <w:rPr>
                            <w:rFonts w:ascii="Arial"/>
                            <w:w w:val="99"/>
                            <w:sz w:val="18"/>
                          </w:rPr>
                          <w:t>-</w:t>
                        </w:r>
                        <w:r>
                          <w:rPr>
                            <w:rFonts w:ascii="Arial"/>
                            <w:sz w:val="18"/>
                          </w:rPr>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51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949"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张健</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38" w:right="-28"/>
                          <w:jc w:val="left"/>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pacing w:val="-80"/>
                            <w:sz w:val="18"/>
                            <w:szCs w:val="18"/>
                          </w:rPr>
                          <w:t>、</w:t>
                        </w:r>
                        <w:r>
                          <w:rPr>
                            <w:rFonts w:ascii="宋体" w:hAnsi="宋体" w:cs="宋体" w:eastAsia="宋体" w:hint="default"/>
                            <w:sz w:val="18"/>
                            <w:szCs w:val="18"/>
                          </w:rPr>
                          <w:t>财</w:t>
                        </w:r>
                      </w:p>
                      <w:p>
                        <w:pPr>
                          <w:pStyle w:val="TableParagraph"/>
                          <w:spacing w:line="237" w:lineRule="auto" w:before="1"/>
                          <w:ind w:left="38" w:right="-28"/>
                          <w:jc w:val="left"/>
                          <w:rPr>
                            <w:rFonts w:ascii="宋体" w:hAnsi="宋体" w:cs="宋体" w:eastAsia="宋体" w:hint="default"/>
                            <w:sz w:val="18"/>
                            <w:szCs w:val="18"/>
                          </w:rPr>
                        </w:pPr>
                        <w:r>
                          <w:rPr>
                            <w:rFonts w:ascii="宋体" w:hAnsi="宋体" w:cs="宋体" w:eastAsia="宋体" w:hint="default"/>
                            <w:sz w:val="18"/>
                            <w:szCs w:val="18"/>
                          </w:rPr>
                          <w:t>务负责人、 代行董事 会秘书</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6" w:right="0"/>
                          <w:jc w:val="left"/>
                          <w:rPr>
                            <w:rFonts w:ascii="Arial" w:hAnsi="Arial" w:cs="Arial" w:eastAsia="Arial" w:hint="default"/>
                            <w:sz w:val="18"/>
                            <w:szCs w:val="18"/>
                          </w:rPr>
                        </w:pPr>
                        <w:r>
                          <w:rPr>
                            <w:rFonts w:ascii="Arial"/>
                            <w:sz w:val="18"/>
                          </w:rPr>
                          <w:t>57</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3" w:right="0"/>
                          <w:jc w:val="center"/>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8</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24</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8"/>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37"/>
                          <w:jc w:val="right"/>
                          <w:rPr>
                            <w:rFonts w:ascii="Arial" w:hAnsi="Arial" w:cs="Arial" w:eastAsia="Arial" w:hint="default"/>
                            <w:sz w:val="18"/>
                            <w:szCs w:val="18"/>
                          </w:rPr>
                        </w:pPr>
                        <w:r>
                          <w:rPr>
                            <w:rFonts w:ascii="Arial"/>
                            <w:w w:val="99"/>
                            <w:sz w:val="18"/>
                          </w:rPr>
                          <w:t>-</w:t>
                        </w:r>
                        <w:r>
                          <w:rPr>
                            <w:rFonts w:ascii="Arial"/>
                            <w:sz w:val="18"/>
                          </w:rPr>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right"/>
                          <w:rPr>
                            <w:rFonts w:ascii="Arial" w:hAnsi="Arial" w:cs="Arial" w:eastAsia="Arial" w:hint="default"/>
                            <w:sz w:val="18"/>
                            <w:szCs w:val="18"/>
                          </w:rPr>
                        </w:pPr>
                        <w:r>
                          <w:rPr>
                            <w:rFonts w:ascii="Arial"/>
                            <w:w w:val="99"/>
                            <w:sz w:val="18"/>
                          </w:rPr>
                          <w:t>-</w:t>
                        </w:r>
                        <w:r>
                          <w:rPr>
                            <w:rFonts w:ascii="Arial"/>
                            <w:sz w:val="18"/>
                          </w:rPr>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Arial" w:hAnsi="Arial" w:cs="Arial" w:eastAsia="Arial" w:hint="default"/>
                            <w:sz w:val="18"/>
                            <w:szCs w:val="18"/>
                          </w:rPr>
                        </w:pPr>
                        <w:r>
                          <w:rPr>
                            <w:rFonts w:ascii="Arial"/>
                            <w:w w:val="99"/>
                            <w:sz w:val="18"/>
                          </w:rPr>
                          <w:t>-</w:t>
                        </w:r>
                        <w:r>
                          <w:rPr>
                            <w:rFonts w:ascii="Arial"/>
                            <w:sz w:val="18"/>
                          </w:rPr>
                        </w:r>
                      </w:p>
                    </w:tc>
                    <w:tc>
                      <w:tcPr>
                        <w:tcW w:w="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7" w:right="0"/>
                          <w:jc w:val="center"/>
                          <w:rPr>
                            <w:rFonts w:ascii="Arial" w:hAnsi="Arial" w:cs="Arial" w:eastAsia="Arial" w:hint="default"/>
                            <w:sz w:val="18"/>
                            <w:szCs w:val="18"/>
                          </w:rPr>
                        </w:pPr>
                        <w:r>
                          <w:rPr>
                            <w:rFonts w:ascii="Arial"/>
                            <w:sz w:val="18"/>
                          </w:rPr>
                          <w:t>57.2</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248"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7" w:right="0"/>
                          <w:jc w:val="left"/>
                          <w:rPr>
                            <w:rFonts w:ascii="宋体" w:hAnsi="宋体" w:cs="宋体" w:eastAsia="宋体" w:hint="default"/>
                            <w:sz w:val="18"/>
                            <w:szCs w:val="18"/>
                          </w:rPr>
                        </w:pPr>
                        <w:r>
                          <w:rPr>
                            <w:rFonts w:ascii="宋体" w:hAnsi="宋体" w:cs="宋体" w:eastAsia="宋体" w:hint="default"/>
                            <w:sz w:val="18"/>
                            <w:szCs w:val="18"/>
                          </w:rPr>
                          <w:t>姚琼</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8" w:right="0"/>
                          <w:jc w:val="left"/>
                          <w:rPr>
                            <w:rFonts w:ascii="宋体" w:hAnsi="宋体" w:cs="宋体" w:eastAsia="宋体" w:hint="default"/>
                            <w:sz w:val="18"/>
                            <w:szCs w:val="18"/>
                          </w:rPr>
                        </w:pPr>
                        <w:r>
                          <w:rPr>
                            <w:rFonts w:ascii="宋体" w:hAnsi="宋体" w:cs="宋体" w:eastAsia="宋体" w:hint="default"/>
                            <w:sz w:val="18"/>
                            <w:szCs w:val="18"/>
                          </w:rPr>
                          <w:t>离任监事</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56" w:right="0"/>
                          <w:jc w:val="left"/>
                          <w:rPr>
                            <w:rFonts w:ascii="Arial" w:hAnsi="Arial" w:cs="Arial" w:eastAsia="Arial" w:hint="default"/>
                            <w:sz w:val="18"/>
                            <w:szCs w:val="18"/>
                          </w:rPr>
                        </w:pPr>
                        <w:r>
                          <w:rPr>
                            <w:rFonts w:ascii="Arial"/>
                            <w:sz w:val="18"/>
                          </w:rPr>
                          <w:t>55</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43"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8"/>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28</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37"/>
                          <w:jc w:val="right"/>
                          <w:rPr>
                            <w:rFonts w:ascii="Arial" w:hAnsi="Arial" w:cs="Arial" w:eastAsia="Arial" w:hint="default"/>
                            <w:sz w:val="18"/>
                            <w:szCs w:val="18"/>
                          </w:rPr>
                        </w:pPr>
                        <w:r>
                          <w:rPr>
                            <w:rFonts w:ascii="Arial"/>
                            <w:w w:val="99"/>
                            <w:sz w:val="18"/>
                          </w:rPr>
                          <w:t>-</w:t>
                        </w:r>
                        <w:r>
                          <w:rPr>
                            <w:rFonts w:ascii="Arial"/>
                            <w:sz w:val="18"/>
                          </w:rPr>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right"/>
                          <w:rPr>
                            <w:rFonts w:ascii="Arial" w:hAnsi="Arial" w:cs="Arial" w:eastAsia="Arial" w:hint="default"/>
                            <w:sz w:val="18"/>
                            <w:szCs w:val="18"/>
                          </w:rPr>
                        </w:pPr>
                        <w:r>
                          <w:rPr>
                            <w:rFonts w:ascii="Arial"/>
                            <w:w w:val="99"/>
                            <w:sz w:val="18"/>
                          </w:rPr>
                          <w:t>-</w:t>
                        </w:r>
                        <w:r>
                          <w:rPr>
                            <w:rFonts w:ascii="Arial"/>
                            <w:sz w:val="18"/>
                          </w:rPr>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w:t>
                        </w:r>
                        <w:r>
                          <w:rPr>
                            <w:rFonts w:ascii="Arial"/>
                            <w:sz w:val="18"/>
                          </w:rPr>
                        </w:r>
                      </w:p>
                    </w:tc>
                    <w:tc>
                      <w:tcPr>
                        <w:tcW w:w="51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949"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韦海波</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离任监事</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6" w:right="0"/>
                          <w:jc w:val="left"/>
                          <w:rPr>
                            <w:rFonts w:ascii="Arial" w:hAnsi="Arial" w:cs="Arial" w:eastAsia="Arial" w:hint="default"/>
                            <w:sz w:val="18"/>
                            <w:szCs w:val="18"/>
                          </w:rPr>
                        </w:pPr>
                        <w:r>
                          <w:rPr>
                            <w:rFonts w:ascii="Arial"/>
                            <w:sz w:val="18"/>
                          </w:rPr>
                          <w:t>47</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3" w:right="0"/>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24</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8"/>
                          <w:jc w:val="right"/>
                          <w:rPr>
                            <w:rFonts w:ascii="Arial" w:hAnsi="Arial" w:cs="Arial" w:eastAsia="Arial" w:hint="default"/>
                            <w:sz w:val="18"/>
                            <w:szCs w:val="18"/>
                          </w:rPr>
                        </w:pPr>
                        <w:r>
                          <w:rPr>
                            <w:rFonts w:ascii="Arial"/>
                            <w:spacing w:val="-1"/>
                            <w:sz w:val="18"/>
                          </w:rPr>
                          <w:t>30,000</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right"/>
                          <w:rPr>
                            <w:rFonts w:ascii="Arial" w:hAnsi="Arial" w:cs="Arial" w:eastAsia="Arial" w:hint="default"/>
                            <w:sz w:val="18"/>
                            <w:szCs w:val="18"/>
                          </w:rPr>
                        </w:pPr>
                        <w:r>
                          <w:rPr>
                            <w:rFonts w:ascii="Arial"/>
                            <w:spacing w:val="-1"/>
                            <w:sz w:val="18"/>
                          </w:rPr>
                          <w:t>30,000</w:t>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Arial" w:hAnsi="Arial" w:cs="Arial" w:eastAsia="Arial" w:hint="default"/>
                            <w:sz w:val="18"/>
                            <w:szCs w:val="18"/>
                          </w:rPr>
                        </w:pPr>
                        <w:r>
                          <w:rPr>
                            <w:rFonts w:ascii="Arial"/>
                            <w:w w:val="99"/>
                            <w:sz w:val="18"/>
                          </w:rPr>
                          <w:t>-</w:t>
                        </w:r>
                        <w:r>
                          <w:rPr>
                            <w:rFonts w:ascii="Arial"/>
                            <w:sz w:val="18"/>
                          </w:rPr>
                        </w:r>
                      </w:p>
                    </w:tc>
                    <w:tc>
                      <w:tcPr>
                        <w:tcW w:w="5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1" w:right="0"/>
                          <w:jc w:val="both"/>
                          <w:rPr>
                            <w:rFonts w:ascii="宋体" w:hAnsi="宋体" w:cs="宋体" w:eastAsia="宋体" w:hint="default"/>
                            <w:sz w:val="18"/>
                            <w:szCs w:val="18"/>
                          </w:rPr>
                        </w:pPr>
                        <w:r>
                          <w:rPr>
                            <w:rFonts w:ascii="宋体" w:hAnsi="宋体" w:cs="宋体" w:eastAsia="宋体" w:hint="default"/>
                            <w:sz w:val="18"/>
                            <w:szCs w:val="18"/>
                          </w:rPr>
                          <w:t>从二</w:t>
                        </w:r>
                      </w:p>
                      <w:p>
                        <w:pPr>
                          <w:pStyle w:val="TableParagraph"/>
                          <w:spacing w:line="237" w:lineRule="auto"/>
                          <w:ind w:left="31" w:right="107"/>
                          <w:jc w:val="both"/>
                          <w:rPr>
                            <w:rFonts w:ascii="宋体" w:hAnsi="宋体" w:cs="宋体" w:eastAsia="宋体" w:hint="default"/>
                            <w:sz w:val="18"/>
                            <w:szCs w:val="18"/>
                          </w:rPr>
                        </w:pPr>
                        <w:r>
                          <w:rPr>
                            <w:rFonts w:ascii="宋体" w:hAnsi="宋体" w:cs="宋体" w:eastAsia="宋体" w:hint="default"/>
                            <w:sz w:val="18"/>
                            <w:szCs w:val="18"/>
                          </w:rPr>
                          <w:t>级市 场购 买</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8"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82"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7" w:right="0"/>
                          <w:jc w:val="left"/>
                          <w:rPr>
                            <w:rFonts w:ascii="宋体" w:hAnsi="宋体" w:cs="宋体" w:eastAsia="宋体" w:hint="default"/>
                            <w:sz w:val="18"/>
                            <w:szCs w:val="18"/>
                          </w:rPr>
                        </w:pPr>
                        <w:r>
                          <w:rPr>
                            <w:rFonts w:ascii="宋体" w:hAnsi="宋体" w:cs="宋体" w:eastAsia="宋体" w:hint="default"/>
                            <w:sz w:val="18"/>
                            <w:szCs w:val="18"/>
                          </w:rPr>
                          <w:t>张保英</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离任董事</w:t>
                        </w:r>
                      </w:p>
                      <w:p>
                        <w:pPr>
                          <w:pStyle w:val="TableParagraph"/>
                          <w:spacing w:line="235" w:lineRule="exact"/>
                          <w:ind w:left="38" w:right="0"/>
                          <w:jc w:val="left"/>
                          <w:rPr>
                            <w:rFonts w:ascii="宋体" w:hAnsi="宋体" w:cs="宋体" w:eastAsia="宋体" w:hint="default"/>
                            <w:sz w:val="18"/>
                            <w:szCs w:val="18"/>
                          </w:rPr>
                        </w:pPr>
                        <w:r>
                          <w:rPr>
                            <w:rFonts w:ascii="宋体" w:hAnsi="宋体" w:cs="宋体" w:eastAsia="宋体" w:hint="default"/>
                            <w:sz w:val="18"/>
                            <w:szCs w:val="18"/>
                          </w:rPr>
                          <w:t>会秘书</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56" w:right="0"/>
                          <w:jc w:val="left"/>
                          <w:rPr>
                            <w:rFonts w:ascii="Arial" w:hAnsi="Arial" w:cs="Arial" w:eastAsia="Arial" w:hint="default"/>
                            <w:sz w:val="18"/>
                            <w:szCs w:val="18"/>
                          </w:rPr>
                        </w:pPr>
                        <w:r>
                          <w:rPr>
                            <w:rFonts w:ascii="Arial"/>
                            <w:sz w:val="18"/>
                          </w:rPr>
                          <w:t>47</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3" w:right="-3"/>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12</w:t>
                        </w:r>
                        <w:r>
                          <w:rPr>
                            <w:rFonts w:ascii="Arial" w:hAnsi="Arial" w:cs="Arial" w:eastAsia="Arial"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Arial" w:hAnsi="Arial" w:cs="Arial" w:eastAsia="Arial" w:hint="default"/>
                            <w:sz w:val="18"/>
                            <w:szCs w:val="18"/>
                          </w:rPr>
                          <w:t>15</w:t>
                        </w:r>
                        <w:r>
                          <w:rPr>
                            <w:rFonts w:ascii="Arial" w:hAnsi="Arial" w:cs="Arial" w:eastAsia="Arial" w:hint="default"/>
                            <w:spacing w:val="-16"/>
                            <w:sz w:val="18"/>
                            <w:szCs w:val="18"/>
                          </w:rPr>
                          <w:t> </w:t>
                        </w:r>
                        <w:r>
                          <w:rPr>
                            <w:rFonts w:ascii="宋体" w:hAnsi="宋体" w:cs="宋体" w:eastAsia="宋体" w:hint="default"/>
                            <w:sz w:val="18"/>
                            <w:szCs w:val="18"/>
                          </w:rPr>
                          <w:t>日</w:t>
                        </w:r>
                      </w:p>
                    </w:tc>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8"/>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37"/>
                          <w:jc w:val="right"/>
                          <w:rPr>
                            <w:rFonts w:ascii="Arial" w:hAnsi="Arial" w:cs="Arial" w:eastAsia="Arial" w:hint="default"/>
                            <w:sz w:val="18"/>
                            <w:szCs w:val="18"/>
                          </w:rPr>
                        </w:pPr>
                        <w:r>
                          <w:rPr>
                            <w:rFonts w:ascii="Arial"/>
                            <w:w w:val="99"/>
                            <w:sz w:val="18"/>
                          </w:rPr>
                          <w:t>-</w:t>
                        </w:r>
                        <w:r>
                          <w:rPr>
                            <w:rFonts w:ascii="Arial"/>
                            <w:sz w:val="18"/>
                          </w:rPr>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right"/>
                          <w:rPr>
                            <w:rFonts w:ascii="Arial" w:hAnsi="Arial" w:cs="Arial" w:eastAsia="Arial" w:hint="default"/>
                            <w:sz w:val="18"/>
                            <w:szCs w:val="18"/>
                          </w:rPr>
                        </w:pPr>
                        <w:r>
                          <w:rPr>
                            <w:rFonts w:ascii="Arial"/>
                            <w:w w:val="99"/>
                            <w:sz w:val="18"/>
                          </w:rPr>
                          <w:t>-</w:t>
                        </w:r>
                        <w:r>
                          <w:rPr>
                            <w:rFonts w:ascii="Arial"/>
                            <w:sz w:val="18"/>
                          </w:rPr>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w w:val="99"/>
                            <w:sz w:val="18"/>
                          </w:rPr>
                          <w:t>-</w:t>
                        </w:r>
                        <w:r>
                          <w:rPr>
                            <w:rFonts w:ascii="Arial"/>
                            <w:sz w:val="18"/>
                          </w:rPr>
                        </w:r>
                      </w:p>
                    </w:tc>
                    <w:tc>
                      <w:tcPr>
                        <w:tcW w:w="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27" w:right="0"/>
                          <w:jc w:val="center"/>
                          <w:rPr>
                            <w:rFonts w:ascii="Arial" w:hAnsi="Arial" w:cs="Arial" w:eastAsia="Arial" w:hint="default"/>
                            <w:sz w:val="18"/>
                            <w:szCs w:val="18"/>
                          </w:rPr>
                        </w:pPr>
                        <w:r>
                          <w:rPr>
                            <w:rFonts w:ascii="Arial"/>
                            <w:sz w:val="18"/>
                          </w:rPr>
                          <w:t>19.6</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95" w:lineRule="exact" w:before="31"/>
        <w:ind w:left="146" w:right="318"/>
        <w:jc w:val="left"/>
      </w:pPr>
      <w:r>
        <w:rPr>
          <w:rFonts w:ascii="Arial" w:hAnsi="Arial" w:cs="Arial" w:eastAsia="Arial" w:hint="default"/>
        </w:rPr>
        <w:t>1</w:t>
      </w:r>
      <w:r>
        <w:rPr/>
        <w:t>、常小兵</w:t>
      </w:r>
    </w:p>
    <w:p>
      <w:pPr>
        <w:pStyle w:val="BodyText"/>
        <w:spacing w:line="286" w:lineRule="exact" w:before="19"/>
        <w:ind w:left="498" w:right="318"/>
        <w:jc w:val="left"/>
      </w:pPr>
      <w:r>
        <w:rPr>
          <w:spacing w:val="-3"/>
          <w:w w:val="95"/>
        </w:rPr>
        <w:t>常小兵先生为教授级高级工程师，</w:t>
      </w:r>
      <w:r>
        <w:rPr>
          <w:rFonts w:ascii="Arial" w:hAnsi="Arial" w:cs="Arial" w:eastAsia="Arial" w:hint="default"/>
          <w:spacing w:val="-3"/>
          <w:w w:val="95"/>
        </w:rPr>
        <w:t>1982 </w:t>
      </w:r>
      <w:r>
        <w:rPr>
          <w:w w:val="95"/>
        </w:rPr>
        <w:t>年毕业于南京邮电学院电信工程系，获得工学学士学位；</w:t>
      </w:r>
      <w:r>
        <w:rPr>
          <w:spacing w:val="-24"/>
          <w:w w:val="95"/>
        </w:rPr>
        <w:t> </w:t>
      </w:r>
      <w:r>
        <w:rPr>
          <w:spacing w:val="-24"/>
          <w:w w:val="95"/>
        </w:rPr>
      </w:r>
      <w:r>
        <w:rPr>
          <w:rFonts w:ascii="Arial" w:hAnsi="Arial" w:cs="Arial" w:eastAsia="Arial" w:hint="default"/>
        </w:rPr>
        <w:t>2001 </w:t>
      </w:r>
      <w:r>
        <w:rPr>
          <w:spacing w:val="-3"/>
        </w:rPr>
        <w:t>年获得清华大学工商管理硕士学位；</w:t>
      </w:r>
      <w:r>
        <w:rPr>
          <w:rFonts w:ascii="Arial" w:hAnsi="Arial" w:cs="Arial" w:eastAsia="Arial" w:hint="default"/>
          <w:spacing w:val="-3"/>
        </w:rPr>
        <w:t>2005 </w:t>
      </w:r>
      <w:r>
        <w:rPr>
          <w:spacing w:val="-3"/>
        </w:rPr>
        <w:t>年获得香港理工大学工商管理博士学位。曾先后</w:t>
      </w:r>
      <w:r>
        <w:rPr>
          <w:spacing w:val="-101"/>
        </w:rPr>
        <w:t> </w:t>
      </w:r>
      <w:r>
        <w:rPr>
          <w:spacing w:val="-101"/>
        </w:rPr>
      </w:r>
      <w:r>
        <w:rPr>
          <w:spacing w:val="-5"/>
          <w:w w:val="99"/>
        </w:rPr>
        <w:t>任江苏省南京市电信局副局长、中国邮电电信总局副局长、信息产业部电信管理局副局长与局长、</w:t>
      </w:r>
      <w:r>
        <w:rPr>
          <w:spacing w:val="-108"/>
          <w:w w:val="99"/>
        </w:rPr>
        <w:t> </w:t>
      </w:r>
      <w:r>
        <w:rPr>
          <w:spacing w:val="-108"/>
          <w:w w:val="99"/>
        </w:rPr>
      </w:r>
      <w:r>
        <w:rPr/>
        <w:t>中国电信集团公司副总经理、中国电信股份有限公司执行董事及总裁。自</w:t>
      </w:r>
      <w:r>
        <w:rPr>
          <w:spacing w:val="-56"/>
        </w:rPr>
        <w:t> </w:t>
      </w:r>
      <w:r>
        <w:rPr>
          <w:rFonts w:ascii="Arial" w:hAnsi="Arial" w:cs="Arial" w:eastAsia="Arial" w:hint="default"/>
        </w:rPr>
        <w:t>2004</w:t>
      </w:r>
      <w:r>
        <w:rPr>
          <w:rFonts w:ascii="Arial" w:hAnsi="Arial" w:cs="Arial" w:eastAsia="Arial" w:hint="default"/>
          <w:spacing w:val="-11"/>
        </w:rPr>
        <w:t> </w:t>
      </w:r>
      <w:r>
        <w:rPr/>
        <w:t>年</w:t>
      </w:r>
      <w:r>
        <w:rPr>
          <w:spacing w:val="-60"/>
        </w:rPr>
        <w:t> </w:t>
      </w:r>
      <w:r>
        <w:rPr>
          <w:rFonts w:ascii="Arial" w:hAnsi="Arial" w:cs="Arial" w:eastAsia="Arial" w:hint="default"/>
        </w:rPr>
        <w:t>11</w:t>
      </w:r>
      <w:r>
        <w:rPr>
          <w:rFonts w:ascii="Arial" w:hAnsi="Arial" w:cs="Arial" w:eastAsia="Arial" w:hint="default"/>
          <w:spacing w:val="-11"/>
        </w:rPr>
        <w:t> </w:t>
      </w:r>
      <w:r>
        <w:rPr/>
        <w:t>月加入中</w:t>
      </w:r>
    </w:p>
    <w:p>
      <w:pPr>
        <w:pStyle w:val="BodyText"/>
        <w:spacing w:line="265" w:lineRule="exact"/>
        <w:ind w:left="498" w:right="318"/>
        <w:jc w:val="left"/>
      </w:pPr>
      <w:r>
        <w:rPr/>
        <w:t>国联合通信有限公司担任董事长。中国联合通信有限公司于</w:t>
      </w:r>
      <w:r>
        <w:rPr>
          <w:spacing w:val="-57"/>
        </w:rPr>
        <w:t> </w:t>
      </w:r>
      <w:r>
        <w:rPr>
          <w:rFonts w:ascii="Arial" w:hAnsi="Arial" w:cs="Arial" w:eastAsia="Arial" w:hint="default"/>
        </w:rPr>
        <w:t>2008</w:t>
      </w:r>
      <w:r>
        <w:rPr>
          <w:rFonts w:ascii="Arial" w:hAnsi="Arial" w:cs="Arial" w:eastAsia="Arial" w:hint="default"/>
          <w:spacing w:val="-10"/>
        </w:rPr>
        <w:t> </w:t>
      </w:r>
      <w:r>
        <w:rPr/>
        <w:t>年</w:t>
      </w:r>
      <w:r>
        <w:rPr>
          <w:spacing w:val="-59"/>
        </w:rPr>
        <w:t> </w:t>
      </w:r>
      <w:r>
        <w:rPr>
          <w:rFonts w:ascii="Arial" w:hAnsi="Arial" w:cs="Arial" w:eastAsia="Arial" w:hint="default"/>
        </w:rPr>
        <w:t>12</w:t>
      </w:r>
      <w:r>
        <w:rPr>
          <w:rFonts w:ascii="Arial" w:hAnsi="Arial" w:cs="Arial" w:eastAsia="Arial" w:hint="default"/>
          <w:spacing w:val="-10"/>
        </w:rPr>
        <w:t> </w:t>
      </w:r>
      <w:r>
        <w:rPr/>
        <w:t>月更名为中国联合网络</w:t>
      </w:r>
    </w:p>
    <w:p>
      <w:pPr>
        <w:pStyle w:val="BodyText"/>
        <w:spacing w:line="230" w:lineRule="auto" w:before="1"/>
        <w:ind w:left="498" w:right="318"/>
        <w:jc w:val="left"/>
      </w:pPr>
      <w:r>
        <w:rPr/>
        <w:t>通信集团有限公司（“联通集团”）。常先生自</w:t>
      </w:r>
      <w:r>
        <w:rPr>
          <w:spacing w:val="-62"/>
        </w:rPr>
        <w:t> </w:t>
      </w:r>
      <w:r>
        <w:rPr>
          <w:rFonts w:ascii="Arial" w:hAnsi="Arial" w:cs="Arial" w:eastAsia="Arial" w:hint="default"/>
        </w:rPr>
        <w:t>2011</w:t>
      </w:r>
      <w:r>
        <w:rPr>
          <w:rFonts w:ascii="Arial" w:hAnsi="Arial" w:cs="Arial" w:eastAsia="Arial" w:hint="default"/>
          <w:spacing w:val="-13"/>
        </w:rPr>
        <w:t> </w:t>
      </w:r>
      <w:r>
        <w:rPr/>
        <w:t>年</w:t>
      </w:r>
      <w:r>
        <w:rPr>
          <w:spacing w:val="-62"/>
        </w:rPr>
        <w:t> </w:t>
      </w:r>
      <w:r>
        <w:rPr>
          <w:rFonts w:ascii="Arial" w:hAnsi="Arial" w:cs="Arial" w:eastAsia="Arial" w:hint="default"/>
        </w:rPr>
        <w:t>5</w:t>
      </w:r>
      <w:r>
        <w:rPr>
          <w:rFonts w:ascii="Arial" w:hAnsi="Arial" w:cs="Arial" w:eastAsia="Arial" w:hint="default"/>
          <w:spacing w:val="-13"/>
        </w:rPr>
        <w:t> </w:t>
      </w:r>
      <w:r>
        <w:rPr/>
        <w:t>月起担任</w:t>
      </w:r>
      <w:r>
        <w:rPr>
          <w:spacing w:val="-61"/>
        </w:rPr>
        <w:t> </w:t>
      </w:r>
      <w:r>
        <w:rPr>
          <w:rFonts w:ascii="Arial" w:hAnsi="Arial" w:cs="Arial" w:eastAsia="Arial" w:hint="default"/>
        </w:rPr>
        <w:t>Telef</w:t>
      </w:r>
      <w:r>
        <w:rPr/>
        <w:t>ó</w:t>
      </w:r>
      <w:r>
        <w:rPr>
          <w:rFonts w:ascii="Arial" w:hAnsi="Arial" w:cs="Arial" w:eastAsia="Arial" w:hint="default"/>
        </w:rPr>
        <w:t>nica</w:t>
      </w:r>
      <w:r>
        <w:rPr>
          <w:rFonts w:ascii="Arial" w:hAnsi="Arial" w:cs="Arial" w:eastAsia="Arial" w:hint="default"/>
          <w:spacing w:val="-14"/>
        </w:rPr>
        <w:t> </w:t>
      </w:r>
      <w:r>
        <w:rPr>
          <w:rFonts w:ascii="Arial" w:hAnsi="Arial" w:cs="Arial" w:eastAsia="Arial" w:hint="default"/>
        </w:rPr>
        <w:t>S.A.</w:t>
      </w:r>
      <w:r>
        <w:rPr/>
        <w:t>（西班牙电</w:t>
      </w:r>
      <w:r>
        <w:rPr>
          <w:w w:val="99"/>
        </w:rPr>
        <w:t> </w:t>
      </w:r>
      <w:r>
        <w:rPr>
          <w:spacing w:val="-6"/>
        </w:rPr>
        <w:t>信）董事。常先生目前担任联通集团公司董事长，联通红筹公司执行董事、董事长兼首席执行官，</w:t>
      </w:r>
      <w:r>
        <w:rPr>
          <w:spacing w:val="-84"/>
        </w:rPr>
        <w:t> </w:t>
      </w:r>
      <w:r>
        <w:rPr>
          <w:spacing w:val="-84"/>
        </w:rPr>
      </w:r>
      <w:r>
        <w:rPr/>
        <w:t>联通运营公司董事长，并自</w:t>
      </w:r>
      <w:r>
        <w:rPr>
          <w:spacing w:val="-57"/>
        </w:rPr>
        <w:t> </w:t>
      </w:r>
      <w:r>
        <w:rPr>
          <w:rFonts w:ascii="Arial" w:hAnsi="Arial" w:cs="Arial" w:eastAsia="Arial" w:hint="default"/>
        </w:rPr>
        <w:t>2004</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月起任本公司董事长。常小兵先生有丰富的电信行业管</w:t>
      </w:r>
      <w:r>
        <w:rPr>
          <w:w w:val="99"/>
        </w:rPr>
        <w:t> </w:t>
      </w:r>
      <w:r>
        <w:rPr/>
        <w:t>理和从业经验。</w:t>
      </w:r>
    </w:p>
    <w:p>
      <w:pPr>
        <w:spacing w:after="0" w:line="230" w:lineRule="auto"/>
        <w:jc w:val="left"/>
        <w:sectPr>
          <w:pgSz w:w="11910" w:h="16840"/>
          <w:pgMar w:header="567" w:footer="745" w:top="800" w:bottom="940" w:left="1380" w:right="420"/>
        </w:sectPr>
      </w:pPr>
    </w:p>
    <w:p>
      <w:pPr>
        <w:spacing w:line="240" w:lineRule="auto" w:before="8"/>
        <w:rPr>
          <w:rFonts w:ascii="宋体" w:hAnsi="宋体" w:cs="宋体" w:eastAsia="宋体" w:hint="default"/>
          <w:sz w:val="22"/>
          <w:szCs w:val="22"/>
        </w:rPr>
      </w:pPr>
    </w:p>
    <w:p>
      <w:pPr>
        <w:pStyle w:val="BodyText"/>
        <w:spacing w:line="295" w:lineRule="exact" w:before="31"/>
        <w:ind w:left="146" w:right="0"/>
        <w:jc w:val="left"/>
      </w:pPr>
      <w:r>
        <w:rPr>
          <w:rFonts w:ascii="Arial" w:hAnsi="Arial" w:cs="Arial" w:eastAsia="Arial" w:hint="default"/>
        </w:rPr>
        <w:t>2</w:t>
      </w:r>
      <w:r>
        <w:rPr/>
        <w:t>、陆益民</w:t>
      </w:r>
    </w:p>
    <w:p>
      <w:pPr>
        <w:pStyle w:val="BodyText"/>
        <w:spacing w:line="225" w:lineRule="auto" w:before="6"/>
        <w:ind w:left="498" w:right="148"/>
        <w:jc w:val="both"/>
      </w:pPr>
      <w:r>
        <w:rPr/>
        <w:t>陆益民先生为研究员级高级工程师，</w:t>
      </w:r>
      <w:r>
        <w:rPr>
          <w:rFonts w:ascii="Arial" w:hAnsi="Arial" w:cs="Arial" w:eastAsia="Arial" w:hint="default"/>
        </w:rPr>
        <w:t>1985</w:t>
      </w:r>
      <w:r>
        <w:rPr>
          <w:rFonts w:ascii="Arial" w:hAnsi="Arial" w:cs="Arial" w:eastAsia="Arial" w:hint="default"/>
          <w:spacing w:val="-4"/>
        </w:rPr>
        <w:t> </w:t>
      </w:r>
      <w:r>
        <w:rPr/>
        <w:t>年毕业于上海交通大学计算机科学技术专业并取得工</w:t>
      </w:r>
      <w:r>
        <w:rPr>
          <w:w w:val="99"/>
        </w:rPr>
        <w:t> </w:t>
      </w:r>
      <w:r>
        <w:rPr/>
        <w:t>学学士学位，</w:t>
      </w:r>
      <w:r>
        <w:rPr>
          <w:rFonts w:ascii="Arial" w:hAnsi="Arial" w:cs="Arial" w:eastAsia="Arial" w:hint="default"/>
        </w:rPr>
        <w:t>2001</w:t>
      </w:r>
      <w:r>
        <w:rPr>
          <w:rFonts w:ascii="Arial" w:hAnsi="Arial" w:cs="Arial" w:eastAsia="Arial" w:hint="default"/>
          <w:spacing w:val="-10"/>
        </w:rPr>
        <w:t> </w:t>
      </w:r>
      <w:r>
        <w:rPr/>
        <w:t>年</w:t>
      </w:r>
      <w:r>
        <w:rPr>
          <w:spacing w:val="-59"/>
        </w:rPr>
        <w:t> </w:t>
      </w:r>
      <w:r>
        <w:rPr>
          <w:rFonts w:ascii="Arial" w:hAnsi="Arial" w:cs="Arial" w:eastAsia="Arial" w:hint="default"/>
        </w:rPr>
        <w:t>6</w:t>
      </w:r>
      <w:r>
        <w:rPr>
          <w:rFonts w:ascii="Arial" w:hAnsi="Arial" w:cs="Arial" w:eastAsia="Arial" w:hint="default"/>
          <w:spacing w:val="-10"/>
        </w:rPr>
        <w:t> </w:t>
      </w:r>
      <w:r>
        <w:rPr/>
        <w:t>月取得美国哈佛大学肯尼迪政府学院公共管理专业硕士学位。陆先生于</w:t>
      </w:r>
      <w:r>
        <w:rPr>
          <w:w w:val="99"/>
        </w:rPr>
        <w:t> </w:t>
      </w:r>
      <w:r>
        <w:rPr>
          <w:rFonts w:ascii="Arial" w:hAnsi="Arial" w:cs="Arial" w:eastAsia="Arial" w:hint="default"/>
        </w:rPr>
        <w:t>2007</w:t>
      </w:r>
      <w:r>
        <w:rPr>
          <w:rFonts w:ascii="Arial" w:hAnsi="Arial" w:cs="Arial" w:eastAsia="Arial" w:hint="default"/>
          <w:spacing w:val="-11"/>
        </w:rPr>
        <w:t> </w:t>
      </w:r>
      <w:r>
        <w:rPr/>
        <w:t>年</w:t>
      </w:r>
      <w:r>
        <w:rPr>
          <w:spacing w:val="-60"/>
        </w:rPr>
        <w:t> </w:t>
      </w:r>
      <w:r>
        <w:rPr>
          <w:rFonts w:ascii="Arial" w:hAnsi="Arial" w:cs="Arial" w:eastAsia="Arial" w:hint="default"/>
        </w:rPr>
        <w:t>12</w:t>
      </w:r>
      <w:r>
        <w:rPr>
          <w:rFonts w:ascii="Arial" w:hAnsi="Arial" w:cs="Arial" w:eastAsia="Arial" w:hint="default"/>
          <w:spacing w:val="-11"/>
        </w:rPr>
        <w:t> </w:t>
      </w:r>
      <w:r>
        <w:rPr/>
        <w:t>月加入中国网络通信集团公司（“网通集团”）担任高级管理职务，并于</w:t>
      </w:r>
      <w:r>
        <w:rPr>
          <w:spacing w:val="-59"/>
        </w:rPr>
        <w:t> </w:t>
      </w:r>
      <w:r>
        <w:rPr>
          <w:rFonts w:ascii="Arial" w:hAnsi="Arial" w:cs="Arial" w:eastAsia="Arial" w:hint="default"/>
        </w:rPr>
        <w:t>2008</w:t>
      </w:r>
      <w:r>
        <w:rPr>
          <w:rFonts w:ascii="Arial" w:hAnsi="Arial" w:cs="Arial" w:eastAsia="Arial" w:hint="default"/>
          <w:spacing w:val="-11"/>
        </w:rPr>
        <w:t> </w:t>
      </w:r>
      <w:r>
        <w:rPr/>
        <w:t>年</w:t>
      </w:r>
      <w:r>
        <w:rPr>
          <w:spacing w:val="-61"/>
        </w:rPr>
        <w:t> </w:t>
      </w:r>
      <w:r>
        <w:rPr>
          <w:rFonts w:ascii="Arial" w:hAnsi="Arial" w:cs="Arial" w:eastAsia="Arial" w:hint="default"/>
        </w:rPr>
        <w:t>5</w:t>
      </w:r>
      <w:r>
        <w:rPr>
          <w:rFonts w:ascii="Arial" w:hAnsi="Arial" w:cs="Arial" w:eastAsia="Arial" w:hint="default"/>
          <w:w w:val="99"/>
        </w:rPr>
        <w:t> </w:t>
      </w:r>
      <w:r>
        <w:rPr/>
        <w:t>月起担任香港电讯盈科有限公司非执行董事，</w:t>
      </w:r>
      <w:r>
        <w:rPr>
          <w:rFonts w:ascii="Arial" w:hAnsi="Arial" w:cs="Arial" w:eastAsia="Arial" w:hint="default"/>
        </w:rPr>
        <w:t>2011 </w:t>
      </w:r>
      <w:r>
        <w:rPr/>
        <w:t>年 </w:t>
      </w:r>
      <w:r>
        <w:rPr>
          <w:rFonts w:ascii="Arial" w:hAnsi="Arial" w:cs="Arial" w:eastAsia="Arial" w:hint="default"/>
        </w:rPr>
        <w:t>11</w:t>
      </w:r>
      <w:r>
        <w:rPr>
          <w:rFonts w:ascii="Arial" w:hAnsi="Arial" w:cs="Arial" w:eastAsia="Arial" w:hint="default"/>
          <w:spacing w:val="20"/>
        </w:rPr>
        <w:t> </w:t>
      </w:r>
      <w:r>
        <w:rPr/>
        <w:t>月起担任香港电讯盈科有限公司董事</w:t>
      </w:r>
      <w:r>
        <w:rPr>
          <w:w w:val="99"/>
        </w:rPr>
        <w:t> </w:t>
      </w:r>
      <w:r>
        <w:rPr/>
        <w:t>会副主席。</w:t>
      </w:r>
      <w:r>
        <w:rPr>
          <w:rFonts w:ascii="Arial" w:hAnsi="Arial" w:cs="Arial" w:eastAsia="Arial" w:hint="default"/>
        </w:rPr>
        <w:t>2011 </w:t>
      </w:r>
      <w:r>
        <w:rPr/>
        <w:t>年 </w:t>
      </w:r>
      <w:r>
        <w:rPr>
          <w:rFonts w:ascii="Arial" w:hAnsi="Arial" w:cs="Arial" w:eastAsia="Arial" w:hint="default"/>
        </w:rPr>
        <w:t>11</w:t>
      </w:r>
      <w:r>
        <w:rPr>
          <w:rFonts w:ascii="Arial" w:hAnsi="Arial" w:cs="Arial" w:eastAsia="Arial" w:hint="default"/>
          <w:spacing w:val="20"/>
        </w:rPr>
        <w:t> </w:t>
      </w:r>
      <w:r>
        <w:rPr/>
        <w:t>月起担任香港电讯管理有限公司（作为香港电讯信托的托管人—经理）</w:t>
      </w:r>
      <w:r>
        <w:rPr>
          <w:w w:val="99"/>
        </w:rPr>
        <w:t> </w:t>
      </w:r>
      <w:r>
        <w:rPr/>
        <w:t>非执行董事。加入网通集团之前，曾在中共中央办公厅秘书局工作，自</w:t>
      </w:r>
      <w:r>
        <w:rPr>
          <w:spacing w:val="-78"/>
        </w:rPr>
        <w:t> </w:t>
      </w:r>
      <w:r>
        <w:rPr>
          <w:rFonts w:ascii="Arial" w:hAnsi="Arial" w:cs="Arial" w:eastAsia="Arial" w:hint="default"/>
        </w:rPr>
        <w:t>1992</w:t>
      </w:r>
      <w:r>
        <w:rPr>
          <w:rFonts w:ascii="Arial" w:hAnsi="Arial" w:cs="Arial" w:eastAsia="Arial" w:hint="default"/>
          <w:spacing w:val="-30"/>
        </w:rPr>
        <w:t> </w:t>
      </w:r>
      <w:r>
        <w:rPr/>
        <w:t>年起先后担任信息</w:t>
      </w:r>
      <w:r>
        <w:rPr>
          <w:w w:val="99"/>
        </w:rPr>
        <w:t> </w:t>
      </w:r>
      <w:r>
        <w:rPr/>
        <w:t>处理室副主任及主任，</w:t>
      </w:r>
      <w:r>
        <w:rPr>
          <w:rFonts w:ascii="Arial" w:hAnsi="Arial" w:cs="Arial" w:eastAsia="Arial" w:hint="default"/>
        </w:rPr>
        <w:t>2001 </w:t>
      </w:r>
      <w:r>
        <w:rPr/>
        <w:t>年起担任专职副局级秘书，</w:t>
      </w:r>
      <w:r>
        <w:rPr>
          <w:rFonts w:ascii="Arial" w:hAnsi="Arial" w:cs="Arial" w:eastAsia="Arial" w:hint="default"/>
        </w:rPr>
        <w:t>2005</w:t>
      </w:r>
      <w:r>
        <w:rPr>
          <w:rFonts w:ascii="Arial" w:hAnsi="Arial" w:cs="Arial" w:eastAsia="Arial" w:hint="default"/>
          <w:spacing w:val="57"/>
        </w:rPr>
        <w:t> </w:t>
      </w:r>
      <w:r>
        <w:rPr/>
        <w:t>年起担任专职正局级秘书。</w:t>
      </w:r>
      <w:r>
        <w:rPr>
          <w:rFonts w:ascii="Arial" w:hAnsi="Arial" w:cs="Arial" w:eastAsia="Arial" w:hint="default"/>
        </w:rPr>
        <w:t>2008</w:t>
      </w:r>
      <w:r>
        <w:rPr>
          <w:rFonts w:ascii="Arial" w:hAnsi="Arial" w:cs="Arial" w:eastAsia="Arial" w:hint="default"/>
          <w:w w:val="99"/>
        </w:rPr>
        <w:t> </w:t>
      </w:r>
      <w:r>
        <w:rPr/>
        <w:t>年</w:t>
      </w:r>
      <w:r>
        <w:rPr>
          <w:spacing w:val="-41"/>
        </w:rPr>
        <w:t> </w:t>
      </w:r>
      <w:r>
        <w:rPr>
          <w:rFonts w:ascii="Arial" w:hAnsi="Arial" w:cs="Arial" w:eastAsia="Arial" w:hint="default"/>
        </w:rPr>
        <w:t>10</w:t>
      </w:r>
      <w:r>
        <w:rPr>
          <w:rFonts w:ascii="Arial" w:hAnsi="Arial" w:cs="Arial" w:eastAsia="Arial" w:hint="default"/>
          <w:spacing w:val="8"/>
        </w:rPr>
        <w:t> </w:t>
      </w:r>
      <w:r>
        <w:rPr/>
        <w:t>月起担任联通红筹公司执行董事。</w:t>
      </w:r>
      <w:r>
        <w:rPr>
          <w:rFonts w:ascii="Arial" w:hAnsi="Arial" w:cs="Arial" w:eastAsia="Arial" w:hint="default"/>
        </w:rPr>
        <w:t>2009</w:t>
      </w:r>
      <w:r>
        <w:rPr>
          <w:rFonts w:ascii="Arial" w:hAnsi="Arial" w:cs="Arial" w:eastAsia="Arial" w:hint="default"/>
          <w:spacing w:val="9"/>
        </w:rPr>
        <w:t> </w:t>
      </w:r>
      <w:r>
        <w:rPr/>
        <w:t>年</w:t>
      </w:r>
      <w:r>
        <w:rPr>
          <w:spacing w:val="-41"/>
        </w:rPr>
        <w:t> </w:t>
      </w:r>
      <w:r>
        <w:rPr>
          <w:rFonts w:ascii="Arial" w:hAnsi="Arial" w:cs="Arial" w:eastAsia="Arial" w:hint="default"/>
        </w:rPr>
        <w:t>2</w:t>
      </w:r>
      <w:r>
        <w:rPr>
          <w:rFonts w:ascii="Arial" w:hAnsi="Arial" w:cs="Arial" w:eastAsia="Arial" w:hint="default"/>
          <w:spacing w:val="8"/>
        </w:rPr>
        <w:t> </w:t>
      </w:r>
      <w:r>
        <w:rPr/>
        <w:t>月起担任联通红筹公司总裁。陆先生目前担</w:t>
      </w:r>
      <w:r>
        <w:rPr>
          <w:w w:val="99"/>
        </w:rPr>
        <w:t> </w:t>
      </w:r>
      <w:r>
        <w:rPr>
          <w:spacing w:val="-4"/>
        </w:rPr>
        <w:t>任联通集团副董事长及总经理，联通红筹公司执行董事及总裁，联通运营公司董事及总裁。</w:t>
      </w:r>
      <w:r>
        <w:rPr>
          <w:rFonts w:ascii="Arial" w:hAnsi="Arial" w:cs="Arial" w:eastAsia="Arial" w:hint="default"/>
          <w:spacing w:val="-4"/>
        </w:rPr>
        <w:t>2009</w:t>
      </w:r>
      <w:r>
        <w:rPr>
          <w:rFonts w:ascii="Arial" w:hAnsi="Arial" w:cs="Arial" w:eastAsia="Arial" w:hint="default"/>
          <w:spacing w:val="-50"/>
        </w:rPr>
        <w:t> </w:t>
      </w:r>
      <w:r>
        <w:rPr>
          <w:rFonts w:ascii="Arial" w:hAnsi="Arial" w:cs="Arial" w:eastAsia="Arial" w:hint="default"/>
          <w:spacing w:val="-50"/>
        </w:rPr>
      </w:r>
      <w:r>
        <w:rPr/>
        <w:t>年</w:t>
      </w:r>
      <w:r>
        <w:rPr>
          <w:spacing w:val="-60"/>
        </w:rPr>
        <w:t> </w:t>
      </w:r>
      <w:r>
        <w:rPr>
          <w:rFonts w:ascii="Arial" w:hAnsi="Arial" w:cs="Arial" w:eastAsia="Arial" w:hint="default"/>
        </w:rPr>
        <w:t>3</w:t>
      </w:r>
      <w:r>
        <w:rPr>
          <w:rFonts w:ascii="Arial" w:hAnsi="Arial" w:cs="Arial" w:eastAsia="Arial" w:hint="default"/>
          <w:spacing w:val="-11"/>
        </w:rPr>
        <w:t> </w:t>
      </w:r>
      <w:r>
        <w:rPr/>
        <w:t>月起任本公司总裁。</w:t>
      </w:r>
      <w:r>
        <w:rPr>
          <w:rFonts w:ascii="Arial" w:hAnsi="Arial" w:cs="Arial" w:eastAsia="Arial" w:hint="default"/>
        </w:rPr>
        <w:t>2009</w:t>
      </w:r>
      <w:r>
        <w:rPr>
          <w:rFonts w:ascii="Arial" w:hAnsi="Arial" w:cs="Arial" w:eastAsia="Arial" w:hint="default"/>
          <w:spacing w:val="-11"/>
        </w:rPr>
        <w:t> </w:t>
      </w:r>
      <w:r>
        <w:rPr/>
        <w:t>年</w:t>
      </w:r>
      <w:r>
        <w:rPr>
          <w:spacing w:val="-60"/>
        </w:rPr>
        <w:t> </w:t>
      </w:r>
      <w:r>
        <w:rPr>
          <w:rFonts w:ascii="Arial" w:hAnsi="Arial" w:cs="Arial" w:eastAsia="Arial" w:hint="default"/>
        </w:rPr>
        <w:t>5</w:t>
      </w:r>
      <w:r>
        <w:rPr>
          <w:rFonts w:ascii="Arial" w:hAnsi="Arial" w:cs="Arial" w:eastAsia="Arial" w:hint="default"/>
          <w:spacing w:val="-11"/>
        </w:rPr>
        <w:t> </w:t>
      </w:r>
      <w:r>
        <w:rPr/>
        <w:t>月起任本公司董事。陆益民先生具有丰富的政府工作经历和</w:t>
      </w:r>
      <w:r>
        <w:rPr>
          <w:w w:val="99"/>
        </w:rPr>
        <w:t> </w:t>
      </w:r>
      <w:r>
        <w:rPr/>
        <w:t>管理经验。</w:t>
      </w:r>
    </w:p>
    <w:p>
      <w:pPr>
        <w:spacing w:line="240" w:lineRule="auto" w:before="3"/>
        <w:rPr>
          <w:rFonts w:ascii="宋体" w:hAnsi="宋体" w:cs="宋体" w:eastAsia="宋体" w:hint="default"/>
          <w:sz w:val="19"/>
          <w:szCs w:val="19"/>
        </w:rPr>
      </w:pPr>
    </w:p>
    <w:p>
      <w:pPr>
        <w:pStyle w:val="BodyText"/>
        <w:spacing w:line="295" w:lineRule="exact"/>
        <w:ind w:left="146" w:right="0"/>
        <w:jc w:val="left"/>
      </w:pPr>
      <w:r>
        <w:rPr>
          <w:rFonts w:ascii="Arial" w:hAnsi="Arial" w:cs="Arial" w:eastAsia="Arial" w:hint="default"/>
        </w:rPr>
        <w:t>3</w:t>
      </w:r>
      <w:r>
        <w:rPr/>
        <w:t>、佟吉禄</w:t>
      </w:r>
    </w:p>
    <w:p>
      <w:pPr>
        <w:pStyle w:val="BodyText"/>
        <w:spacing w:line="225" w:lineRule="auto" w:before="6"/>
        <w:ind w:left="498" w:right="148"/>
        <w:jc w:val="both"/>
        <w:rPr>
          <w:rFonts w:ascii="Arial" w:hAnsi="Arial" w:cs="Arial" w:eastAsia="Arial" w:hint="default"/>
        </w:rPr>
      </w:pPr>
      <w:r>
        <w:rPr>
          <w:spacing w:val="-3"/>
        </w:rPr>
        <w:t>佟吉禄先生为高级经济师，</w:t>
      </w:r>
      <w:r>
        <w:rPr>
          <w:rFonts w:ascii="Arial" w:hAnsi="Arial" w:cs="Arial" w:eastAsia="Arial" w:hint="default"/>
          <w:spacing w:val="-3"/>
        </w:rPr>
        <w:t>1987 </w:t>
      </w:r>
      <w:r>
        <w:rPr>
          <w:spacing w:val="-3"/>
        </w:rPr>
        <w:t>年毕业于北京邮电大学经济管理专业，</w:t>
      </w:r>
      <w:r>
        <w:rPr>
          <w:rFonts w:ascii="Arial" w:hAnsi="Arial" w:cs="Arial" w:eastAsia="Arial" w:hint="default"/>
          <w:spacing w:val="-3"/>
        </w:rPr>
        <w:t>2002</w:t>
      </w:r>
      <w:r>
        <w:rPr>
          <w:rFonts w:ascii="Arial" w:hAnsi="Arial" w:cs="Arial" w:eastAsia="Arial" w:hint="default"/>
          <w:spacing w:val="-2"/>
        </w:rPr>
        <w:t> </w:t>
      </w:r>
      <w:r>
        <w:rPr/>
        <w:t>年获得澳洲国立大</w:t>
      </w:r>
      <w:r>
        <w:rPr>
          <w:w w:val="99"/>
        </w:rPr>
        <w:t> </w:t>
      </w:r>
      <w:r>
        <w:rPr>
          <w:spacing w:val="-3"/>
        </w:rPr>
        <w:t>学工商管理硕士，并于</w:t>
      </w:r>
      <w:r>
        <w:rPr>
          <w:spacing w:val="-65"/>
        </w:rPr>
        <w:t> </w:t>
      </w:r>
      <w:r>
        <w:rPr>
          <w:rFonts w:ascii="Arial" w:hAnsi="Arial" w:cs="Arial" w:eastAsia="Arial" w:hint="default"/>
        </w:rPr>
        <w:t>2009</w:t>
      </w:r>
      <w:r>
        <w:rPr>
          <w:rFonts w:ascii="Arial" w:hAnsi="Arial" w:cs="Arial" w:eastAsia="Arial" w:hint="default"/>
          <w:spacing w:val="-18"/>
        </w:rPr>
        <w:t> </w:t>
      </w:r>
      <w:r>
        <w:rPr/>
        <w:t>年取得香港理工大学管理学博士学位。曾先后担任辽宁省邮电管理</w:t>
      </w:r>
      <w:r>
        <w:rPr>
          <w:w w:val="99"/>
        </w:rPr>
        <w:t> </w:t>
      </w:r>
      <w:r>
        <w:rPr/>
        <w:t>局财务处处长、辽宁省邮电管理局副局长、辽宁省邮政局副局长等职。</w:t>
      </w:r>
      <w:r>
        <w:rPr>
          <w:rFonts w:ascii="Arial" w:hAnsi="Arial" w:cs="Arial" w:eastAsia="Arial" w:hint="default"/>
        </w:rPr>
        <w:t>2000</w:t>
      </w:r>
      <w:r>
        <w:rPr>
          <w:rFonts w:ascii="Arial" w:hAnsi="Arial" w:cs="Arial" w:eastAsia="Arial" w:hint="default"/>
          <w:spacing w:val="-10"/>
        </w:rPr>
        <w:t> </w:t>
      </w:r>
      <w:r>
        <w:rPr/>
        <w:t>年</w:t>
      </w:r>
      <w:r>
        <w:rPr>
          <w:spacing w:val="-58"/>
        </w:rPr>
        <w:t> </w:t>
      </w:r>
      <w:r>
        <w:rPr>
          <w:rFonts w:ascii="Arial" w:hAnsi="Arial" w:cs="Arial" w:eastAsia="Arial" w:hint="default"/>
        </w:rPr>
        <w:t>7</w:t>
      </w:r>
      <w:r>
        <w:rPr>
          <w:rFonts w:ascii="Arial" w:hAnsi="Arial" w:cs="Arial" w:eastAsia="Arial" w:hint="default"/>
          <w:spacing w:val="-9"/>
        </w:rPr>
        <w:t> </w:t>
      </w:r>
      <w:r>
        <w:rPr/>
        <w:t>月加入中国联</w:t>
      </w:r>
      <w:r>
        <w:rPr>
          <w:w w:val="99"/>
        </w:rPr>
        <w:t> </w:t>
      </w:r>
      <w:r>
        <w:rPr/>
        <w:t>合通信有限公司，先后担任总会计师、副总经理，并于</w:t>
      </w:r>
      <w:r>
        <w:rPr>
          <w:spacing w:val="-48"/>
        </w:rPr>
        <w:t> </w:t>
      </w:r>
      <w:r>
        <w:rPr>
          <w:rFonts w:ascii="Arial" w:hAnsi="Arial" w:cs="Arial" w:eastAsia="Arial" w:hint="default"/>
        </w:rPr>
        <w:t>2003</w:t>
      </w:r>
      <w:r>
        <w:rPr>
          <w:rFonts w:ascii="Arial" w:hAnsi="Arial" w:cs="Arial" w:eastAsia="Arial" w:hint="default"/>
          <w:spacing w:val="-1"/>
        </w:rPr>
        <w:t> </w:t>
      </w:r>
      <w:r>
        <w:rPr/>
        <w:t>年</w:t>
      </w:r>
      <w:r>
        <w:rPr>
          <w:spacing w:val="-51"/>
        </w:rPr>
        <w:t> </w:t>
      </w:r>
      <w:r>
        <w:rPr>
          <w:rFonts w:ascii="Arial" w:hAnsi="Arial" w:cs="Arial" w:eastAsia="Arial" w:hint="default"/>
        </w:rPr>
        <w:t>9</w:t>
      </w:r>
      <w:r>
        <w:rPr>
          <w:rFonts w:ascii="Arial" w:hAnsi="Arial" w:cs="Arial" w:eastAsia="Arial" w:hint="default"/>
          <w:spacing w:val="-2"/>
        </w:rPr>
        <w:t> </w:t>
      </w:r>
      <w:r>
        <w:rPr/>
        <w:t>月起出任董事。自</w:t>
      </w:r>
      <w:r>
        <w:rPr>
          <w:spacing w:val="-50"/>
        </w:rPr>
        <w:t> </w:t>
      </w:r>
      <w:r>
        <w:rPr>
          <w:rFonts w:ascii="Arial" w:hAnsi="Arial" w:cs="Arial" w:eastAsia="Arial" w:hint="default"/>
        </w:rPr>
        <w:t>2004</w:t>
      </w:r>
      <w:r>
        <w:rPr>
          <w:rFonts w:ascii="Arial" w:hAnsi="Arial" w:cs="Arial" w:eastAsia="Arial" w:hint="default"/>
          <w:spacing w:val="-2"/>
        </w:rPr>
        <w:t> </w:t>
      </w:r>
      <w:r>
        <w:rPr/>
        <w:t>年</w:t>
      </w:r>
      <w:r>
        <w:rPr>
          <w:spacing w:val="-52"/>
        </w:rPr>
        <w:t> </w:t>
      </w:r>
      <w:r>
        <w:rPr>
          <w:rFonts w:ascii="Arial" w:hAnsi="Arial" w:cs="Arial" w:eastAsia="Arial" w:hint="default"/>
        </w:rPr>
        <w:t>2</w:t>
      </w:r>
    </w:p>
    <w:p>
      <w:pPr>
        <w:pStyle w:val="BodyText"/>
        <w:spacing w:line="230" w:lineRule="auto"/>
        <w:ind w:left="498" w:right="101"/>
        <w:jc w:val="both"/>
      </w:pPr>
      <w:r>
        <w:rPr/>
        <w:t>月至</w:t>
      </w:r>
      <w:r>
        <w:rPr>
          <w:spacing w:val="-60"/>
        </w:rPr>
        <w:t> </w:t>
      </w:r>
      <w:r>
        <w:rPr>
          <w:rFonts w:ascii="Arial" w:hAnsi="Arial" w:cs="Arial" w:eastAsia="Arial" w:hint="default"/>
        </w:rPr>
        <w:t>2011</w:t>
      </w:r>
      <w:r>
        <w:rPr>
          <w:rFonts w:ascii="Arial" w:hAnsi="Arial" w:cs="Arial" w:eastAsia="Arial" w:hint="default"/>
          <w:spacing w:val="-11"/>
        </w:rPr>
        <w:t> </w:t>
      </w:r>
      <w:r>
        <w:rPr/>
        <w:t>年</w:t>
      </w:r>
      <w:r>
        <w:rPr>
          <w:spacing w:val="-60"/>
        </w:rPr>
        <w:t> </w:t>
      </w:r>
      <w:r>
        <w:rPr>
          <w:rFonts w:ascii="Arial" w:hAnsi="Arial" w:cs="Arial" w:eastAsia="Arial" w:hint="default"/>
        </w:rPr>
        <w:t>3</w:t>
      </w:r>
      <w:r>
        <w:rPr>
          <w:rFonts w:ascii="Arial" w:hAnsi="Arial" w:cs="Arial" w:eastAsia="Arial" w:hint="default"/>
          <w:spacing w:val="-11"/>
        </w:rPr>
        <w:t> </w:t>
      </w:r>
      <w:r>
        <w:rPr/>
        <w:t>月，佟先生担任联通红筹公司首席财务官。佟先生目前担任联通集团公司董事、</w:t>
      </w:r>
      <w:r>
        <w:rPr>
          <w:w w:val="99"/>
        </w:rPr>
        <w:t> </w:t>
      </w:r>
      <w:r>
        <w:rPr>
          <w:spacing w:val="2"/>
        </w:rPr>
        <w:t>副总经理，联通红筹公司执行董事兼高级副总裁，联通运营公司董事、高级副总裁。佟先生自</w:t>
      </w:r>
      <w:r>
        <w:rPr>
          <w:spacing w:val="-97"/>
        </w:rPr>
        <w:t> </w:t>
      </w:r>
      <w:r>
        <w:rPr>
          <w:spacing w:val="-97"/>
        </w:rPr>
      </w:r>
      <w:r>
        <w:rPr>
          <w:rFonts w:ascii="Arial" w:hAnsi="Arial" w:cs="Arial" w:eastAsia="Arial" w:hint="default"/>
        </w:rPr>
        <w:t>2001</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月起担任本公司董事，并于</w:t>
      </w:r>
      <w:r>
        <w:rPr>
          <w:spacing w:val="-58"/>
        </w:rPr>
        <w:t> </w:t>
      </w:r>
      <w:r>
        <w:rPr>
          <w:rFonts w:ascii="Arial" w:hAnsi="Arial" w:cs="Arial" w:eastAsia="Arial" w:hint="default"/>
        </w:rPr>
        <w:t>2001</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月至</w:t>
      </w:r>
      <w:r>
        <w:rPr>
          <w:spacing w:val="-58"/>
        </w:rPr>
        <w:t> </w:t>
      </w:r>
      <w:r>
        <w:rPr>
          <w:rFonts w:ascii="Arial" w:hAnsi="Arial" w:cs="Arial" w:eastAsia="Arial" w:hint="default"/>
        </w:rPr>
        <w:t>2002</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spacing w:val="-3"/>
        </w:rPr>
        <w:t>月担任本公司副总裁。佟吉</w:t>
      </w:r>
      <w:r>
        <w:rPr>
          <w:w w:val="99"/>
        </w:rPr>
        <w:t> </w:t>
      </w:r>
      <w:r>
        <w:rPr/>
        <w:t>禄先生拥有丰富的电信企业管理经验和上市公司财务管理经验。</w:t>
      </w:r>
    </w:p>
    <w:p>
      <w:pPr>
        <w:spacing w:line="240" w:lineRule="auto" w:before="4"/>
        <w:rPr>
          <w:rFonts w:ascii="宋体" w:hAnsi="宋体" w:cs="宋体" w:eastAsia="宋体" w:hint="default"/>
          <w:sz w:val="19"/>
          <w:szCs w:val="19"/>
        </w:rPr>
      </w:pPr>
    </w:p>
    <w:p>
      <w:pPr>
        <w:pStyle w:val="BodyText"/>
        <w:spacing w:line="295" w:lineRule="exact"/>
        <w:ind w:left="146" w:right="0"/>
        <w:jc w:val="left"/>
      </w:pPr>
      <w:r>
        <w:rPr>
          <w:rFonts w:ascii="Arial" w:hAnsi="Arial" w:cs="Arial" w:eastAsia="Arial" w:hint="default"/>
        </w:rPr>
        <w:t>4</w:t>
      </w:r>
      <w:r>
        <w:rPr/>
        <w:t>、李福申</w:t>
      </w:r>
    </w:p>
    <w:p>
      <w:pPr>
        <w:pStyle w:val="BodyText"/>
        <w:spacing w:line="284" w:lineRule="exact" w:before="20"/>
        <w:ind w:left="498" w:right="149"/>
        <w:jc w:val="both"/>
      </w:pPr>
      <w:r>
        <w:rPr/>
        <w:t>李福申先生为高级会计师，</w:t>
      </w:r>
      <w:r>
        <w:rPr>
          <w:rFonts w:ascii="Arial" w:hAnsi="Arial" w:cs="Arial" w:eastAsia="Arial" w:hint="default"/>
        </w:rPr>
        <w:t>1988 </w:t>
      </w:r>
      <w:r>
        <w:rPr/>
        <w:t>年毕业于吉林工学院管理工程专业，并于 </w:t>
      </w:r>
      <w:r>
        <w:rPr>
          <w:rFonts w:ascii="Arial" w:hAnsi="Arial" w:cs="Arial" w:eastAsia="Arial" w:hint="default"/>
        </w:rPr>
        <w:t>2004</w:t>
      </w:r>
      <w:r>
        <w:rPr>
          <w:rFonts w:ascii="Arial" w:hAnsi="Arial" w:cs="Arial" w:eastAsia="Arial" w:hint="default"/>
          <w:spacing w:val="-6"/>
        </w:rPr>
        <w:t> </w:t>
      </w:r>
      <w:r>
        <w:rPr/>
        <w:t>年取得澳大利</w:t>
      </w:r>
      <w:r>
        <w:rPr>
          <w:w w:val="99"/>
        </w:rPr>
        <w:t> </w:t>
      </w:r>
      <w:r>
        <w:rPr/>
        <w:t>亚国立大学管理学硕士学位。</w:t>
      </w:r>
      <w:r>
        <w:rPr>
          <w:rFonts w:ascii="Arial" w:hAnsi="Arial" w:cs="Arial" w:eastAsia="Arial" w:hint="default"/>
        </w:rPr>
        <w:t>2001</w:t>
      </w:r>
      <w:r>
        <w:rPr>
          <w:rFonts w:ascii="Arial" w:hAnsi="Arial" w:cs="Arial" w:eastAsia="Arial" w:hint="default"/>
          <w:spacing w:val="-4"/>
        </w:rPr>
        <w:t> </w:t>
      </w:r>
      <w:r>
        <w:rPr/>
        <w:t>年</w:t>
      </w:r>
      <w:r>
        <w:rPr>
          <w:spacing w:val="-55"/>
        </w:rPr>
        <w:t> </w:t>
      </w:r>
      <w:r>
        <w:rPr>
          <w:rFonts w:ascii="Arial" w:hAnsi="Arial" w:cs="Arial" w:eastAsia="Arial" w:hint="default"/>
        </w:rPr>
        <w:t>11</w:t>
      </w:r>
      <w:r>
        <w:rPr>
          <w:rFonts w:ascii="Arial" w:hAnsi="Arial" w:cs="Arial" w:eastAsia="Arial" w:hint="default"/>
          <w:spacing w:val="-6"/>
        </w:rPr>
        <w:t> </w:t>
      </w:r>
      <w:r>
        <w:rPr/>
        <w:t>月至</w:t>
      </w:r>
      <w:r>
        <w:rPr>
          <w:spacing w:val="-55"/>
        </w:rPr>
        <w:t> </w:t>
      </w:r>
      <w:r>
        <w:rPr>
          <w:rFonts w:ascii="Arial" w:hAnsi="Arial" w:cs="Arial" w:eastAsia="Arial" w:hint="default"/>
        </w:rPr>
        <w:t>2003</w:t>
      </w:r>
      <w:r>
        <w:rPr>
          <w:rFonts w:ascii="Arial" w:hAnsi="Arial" w:cs="Arial" w:eastAsia="Arial" w:hint="default"/>
          <w:spacing w:val="-4"/>
        </w:rPr>
        <w:t> </w:t>
      </w:r>
      <w:r>
        <w:rPr/>
        <w:t>年</w:t>
      </w:r>
      <w:r>
        <w:rPr>
          <w:spacing w:val="-55"/>
        </w:rPr>
        <w:t> </w:t>
      </w:r>
      <w:r>
        <w:rPr>
          <w:rFonts w:ascii="Arial" w:hAnsi="Arial" w:cs="Arial" w:eastAsia="Arial" w:hint="default"/>
        </w:rPr>
        <w:t>10</w:t>
      </w:r>
      <w:r>
        <w:rPr>
          <w:rFonts w:ascii="Arial" w:hAnsi="Arial" w:cs="Arial" w:eastAsia="Arial" w:hint="default"/>
          <w:spacing w:val="-6"/>
        </w:rPr>
        <w:t> </w:t>
      </w:r>
      <w:r>
        <w:rPr/>
        <w:t>月担任原吉林省电信公司及吉林省通</w:t>
      </w:r>
    </w:p>
    <w:p>
      <w:pPr>
        <w:pStyle w:val="BodyText"/>
        <w:spacing w:line="266" w:lineRule="exact"/>
        <w:ind w:left="498" w:right="0"/>
        <w:jc w:val="both"/>
      </w:pPr>
      <w:r>
        <w:rPr/>
        <w:t>信公司副总经理。</w:t>
      </w:r>
      <w:r>
        <w:rPr>
          <w:rFonts w:ascii="Arial" w:hAnsi="Arial" w:cs="Arial" w:eastAsia="Arial" w:hint="default"/>
        </w:rPr>
        <w:t>2003</w:t>
      </w:r>
      <w:r>
        <w:rPr>
          <w:rFonts w:ascii="Arial" w:hAnsi="Arial" w:cs="Arial" w:eastAsia="Arial" w:hint="default"/>
          <w:spacing w:val="-8"/>
        </w:rPr>
        <w:t> </w:t>
      </w:r>
      <w:r>
        <w:rPr/>
        <w:t>年</w:t>
      </w:r>
      <w:r>
        <w:rPr>
          <w:spacing w:val="-58"/>
        </w:rPr>
        <w:t> </w:t>
      </w:r>
      <w:r>
        <w:rPr>
          <w:rFonts w:ascii="Arial" w:hAnsi="Arial" w:cs="Arial" w:eastAsia="Arial" w:hint="default"/>
        </w:rPr>
        <w:t>10</w:t>
      </w:r>
      <w:r>
        <w:rPr>
          <w:rFonts w:ascii="Arial" w:hAnsi="Arial" w:cs="Arial" w:eastAsia="Arial" w:hint="default"/>
          <w:spacing w:val="-9"/>
        </w:rPr>
        <w:t> </w:t>
      </w:r>
      <w:r>
        <w:rPr/>
        <w:t>月至</w:t>
      </w:r>
      <w:r>
        <w:rPr>
          <w:spacing w:val="-58"/>
        </w:rPr>
        <w:t> </w:t>
      </w:r>
      <w:r>
        <w:rPr>
          <w:rFonts w:ascii="Arial" w:hAnsi="Arial" w:cs="Arial" w:eastAsia="Arial" w:hint="default"/>
        </w:rPr>
        <w:t>2005</w:t>
      </w:r>
      <w:r>
        <w:rPr>
          <w:rFonts w:ascii="Arial" w:hAnsi="Arial" w:cs="Arial" w:eastAsia="Arial" w:hint="default"/>
          <w:spacing w:val="-9"/>
        </w:rPr>
        <w:t> </w:t>
      </w:r>
      <w:r>
        <w:rPr/>
        <w:t>年</w:t>
      </w:r>
      <w:r>
        <w:rPr>
          <w:spacing w:val="-58"/>
        </w:rPr>
        <w:t> </w:t>
      </w:r>
      <w:r>
        <w:rPr>
          <w:rFonts w:ascii="Arial" w:hAnsi="Arial" w:cs="Arial" w:eastAsia="Arial" w:hint="default"/>
        </w:rPr>
        <w:t>8</w:t>
      </w:r>
      <w:r>
        <w:rPr>
          <w:rFonts w:ascii="Arial" w:hAnsi="Arial" w:cs="Arial" w:eastAsia="Arial" w:hint="default"/>
          <w:spacing w:val="-9"/>
        </w:rPr>
        <w:t> </w:t>
      </w:r>
      <w:r>
        <w:rPr>
          <w:spacing w:val="-4"/>
        </w:rPr>
        <w:t>月担任中国网络通信集团公司（“网通集团”）财</w:t>
      </w:r>
      <w:r>
        <w:rPr/>
      </w:r>
    </w:p>
    <w:p>
      <w:pPr>
        <w:pStyle w:val="BodyText"/>
        <w:spacing w:line="286" w:lineRule="exact"/>
        <w:ind w:left="498" w:right="0"/>
        <w:jc w:val="both"/>
      </w:pPr>
      <w:r>
        <w:rPr>
          <w:spacing w:val="-4"/>
        </w:rPr>
        <w:t>务部总经理，并自</w:t>
      </w:r>
      <w:r>
        <w:rPr>
          <w:spacing w:val="-62"/>
        </w:rPr>
        <w:t> </w:t>
      </w:r>
      <w:r>
        <w:rPr>
          <w:rFonts w:ascii="Arial" w:hAnsi="Arial" w:cs="Arial" w:eastAsia="Arial" w:hint="default"/>
        </w:rPr>
        <w:t>2005</w:t>
      </w:r>
      <w:r>
        <w:rPr>
          <w:rFonts w:ascii="Arial" w:hAnsi="Arial" w:cs="Arial" w:eastAsia="Arial" w:hint="default"/>
          <w:spacing w:val="-14"/>
        </w:rPr>
        <w:t> </w:t>
      </w:r>
      <w:r>
        <w:rPr/>
        <w:t>年</w:t>
      </w:r>
      <w:r>
        <w:rPr>
          <w:spacing w:val="-63"/>
        </w:rPr>
        <w:t> </w:t>
      </w:r>
      <w:r>
        <w:rPr>
          <w:rFonts w:ascii="Arial" w:hAnsi="Arial" w:cs="Arial" w:eastAsia="Arial" w:hint="default"/>
        </w:rPr>
        <w:t>10</w:t>
      </w:r>
      <w:r>
        <w:rPr>
          <w:rFonts w:ascii="Arial" w:hAnsi="Arial" w:cs="Arial" w:eastAsia="Arial" w:hint="default"/>
          <w:spacing w:val="-14"/>
        </w:rPr>
        <w:t> </w:t>
      </w:r>
      <w:r>
        <w:rPr/>
        <w:t>月起任网通集团总会计师。</w:t>
      </w:r>
      <w:r>
        <w:rPr>
          <w:rFonts w:ascii="Arial" w:hAnsi="Arial" w:cs="Arial" w:eastAsia="Arial" w:hint="default"/>
        </w:rPr>
        <w:t>2005</w:t>
      </w:r>
      <w:r>
        <w:rPr>
          <w:rFonts w:ascii="Arial" w:hAnsi="Arial" w:cs="Arial" w:eastAsia="Arial" w:hint="default"/>
          <w:spacing w:val="-13"/>
        </w:rPr>
        <w:t> </w:t>
      </w:r>
      <w:r>
        <w:rPr/>
        <w:t>年</w:t>
      </w:r>
      <w:r>
        <w:rPr>
          <w:spacing w:val="-63"/>
        </w:rPr>
        <w:t> </w:t>
      </w:r>
      <w:r>
        <w:rPr>
          <w:rFonts w:ascii="Arial" w:hAnsi="Arial" w:cs="Arial" w:eastAsia="Arial" w:hint="default"/>
        </w:rPr>
        <w:t>9</w:t>
      </w:r>
      <w:r>
        <w:rPr>
          <w:rFonts w:ascii="Arial" w:hAnsi="Arial" w:cs="Arial" w:eastAsia="Arial" w:hint="default"/>
          <w:spacing w:val="-14"/>
        </w:rPr>
        <w:t> </w:t>
      </w:r>
      <w:r>
        <w:rPr/>
        <w:t>月起担任中国网通集团（香</w:t>
      </w:r>
    </w:p>
    <w:p>
      <w:pPr>
        <w:pStyle w:val="BodyText"/>
        <w:spacing w:line="285" w:lineRule="exact"/>
        <w:ind w:left="498" w:right="0"/>
        <w:jc w:val="both"/>
        <w:rPr>
          <w:rFonts w:ascii="Arial" w:hAnsi="Arial" w:cs="Arial" w:eastAsia="Arial" w:hint="default"/>
        </w:rPr>
      </w:pPr>
      <w:r>
        <w:rPr>
          <w:spacing w:val="-6"/>
        </w:rPr>
        <w:t>港）有限公司（“中国网通”）首席财务官，并自</w:t>
      </w:r>
      <w:r>
        <w:rPr>
          <w:spacing w:val="-56"/>
        </w:rPr>
        <w:t> </w:t>
      </w:r>
      <w:r>
        <w:rPr>
          <w:rFonts w:ascii="Arial" w:hAnsi="Arial" w:cs="Arial" w:eastAsia="Arial" w:hint="default"/>
        </w:rPr>
        <w:t>2007</w:t>
      </w:r>
      <w:r>
        <w:rPr>
          <w:rFonts w:ascii="Arial" w:hAnsi="Arial" w:cs="Arial" w:eastAsia="Arial" w:hint="default"/>
          <w:spacing w:val="-7"/>
        </w:rPr>
        <w:t> </w:t>
      </w:r>
      <w:r>
        <w:rPr/>
        <w:t>年</w:t>
      </w:r>
      <w:r>
        <w:rPr>
          <w:spacing w:val="-56"/>
        </w:rPr>
        <w:t> </w:t>
      </w:r>
      <w:r>
        <w:rPr>
          <w:rFonts w:ascii="Arial" w:hAnsi="Arial" w:cs="Arial" w:eastAsia="Arial" w:hint="default"/>
        </w:rPr>
        <w:t>1</w:t>
      </w:r>
      <w:r>
        <w:rPr>
          <w:rFonts w:ascii="Arial" w:hAnsi="Arial" w:cs="Arial" w:eastAsia="Arial" w:hint="default"/>
          <w:spacing w:val="-7"/>
        </w:rPr>
        <w:t> </w:t>
      </w:r>
      <w:r>
        <w:rPr>
          <w:spacing w:val="-3"/>
        </w:rPr>
        <w:t>月起任中国网通执行董事。自</w:t>
      </w:r>
      <w:r>
        <w:rPr>
          <w:spacing w:val="-54"/>
        </w:rPr>
        <w:t> </w:t>
      </w:r>
      <w:r>
        <w:rPr>
          <w:rFonts w:ascii="Arial" w:hAnsi="Arial" w:cs="Arial" w:eastAsia="Arial" w:hint="default"/>
        </w:rPr>
        <w:t>2006</w:t>
      </w:r>
    </w:p>
    <w:p>
      <w:pPr>
        <w:pStyle w:val="BodyText"/>
        <w:spacing w:line="285" w:lineRule="exact"/>
        <w:ind w:left="498" w:right="0"/>
        <w:jc w:val="both"/>
      </w:pPr>
      <w:r>
        <w:rPr/>
        <w:t>年</w:t>
      </w:r>
      <w:r>
        <w:rPr>
          <w:spacing w:val="-49"/>
        </w:rPr>
        <w:t> </w:t>
      </w:r>
      <w:r>
        <w:rPr>
          <w:rFonts w:ascii="Arial" w:hAnsi="Arial" w:cs="Arial" w:eastAsia="Arial" w:hint="default"/>
        </w:rPr>
        <w:t>12</w:t>
      </w:r>
      <w:r>
        <w:rPr>
          <w:rFonts w:ascii="Arial" w:hAnsi="Arial" w:cs="Arial" w:eastAsia="Arial" w:hint="default"/>
          <w:spacing w:val="1"/>
        </w:rPr>
        <w:t> </w:t>
      </w:r>
      <w:r>
        <w:rPr/>
        <w:t>月至</w:t>
      </w:r>
      <w:r>
        <w:rPr>
          <w:spacing w:val="-49"/>
        </w:rPr>
        <w:t> </w:t>
      </w:r>
      <w:r>
        <w:rPr>
          <w:rFonts w:ascii="Arial" w:hAnsi="Arial" w:cs="Arial" w:eastAsia="Arial" w:hint="default"/>
        </w:rPr>
        <w:t>2008 </w:t>
      </w:r>
      <w:r>
        <w:rPr/>
        <w:t>年</w:t>
      </w:r>
      <w:r>
        <w:rPr>
          <w:spacing w:val="-49"/>
        </w:rPr>
        <w:t> </w:t>
      </w:r>
      <w:r>
        <w:rPr>
          <w:rFonts w:ascii="Arial" w:hAnsi="Arial" w:cs="Arial" w:eastAsia="Arial" w:hint="default"/>
        </w:rPr>
        <w:t>3 </w:t>
      </w:r>
      <w:r>
        <w:rPr/>
        <w:t>月，担任中国网通联席公司秘书。自</w:t>
      </w:r>
      <w:r>
        <w:rPr>
          <w:spacing w:val="-46"/>
        </w:rPr>
        <w:t> </w:t>
      </w:r>
      <w:r>
        <w:rPr>
          <w:rFonts w:ascii="Arial" w:hAnsi="Arial" w:cs="Arial" w:eastAsia="Arial" w:hint="default"/>
        </w:rPr>
        <w:t>2007 </w:t>
      </w:r>
      <w:r>
        <w:rPr/>
        <w:t>年</w:t>
      </w:r>
      <w:r>
        <w:rPr>
          <w:spacing w:val="-49"/>
        </w:rPr>
        <w:t> </w:t>
      </w:r>
      <w:r>
        <w:rPr>
          <w:rFonts w:ascii="Arial" w:hAnsi="Arial" w:cs="Arial" w:eastAsia="Arial" w:hint="default"/>
        </w:rPr>
        <w:t>7</w:t>
      </w:r>
      <w:r>
        <w:rPr>
          <w:rFonts w:ascii="Arial" w:hAnsi="Arial" w:cs="Arial" w:eastAsia="Arial" w:hint="default"/>
          <w:spacing w:val="-1"/>
        </w:rPr>
        <w:t> </w:t>
      </w:r>
      <w:r>
        <w:rPr/>
        <w:t>月起亦担任香港电讯盈科</w:t>
      </w:r>
    </w:p>
    <w:p>
      <w:pPr>
        <w:pStyle w:val="BodyText"/>
        <w:spacing w:line="286" w:lineRule="exact"/>
        <w:ind w:left="498" w:right="0"/>
        <w:jc w:val="both"/>
        <w:rPr>
          <w:rFonts w:ascii="Arial" w:hAnsi="Arial" w:cs="Arial" w:eastAsia="Arial" w:hint="default"/>
        </w:rPr>
      </w:pPr>
      <w:r>
        <w:rPr/>
        <w:t>有限公司非执行董事。自</w:t>
      </w:r>
      <w:r>
        <w:rPr>
          <w:spacing w:val="-44"/>
        </w:rPr>
        <w:t> </w:t>
      </w:r>
      <w:r>
        <w:rPr>
          <w:rFonts w:ascii="Arial" w:hAnsi="Arial" w:cs="Arial" w:eastAsia="Arial" w:hint="default"/>
        </w:rPr>
        <w:t>2009</w:t>
      </w:r>
      <w:r>
        <w:rPr>
          <w:rFonts w:ascii="Arial" w:hAnsi="Arial" w:cs="Arial" w:eastAsia="Arial" w:hint="default"/>
          <w:spacing w:val="4"/>
        </w:rPr>
        <w:t> </w:t>
      </w:r>
      <w:r>
        <w:rPr/>
        <w:t>年</w:t>
      </w:r>
      <w:r>
        <w:rPr>
          <w:spacing w:val="-44"/>
        </w:rPr>
        <w:t> </w:t>
      </w:r>
      <w:r>
        <w:rPr>
          <w:rFonts w:ascii="Arial" w:hAnsi="Arial" w:cs="Arial" w:eastAsia="Arial" w:hint="default"/>
        </w:rPr>
        <w:t>2</w:t>
      </w:r>
      <w:r>
        <w:rPr>
          <w:rFonts w:ascii="Arial" w:hAnsi="Arial" w:cs="Arial" w:eastAsia="Arial" w:hint="default"/>
          <w:spacing w:val="4"/>
        </w:rPr>
        <w:t> </w:t>
      </w:r>
      <w:r>
        <w:rPr/>
        <w:t>月至</w:t>
      </w:r>
      <w:r>
        <w:rPr>
          <w:spacing w:val="-45"/>
        </w:rPr>
        <w:t> </w:t>
      </w:r>
      <w:r>
        <w:rPr>
          <w:rFonts w:ascii="Arial" w:hAnsi="Arial" w:cs="Arial" w:eastAsia="Arial" w:hint="default"/>
        </w:rPr>
        <w:t>2011</w:t>
      </w:r>
      <w:r>
        <w:rPr>
          <w:rFonts w:ascii="Arial" w:hAnsi="Arial" w:cs="Arial" w:eastAsia="Arial" w:hint="default"/>
          <w:spacing w:val="4"/>
        </w:rPr>
        <w:t> </w:t>
      </w:r>
      <w:r>
        <w:rPr/>
        <w:t>年</w:t>
      </w:r>
      <w:r>
        <w:rPr>
          <w:spacing w:val="-45"/>
        </w:rPr>
        <w:t> </w:t>
      </w:r>
      <w:r>
        <w:rPr>
          <w:rFonts w:ascii="Arial" w:hAnsi="Arial" w:cs="Arial" w:eastAsia="Arial" w:hint="default"/>
        </w:rPr>
        <w:t>3</w:t>
      </w:r>
      <w:r>
        <w:rPr>
          <w:rFonts w:ascii="Arial" w:hAnsi="Arial" w:cs="Arial" w:eastAsia="Arial" w:hint="default"/>
          <w:spacing w:val="4"/>
        </w:rPr>
        <w:t> </w:t>
      </w:r>
      <w:r>
        <w:rPr/>
        <w:t>月担任联通红筹公司高级副总裁。于</w:t>
      </w:r>
      <w:r>
        <w:rPr>
          <w:spacing w:val="-45"/>
        </w:rPr>
        <w:t> </w:t>
      </w:r>
      <w:r>
        <w:rPr>
          <w:rFonts w:ascii="Arial" w:hAnsi="Arial" w:cs="Arial" w:eastAsia="Arial" w:hint="default"/>
        </w:rPr>
        <w:t>2011</w:t>
      </w:r>
    </w:p>
    <w:p>
      <w:pPr>
        <w:pStyle w:val="BodyText"/>
        <w:spacing w:line="230" w:lineRule="auto" w:before="1"/>
        <w:ind w:left="498" w:right="152"/>
        <w:jc w:val="both"/>
      </w:pPr>
      <w:r>
        <w:rPr/>
        <w:t>年 </w:t>
      </w:r>
      <w:r>
        <w:rPr>
          <w:rFonts w:ascii="Arial" w:hAnsi="Arial" w:cs="Arial" w:eastAsia="Arial" w:hint="default"/>
        </w:rPr>
        <w:t>3</w:t>
      </w:r>
      <w:r>
        <w:rPr>
          <w:rFonts w:ascii="Arial" w:hAnsi="Arial" w:cs="Arial" w:eastAsia="Arial" w:hint="default"/>
          <w:spacing w:val="30"/>
        </w:rPr>
        <w:t> </w:t>
      </w:r>
      <w:r>
        <w:rPr/>
        <w:t>月起担任联通红筹公司执行董事兼首席财务官。目前亦为香港电讯管理有限公司（作为香</w:t>
      </w:r>
      <w:r>
        <w:rPr>
          <w:w w:val="99"/>
        </w:rPr>
        <w:t> </w:t>
      </w:r>
      <w:r>
        <w:rPr>
          <w:spacing w:val="-3"/>
        </w:rPr>
        <w:t>港电讯信托的托管人—经理）非执行董事。李先生目前还担任联通集团董事、副总经理兼总会计</w:t>
      </w:r>
      <w:r>
        <w:rPr>
          <w:spacing w:val="-100"/>
        </w:rPr>
        <w:t> </w:t>
      </w:r>
      <w:r>
        <w:rPr>
          <w:spacing w:val="-100"/>
        </w:rPr>
      </w:r>
      <w:r>
        <w:rPr/>
        <w:t>师，联通运营公司董事及高级副总裁。</w:t>
      </w:r>
      <w:r>
        <w:rPr>
          <w:rFonts w:ascii="Arial" w:hAnsi="Arial" w:cs="Arial" w:eastAsia="Arial" w:hint="default"/>
        </w:rPr>
        <w:t>2011</w:t>
      </w:r>
      <w:r>
        <w:rPr>
          <w:rFonts w:ascii="Arial" w:hAnsi="Arial" w:cs="Arial" w:eastAsia="Arial" w:hint="default"/>
          <w:spacing w:val="-11"/>
        </w:rPr>
        <w:t> </w:t>
      </w:r>
      <w:r>
        <w:rPr/>
        <w:t>年</w:t>
      </w:r>
      <w:r>
        <w:rPr>
          <w:spacing w:val="-60"/>
        </w:rPr>
        <w:t> </w:t>
      </w:r>
      <w:r>
        <w:rPr>
          <w:rFonts w:ascii="Arial" w:hAnsi="Arial" w:cs="Arial" w:eastAsia="Arial" w:hint="default"/>
        </w:rPr>
        <w:t>5</w:t>
      </w:r>
      <w:r>
        <w:rPr>
          <w:rFonts w:ascii="Arial" w:hAnsi="Arial" w:cs="Arial" w:eastAsia="Arial" w:hint="default"/>
          <w:spacing w:val="-11"/>
        </w:rPr>
        <w:t> </w:t>
      </w:r>
      <w:r>
        <w:rPr/>
        <w:t>月起任本公司董事。李先生长期在电信行业工</w:t>
      </w:r>
      <w:r>
        <w:rPr>
          <w:w w:val="99"/>
        </w:rPr>
        <w:t> </w:t>
      </w:r>
      <w:r>
        <w:rPr/>
        <w:t>作，具有丰富的管理经验。</w:t>
      </w:r>
    </w:p>
    <w:p>
      <w:pPr>
        <w:spacing w:line="240" w:lineRule="auto" w:before="4"/>
        <w:rPr>
          <w:rFonts w:ascii="宋体" w:hAnsi="宋体" w:cs="宋体" w:eastAsia="宋体" w:hint="default"/>
          <w:sz w:val="19"/>
          <w:szCs w:val="19"/>
        </w:rPr>
      </w:pPr>
    </w:p>
    <w:p>
      <w:pPr>
        <w:pStyle w:val="BodyText"/>
        <w:spacing w:line="295" w:lineRule="exact"/>
        <w:ind w:left="146" w:right="0"/>
        <w:jc w:val="left"/>
      </w:pPr>
      <w:r>
        <w:rPr>
          <w:rFonts w:ascii="Arial" w:hAnsi="Arial" w:cs="Arial" w:eastAsia="Arial" w:hint="default"/>
        </w:rPr>
        <w:t>5</w:t>
      </w:r>
      <w:r>
        <w:rPr/>
        <w:t>、刘彩</w:t>
      </w:r>
    </w:p>
    <w:p>
      <w:pPr>
        <w:pStyle w:val="BodyText"/>
        <w:spacing w:line="284" w:lineRule="exact" w:before="20"/>
        <w:ind w:left="498" w:right="151"/>
        <w:jc w:val="both"/>
      </w:pPr>
      <w:r>
        <w:rPr/>
        <w:t>刘彩先生为教授级高级工程师，</w:t>
      </w:r>
      <w:r>
        <w:rPr>
          <w:rFonts w:ascii="Arial" w:hAnsi="Arial" w:cs="Arial" w:eastAsia="Arial" w:hint="default"/>
        </w:rPr>
        <w:t>1963</w:t>
      </w:r>
      <w:r>
        <w:rPr>
          <w:rFonts w:ascii="Arial" w:hAnsi="Arial" w:cs="Arial" w:eastAsia="Arial" w:hint="default"/>
          <w:spacing w:val="-3"/>
        </w:rPr>
        <w:t> </w:t>
      </w:r>
      <w:r>
        <w:rPr/>
        <w:t>年毕业于北京邮电学院（现北京邮电大学），主修通信工</w:t>
      </w:r>
      <w:r>
        <w:rPr>
          <w:w w:val="99"/>
        </w:rPr>
        <w:t> </w:t>
      </w:r>
      <w:r>
        <w:rPr/>
        <w:t>程。</w:t>
      </w:r>
      <w:r>
        <w:rPr>
          <w:rFonts w:ascii="Arial" w:hAnsi="Arial" w:cs="Arial" w:eastAsia="Arial" w:hint="default"/>
        </w:rPr>
        <w:t>1963 </w:t>
      </w:r>
      <w:r>
        <w:rPr/>
        <w:t>年至 </w:t>
      </w:r>
      <w:r>
        <w:rPr>
          <w:rFonts w:ascii="Arial" w:hAnsi="Arial" w:cs="Arial" w:eastAsia="Arial" w:hint="default"/>
        </w:rPr>
        <w:t>1988 </w:t>
      </w:r>
      <w:r>
        <w:rPr/>
        <w:t>年在邮电科学研究院任技术员、工程师、高级工程师。其间于 </w:t>
      </w:r>
      <w:r>
        <w:rPr>
          <w:rFonts w:ascii="Arial" w:hAnsi="Arial" w:cs="Arial" w:eastAsia="Arial" w:hint="default"/>
        </w:rPr>
        <w:t>1984</w:t>
      </w:r>
      <w:r>
        <w:rPr>
          <w:rFonts w:ascii="Arial" w:hAnsi="Arial" w:cs="Arial" w:eastAsia="Arial" w:hint="default"/>
          <w:spacing w:val="-9"/>
        </w:rPr>
        <w:t> </w:t>
      </w:r>
      <w:r>
        <w:rPr/>
        <w:t>年至</w:t>
      </w:r>
    </w:p>
    <w:p>
      <w:pPr>
        <w:pStyle w:val="BodyText"/>
        <w:spacing w:line="286" w:lineRule="exact"/>
        <w:ind w:left="498" w:right="149"/>
        <w:jc w:val="both"/>
      </w:pPr>
      <w:r>
        <w:rPr>
          <w:rFonts w:ascii="Arial" w:hAnsi="Arial" w:cs="Arial" w:eastAsia="Arial" w:hint="default"/>
        </w:rPr>
        <w:t>1986</w:t>
      </w:r>
      <w:r>
        <w:rPr>
          <w:rFonts w:ascii="Arial" w:hAnsi="Arial" w:cs="Arial" w:eastAsia="Arial" w:hint="default"/>
          <w:spacing w:val="-6"/>
        </w:rPr>
        <w:t> </w:t>
      </w:r>
      <w:r>
        <w:rPr/>
        <w:t>年、</w:t>
      </w:r>
      <w:r>
        <w:rPr>
          <w:rFonts w:ascii="Arial" w:hAnsi="Arial" w:cs="Arial" w:eastAsia="Arial" w:hint="default"/>
        </w:rPr>
        <w:t>1988</w:t>
      </w:r>
      <w:r>
        <w:rPr>
          <w:rFonts w:ascii="Arial" w:hAnsi="Arial" w:cs="Arial" w:eastAsia="Arial" w:hint="default"/>
          <w:spacing w:val="-7"/>
        </w:rPr>
        <w:t> </w:t>
      </w:r>
      <w:r>
        <w:rPr/>
        <w:t>年至</w:t>
      </w:r>
      <w:r>
        <w:rPr>
          <w:spacing w:val="-56"/>
        </w:rPr>
        <w:t> </w:t>
      </w:r>
      <w:r>
        <w:rPr>
          <w:rFonts w:ascii="Arial" w:hAnsi="Arial" w:cs="Arial" w:eastAsia="Arial" w:hint="default"/>
        </w:rPr>
        <w:t>1989</w:t>
      </w:r>
      <w:r>
        <w:rPr>
          <w:rFonts w:ascii="Arial" w:hAnsi="Arial" w:cs="Arial" w:eastAsia="Arial" w:hint="default"/>
          <w:spacing w:val="-7"/>
        </w:rPr>
        <w:t> </w:t>
      </w:r>
      <w:r>
        <w:rPr/>
        <w:t>年先后被选派比利时和美国进修经济管理。</w:t>
      </w:r>
      <w:r>
        <w:rPr>
          <w:rFonts w:ascii="Arial" w:hAnsi="Arial" w:cs="Arial" w:eastAsia="Arial" w:hint="default"/>
        </w:rPr>
        <w:t>1986</w:t>
      </w:r>
      <w:r>
        <w:rPr>
          <w:rFonts w:ascii="Arial" w:hAnsi="Arial" w:cs="Arial" w:eastAsia="Arial" w:hint="default"/>
          <w:spacing w:val="-6"/>
        </w:rPr>
        <w:t> </w:t>
      </w:r>
      <w:r>
        <w:rPr/>
        <w:t>年至</w:t>
      </w:r>
      <w:r>
        <w:rPr>
          <w:spacing w:val="-56"/>
        </w:rPr>
        <w:t> </w:t>
      </w:r>
      <w:r>
        <w:rPr>
          <w:rFonts w:ascii="Arial" w:hAnsi="Arial" w:cs="Arial" w:eastAsia="Arial" w:hint="default"/>
        </w:rPr>
        <w:t>1988</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w w:val="99"/>
        </w:rPr>
        <w:t> </w:t>
      </w:r>
      <w:r>
        <w:rPr/>
        <w:t>任邮电部经济技术发展研究中心副主任。</w:t>
      </w:r>
      <w:r>
        <w:rPr>
          <w:rFonts w:ascii="Arial" w:hAnsi="Arial" w:cs="Arial" w:eastAsia="Arial" w:hint="default"/>
        </w:rPr>
        <w:t>1988 </w:t>
      </w:r>
      <w:r>
        <w:rPr/>
        <w:t>年至 </w:t>
      </w:r>
      <w:r>
        <w:rPr>
          <w:rFonts w:ascii="Arial" w:hAnsi="Arial" w:cs="Arial" w:eastAsia="Arial" w:hint="default"/>
        </w:rPr>
        <w:t>2001</w:t>
      </w:r>
      <w:r>
        <w:rPr>
          <w:rFonts w:ascii="Arial" w:hAnsi="Arial" w:cs="Arial" w:eastAsia="Arial" w:hint="default"/>
          <w:spacing w:val="-8"/>
        </w:rPr>
        <w:t> </w:t>
      </w:r>
      <w:r>
        <w:rPr/>
        <w:t>年先后任邮电部、信息产业部政策法</w:t>
      </w:r>
    </w:p>
    <w:p>
      <w:pPr>
        <w:pStyle w:val="BodyText"/>
        <w:spacing w:line="284" w:lineRule="exact" w:before="1"/>
        <w:ind w:left="498" w:right="149"/>
        <w:jc w:val="both"/>
      </w:pPr>
      <w:r>
        <w:rPr>
          <w:spacing w:val="-3"/>
        </w:rPr>
        <w:t>规司副司长、司长，负责研究制定通信政策；起草电信改革方案、企业重组方案；起草《中华人</w:t>
      </w:r>
      <w:r>
        <w:rPr>
          <w:spacing w:val="-102"/>
        </w:rPr>
        <w:t> </w:t>
      </w:r>
      <w:r>
        <w:rPr>
          <w:spacing w:val="-102"/>
        </w:rPr>
      </w:r>
      <w:r>
        <w:rPr/>
        <w:t>民共和国电信条例》；作为电信谈判首席代表，参加我国加入 </w:t>
      </w:r>
      <w:r>
        <w:rPr>
          <w:rFonts w:ascii="Arial" w:hAnsi="Arial" w:cs="Arial" w:eastAsia="Arial" w:hint="default"/>
        </w:rPr>
        <w:t>WTO </w:t>
      </w:r>
      <w:r>
        <w:rPr/>
        <w:t>谈判。</w:t>
      </w:r>
      <w:r>
        <w:rPr>
          <w:rFonts w:ascii="Arial" w:hAnsi="Arial" w:cs="Arial" w:eastAsia="Arial" w:hint="default"/>
        </w:rPr>
        <w:t>2001</w:t>
      </w:r>
      <w:r>
        <w:rPr>
          <w:rFonts w:ascii="Arial" w:hAnsi="Arial" w:cs="Arial" w:eastAsia="Arial" w:hint="default"/>
          <w:spacing w:val="-28"/>
        </w:rPr>
        <w:t> </w:t>
      </w:r>
      <w:r>
        <w:rPr/>
        <w:t>年后曾任中国</w:t>
      </w:r>
    </w:p>
    <w:p>
      <w:pPr>
        <w:pStyle w:val="BodyText"/>
        <w:spacing w:line="286" w:lineRule="exact"/>
        <w:ind w:left="498" w:right="149"/>
        <w:jc w:val="both"/>
      </w:pPr>
      <w:r>
        <w:rPr>
          <w:spacing w:val="-3"/>
        </w:rPr>
        <w:t>通信学会副理事长兼秘书长，中国科协第六、第七届全委会委员，电信法起草专家咨询委员会主</w:t>
      </w:r>
      <w:r>
        <w:rPr>
          <w:spacing w:val="-103"/>
        </w:rPr>
        <w:t> </w:t>
      </w:r>
      <w:r>
        <w:rPr>
          <w:spacing w:val="-103"/>
        </w:rPr>
      </w:r>
      <w:r>
        <w:rPr>
          <w:spacing w:val="-4"/>
        </w:rPr>
        <w:t>任委员。</w:t>
      </w:r>
      <w:r>
        <w:rPr>
          <w:rFonts w:ascii="Arial" w:hAnsi="Arial" w:cs="Arial" w:eastAsia="Arial" w:hint="default"/>
          <w:spacing w:val="-4"/>
        </w:rPr>
        <w:t>2006</w:t>
      </w:r>
      <w:r>
        <w:rPr>
          <w:rFonts w:ascii="Arial" w:hAnsi="Arial" w:cs="Arial" w:eastAsia="Arial" w:hint="default"/>
          <w:spacing w:val="4"/>
        </w:rPr>
        <w:t> </w:t>
      </w:r>
      <w:r>
        <w:rPr>
          <w:spacing w:val="-2"/>
        </w:rPr>
        <w:t>年代表中国担任联合国信息与通信技术促进发展全球联盟（</w:t>
      </w:r>
      <w:r>
        <w:rPr>
          <w:rFonts w:ascii="Arial" w:hAnsi="Arial" w:cs="Arial" w:eastAsia="Arial" w:hint="default"/>
          <w:spacing w:val="-2"/>
        </w:rPr>
        <w:t>GAID</w:t>
      </w:r>
      <w:r>
        <w:rPr>
          <w:spacing w:val="-2"/>
        </w:rPr>
        <w:t>）第一届战略理</w:t>
      </w:r>
    </w:p>
    <w:p>
      <w:pPr>
        <w:pStyle w:val="BodyText"/>
        <w:spacing w:line="284" w:lineRule="exact" w:before="1"/>
        <w:ind w:left="498" w:right="149"/>
        <w:jc w:val="both"/>
      </w:pPr>
      <w:r>
        <w:rPr/>
        <w:t>事会理事。目前担任香港京信通信系统公司独立非执行董事。刘彩先生自</w:t>
      </w:r>
      <w:r>
        <w:rPr>
          <w:spacing w:val="-45"/>
        </w:rPr>
        <w:t> </w:t>
      </w:r>
      <w:r>
        <w:rPr>
          <w:rFonts w:ascii="Arial" w:hAnsi="Arial" w:cs="Arial" w:eastAsia="Arial" w:hint="default"/>
        </w:rPr>
        <w:t>2009</w:t>
      </w:r>
      <w:r>
        <w:rPr>
          <w:rFonts w:ascii="Arial" w:hAnsi="Arial" w:cs="Arial" w:eastAsia="Arial" w:hint="default"/>
          <w:spacing w:val="1"/>
        </w:rPr>
        <w:t> </w:t>
      </w:r>
      <w:r>
        <w:rPr/>
        <w:t>年</w:t>
      </w:r>
      <w:r>
        <w:rPr>
          <w:spacing w:val="-49"/>
        </w:rPr>
        <w:t> </w:t>
      </w:r>
      <w:r>
        <w:rPr>
          <w:rFonts w:ascii="Arial" w:hAnsi="Arial" w:cs="Arial" w:eastAsia="Arial" w:hint="default"/>
        </w:rPr>
        <w:t>11 </w:t>
      </w:r>
      <w:r>
        <w:rPr/>
        <w:t>月起担任</w:t>
      </w:r>
      <w:r>
        <w:rPr>
          <w:w w:val="99"/>
        </w:rPr>
        <w:t> </w:t>
      </w:r>
      <w:r>
        <w:rPr/>
        <w:t>本公司独立董事。</w:t>
      </w:r>
    </w:p>
    <w:p>
      <w:pPr>
        <w:spacing w:after="0" w:line="284" w:lineRule="exact"/>
        <w:jc w:val="both"/>
        <w:sectPr>
          <w:pgSz w:w="11910" w:h="16840"/>
          <w:pgMar w:header="567" w:footer="745" w:top="800" w:bottom="940" w:left="1380" w:right="740"/>
        </w:sectPr>
      </w:pPr>
    </w:p>
    <w:p>
      <w:pPr>
        <w:spacing w:line="240" w:lineRule="auto" w:before="8"/>
        <w:rPr>
          <w:rFonts w:ascii="宋体" w:hAnsi="宋体" w:cs="宋体" w:eastAsia="宋体" w:hint="default"/>
          <w:sz w:val="22"/>
          <w:szCs w:val="22"/>
        </w:rPr>
      </w:pPr>
    </w:p>
    <w:p>
      <w:pPr>
        <w:pStyle w:val="BodyText"/>
        <w:spacing w:line="295" w:lineRule="exact" w:before="31"/>
        <w:ind w:left="146" w:right="89"/>
        <w:jc w:val="left"/>
      </w:pPr>
      <w:r>
        <w:rPr>
          <w:rFonts w:ascii="Arial" w:hAnsi="Arial" w:cs="Arial" w:eastAsia="Arial" w:hint="default"/>
        </w:rPr>
        <w:t>6</w:t>
      </w:r>
      <w:r>
        <w:rPr/>
        <w:t>、赵纯均</w:t>
      </w:r>
    </w:p>
    <w:p>
      <w:pPr>
        <w:pStyle w:val="BodyText"/>
        <w:spacing w:line="286" w:lineRule="exact"/>
        <w:ind w:left="498" w:right="0"/>
        <w:jc w:val="both"/>
      </w:pPr>
      <w:r>
        <w:rPr/>
        <w:t>赵纯均先生</w:t>
      </w:r>
      <w:r>
        <w:rPr>
          <w:spacing w:val="-49"/>
        </w:rPr>
        <w:t> </w:t>
      </w:r>
      <w:r>
        <w:rPr>
          <w:rFonts w:ascii="Arial" w:hAnsi="Arial" w:cs="Arial" w:eastAsia="Arial" w:hint="default"/>
        </w:rPr>
        <w:t>1965</w:t>
      </w:r>
      <w:r>
        <w:rPr>
          <w:rFonts w:ascii="Arial" w:hAnsi="Arial" w:cs="Arial" w:eastAsia="Arial" w:hint="default"/>
          <w:spacing w:val="-2"/>
        </w:rPr>
        <w:t> </w:t>
      </w:r>
      <w:r>
        <w:rPr/>
        <w:t>年</w:t>
      </w:r>
      <w:r>
        <w:rPr>
          <w:spacing w:val="-51"/>
        </w:rPr>
        <w:t> </w:t>
      </w:r>
      <w:r>
        <w:rPr>
          <w:rFonts w:ascii="Arial" w:hAnsi="Arial" w:cs="Arial" w:eastAsia="Arial" w:hint="default"/>
        </w:rPr>
        <w:t>7</w:t>
      </w:r>
      <w:r>
        <w:rPr>
          <w:rFonts w:ascii="Arial" w:hAnsi="Arial" w:cs="Arial" w:eastAsia="Arial" w:hint="default"/>
          <w:spacing w:val="-2"/>
        </w:rPr>
        <w:t> </w:t>
      </w:r>
      <w:r>
        <w:rPr/>
        <w:t>月于清华大学电机系工业企业电气化与自动化本科毕业。</w:t>
      </w:r>
      <w:r>
        <w:rPr>
          <w:rFonts w:ascii="Arial" w:hAnsi="Arial" w:cs="Arial" w:eastAsia="Arial" w:hint="default"/>
        </w:rPr>
        <w:t>1965</w:t>
      </w:r>
      <w:r>
        <w:rPr>
          <w:rFonts w:ascii="Arial" w:hAnsi="Arial" w:cs="Arial" w:eastAsia="Arial" w:hint="default"/>
          <w:spacing w:val="-1"/>
        </w:rPr>
        <w:t> </w:t>
      </w:r>
      <w:r>
        <w:rPr/>
        <w:t>年</w:t>
      </w:r>
      <w:r>
        <w:rPr>
          <w:spacing w:val="-51"/>
        </w:rPr>
        <w:t> </w:t>
      </w:r>
      <w:r>
        <w:rPr>
          <w:rFonts w:ascii="Arial" w:hAnsi="Arial" w:cs="Arial" w:eastAsia="Arial" w:hint="default"/>
        </w:rPr>
        <w:t>9</w:t>
      </w:r>
      <w:r>
        <w:rPr>
          <w:rFonts w:ascii="Arial" w:hAnsi="Arial" w:cs="Arial" w:eastAsia="Arial" w:hint="default"/>
          <w:spacing w:val="-2"/>
        </w:rPr>
        <w:t> </w:t>
      </w:r>
      <w:r>
        <w:rPr/>
        <w:t>月起</w:t>
      </w:r>
    </w:p>
    <w:p>
      <w:pPr>
        <w:pStyle w:val="BodyText"/>
        <w:spacing w:line="225" w:lineRule="auto" w:before="6"/>
        <w:ind w:left="498" w:right="211"/>
        <w:jc w:val="both"/>
      </w:pPr>
      <w:r>
        <w:rPr>
          <w:spacing w:val="-3"/>
        </w:rPr>
        <w:t>先后在清华大学、清华大学绵阳分校、清华大学自动化系任教，</w:t>
      </w:r>
      <w:r>
        <w:rPr>
          <w:rFonts w:ascii="Arial" w:hAnsi="Arial" w:cs="Arial" w:eastAsia="Arial" w:hint="default"/>
          <w:spacing w:val="-3"/>
        </w:rPr>
        <w:t>1984</w:t>
      </w:r>
      <w:r>
        <w:rPr>
          <w:rFonts w:ascii="Arial" w:hAnsi="Arial" w:cs="Arial" w:eastAsia="Arial" w:hint="default"/>
          <w:spacing w:val="-5"/>
        </w:rPr>
        <w:t> </w:t>
      </w:r>
      <w:r>
        <w:rPr/>
        <w:t>年</w:t>
      </w:r>
      <w:r>
        <w:rPr>
          <w:spacing w:val="-55"/>
        </w:rPr>
        <w:t> </w:t>
      </w:r>
      <w:r>
        <w:rPr>
          <w:rFonts w:ascii="Arial" w:hAnsi="Arial" w:cs="Arial" w:eastAsia="Arial" w:hint="default"/>
        </w:rPr>
        <w:t>10</w:t>
      </w:r>
      <w:r>
        <w:rPr>
          <w:rFonts w:ascii="Arial" w:hAnsi="Arial" w:cs="Arial" w:eastAsia="Arial" w:hint="default"/>
          <w:spacing w:val="-6"/>
        </w:rPr>
        <w:t> </w:t>
      </w:r>
      <w:r>
        <w:rPr/>
        <w:t>月至</w:t>
      </w:r>
      <w:r>
        <w:rPr>
          <w:spacing w:val="-55"/>
        </w:rPr>
        <w:t> </w:t>
      </w:r>
      <w:r>
        <w:rPr>
          <w:rFonts w:ascii="Arial" w:hAnsi="Arial" w:cs="Arial" w:eastAsia="Arial" w:hint="default"/>
        </w:rPr>
        <w:t>1986</w:t>
      </w:r>
      <w:r>
        <w:rPr>
          <w:rFonts w:ascii="Arial" w:hAnsi="Arial" w:cs="Arial" w:eastAsia="Arial" w:hint="default"/>
          <w:spacing w:val="-6"/>
        </w:rPr>
        <w:t> </w:t>
      </w:r>
      <w:r>
        <w:rPr/>
        <w:t>年</w:t>
      </w:r>
      <w:r>
        <w:rPr>
          <w:spacing w:val="-55"/>
        </w:rPr>
        <w:t> </w:t>
      </w:r>
      <w:r>
        <w:rPr>
          <w:rFonts w:ascii="Arial" w:hAnsi="Arial" w:cs="Arial" w:eastAsia="Arial" w:hint="default"/>
        </w:rPr>
        <w:t>2</w:t>
      </w:r>
      <w:r>
        <w:rPr>
          <w:rFonts w:ascii="Arial" w:hAnsi="Arial" w:cs="Arial" w:eastAsia="Arial" w:hint="default"/>
          <w:spacing w:val="-6"/>
        </w:rPr>
        <w:t> </w:t>
      </w:r>
      <w:r>
        <w:rPr/>
        <w:t>月奥</w:t>
      </w:r>
      <w:r>
        <w:rPr>
          <w:spacing w:val="-2"/>
          <w:w w:val="99"/>
        </w:rPr>
        <w:t> </w:t>
      </w:r>
      <w:r>
        <w:rPr/>
        <w:t>地利国际应用系统分析研究所（</w:t>
      </w:r>
      <w:r>
        <w:rPr>
          <w:rFonts w:ascii="Arial" w:hAnsi="Arial" w:cs="Arial" w:eastAsia="Arial" w:hint="default"/>
        </w:rPr>
        <w:t>IIASA</w:t>
      </w:r>
      <w:r>
        <w:rPr/>
        <w:t>），做研究学者，</w:t>
      </w:r>
      <w:r>
        <w:rPr>
          <w:rFonts w:ascii="Arial" w:hAnsi="Arial" w:cs="Arial" w:eastAsia="Arial" w:hint="default"/>
        </w:rPr>
        <w:t>1986 </w:t>
      </w:r>
      <w:r>
        <w:rPr/>
        <w:t>年 </w:t>
      </w:r>
      <w:r>
        <w:rPr>
          <w:rFonts w:ascii="Arial" w:hAnsi="Arial" w:cs="Arial" w:eastAsia="Arial" w:hint="default"/>
        </w:rPr>
        <w:t>2</w:t>
      </w:r>
      <w:r>
        <w:rPr>
          <w:rFonts w:ascii="Arial" w:hAnsi="Arial" w:cs="Arial" w:eastAsia="Arial" w:hint="default"/>
          <w:spacing w:val="18"/>
        </w:rPr>
        <w:t> </w:t>
      </w:r>
      <w:r>
        <w:rPr/>
        <w:t>月起先后任清华大学经济管</w:t>
      </w:r>
      <w:r>
        <w:rPr>
          <w:w w:val="99"/>
        </w:rPr>
        <w:t> </w:t>
      </w:r>
      <w:r>
        <w:rPr/>
        <w:t>理学院院长助理、系主任、常务</w:t>
      </w:r>
      <w:r>
        <w:rPr>
          <w:rFonts w:ascii="Arial" w:hAnsi="Arial" w:cs="Arial" w:eastAsia="Arial" w:hint="default"/>
        </w:rPr>
        <w:t>/</w:t>
      </w:r>
      <w:r>
        <w:rPr/>
        <w:t>第一副院长，</w:t>
      </w:r>
      <w:r>
        <w:rPr>
          <w:rFonts w:ascii="Arial" w:hAnsi="Arial" w:cs="Arial" w:eastAsia="Arial" w:hint="default"/>
        </w:rPr>
        <w:t>2001</w:t>
      </w:r>
      <w:r>
        <w:rPr>
          <w:rFonts w:ascii="Arial" w:hAnsi="Arial" w:cs="Arial" w:eastAsia="Arial" w:hint="default"/>
          <w:spacing w:val="5"/>
        </w:rPr>
        <w:t> </w:t>
      </w:r>
      <w:r>
        <w:rPr/>
        <w:t>年</w:t>
      </w:r>
      <w:r>
        <w:rPr>
          <w:spacing w:val="-45"/>
        </w:rPr>
        <w:t> </w:t>
      </w:r>
      <w:r>
        <w:rPr>
          <w:rFonts w:ascii="Arial" w:hAnsi="Arial" w:cs="Arial" w:eastAsia="Arial" w:hint="default"/>
        </w:rPr>
        <w:t>6</w:t>
      </w:r>
      <w:r>
        <w:rPr>
          <w:rFonts w:ascii="Arial" w:hAnsi="Arial" w:cs="Arial" w:eastAsia="Arial" w:hint="default"/>
          <w:spacing w:val="4"/>
        </w:rPr>
        <w:t> </w:t>
      </w:r>
      <w:r>
        <w:rPr/>
        <w:t>月至</w:t>
      </w:r>
      <w:r>
        <w:rPr>
          <w:spacing w:val="-45"/>
        </w:rPr>
        <w:t> </w:t>
      </w:r>
      <w:r>
        <w:rPr>
          <w:rFonts w:ascii="Arial" w:hAnsi="Arial" w:cs="Arial" w:eastAsia="Arial" w:hint="default"/>
        </w:rPr>
        <w:t>2005</w:t>
      </w:r>
      <w:r>
        <w:rPr>
          <w:rFonts w:ascii="Arial" w:hAnsi="Arial" w:cs="Arial" w:eastAsia="Arial" w:hint="default"/>
          <w:spacing w:val="4"/>
        </w:rPr>
        <w:t> </w:t>
      </w:r>
      <w:r>
        <w:rPr/>
        <w:t>年</w:t>
      </w:r>
      <w:r>
        <w:rPr>
          <w:spacing w:val="-44"/>
        </w:rPr>
        <w:t> </w:t>
      </w:r>
      <w:r>
        <w:rPr>
          <w:rFonts w:ascii="Arial" w:hAnsi="Arial" w:cs="Arial" w:eastAsia="Arial" w:hint="default"/>
        </w:rPr>
        <w:t>10</w:t>
      </w:r>
      <w:r>
        <w:rPr>
          <w:rFonts w:ascii="Arial" w:hAnsi="Arial" w:cs="Arial" w:eastAsia="Arial" w:hint="default"/>
          <w:spacing w:val="4"/>
        </w:rPr>
        <w:t> </w:t>
      </w:r>
      <w:r>
        <w:rPr/>
        <w:t>月清华大学经济管理</w:t>
      </w:r>
    </w:p>
    <w:p>
      <w:pPr>
        <w:pStyle w:val="BodyText"/>
        <w:spacing w:line="232" w:lineRule="auto"/>
        <w:ind w:left="498" w:right="89"/>
        <w:jc w:val="left"/>
      </w:pPr>
      <w:r>
        <w:rPr/>
        <w:t>学院任院长。</w:t>
      </w:r>
      <w:r>
        <w:rPr>
          <w:rFonts w:ascii="Arial" w:hAnsi="Arial" w:cs="Arial" w:eastAsia="Arial" w:hint="default"/>
        </w:rPr>
        <w:t>2005</w:t>
      </w:r>
      <w:r>
        <w:rPr>
          <w:rFonts w:ascii="Arial" w:hAnsi="Arial" w:cs="Arial" w:eastAsia="Arial" w:hint="default"/>
          <w:spacing w:val="-8"/>
        </w:rPr>
        <w:t> </w:t>
      </w:r>
      <w:r>
        <w:rPr/>
        <w:t>年</w:t>
      </w:r>
      <w:r>
        <w:rPr>
          <w:spacing w:val="-57"/>
        </w:rPr>
        <w:t> </w:t>
      </w:r>
      <w:r>
        <w:rPr>
          <w:rFonts w:ascii="Arial" w:hAnsi="Arial" w:cs="Arial" w:eastAsia="Arial" w:hint="default"/>
        </w:rPr>
        <w:t>10</w:t>
      </w:r>
      <w:r>
        <w:rPr>
          <w:rFonts w:ascii="Arial" w:hAnsi="Arial" w:cs="Arial" w:eastAsia="Arial" w:hint="default"/>
          <w:spacing w:val="-8"/>
        </w:rPr>
        <w:t> </w:t>
      </w:r>
      <w:r>
        <w:rPr/>
        <w:t>月至</w:t>
      </w:r>
      <w:r>
        <w:rPr>
          <w:spacing w:val="-57"/>
        </w:rPr>
        <w:t> </w:t>
      </w:r>
      <w:r>
        <w:rPr>
          <w:rFonts w:ascii="Arial" w:hAnsi="Arial" w:cs="Arial" w:eastAsia="Arial" w:hint="default"/>
        </w:rPr>
        <w:t>2009</w:t>
      </w:r>
      <w:r>
        <w:rPr>
          <w:rFonts w:ascii="Arial" w:hAnsi="Arial" w:cs="Arial" w:eastAsia="Arial" w:hint="default"/>
          <w:spacing w:val="-8"/>
        </w:rPr>
        <w:t> </w:t>
      </w:r>
      <w:r>
        <w:rPr/>
        <w:t>年</w:t>
      </w:r>
      <w:r>
        <w:rPr>
          <w:spacing w:val="-57"/>
        </w:rPr>
        <w:t> </w:t>
      </w:r>
      <w:r>
        <w:rPr>
          <w:rFonts w:ascii="Arial" w:hAnsi="Arial" w:cs="Arial" w:eastAsia="Arial" w:hint="default"/>
        </w:rPr>
        <w:t>4</w:t>
      </w:r>
      <w:r>
        <w:rPr>
          <w:rFonts w:ascii="Arial" w:hAnsi="Arial" w:cs="Arial" w:eastAsia="Arial" w:hint="default"/>
          <w:spacing w:val="-8"/>
        </w:rPr>
        <w:t> </w:t>
      </w:r>
      <w:r>
        <w:rPr/>
        <w:t>月任清华大学经济管理学院教授。</w:t>
      </w:r>
      <w:r>
        <w:rPr>
          <w:rFonts w:ascii="Arial" w:hAnsi="Arial" w:cs="Arial" w:eastAsia="Arial" w:hint="default"/>
        </w:rPr>
        <w:t>2005</w:t>
      </w:r>
      <w:r>
        <w:rPr>
          <w:rFonts w:ascii="Arial" w:hAnsi="Arial" w:cs="Arial" w:eastAsia="Arial" w:hint="default"/>
          <w:spacing w:val="-8"/>
        </w:rPr>
        <w:t> </w:t>
      </w:r>
      <w:r>
        <w:rPr/>
        <w:t>年</w:t>
      </w:r>
      <w:r>
        <w:rPr>
          <w:spacing w:val="-57"/>
        </w:rPr>
        <w:t> </w:t>
      </w:r>
      <w:r>
        <w:rPr>
          <w:rFonts w:ascii="Arial" w:hAnsi="Arial" w:cs="Arial" w:eastAsia="Arial" w:hint="default"/>
        </w:rPr>
        <w:t>10</w:t>
      </w:r>
      <w:r>
        <w:rPr>
          <w:rFonts w:ascii="Arial" w:hAnsi="Arial" w:cs="Arial" w:eastAsia="Arial" w:hint="default"/>
          <w:spacing w:val="-8"/>
        </w:rPr>
        <w:t> </w:t>
      </w:r>
      <w:r>
        <w:rPr/>
        <w:t>月至今，</w:t>
      </w:r>
      <w:r>
        <w:rPr>
          <w:w w:val="99"/>
        </w:rPr>
        <w:t> </w:t>
      </w:r>
      <w:r>
        <w:rPr/>
        <w:t>任清华大学经济管理学院顾问委员会委员，清华大学校务委员会、学术委员会委员，全国</w:t>
      </w:r>
      <w:r>
        <w:rPr>
          <w:spacing w:val="-31"/>
        </w:rPr>
        <w:t> </w:t>
      </w:r>
      <w:r>
        <w:rPr>
          <w:rFonts w:ascii="Arial" w:hAnsi="Arial" w:cs="Arial" w:eastAsia="Arial" w:hint="default"/>
        </w:rPr>
        <w:t>MBA</w:t>
      </w:r>
      <w:r>
        <w:rPr>
          <w:rFonts w:ascii="Arial" w:hAnsi="Arial" w:cs="Arial" w:eastAsia="Arial" w:hint="default"/>
          <w:w w:val="99"/>
        </w:rPr>
        <w:t> </w:t>
      </w:r>
      <w:r>
        <w:rPr>
          <w:spacing w:val="-3"/>
        </w:rPr>
        <w:t>教育指导委员会副主任、教育部社科委管理学部召集人。曾任大恒新纪元科技股份有限公司独立</w:t>
      </w:r>
      <w:r>
        <w:rPr>
          <w:spacing w:val="-104"/>
        </w:rPr>
        <w:t> </w:t>
      </w:r>
      <w:r>
        <w:rPr>
          <w:spacing w:val="-104"/>
        </w:rPr>
      </w:r>
      <w:r>
        <w:rPr>
          <w:spacing w:val="-3"/>
        </w:rPr>
        <w:t>董事、清华同方股份有限公司监事长、中银国际基金管理有限公司独立董事。目前还兼任中国管</w:t>
      </w:r>
      <w:r>
        <w:rPr>
          <w:spacing w:val="-104"/>
        </w:rPr>
        <w:t> </w:t>
      </w:r>
      <w:r>
        <w:rPr>
          <w:spacing w:val="-104"/>
        </w:rPr>
      </w:r>
      <w:r>
        <w:rPr>
          <w:spacing w:val="-3"/>
        </w:rPr>
        <w:t>理现代化研究会理事长、中国企业研究会副会长、中国工业经济联合会高级副会长、中国企业联</w:t>
      </w:r>
      <w:r>
        <w:rPr>
          <w:spacing w:val="-105"/>
        </w:rPr>
        <w:t> </w:t>
      </w:r>
      <w:r>
        <w:rPr>
          <w:spacing w:val="-105"/>
        </w:rPr>
      </w:r>
      <w:r>
        <w:rPr>
          <w:w w:val="95"/>
        </w:rPr>
        <w:t>合会常务理事，并担任中国通信服务股份有限公司独立董事、东方电气股份有限公司独立董事。</w:t>
      </w:r>
      <w:r>
        <w:rPr>
          <w:spacing w:val="25"/>
          <w:w w:val="95"/>
        </w:rPr>
        <w:t> </w:t>
      </w:r>
      <w:r>
        <w:rPr>
          <w:spacing w:val="25"/>
          <w:w w:val="95"/>
        </w:rPr>
      </w:r>
      <w:r>
        <w:rPr/>
        <w:t>赵纯均先生自</w:t>
      </w:r>
      <w:r>
        <w:rPr>
          <w:spacing w:val="-57"/>
        </w:rPr>
        <w:t> </w:t>
      </w:r>
      <w:r>
        <w:rPr>
          <w:rFonts w:ascii="Arial" w:hAnsi="Arial" w:cs="Arial" w:eastAsia="Arial" w:hint="default"/>
        </w:rPr>
        <w:t>2009</w:t>
      </w:r>
      <w:r>
        <w:rPr>
          <w:rFonts w:ascii="Arial" w:hAnsi="Arial" w:cs="Arial" w:eastAsia="Arial" w:hint="default"/>
          <w:spacing w:val="-9"/>
        </w:rPr>
        <w:t> </w:t>
      </w:r>
      <w:r>
        <w:rPr/>
        <w:t>年</w:t>
      </w:r>
      <w:r>
        <w:rPr>
          <w:spacing w:val="-58"/>
        </w:rPr>
        <w:t> </w:t>
      </w:r>
      <w:r>
        <w:rPr>
          <w:rFonts w:ascii="Arial" w:hAnsi="Arial" w:cs="Arial" w:eastAsia="Arial" w:hint="default"/>
        </w:rPr>
        <w:t>11</w:t>
      </w:r>
      <w:r>
        <w:rPr>
          <w:rFonts w:ascii="Arial" w:hAnsi="Arial" w:cs="Arial" w:eastAsia="Arial" w:hint="default"/>
          <w:spacing w:val="-9"/>
        </w:rPr>
        <w:t> </w:t>
      </w:r>
      <w:r>
        <w:rPr/>
        <w:t>月起担任本公司独立董事。</w:t>
      </w:r>
    </w:p>
    <w:p>
      <w:pPr>
        <w:spacing w:line="240" w:lineRule="auto" w:before="13"/>
        <w:rPr>
          <w:rFonts w:ascii="宋体" w:hAnsi="宋体" w:cs="宋体" w:eastAsia="宋体" w:hint="default"/>
          <w:sz w:val="17"/>
          <w:szCs w:val="17"/>
        </w:rPr>
      </w:pPr>
    </w:p>
    <w:p>
      <w:pPr>
        <w:pStyle w:val="BodyText"/>
        <w:spacing w:line="295" w:lineRule="exact"/>
        <w:ind w:left="146" w:right="89"/>
        <w:jc w:val="left"/>
      </w:pPr>
      <w:r>
        <w:rPr>
          <w:rFonts w:ascii="Arial" w:hAnsi="Arial" w:cs="Arial" w:eastAsia="Arial" w:hint="default"/>
        </w:rPr>
        <w:t>7</w:t>
      </w:r>
      <w:r>
        <w:rPr/>
        <w:t>、张英海</w:t>
      </w:r>
    </w:p>
    <w:p>
      <w:pPr>
        <w:pStyle w:val="BodyText"/>
        <w:spacing w:line="225" w:lineRule="auto" w:before="6"/>
        <w:ind w:left="498" w:right="89"/>
        <w:jc w:val="left"/>
      </w:pPr>
      <w:r>
        <w:rPr/>
        <w:t>张英海先生于</w:t>
      </w:r>
      <w:r>
        <w:rPr>
          <w:spacing w:val="-56"/>
        </w:rPr>
        <w:t> </w:t>
      </w:r>
      <w:r>
        <w:rPr>
          <w:rFonts w:ascii="Arial" w:hAnsi="Arial" w:cs="Arial" w:eastAsia="Arial" w:hint="default"/>
        </w:rPr>
        <w:t>1975</w:t>
      </w:r>
      <w:r>
        <w:rPr>
          <w:rFonts w:ascii="Arial" w:hAnsi="Arial" w:cs="Arial" w:eastAsia="Arial" w:hint="default"/>
          <w:spacing w:val="-8"/>
        </w:rPr>
        <w:t> </w:t>
      </w:r>
      <w:r>
        <w:rPr>
          <w:spacing w:val="-4"/>
        </w:rPr>
        <w:t>年北京邮电学院大学毕业，</w:t>
      </w:r>
      <w:r>
        <w:rPr>
          <w:rFonts w:ascii="Arial" w:hAnsi="Arial" w:cs="Arial" w:eastAsia="Arial" w:hint="default"/>
          <w:spacing w:val="-4"/>
        </w:rPr>
        <w:t>1981</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月北京邮电学院应用物理系硕士毕业</w:t>
      </w:r>
      <w:r>
        <w:rPr>
          <w:w w:val="99"/>
        </w:rPr>
        <w:t> </w:t>
      </w:r>
      <w:r>
        <w:rPr>
          <w:spacing w:val="-9"/>
          <w:w w:val="99"/>
        </w:rPr>
        <w:t>并获得硕士学位，</w:t>
      </w:r>
      <w:r>
        <w:rPr>
          <w:rFonts w:ascii="Arial" w:hAnsi="Arial" w:cs="Arial" w:eastAsia="Arial" w:hint="default"/>
          <w:spacing w:val="-9"/>
          <w:w w:val="99"/>
        </w:rPr>
        <w:t>2007</w:t>
      </w:r>
      <w:r>
        <w:rPr>
          <w:rFonts w:ascii="Arial" w:hAnsi="Arial" w:cs="Arial" w:eastAsia="Arial" w:hint="default"/>
          <w:spacing w:val="4"/>
          <w:w w:val="99"/>
        </w:rPr>
        <w:t> </w:t>
      </w:r>
      <w:r>
        <w:rPr>
          <w:w w:val="99"/>
        </w:rPr>
        <w:t>年</w:t>
      </w:r>
      <w:r>
        <w:rPr>
          <w:spacing w:val="-47"/>
          <w:w w:val="99"/>
        </w:rPr>
        <w:t> </w:t>
      </w:r>
      <w:r>
        <w:rPr>
          <w:rFonts w:ascii="Arial" w:hAnsi="Arial" w:cs="Arial" w:eastAsia="Arial" w:hint="default"/>
          <w:w w:val="99"/>
        </w:rPr>
        <w:t>7</w:t>
      </w:r>
      <w:r>
        <w:rPr>
          <w:rFonts w:ascii="Arial" w:hAnsi="Arial" w:cs="Arial" w:eastAsia="Arial" w:hint="default"/>
          <w:spacing w:val="2"/>
          <w:w w:val="99"/>
        </w:rPr>
        <w:t> </w:t>
      </w:r>
      <w:r>
        <w:rPr>
          <w:spacing w:val="-1"/>
          <w:w w:val="99"/>
        </w:rPr>
        <w:t>月年获得北京邮电大学电子工程学院电路与系统专业毕业博士学位。</w:t>
      </w:r>
      <w:r>
        <w:rPr>
          <w:spacing w:val="-108"/>
          <w:w w:val="99"/>
        </w:rPr>
        <w:t> </w:t>
      </w:r>
      <w:r>
        <w:rPr>
          <w:spacing w:val="-108"/>
          <w:w w:val="99"/>
        </w:rPr>
      </w:r>
      <w:r>
        <w:rPr>
          <w:rFonts w:ascii="Arial" w:hAnsi="Arial" w:cs="Arial" w:eastAsia="Arial" w:hint="default"/>
        </w:rPr>
        <w:t>1987</w:t>
      </w:r>
      <w:r>
        <w:rPr>
          <w:rFonts w:ascii="Arial" w:hAnsi="Arial" w:cs="Arial" w:eastAsia="Arial" w:hint="default"/>
          <w:spacing w:val="-6"/>
        </w:rPr>
        <w:t> </w:t>
      </w:r>
      <w:r>
        <w:rPr>
          <w:spacing w:val="-3"/>
        </w:rPr>
        <w:t>年赴日本东北大学进修电子工学专业，</w:t>
      </w:r>
      <w:r>
        <w:rPr>
          <w:rFonts w:ascii="Arial" w:hAnsi="Arial" w:cs="Arial" w:eastAsia="Arial" w:hint="default"/>
          <w:spacing w:val="-3"/>
        </w:rPr>
        <w:t>1990</w:t>
      </w:r>
      <w:r>
        <w:rPr>
          <w:rFonts w:ascii="Arial" w:hAnsi="Arial" w:cs="Arial" w:eastAsia="Arial" w:hint="default"/>
          <w:spacing w:val="-6"/>
        </w:rPr>
        <w:t> </w:t>
      </w:r>
      <w:r>
        <w:rPr>
          <w:spacing w:val="-6"/>
        </w:rPr>
        <w:t>年回国。先后参加美国</w:t>
      </w:r>
      <w:r>
        <w:rPr>
          <w:spacing w:val="-53"/>
        </w:rPr>
        <w:t> </w:t>
      </w:r>
      <w:r>
        <w:rPr>
          <w:rFonts w:ascii="Arial" w:hAnsi="Arial" w:cs="Arial" w:eastAsia="Arial" w:hint="default"/>
        </w:rPr>
        <w:t>AT&amp;T</w:t>
      </w:r>
      <w:r>
        <w:rPr>
          <w:rFonts w:ascii="Arial" w:hAnsi="Arial" w:cs="Arial" w:eastAsia="Arial" w:hint="default"/>
          <w:spacing w:val="-6"/>
        </w:rPr>
        <w:t> </w:t>
      </w:r>
      <w:r>
        <w:rPr/>
        <w:t>高级电信管理人</w:t>
      </w:r>
      <w:r>
        <w:rPr>
          <w:w w:val="99"/>
        </w:rPr>
        <w:t> </w:t>
      </w:r>
      <w:r>
        <w:rPr/>
        <w:t>员培训、邮电部局长学习班、教育部校长海外培训班。</w:t>
      </w:r>
      <w:r>
        <w:rPr>
          <w:rFonts w:ascii="Arial" w:hAnsi="Arial" w:cs="Arial" w:eastAsia="Arial" w:hint="default"/>
        </w:rPr>
        <w:t>1997</w:t>
      </w:r>
      <w:r>
        <w:rPr>
          <w:rFonts w:ascii="Arial" w:hAnsi="Arial" w:cs="Arial" w:eastAsia="Arial" w:hint="default"/>
          <w:spacing w:val="-13"/>
        </w:rPr>
        <w:t> </w:t>
      </w:r>
      <w:r>
        <w:rPr/>
        <w:t>年晋升为教授。</w:t>
      </w:r>
      <w:r>
        <w:rPr>
          <w:rFonts w:ascii="Arial" w:hAnsi="Arial" w:cs="Arial" w:eastAsia="Arial" w:hint="default"/>
        </w:rPr>
        <w:t>1971</w:t>
      </w:r>
      <w:r>
        <w:rPr>
          <w:rFonts w:ascii="Arial" w:hAnsi="Arial" w:cs="Arial" w:eastAsia="Arial" w:hint="default"/>
          <w:spacing w:val="-12"/>
        </w:rPr>
        <w:t> </w:t>
      </w:r>
      <w:r>
        <w:rPr/>
        <w:t>年至</w:t>
      </w:r>
      <w:r>
        <w:rPr>
          <w:spacing w:val="-62"/>
        </w:rPr>
        <w:t> </w:t>
      </w:r>
      <w:r>
        <w:rPr>
          <w:rFonts w:ascii="Arial" w:hAnsi="Arial" w:cs="Arial" w:eastAsia="Arial" w:hint="default"/>
        </w:rPr>
        <w:t>1996</w:t>
      </w:r>
      <w:r>
        <w:rPr>
          <w:rFonts w:ascii="Arial" w:hAnsi="Arial" w:cs="Arial" w:eastAsia="Arial" w:hint="default"/>
          <w:spacing w:val="-14"/>
        </w:rPr>
        <w:t> </w:t>
      </w:r>
      <w:r>
        <w:rPr/>
        <w:t>年</w:t>
      </w:r>
      <w:r>
        <w:rPr>
          <w:w w:val="99"/>
        </w:rPr>
        <w:t> </w:t>
      </w:r>
      <w:r>
        <w:rPr/>
        <w:t>先后在中央广播事业局科学研究所、北京邮电学院工作、学习。</w:t>
      </w:r>
      <w:r>
        <w:rPr>
          <w:rFonts w:ascii="Arial" w:hAnsi="Arial" w:cs="Arial" w:eastAsia="Arial" w:hint="default"/>
        </w:rPr>
        <w:t>1996</w:t>
      </w:r>
      <w:r>
        <w:rPr>
          <w:rFonts w:ascii="Arial" w:hAnsi="Arial" w:cs="Arial" w:eastAsia="Arial" w:hint="default"/>
          <w:spacing w:val="-1"/>
        </w:rPr>
        <w:t> </w:t>
      </w:r>
      <w:r>
        <w:rPr/>
        <w:t>年</w:t>
      </w:r>
      <w:r>
        <w:rPr>
          <w:spacing w:val="-51"/>
        </w:rPr>
        <w:t> </w:t>
      </w:r>
      <w:r>
        <w:rPr>
          <w:rFonts w:ascii="Arial" w:hAnsi="Arial" w:cs="Arial" w:eastAsia="Arial" w:hint="default"/>
        </w:rPr>
        <w:t>9</w:t>
      </w:r>
      <w:r>
        <w:rPr>
          <w:rFonts w:ascii="Arial" w:hAnsi="Arial" w:cs="Arial" w:eastAsia="Arial" w:hint="default"/>
          <w:spacing w:val="-2"/>
        </w:rPr>
        <w:t> </w:t>
      </w:r>
      <w:r>
        <w:rPr/>
        <w:t>月至</w:t>
      </w:r>
      <w:r>
        <w:rPr>
          <w:spacing w:val="-51"/>
        </w:rPr>
        <w:t> </w:t>
      </w:r>
      <w:r>
        <w:rPr>
          <w:rFonts w:ascii="Arial" w:hAnsi="Arial" w:cs="Arial" w:eastAsia="Arial" w:hint="default"/>
        </w:rPr>
        <w:t>2008</w:t>
      </w:r>
      <w:r>
        <w:rPr>
          <w:rFonts w:ascii="Arial" w:hAnsi="Arial" w:cs="Arial" w:eastAsia="Arial" w:hint="default"/>
          <w:spacing w:val="-2"/>
        </w:rPr>
        <w:t> </w:t>
      </w:r>
      <w:r>
        <w:rPr/>
        <w:t>年</w:t>
      </w:r>
      <w:r>
        <w:rPr>
          <w:spacing w:val="-51"/>
        </w:rPr>
        <w:t> </w:t>
      </w:r>
      <w:r>
        <w:rPr>
          <w:rFonts w:ascii="Arial" w:hAnsi="Arial" w:cs="Arial" w:eastAsia="Arial" w:hint="default"/>
        </w:rPr>
        <w:t>5</w:t>
      </w:r>
      <w:r>
        <w:rPr>
          <w:rFonts w:ascii="Arial" w:hAnsi="Arial" w:cs="Arial" w:eastAsia="Arial" w:hint="default"/>
          <w:spacing w:val="-2"/>
        </w:rPr>
        <w:t> </w:t>
      </w:r>
      <w:r>
        <w:rPr/>
        <w:t>月任</w:t>
      </w:r>
    </w:p>
    <w:p>
      <w:pPr>
        <w:pStyle w:val="BodyText"/>
        <w:spacing w:line="279" w:lineRule="exact"/>
        <w:ind w:left="498" w:right="0"/>
        <w:jc w:val="both"/>
        <w:rPr>
          <w:rFonts w:ascii="Arial" w:hAnsi="Arial" w:cs="Arial" w:eastAsia="Arial" w:hint="default"/>
        </w:rPr>
      </w:pPr>
      <w:r>
        <w:rPr>
          <w:w w:val="99"/>
        </w:rPr>
        <w:t>北京邮电大学副校长</w:t>
      </w:r>
      <w:r>
        <w:rPr>
          <w:spacing w:val="-109"/>
          <w:w w:val="99"/>
        </w:rPr>
        <w:t>。</w:t>
      </w:r>
      <w:r>
        <w:rPr>
          <w:rFonts w:ascii="Arial" w:hAnsi="Arial" w:cs="Arial" w:eastAsia="Arial" w:hint="default"/>
          <w:spacing w:val="1"/>
          <w:w w:val="99"/>
        </w:rPr>
        <w:t>2</w:t>
      </w:r>
      <w:r>
        <w:rPr>
          <w:rFonts w:ascii="Arial" w:hAnsi="Arial" w:cs="Arial" w:eastAsia="Arial" w:hint="default"/>
          <w:w w:val="99"/>
        </w:rPr>
        <w:t>008</w:t>
      </w:r>
      <w:r>
        <w:rPr>
          <w:rFonts w:ascii="Arial" w:hAnsi="Arial" w:cs="Arial" w:eastAsia="Arial" w:hint="default"/>
          <w:spacing w:val="-5"/>
        </w:rPr>
        <w:t> </w:t>
      </w:r>
      <w:r>
        <w:rPr>
          <w:w w:val="99"/>
        </w:rPr>
        <w:t>年</w:t>
      </w:r>
      <w:r>
        <w:rPr>
          <w:spacing w:val="-55"/>
        </w:rPr>
        <w:t> </w:t>
      </w:r>
      <w:r>
        <w:rPr>
          <w:rFonts w:ascii="Arial" w:hAnsi="Arial" w:cs="Arial" w:eastAsia="Arial" w:hint="default"/>
          <w:w w:val="99"/>
        </w:rPr>
        <w:t>5</w:t>
      </w:r>
      <w:r>
        <w:rPr>
          <w:rFonts w:ascii="Arial" w:hAnsi="Arial" w:cs="Arial" w:eastAsia="Arial" w:hint="default"/>
          <w:spacing w:val="-6"/>
        </w:rPr>
        <w:t> </w:t>
      </w:r>
      <w:r>
        <w:rPr>
          <w:w w:val="99"/>
        </w:rPr>
        <w:t>月至</w:t>
      </w:r>
      <w:r>
        <w:rPr>
          <w:spacing w:val="-55"/>
        </w:rPr>
        <w:t> </w:t>
      </w:r>
      <w:r>
        <w:rPr>
          <w:rFonts w:ascii="Arial" w:hAnsi="Arial" w:cs="Arial" w:eastAsia="Arial" w:hint="default"/>
          <w:w w:val="99"/>
        </w:rPr>
        <w:t>2012</w:t>
      </w:r>
      <w:r>
        <w:rPr>
          <w:rFonts w:ascii="Arial" w:hAnsi="Arial" w:cs="Arial" w:eastAsia="Arial" w:hint="default"/>
          <w:spacing w:val="-6"/>
        </w:rPr>
        <w:t> </w:t>
      </w:r>
      <w:r>
        <w:rPr>
          <w:w w:val="99"/>
        </w:rPr>
        <w:t>年</w:t>
      </w:r>
      <w:r>
        <w:rPr>
          <w:spacing w:val="-55"/>
        </w:rPr>
        <w:t> </w:t>
      </w:r>
      <w:r>
        <w:rPr>
          <w:rFonts w:ascii="Arial" w:hAnsi="Arial" w:cs="Arial" w:eastAsia="Arial" w:hint="default"/>
          <w:w w:val="99"/>
        </w:rPr>
        <w:t>6</w:t>
      </w:r>
      <w:r>
        <w:rPr>
          <w:rFonts w:ascii="Arial" w:hAnsi="Arial" w:cs="Arial" w:eastAsia="Arial" w:hint="default"/>
          <w:spacing w:val="-6"/>
        </w:rPr>
        <w:t> </w:t>
      </w:r>
      <w:r>
        <w:rPr>
          <w:w w:val="99"/>
        </w:rPr>
        <w:t>月任北京邮电大学副校长兼研究生院院长</w:t>
      </w:r>
      <w:r>
        <w:rPr>
          <w:spacing w:val="-108"/>
          <w:w w:val="99"/>
        </w:rPr>
        <w:t>。</w:t>
      </w:r>
      <w:r>
        <w:rPr>
          <w:rFonts w:ascii="Arial" w:hAnsi="Arial" w:cs="Arial" w:eastAsia="Arial" w:hint="default"/>
          <w:spacing w:val="1"/>
          <w:w w:val="99"/>
        </w:rPr>
        <w:t>2</w:t>
      </w:r>
      <w:r>
        <w:rPr>
          <w:rFonts w:ascii="Arial" w:hAnsi="Arial" w:cs="Arial" w:eastAsia="Arial" w:hint="default"/>
          <w:w w:val="99"/>
        </w:rPr>
        <w:t>012</w:t>
      </w:r>
      <w:r>
        <w:rPr>
          <w:rFonts w:ascii="Arial" w:hAnsi="Arial" w:cs="Arial" w:eastAsia="Arial" w:hint="default"/>
        </w:rPr>
      </w:r>
    </w:p>
    <w:p>
      <w:pPr>
        <w:pStyle w:val="BodyText"/>
        <w:spacing w:line="230" w:lineRule="auto" w:before="1"/>
        <w:ind w:left="498" w:right="213"/>
        <w:jc w:val="both"/>
      </w:pPr>
      <w:r>
        <w:rPr/>
        <w:t>年 </w:t>
      </w:r>
      <w:r>
        <w:rPr>
          <w:rFonts w:ascii="Arial" w:hAnsi="Arial" w:cs="Arial" w:eastAsia="Arial" w:hint="default"/>
        </w:rPr>
        <w:t>6</w:t>
      </w:r>
      <w:r>
        <w:rPr>
          <w:rFonts w:ascii="Arial" w:hAnsi="Arial" w:cs="Arial" w:eastAsia="Arial" w:hint="default"/>
          <w:spacing w:val="30"/>
        </w:rPr>
        <w:t> </w:t>
      </w:r>
      <w:r>
        <w:rPr/>
        <w:t>月至今担任北京邮电大学校学术委员会主任。目前兼任中国通信学会副秘书长、北京通信</w:t>
      </w:r>
      <w:r>
        <w:rPr>
          <w:w w:val="99"/>
        </w:rPr>
        <w:t> </w:t>
      </w:r>
      <w:r>
        <w:rPr>
          <w:spacing w:val="-3"/>
        </w:rPr>
        <w:t>信息协会理事长，并担任北京梅泰诺通信技术股份公司独立董事、珠海世纪鼎利通信科技股份有</w:t>
      </w:r>
      <w:r>
        <w:rPr>
          <w:spacing w:val="-104"/>
        </w:rPr>
        <w:t> </w:t>
      </w:r>
      <w:r>
        <w:rPr>
          <w:spacing w:val="-104"/>
        </w:rPr>
      </w:r>
      <w:r>
        <w:rPr/>
        <w:t>限公司独立董事。张英海先生自</w:t>
      </w:r>
      <w:r>
        <w:rPr>
          <w:spacing w:val="-57"/>
        </w:rPr>
        <w:t> </w:t>
      </w:r>
      <w:r>
        <w:rPr>
          <w:rFonts w:ascii="Arial" w:hAnsi="Arial" w:cs="Arial" w:eastAsia="Arial" w:hint="default"/>
        </w:rPr>
        <w:t>2009</w:t>
      </w:r>
      <w:r>
        <w:rPr>
          <w:rFonts w:ascii="Arial" w:hAnsi="Arial" w:cs="Arial" w:eastAsia="Arial" w:hint="default"/>
          <w:spacing w:val="-9"/>
        </w:rPr>
        <w:t> </w:t>
      </w:r>
      <w:r>
        <w:rPr/>
        <w:t>年</w:t>
      </w:r>
      <w:r>
        <w:rPr>
          <w:spacing w:val="-58"/>
        </w:rPr>
        <w:t> </w:t>
      </w:r>
      <w:r>
        <w:rPr>
          <w:rFonts w:ascii="Arial" w:hAnsi="Arial" w:cs="Arial" w:eastAsia="Arial" w:hint="default"/>
        </w:rPr>
        <w:t>11</w:t>
      </w:r>
      <w:r>
        <w:rPr>
          <w:rFonts w:ascii="Arial" w:hAnsi="Arial" w:cs="Arial" w:eastAsia="Arial" w:hint="default"/>
          <w:spacing w:val="-9"/>
        </w:rPr>
        <w:t> </w:t>
      </w:r>
      <w:r>
        <w:rPr/>
        <w:t>月起担任本公司独立董事。</w:t>
      </w:r>
    </w:p>
    <w:p>
      <w:pPr>
        <w:spacing w:line="240" w:lineRule="auto" w:before="2"/>
        <w:rPr>
          <w:rFonts w:ascii="宋体" w:hAnsi="宋体" w:cs="宋体" w:eastAsia="宋体" w:hint="default"/>
          <w:sz w:val="18"/>
          <w:szCs w:val="18"/>
        </w:rPr>
      </w:pPr>
    </w:p>
    <w:p>
      <w:pPr>
        <w:pStyle w:val="BodyText"/>
        <w:spacing w:line="294" w:lineRule="exact"/>
        <w:ind w:left="146" w:right="89"/>
        <w:jc w:val="left"/>
      </w:pPr>
      <w:r>
        <w:rPr>
          <w:rFonts w:ascii="Arial" w:hAnsi="Arial" w:cs="Arial" w:eastAsia="Arial" w:hint="default"/>
        </w:rPr>
        <w:t>8</w:t>
      </w:r>
      <w:r>
        <w:rPr/>
        <w:t>、夏大慰</w:t>
      </w:r>
    </w:p>
    <w:p>
      <w:pPr>
        <w:pStyle w:val="BodyText"/>
        <w:spacing w:line="232" w:lineRule="auto"/>
        <w:ind w:left="498" w:right="211"/>
        <w:jc w:val="both"/>
      </w:pPr>
      <w:r>
        <w:rPr/>
        <w:t>夏大慰先生 </w:t>
      </w:r>
      <w:r>
        <w:rPr>
          <w:rFonts w:ascii="Arial" w:hAnsi="Arial" w:cs="Arial" w:eastAsia="Arial" w:hint="default"/>
        </w:rPr>
        <w:t>1982 </w:t>
      </w:r>
      <w:r>
        <w:rPr/>
        <w:t>年毕业于长春工业大学获工学学士学位，</w:t>
      </w:r>
      <w:r>
        <w:rPr>
          <w:rFonts w:ascii="Arial" w:hAnsi="Arial" w:cs="Arial" w:eastAsia="Arial" w:hint="default"/>
        </w:rPr>
        <w:t>1985</w:t>
      </w:r>
      <w:r>
        <w:rPr>
          <w:rFonts w:ascii="Arial" w:hAnsi="Arial" w:cs="Arial" w:eastAsia="Arial" w:hint="default"/>
          <w:spacing w:val="-6"/>
        </w:rPr>
        <w:t> </w:t>
      </w:r>
      <w:r>
        <w:rPr/>
        <w:t>年毕业于上海财经大学获经济</w:t>
      </w:r>
      <w:r>
        <w:rPr>
          <w:w w:val="99"/>
        </w:rPr>
        <w:t> </w:t>
      </w:r>
      <w:r>
        <w:rPr/>
        <w:t>学硕士学位。</w:t>
      </w:r>
      <w:r>
        <w:rPr>
          <w:rFonts w:ascii="Arial" w:hAnsi="Arial" w:cs="Arial" w:eastAsia="Arial" w:hint="default"/>
        </w:rPr>
        <w:t>1985</w:t>
      </w:r>
      <w:r>
        <w:rPr>
          <w:rFonts w:ascii="Arial" w:hAnsi="Arial" w:cs="Arial" w:eastAsia="Arial" w:hint="default"/>
          <w:spacing w:val="-17"/>
        </w:rPr>
        <w:t> </w:t>
      </w:r>
      <w:r>
        <w:rPr/>
        <w:t>年起在上海财经大学任教。</w:t>
      </w:r>
      <w:r>
        <w:rPr>
          <w:rFonts w:ascii="Arial" w:hAnsi="Arial" w:cs="Arial" w:eastAsia="Arial" w:hint="default"/>
        </w:rPr>
        <w:t>1988</w:t>
      </w:r>
      <w:r>
        <w:rPr>
          <w:rFonts w:ascii="Arial" w:hAnsi="Arial" w:cs="Arial" w:eastAsia="Arial" w:hint="default"/>
          <w:spacing w:val="-16"/>
        </w:rPr>
        <w:t> </w:t>
      </w:r>
      <w:r>
        <w:rPr/>
        <w:t>年至</w:t>
      </w:r>
      <w:r>
        <w:rPr>
          <w:spacing w:val="-66"/>
        </w:rPr>
        <w:t> </w:t>
      </w:r>
      <w:r>
        <w:rPr>
          <w:rFonts w:ascii="Arial" w:hAnsi="Arial" w:cs="Arial" w:eastAsia="Arial" w:hint="default"/>
        </w:rPr>
        <w:t>1990</w:t>
      </w:r>
      <w:r>
        <w:rPr>
          <w:rFonts w:ascii="Arial" w:hAnsi="Arial" w:cs="Arial" w:eastAsia="Arial" w:hint="default"/>
          <w:spacing w:val="-17"/>
        </w:rPr>
        <w:t> </w:t>
      </w:r>
      <w:r>
        <w:rPr/>
        <w:t>年在日本大阪市立大学担任客座</w:t>
      </w:r>
      <w:r>
        <w:rPr>
          <w:w w:val="99"/>
        </w:rPr>
        <w:t> </w:t>
      </w:r>
      <w:r>
        <w:rPr/>
        <w:t>研究员。</w:t>
      </w:r>
      <w:r>
        <w:rPr>
          <w:rFonts w:ascii="Arial" w:hAnsi="Arial" w:cs="Arial" w:eastAsia="Arial" w:hint="default"/>
        </w:rPr>
        <w:t>1994 </w:t>
      </w:r>
      <w:r>
        <w:rPr/>
        <w:t>年晋升为教授。自 </w:t>
      </w:r>
      <w:r>
        <w:rPr>
          <w:rFonts w:ascii="Arial" w:hAnsi="Arial" w:cs="Arial" w:eastAsia="Arial" w:hint="default"/>
        </w:rPr>
        <w:t>1993</w:t>
      </w:r>
      <w:r>
        <w:rPr>
          <w:rFonts w:ascii="Arial" w:hAnsi="Arial" w:cs="Arial" w:eastAsia="Arial" w:hint="default"/>
          <w:spacing w:val="-4"/>
        </w:rPr>
        <w:t> </w:t>
      </w:r>
      <w:r>
        <w:rPr/>
        <w:t>年起曾先后担任上海财经大学国际经济管理学院院长、</w:t>
      </w:r>
      <w:r>
        <w:rPr>
          <w:w w:val="99"/>
        </w:rPr>
        <w:t> </w:t>
      </w:r>
      <w:r>
        <w:rPr>
          <w:spacing w:val="-3"/>
        </w:rPr>
        <w:t>校长助理、副校长、常务副校长，上海国家会计学院院长、党委书记等职务。现任上海国家会计</w:t>
      </w:r>
      <w:r>
        <w:rPr>
          <w:spacing w:val="-104"/>
        </w:rPr>
        <w:t> </w:t>
      </w:r>
      <w:r>
        <w:rPr>
          <w:spacing w:val="-104"/>
        </w:rPr>
      </w:r>
      <w:r>
        <w:rPr>
          <w:spacing w:val="-3"/>
        </w:rPr>
        <w:t>学院教授、博士生导师，享受国务院政府津贴。目前兼任中国工业经济学会副会长，财政部会计</w:t>
      </w:r>
      <w:r>
        <w:rPr>
          <w:spacing w:val="-105"/>
        </w:rPr>
        <w:t> </w:t>
      </w:r>
      <w:r>
        <w:rPr>
          <w:spacing w:val="-105"/>
        </w:rPr>
      </w:r>
      <w:r>
        <w:rPr>
          <w:spacing w:val="-3"/>
        </w:rPr>
        <w:t>准则委员会咨询专家，财政部企业内部控制标准委员会委员，香港中文大学名誉教授，复旦大学</w:t>
      </w:r>
      <w:r>
        <w:rPr>
          <w:spacing w:val="-104"/>
        </w:rPr>
        <w:t> </w:t>
      </w:r>
      <w:r>
        <w:rPr>
          <w:spacing w:val="-104"/>
        </w:rPr>
      </w:r>
      <w:r>
        <w:rPr>
          <w:spacing w:val="-3"/>
        </w:rPr>
        <w:t>管理学院兼职教授，上海证券交易所上市公司专家委员会委员。目前还担任联华超市股份有限公</w:t>
      </w:r>
      <w:r>
        <w:rPr>
          <w:spacing w:val="-104"/>
        </w:rPr>
        <w:t> </w:t>
      </w:r>
      <w:r>
        <w:rPr>
          <w:spacing w:val="-104"/>
        </w:rPr>
      </w:r>
      <w:r>
        <w:rPr>
          <w:spacing w:val="-3"/>
        </w:rPr>
        <w:t>司独立董事、上海电力股份有限公司独立董事和中国熔盛重工集团控股有限公司独立董事。夏大</w:t>
      </w:r>
      <w:r>
        <w:rPr>
          <w:spacing w:val="-105"/>
        </w:rPr>
        <w:t> </w:t>
      </w:r>
      <w:r>
        <w:rPr>
          <w:spacing w:val="-105"/>
        </w:rPr>
      </w:r>
      <w:r>
        <w:rPr/>
        <w:t>慰先生自</w:t>
      </w:r>
      <w:r>
        <w:rPr>
          <w:spacing w:val="-57"/>
        </w:rPr>
        <w:t> </w:t>
      </w:r>
      <w:r>
        <w:rPr>
          <w:rFonts w:ascii="Arial" w:hAnsi="Arial" w:cs="Arial" w:eastAsia="Arial" w:hint="default"/>
        </w:rPr>
        <w:t>2009</w:t>
      </w:r>
      <w:r>
        <w:rPr>
          <w:rFonts w:ascii="Arial" w:hAnsi="Arial" w:cs="Arial" w:eastAsia="Arial" w:hint="default"/>
          <w:spacing w:val="-8"/>
        </w:rPr>
        <w:t> </w:t>
      </w:r>
      <w:r>
        <w:rPr/>
        <w:t>年</w:t>
      </w:r>
      <w:r>
        <w:rPr>
          <w:spacing w:val="-57"/>
        </w:rPr>
        <w:t> </w:t>
      </w:r>
      <w:r>
        <w:rPr>
          <w:rFonts w:ascii="Arial" w:hAnsi="Arial" w:cs="Arial" w:eastAsia="Arial" w:hint="default"/>
        </w:rPr>
        <w:t>11</w:t>
      </w:r>
      <w:r>
        <w:rPr>
          <w:rFonts w:ascii="Arial" w:hAnsi="Arial" w:cs="Arial" w:eastAsia="Arial" w:hint="default"/>
          <w:spacing w:val="-8"/>
        </w:rPr>
        <w:t> </w:t>
      </w:r>
      <w:r>
        <w:rPr/>
        <w:t>月起担任本公司独立董事。</w:t>
      </w:r>
    </w:p>
    <w:p>
      <w:pPr>
        <w:spacing w:after="0" w:line="232" w:lineRule="auto"/>
        <w:jc w:val="both"/>
        <w:sectPr>
          <w:pgSz w:w="11910" w:h="16840"/>
          <w:pgMar w:header="567" w:footer="745" w:top="800" w:bottom="940" w:left="1380" w:right="680"/>
        </w:sectPr>
      </w:pPr>
    </w:p>
    <w:p>
      <w:pPr>
        <w:spacing w:line="240" w:lineRule="auto" w:before="8"/>
        <w:rPr>
          <w:rFonts w:ascii="宋体" w:hAnsi="宋体" w:cs="宋体" w:eastAsia="宋体" w:hint="default"/>
          <w:sz w:val="22"/>
          <w:szCs w:val="22"/>
        </w:rPr>
      </w:pPr>
    </w:p>
    <w:p>
      <w:pPr>
        <w:pStyle w:val="BodyText"/>
        <w:spacing w:line="295" w:lineRule="exact" w:before="31"/>
        <w:ind w:left="146" w:right="89"/>
        <w:jc w:val="left"/>
      </w:pPr>
      <w:r>
        <w:rPr>
          <w:rFonts w:ascii="Arial" w:hAnsi="Arial" w:cs="Arial" w:eastAsia="Arial" w:hint="default"/>
        </w:rPr>
        <w:t>9</w:t>
      </w:r>
      <w:r>
        <w:rPr/>
        <w:t>、李建国</w:t>
      </w:r>
    </w:p>
    <w:p>
      <w:pPr>
        <w:pStyle w:val="BodyText"/>
        <w:spacing w:line="225" w:lineRule="auto" w:before="6"/>
        <w:ind w:left="498" w:right="99"/>
        <w:jc w:val="left"/>
        <w:rPr>
          <w:rFonts w:ascii="Arial" w:hAnsi="Arial" w:cs="Arial" w:eastAsia="Arial" w:hint="default"/>
        </w:rPr>
      </w:pPr>
      <w:r>
        <w:rPr/>
        <w:t>李建国女士是一位高级经济师，于</w:t>
      </w:r>
      <w:r>
        <w:rPr>
          <w:spacing w:val="-63"/>
        </w:rPr>
        <w:t> </w:t>
      </w:r>
      <w:r>
        <w:rPr>
          <w:rFonts w:ascii="Arial" w:hAnsi="Arial" w:cs="Arial" w:eastAsia="Arial" w:hint="default"/>
        </w:rPr>
        <w:t>1982</w:t>
      </w:r>
      <w:r>
        <w:rPr>
          <w:rFonts w:ascii="Arial" w:hAnsi="Arial" w:cs="Arial" w:eastAsia="Arial" w:hint="default"/>
          <w:spacing w:val="-17"/>
        </w:rPr>
        <w:t> </w:t>
      </w:r>
      <w:r>
        <w:rPr/>
        <w:t>年毕业于湘潭大学化工专修科。</w:t>
      </w:r>
      <w:r>
        <w:rPr>
          <w:rFonts w:ascii="Arial" w:hAnsi="Arial" w:cs="Arial" w:eastAsia="Arial" w:hint="default"/>
        </w:rPr>
        <w:t>2006</w:t>
      </w:r>
      <w:r>
        <w:rPr>
          <w:rFonts w:ascii="Arial" w:hAnsi="Arial" w:cs="Arial" w:eastAsia="Arial" w:hint="default"/>
          <w:spacing w:val="-17"/>
        </w:rPr>
        <w:t> </w:t>
      </w:r>
      <w:r>
        <w:rPr/>
        <w:t>年</w:t>
      </w:r>
      <w:r>
        <w:rPr>
          <w:spacing w:val="-66"/>
        </w:rPr>
        <w:t> </w:t>
      </w:r>
      <w:r>
        <w:rPr>
          <w:rFonts w:ascii="Arial" w:hAnsi="Arial" w:cs="Arial" w:eastAsia="Arial" w:hint="default"/>
        </w:rPr>
        <w:t>12</w:t>
      </w:r>
      <w:r>
        <w:rPr>
          <w:rFonts w:ascii="Arial" w:hAnsi="Arial" w:cs="Arial" w:eastAsia="Arial" w:hint="default"/>
          <w:spacing w:val="-17"/>
        </w:rPr>
        <w:t> </w:t>
      </w:r>
      <w:r>
        <w:rPr/>
        <w:t>月获得香港</w:t>
      </w:r>
      <w:r>
        <w:rPr>
          <w:w w:val="99"/>
        </w:rPr>
        <w:t> </w:t>
      </w:r>
      <w:r>
        <w:rPr>
          <w:spacing w:val="-3"/>
        </w:rPr>
        <w:t>理工大学工商管理专业硕士。</w:t>
      </w:r>
      <w:r>
        <w:rPr>
          <w:rFonts w:ascii="Arial" w:hAnsi="Arial" w:cs="Arial" w:eastAsia="Arial" w:hint="default"/>
          <w:spacing w:val="-3"/>
        </w:rPr>
        <w:t>1982</w:t>
      </w:r>
      <w:r>
        <w:rPr>
          <w:rFonts w:ascii="Arial" w:hAnsi="Arial" w:cs="Arial" w:eastAsia="Arial" w:hint="default"/>
          <w:spacing w:val="-6"/>
        </w:rPr>
        <w:t> </w:t>
      </w:r>
      <w:r>
        <w:rPr/>
        <w:t>年至</w:t>
      </w:r>
      <w:r>
        <w:rPr>
          <w:spacing w:val="-56"/>
        </w:rPr>
        <w:t> </w:t>
      </w:r>
      <w:r>
        <w:rPr>
          <w:rFonts w:ascii="Arial" w:hAnsi="Arial" w:cs="Arial" w:eastAsia="Arial" w:hint="default"/>
        </w:rPr>
        <w:t>1983</w:t>
      </w:r>
      <w:r>
        <w:rPr>
          <w:rFonts w:ascii="Arial" w:hAnsi="Arial" w:cs="Arial" w:eastAsia="Arial" w:hint="default"/>
          <w:spacing w:val="-7"/>
        </w:rPr>
        <w:t> </w:t>
      </w:r>
      <w:r>
        <w:rPr/>
        <w:t>年曾经先后担任湖南岳化总厂涤纶厂党委副书记、</w:t>
      </w:r>
      <w:r>
        <w:rPr>
          <w:w w:val="99"/>
        </w:rPr>
        <w:t> </w:t>
      </w:r>
      <w:r>
        <w:rPr/>
        <w:t>书记。</w:t>
      </w:r>
      <w:r>
        <w:rPr>
          <w:rFonts w:ascii="Arial" w:hAnsi="Arial" w:cs="Arial" w:eastAsia="Arial" w:hint="default"/>
        </w:rPr>
        <w:t>1983 </w:t>
      </w:r>
      <w:r>
        <w:rPr/>
        <w:t>年至 </w:t>
      </w:r>
      <w:r>
        <w:rPr>
          <w:rFonts w:ascii="Arial" w:hAnsi="Arial" w:cs="Arial" w:eastAsia="Arial" w:hint="default"/>
        </w:rPr>
        <w:t>1993</w:t>
      </w:r>
      <w:r>
        <w:rPr>
          <w:rFonts w:ascii="Arial" w:hAnsi="Arial" w:cs="Arial" w:eastAsia="Arial" w:hint="default"/>
          <w:spacing w:val="-4"/>
        </w:rPr>
        <w:t> </w:t>
      </w:r>
      <w:r>
        <w:rPr/>
        <w:t>年曾经担任湖南第八、九届团省委书记、共青团第十一届中央委员会委</w:t>
      </w:r>
      <w:r>
        <w:rPr>
          <w:w w:val="99"/>
        </w:rPr>
        <w:t> </w:t>
      </w:r>
      <w:r>
        <w:rPr/>
        <w:t>员、共青团第十二届中央委员会常委。</w:t>
      </w:r>
      <w:r>
        <w:rPr>
          <w:rFonts w:ascii="Arial" w:hAnsi="Arial" w:cs="Arial" w:eastAsia="Arial" w:hint="default"/>
        </w:rPr>
        <w:t>1993 </w:t>
      </w:r>
      <w:r>
        <w:rPr/>
        <w:t>年至 </w:t>
      </w:r>
      <w:r>
        <w:rPr>
          <w:rFonts w:ascii="Arial" w:hAnsi="Arial" w:cs="Arial" w:eastAsia="Arial" w:hint="default"/>
        </w:rPr>
        <w:t>1997</w:t>
      </w:r>
      <w:r>
        <w:rPr>
          <w:rFonts w:ascii="Arial" w:hAnsi="Arial" w:cs="Arial" w:eastAsia="Arial" w:hint="default"/>
          <w:spacing w:val="-2"/>
        </w:rPr>
        <w:t> </w:t>
      </w:r>
      <w:r>
        <w:rPr/>
        <w:t>年初担任化工管理干部学院党委书记。</w:t>
      </w:r>
      <w:r>
        <w:rPr>
          <w:w w:val="99"/>
        </w:rPr>
        <w:t> </w:t>
      </w:r>
      <w:r>
        <w:rPr>
          <w:rFonts w:ascii="Arial" w:hAnsi="Arial" w:cs="Arial" w:eastAsia="Arial" w:hint="default"/>
        </w:rPr>
        <w:t>1997</w:t>
      </w:r>
      <w:r>
        <w:rPr>
          <w:rFonts w:ascii="Arial" w:hAnsi="Arial" w:cs="Arial" w:eastAsia="Arial" w:hint="default"/>
          <w:spacing w:val="-3"/>
        </w:rPr>
        <w:t> </w:t>
      </w:r>
      <w:r>
        <w:rPr/>
        <w:t>年初至</w:t>
      </w:r>
      <w:r>
        <w:rPr>
          <w:spacing w:val="-52"/>
        </w:rPr>
        <w:t> </w:t>
      </w:r>
      <w:r>
        <w:rPr>
          <w:rFonts w:ascii="Arial" w:hAnsi="Arial" w:cs="Arial" w:eastAsia="Arial" w:hint="default"/>
        </w:rPr>
        <w:t>2000</w:t>
      </w:r>
      <w:r>
        <w:rPr>
          <w:rFonts w:ascii="Arial" w:hAnsi="Arial" w:cs="Arial" w:eastAsia="Arial" w:hint="default"/>
          <w:spacing w:val="-3"/>
        </w:rPr>
        <w:t> </w:t>
      </w:r>
      <w:r>
        <w:rPr/>
        <w:t>年</w:t>
      </w:r>
      <w:r>
        <w:rPr>
          <w:spacing w:val="-52"/>
        </w:rPr>
        <w:t> </w:t>
      </w:r>
      <w:r>
        <w:rPr>
          <w:rFonts w:ascii="Arial" w:hAnsi="Arial" w:cs="Arial" w:eastAsia="Arial" w:hint="default"/>
        </w:rPr>
        <w:t>5</w:t>
      </w:r>
      <w:r>
        <w:rPr>
          <w:rFonts w:ascii="Arial" w:hAnsi="Arial" w:cs="Arial" w:eastAsia="Arial" w:hint="default"/>
          <w:spacing w:val="-3"/>
        </w:rPr>
        <w:t> </w:t>
      </w:r>
      <w:r>
        <w:rPr>
          <w:spacing w:val="-7"/>
        </w:rPr>
        <w:t>月担任中央纪委、监察部驻国家石化局纪检组副组长、监察局局长。</w:t>
      </w:r>
      <w:r>
        <w:rPr>
          <w:rFonts w:ascii="Arial" w:hAnsi="Arial" w:cs="Arial" w:eastAsia="Arial" w:hint="default"/>
          <w:spacing w:val="-7"/>
        </w:rPr>
        <w:t>2000</w:t>
      </w:r>
    </w:p>
    <w:p>
      <w:pPr>
        <w:pStyle w:val="BodyText"/>
        <w:spacing w:line="279" w:lineRule="exact"/>
        <w:ind w:left="351" w:right="64"/>
        <w:jc w:val="center"/>
      </w:pPr>
      <w:r>
        <w:rPr/>
        <w:t>年</w:t>
      </w:r>
      <w:r>
        <w:rPr>
          <w:spacing w:val="-57"/>
        </w:rPr>
        <w:t> </w:t>
      </w:r>
      <w:r>
        <w:rPr>
          <w:rFonts w:ascii="Arial" w:hAnsi="Arial" w:cs="Arial" w:eastAsia="Arial" w:hint="default"/>
        </w:rPr>
        <w:t>6</w:t>
      </w:r>
      <w:r>
        <w:rPr>
          <w:rFonts w:ascii="Arial" w:hAnsi="Arial" w:cs="Arial" w:eastAsia="Arial" w:hint="default"/>
          <w:spacing w:val="-8"/>
        </w:rPr>
        <w:t> </w:t>
      </w:r>
      <w:r>
        <w:rPr/>
        <w:t>月起加入联通集团。</w:t>
      </w:r>
      <w:r>
        <w:rPr>
          <w:rFonts w:ascii="Arial" w:hAnsi="Arial" w:cs="Arial" w:eastAsia="Arial" w:hint="default"/>
        </w:rPr>
        <w:t>2000</w:t>
      </w:r>
      <w:r>
        <w:rPr>
          <w:rFonts w:ascii="Arial" w:hAnsi="Arial" w:cs="Arial" w:eastAsia="Arial" w:hint="default"/>
          <w:spacing w:val="-8"/>
        </w:rPr>
        <w:t> </w:t>
      </w:r>
      <w:r>
        <w:rPr/>
        <w:t>年</w:t>
      </w:r>
      <w:r>
        <w:rPr>
          <w:spacing w:val="-57"/>
        </w:rPr>
        <w:t> </w:t>
      </w:r>
      <w:r>
        <w:rPr>
          <w:rFonts w:ascii="Arial" w:hAnsi="Arial" w:cs="Arial" w:eastAsia="Arial" w:hint="default"/>
        </w:rPr>
        <w:t>6</w:t>
      </w:r>
      <w:r>
        <w:rPr>
          <w:rFonts w:ascii="Arial" w:hAnsi="Arial" w:cs="Arial" w:eastAsia="Arial" w:hint="default"/>
          <w:spacing w:val="-8"/>
        </w:rPr>
        <w:t> </w:t>
      </w:r>
      <w:r>
        <w:rPr/>
        <w:t>月至</w:t>
      </w:r>
      <w:r>
        <w:rPr>
          <w:spacing w:val="-57"/>
        </w:rPr>
        <w:t> </w:t>
      </w:r>
      <w:r>
        <w:rPr>
          <w:rFonts w:ascii="Arial" w:hAnsi="Arial" w:cs="Arial" w:eastAsia="Arial" w:hint="default"/>
        </w:rPr>
        <w:t>2007</w:t>
      </w:r>
      <w:r>
        <w:rPr>
          <w:rFonts w:ascii="Arial" w:hAnsi="Arial" w:cs="Arial" w:eastAsia="Arial" w:hint="default"/>
          <w:spacing w:val="-8"/>
        </w:rPr>
        <w:t> </w:t>
      </w:r>
      <w:r>
        <w:rPr/>
        <w:t>年</w:t>
      </w:r>
      <w:r>
        <w:rPr>
          <w:spacing w:val="-57"/>
        </w:rPr>
        <w:t> </w:t>
      </w:r>
      <w:r>
        <w:rPr>
          <w:rFonts w:ascii="Arial" w:hAnsi="Arial" w:cs="Arial" w:eastAsia="Arial" w:hint="default"/>
        </w:rPr>
        <w:t>7</w:t>
      </w:r>
      <w:r>
        <w:rPr>
          <w:rFonts w:ascii="Arial" w:hAnsi="Arial" w:cs="Arial" w:eastAsia="Arial" w:hint="default"/>
          <w:spacing w:val="-8"/>
        </w:rPr>
        <w:t> </w:t>
      </w:r>
      <w:r>
        <w:rPr>
          <w:spacing w:val="-3"/>
        </w:rPr>
        <w:t>月任联通集团党组成员、纪检组长。</w:t>
      </w:r>
      <w:r>
        <w:rPr>
          <w:rFonts w:ascii="Arial" w:hAnsi="Arial" w:cs="Arial" w:eastAsia="Arial" w:hint="default"/>
          <w:spacing w:val="-3"/>
        </w:rPr>
        <w:t>2001</w:t>
      </w:r>
      <w:r>
        <w:rPr>
          <w:rFonts w:ascii="Arial" w:hAnsi="Arial" w:cs="Arial" w:eastAsia="Arial" w:hint="default"/>
          <w:spacing w:val="-8"/>
        </w:rPr>
        <w:t> </w:t>
      </w:r>
      <w:r>
        <w:rPr/>
        <w:t>年</w:t>
      </w:r>
    </w:p>
    <w:p>
      <w:pPr>
        <w:pStyle w:val="BodyText"/>
        <w:spacing w:line="285" w:lineRule="exact"/>
        <w:ind w:left="458" w:right="64"/>
        <w:jc w:val="center"/>
      </w:pPr>
      <w:r>
        <w:rPr/>
        <w:t>起兼任联通集团工会主席。</w:t>
      </w:r>
      <w:r>
        <w:rPr>
          <w:rFonts w:ascii="Arial" w:hAnsi="Arial" w:cs="Arial" w:eastAsia="Arial" w:hint="default"/>
        </w:rPr>
        <w:t>2003</w:t>
      </w:r>
      <w:r>
        <w:rPr>
          <w:rFonts w:ascii="Arial" w:hAnsi="Arial" w:cs="Arial" w:eastAsia="Arial" w:hint="default"/>
          <w:spacing w:val="-17"/>
        </w:rPr>
        <w:t> </w:t>
      </w:r>
      <w:r>
        <w:rPr/>
        <w:t>年</w:t>
      </w:r>
      <w:r>
        <w:rPr>
          <w:spacing w:val="-66"/>
        </w:rPr>
        <w:t> </w:t>
      </w:r>
      <w:r>
        <w:rPr>
          <w:rFonts w:ascii="Arial" w:hAnsi="Arial" w:cs="Arial" w:eastAsia="Arial" w:hint="default"/>
        </w:rPr>
        <w:t>9</w:t>
      </w:r>
      <w:r>
        <w:rPr>
          <w:rFonts w:ascii="Arial" w:hAnsi="Arial" w:cs="Arial" w:eastAsia="Arial" w:hint="default"/>
          <w:spacing w:val="-17"/>
        </w:rPr>
        <w:t> </w:t>
      </w:r>
      <w:r>
        <w:rPr/>
        <w:t>月至</w:t>
      </w:r>
      <w:r>
        <w:rPr>
          <w:spacing w:val="-66"/>
        </w:rPr>
        <w:t> </w:t>
      </w:r>
      <w:r>
        <w:rPr>
          <w:rFonts w:ascii="Arial" w:hAnsi="Arial" w:cs="Arial" w:eastAsia="Arial" w:hint="default"/>
        </w:rPr>
        <w:t>2007</w:t>
      </w:r>
      <w:r>
        <w:rPr>
          <w:rFonts w:ascii="Arial" w:hAnsi="Arial" w:cs="Arial" w:eastAsia="Arial" w:hint="default"/>
          <w:spacing w:val="-17"/>
        </w:rPr>
        <w:t> </w:t>
      </w:r>
      <w:r>
        <w:rPr/>
        <w:t>年</w:t>
      </w:r>
      <w:r>
        <w:rPr>
          <w:spacing w:val="-66"/>
        </w:rPr>
        <w:t> </w:t>
      </w:r>
      <w:r>
        <w:rPr>
          <w:rFonts w:ascii="Arial" w:hAnsi="Arial" w:cs="Arial" w:eastAsia="Arial" w:hint="default"/>
        </w:rPr>
        <w:t>7</w:t>
      </w:r>
      <w:r>
        <w:rPr>
          <w:rFonts w:ascii="Arial" w:hAnsi="Arial" w:cs="Arial" w:eastAsia="Arial" w:hint="default"/>
          <w:spacing w:val="-17"/>
        </w:rPr>
        <w:t> </w:t>
      </w:r>
      <w:r>
        <w:rPr/>
        <w:t>月曾任联通集团董事、联通运营公司董事、</w:t>
      </w:r>
    </w:p>
    <w:p>
      <w:pPr>
        <w:pStyle w:val="BodyText"/>
        <w:spacing w:line="285" w:lineRule="exact"/>
        <w:ind w:left="351" w:right="64"/>
        <w:jc w:val="center"/>
      </w:pPr>
      <w:r>
        <w:rPr/>
        <w:t>联通红筹公司执行董事。</w:t>
      </w:r>
      <w:r>
        <w:rPr>
          <w:rFonts w:ascii="Arial" w:hAnsi="Arial" w:cs="Arial" w:eastAsia="Arial" w:hint="default"/>
        </w:rPr>
        <w:t>2001</w:t>
      </w:r>
      <w:r>
        <w:rPr>
          <w:rFonts w:ascii="Arial" w:hAnsi="Arial" w:cs="Arial" w:eastAsia="Arial" w:hint="default"/>
          <w:spacing w:val="-10"/>
        </w:rPr>
        <w:t> </w:t>
      </w:r>
      <w:r>
        <w:rPr/>
        <w:t>年</w:t>
      </w:r>
      <w:r>
        <w:rPr>
          <w:spacing w:val="-58"/>
        </w:rPr>
        <w:t> </w:t>
      </w:r>
      <w:r>
        <w:rPr>
          <w:rFonts w:ascii="Arial" w:hAnsi="Arial" w:cs="Arial" w:eastAsia="Arial" w:hint="default"/>
        </w:rPr>
        <w:t>12</w:t>
      </w:r>
      <w:r>
        <w:rPr>
          <w:rFonts w:ascii="Arial" w:hAnsi="Arial" w:cs="Arial" w:eastAsia="Arial" w:hint="default"/>
          <w:spacing w:val="-10"/>
        </w:rPr>
        <w:t> </w:t>
      </w:r>
      <w:r>
        <w:rPr/>
        <w:t>月至</w:t>
      </w:r>
      <w:r>
        <w:rPr>
          <w:spacing w:val="-58"/>
        </w:rPr>
        <w:t> </w:t>
      </w:r>
      <w:r>
        <w:rPr>
          <w:rFonts w:ascii="Arial" w:hAnsi="Arial" w:cs="Arial" w:eastAsia="Arial" w:hint="default"/>
        </w:rPr>
        <w:t>2007</w:t>
      </w:r>
      <w:r>
        <w:rPr>
          <w:rFonts w:ascii="Arial" w:hAnsi="Arial" w:cs="Arial" w:eastAsia="Arial" w:hint="default"/>
          <w:spacing w:val="-10"/>
        </w:rPr>
        <w:t> </w:t>
      </w:r>
      <w:r>
        <w:rPr/>
        <w:t>年</w:t>
      </w:r>
      <w:r>
        <w:rPr>
          <w:spacing w:val="-58"/>
        </w:rPr>
        <w:t> </w:t>
      </w:r>
      <w:r>
        <w:rPr>
          <w:rFonts w:ascii="Arial" w:hAnsi="Arial" w:cs="Arial" w:eastAsia="Arial" w:hint="default"/>
        </w:rPr>
        <w:t>7</w:t>
      </w:r>
      <w:r>
        <w:rPr>
          <w:rFonts w:ascii="Arial" w:hAnsi="Arial" w:cs="Arial" w:eastAsia="Arial" w:hint="default"/>
          <w:spacing w:val="-10"/>
        </w:rPr>
        <w:t> </w:t>
      </w:r>
      <w:r>
        <w:rPr/>
        <w:t>月曾任本公司监事会主席。并曾于</w:t>
      </w:r>
      <w:r>
        <w:rPr>
          <w:spacing w:val="-57"/>
        </w:rPr>
        <w:t> </w:t>
      </w:r>
      <w:r>
        <w:rPr>
          <w:rFonts w:ascii="Arial" w:hAnsi="Arial" w:cs="Arial" w:eastAsia="Arial" w:hint="default"/>
        </w:rPr>
        <w:t>2006</w:t>
      </w:r>
      <w:r>
        <w:rPr>
          <w:rFonts w:ascii="Arial" w:hAnsi="Arial" w:cs="Arial" w:eastAsia="Arial" w:hint="default"/>
          <w:spacing w:val="-10"/>
        </w:rPr>
        <w:t> </w:t>
      </w:r>
      <w:r>
        <w:rPr/>
        <w:t>年</w:t>
      </w:r>
    </w:p>
    <w:p>
      <w:pPr>
        <w:pStyle w:val="BodyText"/>
        <w:spacing w:line="286" w:lineRule="exact"/>
        <w:ind w:left="349" w:right="64"/>
        <w:jc w:val="center"/>
      </w:pPr>
      <w:r>
        <w:rPr>
          <w:rFonts w:ascii="Arial" w:hAnsi="Arial" w:cs="Arial" w:eastAsia="Arial" w:hint="default"/>
        </w:rPr>
        <w:t>4</w:t>
      </w:r>
      <w:r>
        <w:rPr>
          <w:rFonts w:ascii="Arial" w:hAnsi="Arial" w:cs="Arial" w:eastAsia="Arial" w:hint="default"/>
          <w:spacing w:val="-8"/>
        </w:rPr>
        <w:t> </w:t>
      </w:r>
      <w:r>
        <w:rPr/>
        <w:t>月至</w:t>
      </w:r>
      <w:r>
        <w:rPr>
          <w:spacing w:val="-57"/>
        </w:rPr>
        <w:t> </w:t>
      </w:r>
      <w:r>
        <w:rPr>
          <w:rFonts w:ascii="Arial" w:hAnsi="Arial" w:cs="Arial" w:eastAsia="Arial" w:hint="default"/>
        </w:rPr>
        <w:t>2007</w:t>
      </w:r>
      <w:r>
        <w:rPr>
          <w:rFonts w:ascii="Arial" w:hAnsi="Arial" w:cs="Arial" w:eastAsia="Arial" w:hint="default"/>
          <w:spacing w:val="-8"/>
        </w:rPr>
        <w:t> </w:t>
      </w:r>
      <w:r>
        <w:rPr/>
        <w:t>年</w:t>
      </w:r>
      <w:r>
        <w:rPr>
          <w:spacing w:val="-57"/>
        </w:rPr>
        <w:t> </w:t>
      </w:r>
      <w:r>
        <w:rPr>
          <w:rFonts w:ascii="Arial" w:hAnsi="Arial" w:cs="Arial" w:eastAsia="Arial" w:hint="default"/>
        </w:rPr>
        <w:t>7</w:t>
      </w:r>
      <w:r>
        <w:rPr>
          <w:rFonts w:ascii="Arial" w:hAnsi="Arial" w:cs="Arial" w:eastAsia="Arial" w:hint="default"/>
          <w:spacing w:val="-8"/>
        </w:rPr>
        <w:t> </w:t>
      </w:r>
      <w:r>
        <w:rPr>
          <w:spacing w:val="-4"/>
        </w:rPr>
        <w:t>月期间担任联通红筹公司执行董事。</w:t>
      </w:r>
      <w:r>
        <w:rPr>
          <w:rFonts w:ascii="Arial" w:hAnsi="Arial" w:cs="Arial" w:eastAsia="Arial" w:hint="default"/>
          <w:spacing w:val="-4"/>
        </w:rPr>
        <w:t>2007</w:t>
      </w:r>
      <w:r>
        <w:rPr>
          <w:rFonts w:ascii="Arial" w:hAnsi="Arial" w:cs="Arial" w:eastAsia="Arial" w:hint="default"/>
          <w:spacing w:val="-7"/>
        </w:rPr>
        <w:t> </w:t>
      </w:r>
      <w:r>
        <w:rPr/>
        <w:t>年</w:t>
      </w:r>
      <w:r>
        <w:rPr>
          <w:spacing w:val="-57"/>
        </w:rPr>
        <w:t> </w:t>
      </w:r>
      <w:r>
        <w:rPr>
          <w:rFonts w:ascii="Arial" w:hAnsi="Arial" w:cs="Arial" w:eastAsia="Arial" w:hint="default"/>
        </w:rPr>
        <w:t>7</w:t>
      </w:r>
      <w:r>
        <w:rPr>
          <w:rFonts w:ascii="Arial" w:hAnsi="Arial" w:cs="Arial" w:eastAsia="Arial" w:hint="default"/>
          <w:spacing w:val="-8"/>
        </w:rPr>
        <w:t> </w:t>
      </w:r>
      <w:r>
        <w:rPr/>
        <w:t>月至</w:t>
      </w:r>
      <w:r>
        <w:rPr>
          <w:spacing w:val="-57"/>
        </w:rPr>
        <w:t> </w:t>
      </w:r>
      <w:r>
        <w:rPr>
          <w:rFonts w:ascii="Arial" w:hAnsi="Arial" w:cs="Arial" w:eastAsia="Arial" w:hint="default"/>
        </w:rPr>
        <w:t>2008</w:t>
      </w:r>
      <w:r>
        <w:rPr>
          <w:rFonts w:ascii="Arial" w:hAnsi="Arial" w:cs="Arial" w:eastAsia="Arial" w:hint="default"/>
          <w:spacing w:val="-8"/>
        </w:rPr>
        <w:t> </w:t>
      </w:r>
      <w:r>
        <w:rPr/>
        <w:t>年</w:t>
      </w:r>
      <w:r>
        <w:rPr>
          <w:spacing w:val="-57"/>
        </w:rPr>
        <w:t> </w:t>
      </w:r>
      <w:r>
        <w:rPr>
          <w:rFonts w:ascii="Arial" w:hAnsi="Arial" w:cs="Arial" w:eastAsia="Arial" w:hint="default"/>
        </w:rPr>
        <w:t>5</w:t>
      </w:r>
      <w:r>
        <w:rPr>
          <w:rFonts w:ascii="Arial" w:hAnsi="Arial" w:cs="Arial" w:eastAsia="Arial" w:hint="default"/>
          <w:spacing w:val="-8"/>
        </w:rPr>
        <w:t> </w:t>
      </w:r>
      <w:r>
        <w:rPr/>
        <w:t>月曾任网通集团</w:t>
      </w:r>
    </w:p>
    <w:p>
      <w:pPr>
        <w:pStyle w:val="BodyText"/>
        <w:spacing w:line="228" w:lineRule="auto" w:before="4"/>
        <w:ind w:left="498" w:right="210"/>
        <w:jc w:val="both"/>
      </w:pPr>
      <w:r>
        <w:rPr/>
        <w:t>党组成员、党组纪检组组长，中国网通（集团）有限公司董事，中国网通执行董事。</w:t>
      </w:r>
      <w:r>
        <w:rPr>
          <w:rFonts w:ascii="Arial" w:hAnsi="Arial" w:cs="Arial" w:eastAsia="Arial" w:hint="default"/>
        </w:rPr>
        <w:t>2008</w:t>
      </w:r>
      <w:r>
        <w:rPr>
          <w:rFonts w:ascii="Arial" w:hAnsi="Arial" w:cs="Arial" w:eastAsia="Arial" w:hint="default"/>
          <w:spacing w:val="-41"/>
        </w:rPr>
        <w:t> </w:t>
      </w:r>
      <w:r>
        <w:rPr/>
        <w:t>年</w:t>
      </w:r>
      <w:r>
        <w:rPr>
          <w:spacing w:val="-90"/>
        </w:rPr>
        <w:t> </w:t>
      </w:r>
      <w:r>
        <w:rPr>
          <w:rFonts w:ascii="Arial" w:hAnsi="Arial" w:cs="Arial" w:eastAsia="Arial" w:hint="default"/>
        </w:rPr>
        <w:t>11</w:t>
      </w:r>
      <w:r>
        <w:rPr>
          <w:rFonts w:ascii="Arial" w:hAnsi="Arial" w:cs="Arial" w:eastAsia="Arial" w:hint="default"/>
          <w:spacing w:val="-1"/>
          <w:w w:val="99"/>
        </w:rPr>
        <w:t> </w:t>
      </w:r>
      <w:r>
        <w:rPr/>
        <w:t>月起任联通运营公司董事。</w:t>
      </w:r>
      <w:r>
        <w:rPr>
          <w:rFonts w:ascii="Arial" w:hAnsi="Arial" w:cs="Arial" w:eastAsia="Arial" w:hint="default"/>
        </w:rPr>
        <w:t>2009</w:t>
      </w:r>
      <w:r>
        <w:rPr>
          <w:rFonts w:ascii="Arial" w:hAnsi="Arial" w:cs="Arial" w:eastAsia="Arial" w:hint="default"/>
          <w:spacing w:val="-11"/>
        </w:rPr>
        <w:t> </w:t>
      </w:r>
      <w:r>
        <w:rPr/>
        <w:t>年</w:t>
      </w:r>
      <w:r>
        <w:rPr>
          <w:spacing w:val="-61"/>
        </w:rPr>
        <w:t> </w:t>
      </w:r>
      <w:r>
        <w:rPr>
          <w:rFonts w:ascii="Arial" w:hAnsi="Arial" w:cs="Arial" w:eastAsia="Arial" w:hint="default"/>
        </w:rPr>
        <w:t>2</w:t>
      </w:r>
      <w:r>
        <w:rPr>
          <w:rFonts w:ascii="Arial" w:hAnsi="Arial" w:cs="Arial" w:eastAsia="Arial" w:hint="default"/>
          <w:spacing w:val="-11"/>
        </w:rPr>
        <w:t> </w:t>
      </w:r>
      <w:r>
        <w:rPr/>
        <w:t>月起担任联通红筹公司高级副总裁。李女士目前担任联通</w:t>
      </w:r>
      <w:r>
        <w:rPr>
          <w:w w:val="99"/>
        </w:rPr>
        <w:t> </w:t>
      </w:r>
      <w:r>
        <w:rPr>
          <w:spacing w:val="-3"/>
        </w:rPr>
        <w:t>集团党组成员、纪检组长、工会主席，联通红筹公司高级副总裁，联通运营公司董事及高级副总</w:t>
      </w:r>
      <w:r>
        <w:rPr>
          <w:spacing w:val="-105"/>
        </w:rPr>
        <w:t> </w:t>
      </w:r>
      <w:r>
        <w:rPr>
          <w:spacing w:val="-105"/>
        </w:rPr>
      </w:r>
      <w:r>
        <w:rPr>
          <w:spacing w:val="-5"/>
        </w:rPr>
        <w:t>裁。自</w:t>
      </w:r>
      <w:r>
        <w:rPr>
          <w:spacing w:val="-68"/>
        </w:rPr>
        <w:t> </w:t>
      </w:r>
      <w:r>
        <w:rPr>
          <w:rFonts w:ascii="Arial" w:hAnsi="Arial" w:cs="Arial" w:eastAsia="Arial" w:hint="default"/>
        </w:rPr>
        <w:t>2009</w:t>
      </w:r>
      <w:r>
        <w:rPr>
          <w:rFonts w:ascii="Arial" w:hAnsi="Arial" w:cs="Arial" w:eastAsia="Arial" w:hint="default"/>
          <w:spacing w:val="-19"/>
        </w:rPr>
        <w:t> </w:t>
      </w:r>
      <w:r>
        <w:rPr/>
        <w:t>年</w:t>
      </w:r>
      <w:r>
        <w:rPr>
          <w:spacing w:val="-68"/>
        </w:rPr>
        <w:t> </w:t>
      </w:r>
      <w:r>
        <w:rPr>
          <w:rFonts w:ascii="Arial" w:hAnsi="Arial" w:cs="Arial" w:eastAsia="Arial" w:hint="default"/>
        </w:rPr>
        <w:t>5</w:t>
      </w:r>
      <w:r>
        <w:rPr>
          <w:rFonts w:ascii="Arial" w:hAnsi="Arial" w:cs="Arial" w:eastAsia="Arial" w:hint="default"/>
          <w:spacing w:val="-19"/>
        </w:rPr>
        <w:t> </w:t>
      </w:r>
      <w:r>
        <w:rPr/>
        <w:t>月起担任本公司监事、监事会主席。李建国女士长期在企业、地方政府和国家</w:t>
      </w:r>
      <w:r>
        <w:rPr>
          <w:w w:val="99"/>
        </w:rPr>
        <w:t> </w:t>
      </w:r>
      <w:r>
        <w:rPr/>
        <w:t>部委担任领导职务，具有丰富的政府、企业工作经历和管理经验。</w:t>
      </w:r>
    </w:p>
    <w:p>
      <w:pPr>
        <w:spacing w:line="240" w:lineRule="auto" w:before="4"/>
        <w:rPr>
          <w:rFonts w:ascii="宋体" w:hAnsi="宋体" w:cs="宋体" w:eastAsia="宋体" w:hint="default"/>
          <w:sz w:val="19"/>
          <w:szCs w:val="19"/>
        </w:rPr>
      </w:pPr>
    </w:p>
    <w:p>
      <w:pPr>
        <w:pStyle w:val="BodyText"/>
        <w:spacing w:line="294" w:lineRule="exact"/>
        <w:ind w:left="146" w:right="89"/>
        <w:jc w:val="left"/>
      </w:pPr>
      <w:r>
        <w:rPr>
          <w:rFonts w:ascii="Arial" w:hAnsi="Arial" w:cs="Arial" w:eastAsia="Arial" w:hint="default"/>
        </w:rPr>
        <w:t>10</w:t>
      </w:r>
      <w:r>
        <w:rPr/>
        <w:t>、郭小林</w:t>
      </w:r>
    </w:p>
    <w:p>
      <w:pPr>
        <w:pStyle w:val="BodyText"/>
        <w:spacing w:line="230" w:lineRule="auto"/>
        <w:ind w:left="614" w:right="206"/>
        <w:jc w:val="both"/>
      </w:pPr>
      <w:r>
        <w:rPr>
          <w:spacing w:val="-4"/>
          <w:w w:val="95"/>
        </w:rPr>
        <w:t>郭小林女士为高级会计师，</w:t>
      </w:r>
      <w:r>
        <w:rPr>
          <w:rFonts w:ascii="Arial" w:hAnsi="Arial" w:cs="Arial" w:eastAsia="Arial" w:hint="default"/>
          <w:spacing w:val="-4"/>
          <w:w w:val="95"/>
        </w:rPr>
        <w:t>1989 </w:t>
      </w:r>
      <w:r>
        <w:rPr>
          <w:w w:val="95"/>
        </w:rPr>
        <w:t>年毕业于北京邮电大学管理工程专业研究生获硕士学位；北京</w:t>
      </w:r>
      <w:r>
        <w:rPr>
          <w:spacing w:val="25"/>
          <w:w w:val="95"/>
        </w:rPr>
        <w:t> </w:t>
      </w:r>
      <w:r>
        <w:rPr>
          <w:spacing w:val="25"/>
          <w:w w:val="95"/>
        </w:rPr>
      </w:r>
      <w:r>
        <w:rPr/>
        <w:t>大学光华管理</w:t>
      </w:r>
      <w:r>
        <w:rPr>
          <w:spacing w:val="30"/>
        </w:rPr>
        <w:t> </w:t>
      </w:r>
      <w:r>
        <w:rPr>
          <w:rFonts w:ascii="Arial" w:hAnsi="Arial" w:cs="Arial" w:eastAsia="Arial" w:hint="default"/>
        </w:rPr>
        <w:t>EMBA</w:t>
      </w:r>
      <w:r>
        <w:rPr/>
        <w:t>。拥有国际注册内部审计师（</w:t>
      </w:r>
      <w:r>
        <w:rPr>
          <w:rFonts w:ascii="Arial" w:hAnsi="Arial" w:cs="Arial" w:eastAsia="Arial" w:hint="default"/>
        </w:rPr>
        <w:t>CIA</w:t>
      </w:r>
      <w:r>
        <w:rPr/>
        <w:t>）及企业控制自我评估（</w:t>
      </w:r>
      <w:r>
        <w:rPr>
          <w:rFonts w:ascii="Arial" w:hAnsi="Arial" w:cs="Arial" w:eastAsia="Arial" w:hint="default"/>
        </w:rPr>
        <w:t>CCSA</w:t>
      </w:r>
      <w:r>
        <w:rPr/>
        <w:t>）专业</w:t>
      </w:r>
      <w:r>
        <w:rPr>
          <w:spacing w:val="-105"/>
        </w:rPr>
        <w:t> </w:t>
      </w:r>
      <w:r>
        <w:rPr/>
        <w:t>资格。曾任邮电部财务司主任科员、邮电部财务司副处长、中国邮电电信总局财务部基建财务</w:t>
      </w:r>
      <w:r>
        <w:rPr>
          <w:w w:val="99"/>
        </w:rPr>
        <w:t> </w:t>
      </w:r>
      <w:r>
        <w:rPr>
          <w:spacing w:val="-3"/>
        </w:rPr>
        <w:t>处副处长、中国电信集团公司财务部资金资产处副处长。</w:t>
      </w:r>
      <w:r>
        <w:rPr>
          <w:rFonts w:ascii="Arial" w:hAnsi="Arial" w:cs="Arial" w:eastAsia="Arial" w:hint="default"/>
          <w:spacing w:val="-3"/>
        </w:rPr>
        <w:t>2002</w:t>
      </w:r>
      <w:r>
        <w:rPr>
          <w:rFonts w:ascii="Arial" w:hAnsi="Arial" w:cs="Arial" w:eastAsia="Arial" w:hint="default"/>
          <w:spacing w:val="5"/>
        </w:rPr>
        <w:t> </w:t>
      </w:r>
      <w:r>
        <w:rPr>
          <w:spacing w:val="-3"/>
        </w:rPr>
        <w:t>年进入中国网通集团公司，先后</w:t>
      </w:r>
      <w:r>
        <w:rPr>
          <w:spacing w:val="-107"/>
        </w:rPr>
        <w:t> </w:t>
      </w:r>
      <w:r>
        <w:rPr>
          <w:spacing w:val="-107"/>
        </w:rPr>
      </w:r>
      <w:r>
        <w:rPr/>
        <w:t>担任计划财务部资金资产处经理、审计部副总经理和中国网通（集团）有限公司审计部副总经</w:t>
      </w:r>
      <w:r>
        <w:rPr>
          <w:w w:val="99"/>
        </w:rPr>
        <w:t> </w:t>
      </w:r>
      <w:r>
        <w:rPr/>
        <w:t>理、总经理等职务。</w:t>
      </w:r>
      <w:r>
        <w:rPr>
          <w:rFonts w:ascii="Arial" w:hAnsi="Arial" w:cs="Arial" w:eastAsia="Arial" w:hint="default"/>
        </w:rPr>
        <w:t>2008</w:t>
      </w:r>
      <w:r>
        <w:rPr>
          <w:rFonts w:ascii="Arial" w:hAnsi="Arial" w:cs="Arial" w:eastAsia="Arial" w:hint="default"/>
          <w:spacing w:val="-4"/>
        </w:rPr>
        <w:t> </w:t>
      </w:r>
      <w:r>
        <w:rPr/>
        <w:t>年</w:t>
      </w:r>
      <w:r>
        <w:rPr>
          <w:spacing w:val="-53"/>
        </w:rPr>
        <w:t> </w:t>
      </w:r>
      <w:r>
        <w:rPr>
          <w:rFonts w:ascii="Arial" w:hAnsi="Arial" w:cs="Arial" w:eastAsia="Arial" w:hint="default"/>
        </w:rPr>
        <w:t>11</w:t>
      </w:r>
      <w:r>
        <w:rPr>
          <w:rFonts w:ascii="Arial" w:hAnsi="Arial" w:cs="Arial" w:eastAsia="Arial" w:hint="default"/>
          <w:spacing w:val="-4"/>
        </w:rPr>
        <w:t> </w:t>
      </w:r>
      <w:r>
        <w:rPr/>
        <w:t>月至</w:t>
      </w:r>
      <w:r>
        <w:rPr>
          <w:spacing w:val="-53"/>
        </w:rPr>
        <w:t> </w:t>
      </w:r>
      <w:r>
        <w:rPr>
          <w:rFonts w:ascii="Arial" w:hAnsi="Arial" w:cs="Arial" w:eastAsia="Arial" w:hint="default"/>
        </w:rPr>
        <w:t>2010</w:t>
      </w:r>
      <w:r>
        <w:rPr>
          <w:rFonts w:ascii="Arial" w:hAnsi="Arial" w:cs="Arial" w:eastAsia="Arial" w:hint="default"/>
          <w:spacing w:val="-4"/>
        </w:rPr>
        <w:t> </w:t>
      </w:r>
      <w:r>
        <w:rPr/>
        <w:t>年</w:t>
      </w:r>
      <w:r>
        <w:rPr>
          <w:spacing w:val="-55"/>
        </w:rPr>
        <w:t> </w:t>
      </w:r>
      <w:r>
        <w:rPr>
          <w:rFonts w:ascii="Arial" w:hAnsi="Arial" w:cs="Arial" w:eastAsia="Arial" w:hint="default"/>
        </w:rPr>
        <w:t>4</w:t>
      </w:r>
      <w:r>
        <w:rPr>
          <w:rFonts w:ascii="Arial" w:hAnsi="Arial" w:cs="Arial" w:eastAsia="Arial" w:hint="default"/>
          <w:spacing w:val="-4"/>
        </w:rPr>
        <w:t> </w:t>
      </w:r>
      <w:r>
        <w:rPr/>
        <w:t>月任中国联合网络通信集团公司风险管理部总</w:t>
      </w:r>
    </w:p>
    <w:p>
      <w:pPr>
        <w:pStyle w:val="BodyText"/>
        <w:spacing w:line="278" w:lineRule="exact"/>
        <w:ind w:left="614" w:right="0"/>
        <w:jc w:val="both"/>
        <w:rPr>
          <w:rFonts w:ascii="Arial" w:hAnsi="Arial" w:cs="Arial" w:eastAsia="Arial" w:hint="default"/>
        </w:rPr>
      </w:pPr>
      <w:r>
        <w:rPr>
          <w:w w:val="99"/>
        </w:rPr>
        <w:t>经理</w:t>
      </w:r>
      <w:r>
        <w:rPr>
          <w:spacing w:val="-110"/>
          <w:w w:val="99"/>
        </w:rPr>
        <w:t>。</w:t>
      </w:r>
      <w:r>
        <w:rPr>
          <w:rFonts w:ascii="Arial" w:hAnsi="Arial" w:cs="Arial" w:eastAsia="Arial" w:hint="default"/>
          <w:w w:val="99"/>
        </w:rPr>
        <w:t>2010</w:t>
      </w:r>
      <w:r>
        <w:rPr>
          <w:rFonts w:ascii="Arial" w:hAnsi="Arial" w:cs="Arial" w:eastAsia="Arial" w:hint="default"/>
          <w:spacing w:val="-22"/>
        </w:rPr>
        <w:t> </w:t>
      </w:r>
      <w:r>
        <w:rPr>
          <w:w w:val="99"/>
        </w:rPr>
        <w:t>年</w:t>
      </w:r>
      <w:r>
        <w:rPr>
          <w:spacing w:val="-72"/>
        </w:rPr>
        <w:t> </w:t>
      </w:r>
      <w:r>
        <w:rPr>
          <w:rFonts w:ascii="Arial" w:hAnsi="Arial" w:cs="Arial" w:eastAsia="Arial" w:hint="default"/>
          <w:w w:val="99"/>
        </w:rPr>
        <w:t>4</w:t>
      </w:r>
      <w:r>
        <w:rPr>
          <w:rFonts w:ascii="Arial" w:hAnsi="Arial" w:cs="Arial" w:eastAsia="Arial" w:hint="default"/>
          <w:spacing w:val="-23"/>
        </w:rPr>
        <w:t> </w:t>
      </w:r>
      <w:r>
        <w:rPr>
          <w:w w:val="99"/>
        </w:rPr>
        <w:t>月至</w:t>
      </w:r>
      <w:r>
        <w:rPr>
          <w:spacing w:val="-72"/>
        </w:rPr>
        <w:t> </w:t>
      </w:r>
      <w:r>
        <w:rPr>
          <w:rFonts w:ascii="Arial" w:hAnsi="Arial" w:cs="Arial" w:eastAsia="Arial" w:hint="default"/>
          <w:w w:val="99"/>
        </w:rPr>
        <w:t>2</w:t>
      </w:r>
      <w:r>
        <w:rPr>
          <w:rFonts w:ascii="Arial" w:hAnsi="Arial" w:cs="Arial" w:eastAsia="Arial" w:hint="default"/>
          <w:spacing w:val="1"/>
          <w:w w:val="99"/>
        </w:rPr>
        <w:t>0</w:t>
      </w:r>
      <w:r>
        <w:rPr>
          <w:rFonts w:ascii="Arial" w:hAnsi="Arial" w:cs="Arial" w:eastAsia="Arial" w:hint="default"/>
          <w:w w:val="99"/>
        </w:rPr>
        <w:t>12</w:t>
      </w:r>
      <w:r>
        <w:rPr>
          <w:rFonts w:ascii="Arial" w:hAnsi="Arial" w:cs="Arial" w:eastAsia="Arial" w:hint="default"/>
          <w:spacing w:val="-22"/>
        </w:rPr>
        <w:t> </w:t>
      </w:r>
      <w:r>
        <w:rPr>
          <w:w w:val="99"/>
        </w:rPr>
        <w:t>年</w:t>
      </w:r>
      <w:r>
        <w:rPr>
          <w:spacing w:val="-72"/>
        </w:rPr>
        <w:t> </w:t>
      </w:r>
      <w:r>
        <w:rPr>
          <w:rFonts w:ascii="Arial" w:hAnsi="Arial" w:cs="Arial" w:eastAsia="Arial" w:hint="default"/>
          <w:w w:val="99"/>
        </w:rPr>
        <w:t>4</w:t>
      </w:r>
      <w:r>
        <w:rPr>
          <w:rFonts w:ascii="Arial" w:hAnsi="Arial" w:cs="Arial" w:eastAsia="Arial" w:hint="default"/>
          <w:spacing w:val="-23"/>
        </w:rPr>
        <w:t> </w:t>
      </w:r>
      <w:r>
        <w:rPr>
          <w:w w:val="99"/>
        </w:rPr>
        <w:t>月任中国联合网络通信集团公司法律与风险管理部总经理</w:t>
      </w:r>
      <w:r>
        <w:rPr>
          <w:spacing w:val="-107"/>
          <w:w w:val="99"/>
        </w:rPr>
        <w:t>。</w:t>
      </w:r>
      <w:r>
        <w:rPr>
          <w:rFonts w:ascii="Arial" w:hAnsi="Arial" w:cs="Arial" w:eastAsia="Arial" w:hint="default"/>
          <w:w w:val="99"/>
        </w:rPr>
        <w:t>2012</w:t>
      </w:r>
      <w:r>
        <w:rPr>
          <w:rFonts w:ascii="Arial" w:hAnsi="Arial" w:cs="Arial" w:eastAsia="Arial" w:hint="default"/>
        </w:rPr>
      </w:r>
    </w:p>
    <w:p>
      <w:pPr>
        <w:pStyle w:val="BodyText"/>
        <w:spacing w:line="284" w:lineRule="exact" w:before="20"/>
        <w:ind w:left="614" w:right="113"/>
        <w:jc w:val="both"/>
      </w:pPr>
      <w:r>
        <w:rPr/>
        <w:t>年</w:t>
      </w:r>
      <w:r>
        <w:rPr>
          <w:spacing w:val="-58"/>
        </w:rPr>
        <w:t> </w:t>
      </w:r>
      <w:r>
        <w:rPr>
          <w:rFonts w:ascii="Arial" w:hAnsi="Arial" w:cs="Arial" w:eastAsia="Arial" w:hint="default"/>
        </w:rPr>
        <w:t>4</w:t>
      </w:r>
      <w:r>
        <w:rPr>
          <w:rFonts w:ascii="Arial" w:hAnsi="Arial" w:cs="Arial" w:eastAsia="Arial" w:hint="default"/>
          <w:spacing w:val="-9"/>
        </w:rPr>
        <w:t> </w:t>
      </w:r>
      <w:r>
        <w:rPr/>
        <w:t>月起任中国联合网络通信集团公司审计部总经理。自</w:t>
      </w:r>
      <w:r>
        <w:rPr>
          <w:spacing w:val="-54"/>
        </w:rPr>
        <w:t> </w:t>
      </w:r>
      <w:r>
        <w:rPr>
          <w:rFonts w:ascii="Arial" w:hAnsi="Arial" w:cs="Arial" w:eastAsia="Arial" w:hint="default"/>
        </w:rPr>
        <w:t>2012</w:t>
      </w:r>
      <w:r>
        <w:rPr>
          <w:rFonts w:ascii="Arial" w:hAnsi="Arial" w:cs="Arial" w:eastAsia="Arial" w:hint="default"/>
          <w:spacing w:val="-9"/>
        </w:rPr>
        <w:t> </w:t>
      </w:r>
      <w:r>
        <w:rPr/>
        <w:t>年</w:t>
      </w:r>
      <w:r>
        <w:rPr>
          <w:spacing w:val="-58"/>
        </w:rPr>
        <w:t> </w:t>
      </w:r>
      <w:r>
        <w:rPr>
          <w:rFonts w:ascii="Arial" w:hAnsi="Arial" w:cs="Arial" w:eastAsia="Arial" w:hint="default"/>
        </w:rPr>
        <w:t>5</w:t>
      </w:r>
      <w:r>
        <w:rPr>
          <w:rFonts w:ascii="Arial" w:hAnsi="Arial" w:cs="Arial" w:eastAsia="Arial" w:hint="default"/>
          <w:spacing w:val="-9"/>
        </w:rPr>
        <w:t> </w:t>
      </w:r>
      <w:r>
        <w:rPr/>
        <w:t>月</w:t>
      </w:r>
      <w:r>
        <w:rPr>
          <w:spacing w:val="-58"/>
        </w:rPr>
        <w:t> </w:t>
      </w:r>
      <w:r>
        <w:rPr>
          <w:rFonts w:ascii="Arial" w:hAnsi="Arial" w:cs="Arial" w:eastAsia="Arial" w:hint="default"/>
        </w:rPr>
        <w:t>29</w:t>
      </w:r>
      <w:r>
        <w:rPr>
          <w:rFonts w:ascii="Arial" w:hAnsi="Arial" w:cs="Arial" w:eastAsia="Arial" w:hint="default"/>
          <w:spacing w:val="-9"/>
        </w:rPr>
        <w:t> </w:t>
      </w:r>
      <w:r>
        <w:rPr/>
        <w:t>日起任本公司监事。</w:t>
      </w:r>
      <w:r>
        <w:rPr>
          <w:w w:val="99"/>
        </w:rPr>
        <w:t> </w:t>
      </w:r>
      <w:r>
        <w:rPr/>
        <w:t>郭小林女士长期在电信行业工作，具有丰富的管理经验。</w:t>
      </w:r>
    </w:p>
    <w:p>
      <w:pPr>
        <w:spacing w:line="240" w:lineRule="auto" w:before="3"/>
        <w:rPr>
          <w:rFonts w:ascii="宋体" w:hAnsi="宋体" w:cs="宋体" w:eastAsia="宋体" w:hint="default"/>
          <w:sz w:val="17"/>
          <w:szCs w:val="17"/>
        </w:rPr>
      </w:pPr>
    </w:p>
    <w:p>
      <w:pPr>
        <w:pStyle w:val="BodyText"/>
        <w:spacing w:line="295" w:lineRule="exact"/>
        <w:ind w:left="146" w:right="89"/>
        <w:jc w:val="left"/>
      </w:pPr>
      <w:r>
        <w:rPr>
          <w:rFonts w:ascii="Arial" w:hAnsi="Arial" w:cs="Arial" w:eastAsia="Arial" w:hint="default"/>
        </w:rPr>
        <w:t>11</w:t>
      </w:r>
      <w:r>
        <w:rPr/>
        <w:t>、郭晓科</w:t>
      </w:r>
    </w:p>
    <w:p>
      <w:pPr>
        <w:pStyle w:val="BodyText"/>
        <w:spacing w:line="230" w:lineRule="auto" w:before="1"/>
        <w:ind w:left="614" w:right="100"/>
        <w:jc w:val="left"/>
      </w:pPr>
      <w:r>
        <w:rPr>
          <w:spacing w:val="-7"/>
          <w:w w:val="99"/>
        </w:rPr>
        <w:t>郭晓科先生为教授级高工，</w:t>
      </w:r>
      <w:r>
        <w:rPr>
          <w:rFonts w:ascii="Arial" w:hAnsi="Arial" w:cs="Arial" w:eastAsia="Arial" w:hint="default"/>
          <w:spacing w:val="-7"/>
          <w:w w:val="99"/>
        </w:rPr>
        <w:t>1987</w:t>
      </w:r>
      <w:r>
        <w:rPr>
          <w:rFonts w:ascii="Arial" w:hAnsi="Arial" w:cs="Arial" w:eastAsia="Arial" w:hint="default"/>
          <w:w w:val="99"/>
        </w:rPr>
        <w:t> </w:t>
      </w:r>
      <w:r>
        <w:rPr>
          <w:w w:val="99"/>
        </w:rPr>
        <w:t>年毕业于北京邮电学院管理工程系管理工程专业获硕士研究生</w:t>
      </w:r>
      <w:r>
        <w:rPr>
          <w:spacing w:val="-104"/>
          <w:w w:val="99"/>
        </w:rPr>
        <w:t> </w:t>
      </w:r>
      <w:r>
        <w:rPr/>
        <w:t>学位；</w:t>
      </w:r>
      <w:r>
        <w:rPr>
          <w:rFonts w:ascii="Arial" w:hAnsi="Arial" w:cs="Arial" w:eastAsia="Arial" w:hint="default"/>
        </w:rPr>
        <w:t>2004 </w:t>
      </w:r>
      <w:r>
        <w:rPr/>
        <w:t>年获香港理工大学工商管理专业硕士学位；</w:t>
      </w:r>
      <w:r>
        <w:rPr>
          <w:rFonts w:ascii="Arial" w:hAnsi="Arial" w:cs="Arial" w:eastAsia="Arial" w:hint="default"/>
        </w:rPr>
        <w:t>2008</w:t>
      </w:r>
      <w:r>
        <w:rPr>
          <w:rFonts w:ascii="Arial" w:hAnsi="Arial" w:cs="Arial" w:eastAsia="Arial" w:hint="default"/>
          <w:spacing w:val="-6"/>
        </w:rPr>
        <w:t> </w:t>
      </w:r>
      <w:r>
        <w:rPr/>
        <w:t>年获香港理工大学管理学博士学</w:t>
      </w:r>
      <w:r>
        <w:rPr>
          <w:w w:val="99"/>
        </w:rPr>
        <w:t> </w:t>
      </w:r>
      <w:r>
        <w:rPr>
          <w:spacing w:val="-3"/>
        </w:rPr>
        <w:t>位。曾任邮电部劳动工资司综合处副处长、工资处处长、劳力处处长、国信寻呼公司副总经理、</w:t>
      </w:r>
      <w:r>
        <w:rPr>
          <w:w w:val="99"/>
        </w:rPr>
        <w:t> </w:t>
      </w:r>
      <w:r>
        <w:rPr/>
        <w:t>中国联通无线寻呼事业部总经理、联通寻呼有限公司董事长、总经理。</w:t>
      </w:r>
      <w:r>
        <w:rPr>
          <w:rFonts w:ascii="Arial" w:hAnsi="Arial" w:cs="Arial" w:eastAsia="Arial" w:hint="default"/>
        </w:rPr>
        <w:t>2001</w:t>
      </w:r>
      <w:r>
        <w:rPr>
          <w:rFonts w:ascii="Arial" w:hAnsi="Arial" w:cs="Arial" w:eastAsia="Arial" w:hint="default"/>
          <w:spacing w:val="-20"/>
        </w:rPr>
        <w:t> </w:t>
      </w:r>
      <w:r>
        <w:rPr/>
        <w:t>年</w:t>
      </w:r>
      <w:r>
        <w:rPr>
          <w:spacing w:val="-69"/>
        </w:rPr>
        <w:t> </w:t>
      </w:r>
      <w:r>
        <w:rPr>
          <w:rFonts w:ascii="Arial" w:hAnsi="Arial" w:cs="Arial" w:eastAsia="Arial" w:hint="default"/>
        </w:rPr>
        <w:t>5</w:t>
      </w:r>
      <w:r>
        <w:rPr>
          <w:rFonts w:ascii="Arial" w:hAnsi="Arial" w:cs="Arial" w:eastAsia="Arial" w:hint="default"/>
          <w:spacing w:val="-20"/>
        </w:rPr>
        <w:t> </w:t>
      </w:r>
      <w:r>
        <w:rPr/>
        <w:t>月至</w:t>
      </w:r>
      <w:r>
        <w:rPr>
          <w:spacing w:val="-69"/>
        </w:rPr>
        <w:t> </w:t>
      </w:r>
      <w:r>
        <w:rPr>
          <w:rFonts w:ascii="Arial" w:hAnsi="Arial" w:cs="Arial" w:eastAsia="Arial" w:hint="default"/>
        </w:rPr>
        <w:t>2002</w:t>
      </w:r>
      <w:r>
        <w:rPr>
          <w:rFonts w:ascii="Arial" w:hAnsi="Arial" w:cs="Arial" w:eastAsia="Arial" w:hint="default"/>
          <w:spacing w:val="-20"/>
        </w:rPr>
        <w:t> </w:t>
      </w:r>
      <w:r>
        <w:rPr/>
        <w:t>年</w:t>
      </w:r>
    </w:p>
    <w:p>
      <w:pPr>
        <w:pStyle w:val="BodyText"/>
        <w:spacing w:line="278" w:lineRule="exact"/>
        <w:ind w:left="614" w:right="0"/>
        <w:jc w:val="both"/>
      </w:pPr>
      <w:r>
        <w:rPr>
          <w:rFonts w:ascii="Arial" w:hAnsi="Arial" w:cs="Arial" w:eastAsia="Arial" w:hint="default"/>
        </w:rPr>
        <w:t>4</w:t>
      </w:r>
      <w:r>
        <w:rPr>
          <w:rFonts w:ascii="Arial" w:hAnsi="Arial" w:cs="Arial" w:eastAsia="Arial" w:hint="default"/>
          <w:spacing w:val="-8"/>
        </w:rPr>
        <w:t> </w:t>
      </w:r>
      <w:r>
        <w:rPr/>
        <w:t>月任中国联合通信有限公司北京分公司党委书记、副总经理。</w:t>
      </w:r>
      <w:r>
        <w:rPr>
          <w:rFonts w:ascii="Arial" w:hAnsi="Arial" w:cs="Arial" w:eastAsia="Arial" w:hint="default"/>
        </w:rPr>
        <w:t>2002</w:t>
      </w:r>
      <w:r>
        <w:rPr>
          <w:rFonts w:ascii="Arial" w:hAnsi="Arial" w:cs="Arial" w:eastAsia="Arial" w:hint="default"/>
          <w:spacing w:val="-7"/>
        </w:rPr>
        <w:t> </w:t>
      </w:r>
      <w:r>
        <w:rPr/>
        <w:t>年</w:t>
      </w:r>
      <w:r>
        <w:rPr>
          <w:spacing w:val="-57"/>
        </w:rPr>
        <w:t> </w:t>
      </w:r>
      <w:r>
        <w:rPr>
          <w:rFonts w:ascii="Arial" w:hAnsi="Arial" w:cs="Arial" w:eastAsia="Arial" w:hint="default"/>
        </w:rPr>
        <w:t>3</w:t>
      </w:r>
      <w:r>
        <w:rPr>
          <w:rFonts w:ascii="Arial" w:hAnsi="Arial" w:cs="Arial" w:eastAsia="Arial" w:hint="default"/>
          <w:spacing w:val="-8"/>
        </w:rPr>
        <w:t> </w:t>
      </w:r>
      <w:r>
        <w:rPr/>
        <w:t>月至</w:t>
      </w:r>
      <w:r>
        <w:rPr>
          <w:spacing w:val="-57"/>
        </w:rPr>
        <w:t> </w:t>
      </w:r>
      <w:r>
        <w:rPr>
          <w:rFonts w:ascii="Arial" w:hAnsi="Arial" w:cs="Arial" w:eastAsia="Arial" w:hint="default"/>
        </w:rPr>
        <w:t>2003</w:t>
      </w:r>
      <w:r>
        <w:rPr>
          <w:rFonts w:ascii="Arial" w:hAnsi="Arial" w:cs="Arial" w:eastAsia="Arial" w:hint="default"/>
          <w:spacing w:val="-8"/>
        </w:rPr>
        <w:t> </w:t>
      </w:r>
      <w:r>
        <w:rPr/>
        <w:t>年</w:t>
      </w:r>
      <w:r>
        <w:rPr>
          <w:spacing w:val="-57"/>
        </w:rPr>
        <w:t> </w:t>
      </w:r>
      <w:r>
        <w:rPr>
          <w:rFonts w:ascii="Arial" w:hAnsi="Arial" w:cs="Arial" w:eastAsia="Arial" w:hint="default"/>
        </w:rPr>
        <w:t>2</w:t>
      </w:r>
      <w:r>
        <w:rPr>
          <w:rFonts w:ascii="Arial" w:hAnsi="Arial" w:cs="Arial" w:eastAsia="Arial" w:hint="default"/>
          <w:spacing w:val="-8"/>
        </w:rPr>
        <w:t> </w:t>
      </w:r>
      <w:r>
        <w:rPr/>
        <w:t>月，</w:t>
      </w:r>
    </w:p>
    <w:p>
      <w:pPr>
        <w:pStyle w:val="BodyText"/>
        <w:spacing w:line="285" w:lineRule="exact"/>
        <w:ind w:left="614" w:right="0"/>
        <w:jc w:val="both"/>
      </w:pPr>
      <w:r>
        <w:rPr/>
        <w:t>中央党校一年制中青班学习。</w:t>
      </w:r>
      <w:r>
        <w:rPr>
          <w:rFonts w:ascii="Arial" w:hAnsi="Arial" w:cs="Arial" w:eastAsia="Arial" w:hint="default"/>
        </w:rPr>
        <w:t>2003</w:t>
      </w:r>
      <w:r>
        <w:rPr>
          <w:rFonts w:ascii="Arial" w:hAnsi="Arial" w:cs="Arial" w:eastAsia="Arial" w:hint="default"/>
          <w:spacing w:val="-4"/>
        </w:rPr>
        <w:t> </w:t>
      </w:r>
      <w:r>
        <w:rPr/>
        <w:t>年</w:t>
      </w:r>
      <w:r>
        <w:rPr>
          <w:spacing w:val="-53"/>
        </w:rPr>
        <w:t> </w:t>
      </w:r>
      <w:r>
        <w:rPr>
          <w:rFonts w:ascii="Arial" w:hAnsi="Arial" w:cs="Arial" w:eastAsia="Arial" w:hint="default"/>
        </w:rPr>
        <w:t>2</w:t>
      </w:r>
      <w:r>
        <w:rPr>
          <w:rFonts w:ascii="Arial" w:hAnsi="Arial" w:cs="Arial" w:eastAsia="Arial" w:hint="default"/>
          <w:spacing w:val="-4"/>
        </w:rPr>
        <w:t> </w:t>
      </w:r>
      <w:r>
        <w:rPr/>
        <w:t>月至</w:t>
      </w:r>
      <w:r>
        <w:rPr>
          <w:spacing w:val="-53"/>
        </w:rPr>
        <w:t> </w:t>
      </w:r>
      <w:r>
        <w:rPr>
          <w:rFonts w:ascii="Arial" w:hAnsi="Arial" w:cs="Arial" w:eastAsia="Arial" w:hint="default"/>
        </w:rPr>
        <w:t>2008</w:t>
      </w:r>
      <w:r>
        <w:rPr>
          <w:rFonts w:ascii="Arial" w:hAnsi="Arial" w:cs="Arial" w:eastAsia="Arial" w:hint="default"/>
          <w:spacing w:val="-5"/>
        </w:rPr>
        <w:t> </w:t>
      </w:r>
      <w:r>
        <w:rPr/>
        <w:t>年</w:t>
      </w:r>
      <w:r>
        <w:rPr>
          <w:spacing w:val="-53"/>
        </w:rPr>
        <w:t> </w:t>
      </w:r>
      <w:r>
        <w:rPr>
          <w:rFonts w:ascii="Arial" w:hAnsi="Arial" w:cs="Arial" w:eastAsia="Arial" w:hint="default"/>
        </w:rPr>
        <w:t>10</w:t>
      </w:r>
      <w:r>
        <w:rPr>
          <w:rFonts w:ascii="Arial" w:hAnsi="Arial" w:cs="Arial" w:eastAsia="Arial" w:hint="default"/>
          <w:spacing w:val="-4"/>
        </w:rPr>
        <w:t> </w:t>
      </w:r>
      <w:r>
        <w:rPr/>
        <w:t>月任中国联合通信有限公司人力资源</w:t>
      </w:r>
    </w:p>
    <w:p>
      <w:pPr>
        <w:pStyle w:val="BodyText"/>
        <w:spacing w:line="285" w:lineRule="exact"/>
        <w:ind w:left="614" w:right="0"/>
        <w:jc w:val="both"/>
      </w:pPr>
      <w:r>
        <w:rPr/>
        <w:t>部总经理。</w:t>
      </w:r>
      <w:r>
        <w:rPr>
          <w:rFonts w:ascii="Arial" w:hAnsi="Arial" w:cs="Arial" w:eastAsia="Arial" w:hint="default"/>
        </w:rPr>
        <w:t>2008</w:t>
      </w:r>
      <w:r>
        <w:rPr>
          <w:rFonts w:ascii="Arial" w:hAnsi="Arial" w:cs="Arial" w:eastAsia="Arial" w:hint="default"/>
          <w:spacing w:val="-4"/>
        </w:rPr>
        <w:t> </w:t>
      </w:r>
      <w:r>
        <w:rPr/>
        <w:t>年</w:t>
      </w:r>
      <w:r>
        <w:rPr>
          <w:spacing w:val="-53"/>
        </w:rPr>
        <w:t> </w:t>
      </w:r>
      <w:r>
        <w:rPr>
          <w:rFonts w:ascii="Arial" w:hAnsi="Arial" w:cs="Arial" w:eastAsia="Arial" w:hint="default"/>
        </w:rPr>
        <w:t>10</w:t>
      </w:r>
      <w:r>
        <w:rPr>
          <w:rFonts w:ascii="Arial" w:hAnsi="Arial" w:cs="Arial" w:eastAsia="Arial" w:hint="default"/>
          <w:spacing w:val="-6"/>
        </w:rPr>
        <w:t> </w:t>
      </w:r>
      <w:r>
        <w:rPr/>
        <w:t>月至</w:t>
      </w:r>
      <w:r>
        <w:rPr>
          <w:spacing w:val="-53"/>
        </w:rPr>
        <w:t> </w:t>
      </w:r>
      <w:r>
        <w:rPr>
          <w:rFonts w:ascii="Arial" w:hAnsi="Arial" w:cs="Arial" w:eastAsia="Arial" w:hint="default"/>
        </w:rPr>
        <w:t>2010</w:t>
      </w:r>
      <w:r>
        <w:rPr>
          <w:rFonts w:ascii="Arial" w:hAnsi="Arial" w:cs="Arial" w:eastAsia="Arial" w:hint="default"/>
          <w:spacing w:val="-4"/>
        </w:rPr>
        <w:t> </w:t>
      </w:r>
      <w:r>
        <w:rPr/>
        <w:t>年</w:t>
      </w:r>
      <w:r>
        <w:rPr>
          <w:spacing w:val="-53"/>
        </w:rPr>
        <w:t> </w:t>
      </w:r>
      <w:r>
        <w:rPr>
          <w:rFonts w:ascii="Arial" w:hAnsi="Arial" w:cs="Arial" w:eastAsia="Arial" w:hint="default"/>
        </w:rPr>
        <w:t>4</w:t>
      </w:r>
      <w:r>
        <w:rPr>
          <w:rFonts w:ascii="Arial" w:hAnsi="Arial" w:cs="Arial" w:eastAsia="Arial" w:hint="default"/>
          <w:spacing w:val="-4"/>
        </w:rPr>
        <w:t> </w:t>
      </w:r>
      <w:r>
        <w:rPr/>
        <w:t>月任中国联合网络通信集团有限公司广西区分公司筹备</w:t>
      </w:r>
    </w:p>
    <w:p>
      <w:pPr>
        <w:pStyle w:val="BodyText"/>
        <w:spacing w:line="225" w:lineRule="auto" w:before="6"/>
        <w:ind w:left="614" w:right="211"/>
        <w:jc w:val="both"/>
      </w:pPr>
      <w:r>
        <w:rPr>
          <w:spacing w:val="-4"/>
        </w:rPr>
        <w:t>组组长、总经理、党委书记。</w:t>
      </w:r>
      <w:r>
        <w:rPr>
          <w:rFonts w:ascii="Arial" w:hAnsi="Arial" w:cs="Arial" w:eastAsia="Arial" w:hint="default"/>
          <w:spacing w:val="-4"/>
        </w:rPr>
        <w:t>2010</w:t>
      </w:r>
      <w:r>
        <w:rPr>
          <w:rFonts w:ascii="Arial" w:hAnsi="Arial" w:cs="Arial" w:eastAsia="Arial" w:hint="default"/>
          <w:spacing w:val="-8"/>
        </w:rPr>
        <w:t> </w:t>
      </w:r>
      <w:r>
        <w:rPr/>
        <w:t>年</w:t>
      </w:r>
      <w:r>
        <w:rPr>
          <w:spacing w:val="-57"/>
        </w:rPr>
        <w:t> </w:t>
      </w:r>
      <w:r>
        <w:rPr>
          <w:rFonts w:ascii="Arial" w:hAnsi="Arial" w:cs="Arial" w:eastAsia="Arial" w:hint="default"/>
        </w:rPr>
        <w:t>4</w:t>
      </w:r>
      <w:r>
        <w:rPr>
          <w:rFonts w:ascii="Arial" w:hAnsi="Arial" w:cs="Arial" w:eastAsia="Arial" w:hint="default"/>
          <w:spacing w:val="-8"/>
        </w:rPr>
        <w:t> </w:t>
      </w:r>
      <w:r>
        <w:rPr/>
        <w:t>月至</w:t>
      </w:r>
      <w:r>
        <w:rPr>
          <w:spacing w:val="-57"/>
        </w:rPr>
        <w:t> </w:t>
      </w:r>
      <w:r>
        <w:rPr>
          <w:rFonts w:ascii="Arial" w:hAnsi="Arial" w:cs="Arial" w:eastAsia="Arial" w:hint="default"/>
        </w:rPr>
        <w:t>2012</w:t>
      </w:r>
      <w:r>
        <w:rPr>
          <w:rFonts w:ascii="Arial" w:hAnsi="Arial" w:cs="Arial" w:eastAsia="Arial" w:hint="default"/>
          <w:spacing w:val="-8"/>
        </w:rPr>
        <w:t> </w:t>
      </w:r>
      <w:r>
        <w:rPr/>
        <w:t>年</w:t>
      </w:r>
      <w:r>
        <w:rPr>
          <w:spacing w:val="-57"/>
        </w:rPr>
        <w:t> </w:t>
      </w:r>
      <w:r>
        <w:rPr>
          <w:rFonts w:ascii="Arial" w:hAnsi="Arial" w:cs="Arial" w:eastAsia="Arial" w:hint="default"/>
        </w:rPr>
        <w:t>1</w:t>
      </w:r>
      <w:r>
        <w:rPr>
          <w:rFonts w:ascii="Arial" w:hAnsi="Arial" w:cs="Arial" w:eastAsia="Arial" w:hint="default"/>
          <w:spacing w:val="-8"/>
        </w:rPr>
        <w:t> </w:t>
      </w:r>
      <w:r>
        <w:rPr/>
        <w:t>月任中国联合网络通信集团有限公司浙</w:t>
      </w:r>
      <w:r>
        <w:rPr>
          <w:w w:val="99"/>
        </w:rPr>
        <w:t> </w:t>
      </w:r>
      <w:r>
        <w:rPr/>
        <w:t>江省分公司总经理、党委书记。</w:t>
      </w:r>
      <w:r>
        <w:rPr>
          <w:rFonts w:ascii="Arial" w:hAnsi="Arial" w:cs="Arial" w:eastAsia="Arial" w:hint="default"/>
        </w:rPr>
        <w:t>2012 </w:t>
      </w:r>
      <w:r>
        <w:rPr/>
        <w:t>年 </w:t>
      </w:r>
      <w:r>
        <w:rPr>
          <w:rFonts w:ascii="Arial" w:hAnsi="Arial" w:cs="Arial" w:eastAsia="Arial" w:hint="default"/>
        </w:rPr>
        <w:t>1</w:t>
      </w:r>
      <w:r>
        <w:rPr>
          <w:rFonts w:ascii="Arial" w:hAnsi="Arial" w:cs="Arial" w:eastAsia="Arial" w:hint="default"/>
          <w:spacing w:val="24"/>
        </w:rPr>
        <w:t> </w:t>
      </w:r>
      <w:r>
        <w:rPr/>
        <w:t>月至今，任中国联合网络通信集团有限公司集团工</w:t>
      </w:r>
      <w:r>
        <w:rPr>
          <w:w w:val="99"/>
        </w:rPr>
        <w:t> </w:t>
      </w:r>
      <w:r>
        <w:rPr/>
        <w:t>会副主席。自</w:t>
      </w:r>
      <w:r>
        <w:rPr>
          <w:spacing w:val="-46"/>
        </w:rPr>
        <w:t> </w:t>
      </w:r>
      <w:r>
        <w:rPr>
          <w:rFonts w:ascii="Arial" w:hAnsi="Arial" w:cs="Arial" w:eastAsia="Arial" w:hint="default"/>
        </w:rPr>
        <w:t>2012</w:t>
      </w:r>
      <w:r>
        <w:rPr>
          <w:rFonts w:ascii="Arial" w:hAnsi="Arial" w:cs="Arial" w:eastAsia="Arial" w:hint="default"/>
          <w:spacing w:val="2"/>
        </w:rPr>
        <w:t> </w:t>
      </w:r>
      <w:r>
        <w:rPr/>
        <w:t>年</w:t>
      </w:r>
      <w:r>
        <w:rPr>
          <w:spacing w:val="-46"/>
        </w:rPr>
        <w:t> </w:t>
      </w:r>
      <w:r>
        <w:rPr>
          <w:rFonts w:ascii="Arial" w:hAnsi="Arial" w:cs="Arial" w:eastAsia="Arial" w:hint="default"/>
        </w:rPr>
        <w:t>5</w:t>
      </w:r>
      <w:r>
        <w:rPr>
          <w:rFonts w:ascii="Arial" w:hAnsi="Arial" w:cs="Arial" w:eastAsia="Arial" w:hint="default"/>
          <w:spacing w:val="2"/>
        </w:rPr>
        <w:t> </w:t>
      </w:r>
      <w:r>
        <w:rPr/>
        <w:t>月起任本公司监事。郭晓科先生长期在电信行业工作，具有丰富的管</w:t>
      </w:r>
      <w:r>
        <w:rPr>
          <w:w w:val="99"/>
        </w:rPr>
        <w:t> </w:t>
      </w:r>
      <w:r>
        <w:rPr/>
        <w:t>理经验。</w:t>
      </w:r>
    </w:p>
    <w:p>
      <w:pPr>
        <w:spacing w:after="0" w:line="225" w:lineRule="auto"/>
        <w:jc w:val="both"/>
        <w:sectPr>
          <w:pgSz w:w="11910" w:h="16840"/>
          <w:pgMar w:header="567" w:footer="745" w:top="800" w:bottom="940" w:left="1380" w:right="680"/>
        </w:sectPr>
      </w:pPr>
    </w:p>
    <w:p>
      <w:pPr>
        <w:spacing w:line="240" w:lineRule="auto" w:before="8"/>
        <w:rPr>
          <w:rFonts w:ascii="宋体" w:hAnsi="宋体" w:cs="宋体" w:eastAsia="宋体" w:hint="default"/>
          <w:sz w:val="22"/>
          <w:szCs w:val="22"/>
        </w:rPr>
      </w:pPr>
    </w:p>
    <w:p>
      <w:pPr>
        <w:pStyle w:val="BodyText"/>
        <w:spacing w:line="295" w:lineRule="exact" w:before="31"/>
        <w:ind w:left="146" w:right="0"/>
        <w:jc w:val="both"/>
      </w:pPr>
      <w:r>
        <w:rPr>
          <w:rFonts w:ascii="Arial" w:hAnsi="Arial" w:cs="Arial" w:eastAsia="Arial" w:hint="default"/>
        </w:rPr>
        <w:t>12</w:t>
      </w:r>
      <w:r>
        <w:rPr/>
        <w:t>、张健</w:t>
      </w:r>
    </w:p>
    <w:p>
      <w:pPr>
        <w:pStyle w:val="BodyText"/>
        <w:spacing w:line="286" w:lineRule="exact"/>
        <w:ind w:left="614" w:right="0"/>
        <w:jc w:val="left"/>
      </w:pPr>
      <w:r>
        <w:rPr/>
        <w:t>张健先生为高级经济师，于 </w:t>
      </w:r>
      <w:r>
        <w:rPr>
          <w:rFonts w:ascii="Arial" w:hAnsi="Arial" w:cs="Arial" w:eastAsia="Arial" w:hint="default"/>
        </w:rPr>
        <w:t>2008 </w:t>
      </w:r>
      <w:r>
        <w:rPr/>
        <w:t>年 </w:t>
      </w:r>
      <w:r>
        <w:rPr>
          <w:rFonts w:ascii="Arial" w:hAnsi="Arial" w:cs="Arial" w:eastAsia="Arial" w:hint="default"/>
        </w:rPr>
        <w:t>4 </w:t>
      </w:r>
      <w:r>
        <w:rPr/>
        <w:t>月获法国雷恩高等商学院工商管理博士学位。</w:t>
      </w:r>
      <w:r>
        <w:rPr>
          <w:rFonts w:ascii="Arial" w:hAnsi="Arial" w:cs="Arial" w:eastAsia="Arial" w:hint="default"/>
        </w:rPr>
        <w:t>1986</w:t>
      </w:r>
      <w:r>
        <w:rPr>
          <w:rFonts w:ascii="Arial" w:hAnsi="Arial" w:cs="Arial" w:eastAsia="Arial" w:hint="default"/>
          <w:spacing w:val="25"/>
        </w:rPr>
        <w:t> </w:t>
      </w:r>
      <w:r>
        <w:rPr/>
        <w:t>年</w:t>
      </w:r>
    </w:p>
    <w:p>
      <w:pPr>
        <w:pStyle w:val="BodyText"/>
        <w:spacing w:line="286" w:lineRule="exact"/>
        <w:ind w:left="614" w:right="0"/>
        <w:jc w:val="left"/>
      </w:pPr>
      <w:r>
        <w:rPr>
          <w:rFonts w:ascii="Arial" w:hAnsi="Arial" w:cs="Arial" w:eastAsia="Arial" w:hint="default"/>
          <w:w w:val="99"/>
        </w:rPr>
        <w:t>12</w:t>
      </w:r>
      <w:r>
        <w:rPr>
          <w:rFonts w:ascii="Arial" w:hAnsi="Arial" w:cs="Arial" w:eastAsia="Arial" w:hint="default"/>
          <w:spacing w:val="-6"/>
        </w:rPr>
        <w:t> </w:t>
      </w:r>
      <w:r>
        <w:rPr>
          <w:w w:val="99"/>
        </w:rPr>
        <w:t>月至</w:t>
      </w:r>
      <w:r>
        <w:rPr>
          <w:spacing w:val="-55"/>
        </w:rPr>
        <w:t> </w:t>
      </w:r>
      <w:r>
        <w:rPr>
          <w:rFonts w:ascii="Arial" w:hAnsi="Arial" w:cs="Arial" w:eastAsia="Arial" w:hint="default"/>
          <w:w w:val="99"/>
        </w:rPr>
        <w:t>1992</w:t>
      </w:r>
      <w:r>
        <w:rPr>
          <w:rFonts w:ascii="Arial" w:hAnsi="Arial" w:cs="Arial" w:eastAsia="Arial" w:hint="default"/>
          <w:spacing w:val="-6"/>
        </w:rPr>
        <w:t> </w:t>
      </w:r>
      <w:r>
        <w:rPr>
          <w:w w:val="99"/>
        </w:rPr>
        <w:t>年</w:t>
      </w:r>
      <w:r>
        <w:rPr>
          <w:spacing w:val="-55"/>
        </w:rPr>
        <w:t> </w:t>
      </w:r>
      <w:r>
        <w:rPr>
          <w:rFonts w:ascii="Arial" w:hAnsi="Arial" w:cs="Arial" w:eastAsia="Arial" w:hint="default"/>
          <w:w w:val="99"/>
        </w:rPr>
        <w:t>8</w:t>
      </w:r>
      <w:r>
        <w:rPr>
          <w:rFonts w:ascii="Arial" w:hAnsi="Arial" w:cs="Arial" w:eastAsia="Arial" w:hint="default"/>
          <w:spacing w:val="-6"/>
        </w:rPr>
        <w:t> </w:t>
      </w:r>
      <w:r>
        <w:rPr>
          <w:w w:val="99"/>
        </w:rPr>
        <w:t>月任上海市市内电话局副局长</w:t>
      </w:r>
      <w:r>
        <w:rPr>
          <w:spacing w:val="-98"/>
          <w:w w:val="99"/>
        </w:rPr>
        <w:t>。</w:t>
      </w:r>
      <w:r>
        <w:rPr>
          <w:rFonts w:ascii="Arial" w:hAnsi="Arial" w:cs="Arial" w:eastAsia="Arial" w:hint="default"/>
          <w:w w:val="99"/>
        </w:rPr>
        <w:t>1992</w:t>
      </w:r>
      <w:r>
        <w:rPr>
          <w:rFonts w:ascii="Arial" w:hAnsi="Arial" w:cs="Arial" w:eastAsia="Arial" w:hint="default"/>
          <w:spacing w:val="-6"/>
        </w:rPr>
        <w:t> </w:t>
      </w:r>
      <w:r>
        <w:rPr>
          <w:w w:val="99"/>
        </w:rPr>
        <w:t>年</w:t>
      </w:r>
      <w:r>
        <w:rPr>
          <w:spacing w:val="-54"/>
        </w:rPr>
        <w:t> </w:t>
      </w:r>
      <w:r>
        <w:rPr>
          <w:rFonts w:ascii="Arial" w:hAnsi="Arial" w:cs="Arial" w:eastAsia="Arial" w:hint="default"/>
          <w:w w:val="99"/>
        </w:rPr>
        <w:t>8</w:t>
      </w:r>
      <w:r>
        <w:rPr>
          <w:rFonts w:ascii="Arial" w:hAnsi="Arial" w:cs="Arial" w:eastAsia="Arial" w:hint="default"/>
          <w:spacing w:val="-6"/>
        </w:rPr>
        <w:t> </w:t>
      </w:r>
      <w:r>
        <w:rPr>
          <w:w w:val="99"/>
        </w:rPr>
        <w:t>月至</w:t>
      </w:r>
      <w:r>
        <w:rPr>
          <w:spacing w:val="-55"/>
        </w:rPr>
        <w:t> </w:t>
      </w:r>
      <w:r>
        <w:rPr>
          <w:rFonts w:ascii="Arial" w:hAnsi="Arial" w:cs="Arial" w:eastAsia="Arial" w:hint="default"/>
          <w:w w:val="99"/>
        </w:rPr>
        <w:t>1997</w:t>
      </w:r>
      <w:r>
        <w:rPr>
          <w:rFonts w:ascii="Arial" w:hAnsi="Arial" w:cs="Arial" w:eastAsia="Arial" w:hint="default"/>
          <w:spacing w:val="-6"/>
        </w:rPr>
        <w:t> </w:t>
      </w:r>
      <w:r>
        <w:rPr>
          <w:w w:val="99"/>
        </w:rPr>
        <w:t>年</w:t>
      </w:r>
      <w:r>
        <w:rPr>
          <w:spacing w:val="-55"/>
        </w:rPr>
        <w:t> </w:t>
      </w:r>
      <w:r>
        <w:rPr>
          <w:rFonts w:ascii="Arial" w:hAnsi="Arial" w:cs="Arial" w:eastAsia="Arial" w:hint="default"/>
          <w:w w:val="99"/>
        </w:rPr>
        <w:t>2</w:t>
      </w:r>
      <w:r>
        <w:rPr>
          <w:rFonts w:ascii="Arial" w:hAnsi="Arial" w:cs="Arial" w:eastAsia="Arial" w:hint="default"/>
          <w:spacing w:val="-6"/>
        </w:rPr>
        <w:t> </w:t>
      </w:r>
      <w:r>
        <w:rPr>
          <w:w w:val="99"/>
        </w:rPr>
        <w:t>月先后担任上海国</w:t>
      </w:r>
      <w:r>
        <w:rPr/>
      </w:r>
    </w:p>
    <w:p>
      <w:pPr>
        <w:pStyle w:val="BodyText"/>
        <w:spacing w:line="285" w:lineRule="exact"/>
        <w:ind w:left="614" w:right="0"/>
        <w:jc w:val="left"/>
        <w:rPr>
          <w:rFonts w:ascii="Arial" w:hAnsi="Arial" w:cs="Arial" w:eastAsia="Arial" w:hint="default"/>
        </w:rPr>
      </w:pPr>
      <w:r>
        <w:rPr>
          <w:w w:val="99"/>
        </w:rPr>
        <w:t>脉通信股份有限公司总经理</w:t>
      </w:r>
      <w:r>
        <w:rPr>
          <w:spacing w:val="-110"/>
          <w:w w:val="99"/>
        </w:rPr>
        <w:t>、</w:t>
      </w:r>
      <w:r>
        <w:rPr>
          <w:w w:val="99"/>
        </w:rPr>
        <w:t>副董事长</w:t>
      </w:r>
      <w:r>
        <w:rPr>
          <w:spacing w:val="-109"/>
          <w:w w:val="99"/>
        </w:rPr>
        <w:t>。</w:t>
      </w:r>
      <w:r>
        <w:rPr>
          <w:rFonts w:ascii="Arial" w:hAnsi="Arial" w:cs="Arial" w:eastAsia="Arial" w:hint="default"/>
          <w:w w:val="99"/>
        </w:rPr>
        <w:t>1997</w:t>
      </w:r>
      <w:r>
        <w:rPr>
          <w:rFonts w:ascii="Arial" w:hAnsi="Arial" w:cs="Arial" w:eastAsia="Arial" w:hint="default"/>
          <w:spacing w:val="-7"/>
        </w:rPr>
        <w:t> </w:t>
      </w:r>
      <w:r>
        <w:rPr>
          <w:w w:val="99"/>
        </w:rPr>
        <w:t>年</w:t>
      </w:r>
      <w:r>
        <w:rPr>
          <w:spacing w:val="-55"/>
        </w:rPr>
        <w:t> </w:t>
      </w:r>
      <w:r>
        <w:rPr>
          <w:rFonts w:ascii="Arial" w:hAnsi="Arial" w:cs="Arial" w:eastAsia="Arial" w:hint="default"/>
          <w:w w:val="99"/>
        </w:rPr>
        <w:t>2</w:t>
      </w:r>
      <w:r>
        <w:rPr>
          <w:rFonts w:ascii="Arial" w:hAnsi="Arial" w:cs="Arial" w:eastAsia="Arial" w:hint="default"/>
          <w:spacing w:val="-7"/>
        </w:rPr>
        <w:t> </w:t>
      </w:r>
      <w:r>
        <w:rPr>
          <w:w w:val="99"/>
        </w:rPr>
        <w:t>月至</w:t>
      </w:r>
      <w:r>
        <w:rPr>
          <w:spacing w:val="-56"/>
        </w:rPr>
        <w:t> </w:t>
      </w:r>
      <w:r>
        <w:rPr>
          <w:rFonts w:ascii="Arial" w:hAnsi="Arial" w:cs="Arial" w:eastAsia="Arial" w:hint="default"/>
          <w:w w:val="99"/>
        </w:rPr>
        <w:t>1999</w:t>
      </w:r>
      <w:r>
        <w:rPr>
          <w:rFonts w:ascii="Arial" w:hAnsi="Arial" w:cs="Arial" w:eastAsia="Arial" w:hint="default"/>
          <w:spacing w:val="-6"/>
        </w:rPr>
        <w:t> </w:t>
      </w:r>
      <w:r>
        <w:rPr>
          <w:w w:val="99"/>
        </w:rPr>
        <w:t>年</w:t>
      </w:r>
      <w:r>
        <w:rPr>
          <w:spacing w:val="-56"/>
        </w:rPr>
        <w:t> </w:t>
      </w:r>
      <w:r>
        <w:rPr>
          <w:rFonts w:ascii="Arial" w:hAnsi="Arial" w:cs="Arial" w:eastAsia="Arial" w:hint="default"/>
          <w:w w:val="99"/>
        </w:rPr>
        <w:t>6</w:t>
      </w:r>
      <w:r>
        <w:rPr>
          <w:rFonts w:ascii="Arial" w:hAnsi="Arial" w:cs="Arial" w:eastAsia="Arial" w:hint="default"/>
          <w:spacing w:val="-7"/>
        </w:rPr>
        <w:t> </w:t>
      </w:r>
      <w:r>
        <w:rPr>
          <w:w w:val="99"/>
        </w:rPr>
        <w:t>月任上海市电话局局长</w:t>
      </w:r>
      <w:r>
        <w:rPr>
          <w:spacing w:val="-110"/>
          <w:w w:val="99"/>
        </w:rPr>
        <w:t>。</w:t>
      </w:r>
      <w:r>
        <w:rPr>
          <w:rFonts w:ascii="Arial" w:hAnsi="Arial" w:cs="Arial" w:eastAsia="Arial" w:hint="default"/>
          <w:w w:val="99"/>
        </w:rPr>
        <w:t>1999</w:t>
      </w:r>
      <w:r>
        <w:rPr>
          <w:rFonts w:ascii="Arial" w:hAnsi="Arial" w:cs="Arial" w:eastAsia="Arial" w:hint="default"/>
        </w:rPr>
      </w:r>
    </w:p>
    <w:p>
      <w:pPr>
        <w:pStyle w:val="BodyText"/>
        <w:spacing w:line="285" w:lineRule="exact"/>
        <w:ind w:left="614" w:right="0"/>
        <w:jc w:val="left"/>
      </w:pPr>
      <w:r>
        <w:rPr/>
        <w:t>年</w:t>
      </w:r>
      <w:r>
        <w:rPr>
          <w:spacing w:val="-51"/>
        </w:rPr>
        <w:t> </w:t>
      </w:r>
      <w:r>
        <w:rPr>
          <w:rFonts w:ascii="Arial" w:hAnsi="Arial" w:cs="Arial" w:eastAsia="Arial" w:hint="default"/>
        </w:rPr>
        <w:t>6</w:t>
      </w:r>
      <w:r>
        <w:rPr>
          <w:rFonts w:ascii="Arial" w:hAnsi="Arial" w:cs="Arial" w:eastAsia="Arial" w:hint="default"/>
          <w:spacing w:val="-2"/>
        </w:rPr>
        <w:t> </w:t>
      </w:r>
      <w:r>
        <w:rPr/>
        <w:t>月至</w:t>
      </w:r>
      <w:r>
        <w:rPr>
          <w:spacing w:val="-51"/>
        </w:rPr>
        <w:t> </w:t>
      </w:r>
      <w:r>
        <w:rPr>
          <w:rFonts w:ascii="Arial" w:hAnsi="Arial" w:cs="Arial" w:eastAsia="Arial" w:hint="default"/>
        </w:rPr>
        <w:t>2000</w:t>
      </w:r>
      <w:r>
        <w:rPr>
          <w:rFonts w:ascii="Arial" w:hAnsi="Arial" w:cs="Arial" w:eastAsia="Arial" w:hint="default"/>
          <w:spacing w:val="-2"/>
        </w:rPr>
        <w:t> </w:t>
      </w:r>
      <w:r>
        <w:rPr/>
        <w:t>年</w:t>
      </w:r>
      <w:r>
        <w:rPr>
          <w:spacing w:val="-51"/>
        </w:rPr>
        <w:t> </w:t>
      </w:r>
      <w:r>
        <w:rPr>
          <w:rFonts w:ascii="Arial" w:hAnsi="Arial" w:cs="Arial" w:eastAsia="Arial" w:hint="default"/>
        </w:rPr>
        <w:t>5</w:t>
      </w:r>
      <w:r>
        <w:rPr>
          <w:rFonts w:ascii="Arial" w:hAnsi="Arial" w:cs="Arial" w:eastAsia="Arial" w:hint="default"/>
          <w:spacing w:val="-2"/>
        </w:rPr>
        <w:t> </w:t>
      </w:r>
      <w:r>
        <w:rPr/>
        <w:t>月任上海市邮电管理局副局长。</w:t>
      </w:r>
      <w:r>
        <w:rPr>
          <w:rFonts w:ascii="Arial" w:hAnsi="Arial" w:cs="Arial" w:eastAsia="Arial" w:hint="default"/>
        </w:rPr>
        <w:t>2000</w:t>
      </w:r>
      <w:r>
        <w:rPr>
          <w:rFonts w:ascii="Arial" w:hAnsi="Arial" w:cs="Arial" w:eastAsia="Arial" w:hint="default"/>
          <w:spacing w:val="-1"/>
        </w:rPr>
        <w:t> </w:t>
      </w:r>
      <w:r>
        <w:rPr/>
        <w:t>年</w:t>
      </w:r>
      <w:r>
        <w:rPr>
          <w:spacing w:val="-51"/>
        </w:rPr>
        <w:t> </w:t>
      </w:r>
      <w:r>
        <w:rPr>
          <w:rFonts w:ascii="Arial" w:hAnsi="Arial" w:cs="Arial" w:eastAsia="Arial" w:hint="default"/>
        </w:rPr>
        <w:t>5</w:t>
      </w:r>
      <w:r>
        <w:rPr>
          <w:rFonts w:ascii="Arial" w:hAnsi="Arial" w:cs="Arial" w:eastAsia="Arial" w:hint="default"/>
          <w:spacing w:val="-2"/>
        </w:rPr>
        <w:t> </w:t>
      </w:r>
      <w:r>
        <w:rPr/>
        <w:t>月至</w:t>
      </w:r>
      <w:r>
        <w:rPr>
          <w:spacing w:val="-51"/>
        </w:rPr>
        <w:t> </w:t>
      </w:r>
      <w:r>
        <w:rPr>
          <w:rFonts w:ascii="Arial" w:hAnsi="Arial" w:cs="Arial" w:eastAsia="Arial" w:hint="default"/>
        </w:rPr>
        <w:t>2003</w:t>
      </w:r>
      <w:r>
        <w:rPr>
          <w:rFonts w:ascii="Arial" w:hAnsi="Arial" w:cs="Arial" w:eastAsia="Arial" w:hint="default"/>
          <w:spacing w:val="-2"/>
        </w:rPr>
        <w:t> </w:t>
      </w:r>
      <w:r>
        <w:rPr/>
        <w:t>年</w:t>
      </w:r>
      <w:r>
        <w:rPr>
          <w:spacing w:val="-51"/>
        </w:rPr>
        <w:t> </w:t>
      </w:r>
      <w:r>
        <w:rPr>
          <w:rFonts w:ascii="Arial" w:hAnsi="Arial" w:cs="Arial" w:eastAsia="Arial" w:hint="default"/>
        </w:rPr>
        <w:t>11</w:t>
      </w:r>
      <w:r>
        <w:rPr>
          <w:rFonts w:ascii="Arial" w:hAnsi="Arial" w:cs="Arial" w:eastAsia="Arial" w:hint="default"/>
          <w:spacing w:val="-2"/>
        </w:rPr>
        <w:t> </w:t>
      </w:r>
      <w:r>
        <w:rPr/>
        <w:t>月担任上海市</w:t>
      </w:r>
    </w:p>
    <w:p>
      <w:pPr>
        <w:pStyle w:val="BodyText"/>
        <w:spacing w:line="286" w:lineRule="exact"/>
        <w:ind w:left="614" w:right="0"/>
        <w:jc w:val="left"/>
      </w:pPr>
      <w:r>
        <w:rPr>
          <w:spacing w:val="-4"/>
        </w:rPr>
        <w:t>通信管理局局长。</w:t>
      </w:r>
      <w:r>
        <w:rPr>
          <w:rFonts w:ascii="Arial" w:hAnsi="Arial" w:cs="Arial" w:eastAsia="Arial" w:hint="default"/>
          <w:spacing w:val="-4"/>
        </w:rPr>
        <w:t>2003</w:t>
      </w:r>
      <w:r>
        <w:rPr>
          <w:rFonts w:ascii="Arial" w:hAnsi="Arial" w:cs="Arial" w:eastAsia="Arial" w:hint="default"/>
          <w:spacing w:val="-5"/>
        </w:rPr>
        <w:t> </w:t>
      </w:r>
      <w:r>
        <w:rPr/>
        <w:t>年</w:t>
      </w:r>
      <w:r>
        <w:rPr>
          <w:spacing w:val="-55"/>
        </w:rPr>
        <w:t> </w:t>
      </w:r>
      <w:r>
        <w:rPr>
          <w:rFonts w:ascii="Arial" w:hAnsi="Arial" w:cs="Arial" w:eastAsia="Arial" w:hint="default"/>
        </w:rPr>
        <w:t>11</w:t>
      </w:r>
      <w:r>
        <w:rPr>
          <w:rFonts w:ascii="Arial" w:hAnsi="Arial" w:cs="Arial" w:eastAsia="Arial" w:hint="default"/>
          <w:spacing w:val="-6"/>
        </w:rPr>
        <w:t> </w:t>
      </w:r>
      <w:r>
        <w:rPr/>
        <w:t>月至</w:t>
      </w:r>
      <w:r>
        <w:rPr>
          <w:spacing w:val="-55"/>
        </w:rPr>
        <w:t> </w:t>
      </w:r>
      <w:r>
        <w:rPr>
          <w:rFonts w:ascii="Arial" w:hAnsi="Arial" w:cs="Arial" w:eastAsia="Arial" w:hint="default"/>
        </w:rPr>
        <w:t>2007</w:t>
      </w:r>
      <w:r>
        <w:rPr>
          <w:rFonts w:ascii="Arial" w:hAnsi="Arial" w:cs="Arial" w:eastAsia="Arial" w:hint="default"/>
          <w:spacing w:val="-6"/>
        </w:rPr>
        <w:t> </w:t>
      </w:r>
      <w:r>
        <w:rPr/>
        <w:t>年</w:t>
      </w:r>
      <w:r>
        <w:rPr>
          <w:spacing w:val="-55"/>
        </w:rPr>
        <w:t> </w:t>
      </w:r>
      <w:r>
        <w:rPr>
          <w:rFonts w:ascii="Arial" w:hAnsi="Arial" w:cs="Arial" w:eastAsia="Arial" w:hint="default"/>
        </w:rPr>
        <w:t>8</w:t>
      </w:r>
      <w:r>
        <w:rPr>
          <w:rFonts w:ascii="Arial" w:hAnsi="Arial" w:cs="Arial" w:eastAsia="Arial" w:hint="default"/>
          <w:spacing w:val="-6"/>
        </w:rPr>
        <w:t> </w:t>
      </w:r>
      <w:r>
        <w:rPr>
          <w:spacing w:val="-3"/>
        </w:rPr>
        <w:t>月担任中国联通上海分公司总经理。</w:t>
      </w:r>
      <w:r>
        <w:rPr>
          <w:rFonts w:ascii="Arial" w:hAnsi="Arial" w:cs="Arial" w:eastAsia="Arial" w:hint="default"/>
          <w:spacing w:val="-3"/>
        </w:rPr>
        <w:t>2007</w:t>
      </w:r>
      <w:r>
        <w:rPr>
          <w:rFonts w:ascii="Arial" w:hAnsi="Arial" w:cs="Arial" w:eastAsia="Arial" w:hint="default"/>
          <w:spacing w:val="-5"/>
        </w:rPr>
        <w:t> </w:t>
      </w:r>
      <w:r>
        <w:rPr/>
        <w:t>年</w:t>
      </w:r>
      <w:r>
        <w:rPr>
          <w:spacing w:val="-55"/>
        </w:rPr>
        <w:t> </w:t>
      </w:r>
      <w:r>
        <w:rPr>
          <w:rFonts w:ascii="Arial" w:hAnsi="Arial" w:cs="Arial" w:eastAsia="Arial" w:hint="default"/>
        </w:rPr>
        <w:t>8</w:t>
      </w:r>
      <w:r>
        <w:rPr>
          <w:rFonts w:ascii="Arial" w:hAnsi="Arial" w:cs="Arial" w:eastAsia="Arial" w:hint="default"/>
          <w:spacing w:val="-6"/>
        </w:rPr>
        <w:t> </w:t>
      </w:r>
      <w:r>
        <w:rPr/>
        <w:t>月</w:t>
      </w:r>
    </w:p>
    <w:p>
      <w:pPr>
        <w:pStyle w:val="BodyText"/>
        <w:spacing w:line="286" w:lineRule="exact" w:before="19"/>
        <w:ind w:left="614" w:right="144"/>
        <w:jc w:val="left"/>
      </w:pPr>
      <w:r>
        <w:rPr/>
        <w:t>至</w:t>
      </w:r>
      <w:r>
        <w:rPr>
          <w:spacing w:val="-60"/>
        </w:rPr>
        <w:t> </w:t>
      </w:r>
      <w:r>
        <w:rPr>
          <w:rFonts w:ascii="Arial" w:hAnsi="Arial" w:cs="Arial" w:eastAsia="Arial" w:hint="default"/>
        </w:rPr>
        <w:t>2009</w:t>
      </w:r>
      <w:r>
        <w:rPr>
          <w:rFonts w:ascii="Arial" w:hAnsi="Arial" w:cs="Arial" w:eastAsia="Arial" w:hint="default"/>
          <w:spacing w:val="-11"/>
        </w:rPr>
        <w:t> </w:t>
      </w:r>
      <w:r>
        <w:rPr/>
        <w:t>年</w:t>
      </w:r>
      <w:r>
        <w:rPr>
          <w:spacing w:val="-60"/>
        </w:rPr>
        <w:t> </w:t>
      </w:r>
      <w:r>
        <w:rPr>
          <w:rFonts w:ascii="Arial" w:hAnsi="Arial" w:cs="Arial" w:eastAsia="Arial" w:hint="default"/>
        </w:rPr>
        <w:t>10</w:t>
      </w:r>
      <w:r>
        <w:rPr>
          <w:rFonts w:ascii="Arial" w:hAnsi="Arial" w:cs="Arial" w:eastAsia="Arial" w:hint="default"/>
          <w:spacing w:val="-11"/>
        </w:rPr>
        <w:t> </w:t>
      </w:r>
      <w:r>
        <w:rPr/>
        <w:t>月担任本公司董事、副总裁、财务负责人。</w:t>
      </w:r>
      <w:r>
        <w:rPr>
          <w:rFonts w:ascii="Arial" w:hAnsi="Arial" w:cs="Arial" w:eastAsia="Arial" w:hint="default"/>
        </w:rPr>
        <w:t>2009</w:t>
      </w:r>
      <w:r>
        <w:rPr>
          <w:rFonts w:ascii="Arial" w:hAnsi="Arial" w:cs="Arial" w:eastAsia="Arial" w:hint="default"/>
          <w:spacing w:val="-11"/>
        </w:rPr>
        <w:t> </w:t>
      </w:r>
      <w:r>
        <w:rPr/>
        <w:t>年</w:t>
      </w:r>
      <w:r>
        <w:rPr>
          <w:spacing w:val="-60"/>
        </w:rPr>
        <w:t> </w:t>
      </w:r>
      <w:r>
        <w:rPr>
          <w:rFonts w:ascii="Arial" w:hAnsi="Arial" w:cs="Arial" w:eastAsia="Arial" w:hint="default"/>
        </w:rPr>
        <w:t>11</w:t>
      </w:r>
      <w:r>
        <w:rPr>
          <w:rFonts w:ascii="Arial" w:hAnsi="Arial" w:cs="Arial" w:eastAsia="Arial" w:hint="default"/>
          <w:spacing w:val="-11"/>
        </w:rPr>
        <w:t> </w:t>
      </w:r>
      <w:r>
        <w:rPr/>
        <w:t>月至</w:t>
      </w:r>
      <w:r>
        <w:rPr>
          <w:spacing w:val="-60"/>
        </w:rPr>
        <w:t> </w:t>
      </w:r>
      <w:r>
        <w:rPr>
          <w:rFonts w:ascii="Arial" w:hAnsi="Arial" w:cs="Arial" w:eastAsia="Arial" w:hint="default"/>
        </w:rPr>
        <w:t>2013</w:t>
      </w:r>
      <w:r>
        <w:rPr>
          <w:rFonts w:ascii="Arial" w:hAnsi="Arial" w:cs="Arial" w:eastAsia="Arial" w:hint="default"/>
          <w:spacing w:val="-11"/>
        </w:rPr>
        <w:t> </w:t>
      </w:r>
      <w:r>
        <w:rPr/>
        <w:t>年</w:t>
      </w:r>
      <w:r>
        <w:rPr>
          <w:spacing w:val="-60"/>
        </w:rPr>
        <w:t> </w:t>
      </w:r>
      <w:r>
        <w:rPr>
          <w:rFonts w:ascii="Arial" w:hAnsi="Arial" w:cs="Arial" w:eastAsia="Arial" w:hint="default"/>
        </w:rPr>
        <w:t>3</w:t>
      </w:r>
      <w:r>
        <w:rPr>
          <w:rFonts w:ascii="Arial" w:hAnsi="Arial" w:cs="Arial" w:eastAsia="Arial" w:hint="default"/>
          <w:spacing w:val="-11"/>
        </w:rPr>
        <w:t> </w:t>
      </w:r>
      <w:r>
        <w:rPr/>
        <w:t>月担任本</w:t>
      </w:r>
      <w:r>
        <w:rPr>
          <w:w w:val="99"/>
        </w:rPr>
        <w:t> </w:t>
      </w:r>
      <w:r>
        <w:rPr/>
        <w:t>公司副总裁、财务负责人。张健先生拥有丰富的电信行业管理经验。</w:t>
      </w:r>
    </w:p>
    <w:p>
      <w:pPr>
        <w:spacing w:line="240" w:lineRule="auto" w:before="3"/>
        <w:rPr>
          <w:rFonts w:ascii="宋体" w:hAnsi="宋体" w:cs="宋体" w:eastAsia="宋体" w:hint="default"/>
          <w:sz w:val="19"/>
          <w:szCs w:val="19"/>
        </w:rPr>
      </w:pPr>
    </w:p>
    <w:p>
      <w:pPr>
        <w:pStyle w:val="BodyText"/>
        <w:spacing w:line="286" w:lineRule="exact"/>
        <w:ind w:left="146" w:right="148"/>
        <w:jc w:val="both"/>
      </w:pPr>
      <w:r>
        <w:rPr/>
        <w:t>本公司董事长常小兵、董事兼总裁陆益民、董事佟吉禄、董事李福申、监事会主席李建国、郭小林</w:t>
      </w:r>
      <w:r>
        <w:rPr>
          <w:spacing w:val="-87"/>
        </w:rPr>
        <w:t> </w:t>
      </w:r>
      <w:r>
        <w:rPr>
          <w:spacing w:val="-87"/>
        </w:rPr>
      </w:r>
      <w:r>
        <w:rPr/>
        <w:t>监事和郭晓科监事以及离任的监事姚琼女士、韦海波先生均在本公司的子公司联通红筹公司或其全</w:t>
      </w:r>
      <w:r>
        <w:rPr>
          <w:spacing w:val="-88"/>
        </w:rPr>
        <w:t> </w:t>
      </w:r>
      <w:r>
        <w:rPr>
          <w:spacing w:val="-88"/>
        </w:rPr>
      </w:r>
      <w:r>
        <w:rPr/>
        <w:t>资子公司联通运营公司领取报酬。报告期内，常小兵先生的薪酬为人民币</w:t>
      </w:r>
      <w:r>
        <w:rPr>
          <w:spacing w:val="-47"/>
        </w:rPr>
        <w:t> </w:t>
      </w:r>
      <w:r>
        <w:rPr>
          <w:rFonts w:ascii="Arial" w:hAnsi="Arial" w:cs="Arial" w:eastAsia="Arial" w:hint="default"/>
        </w:rPr>
        <w:t>102.3</w:t>
      </w:r>
      <w:r>
        <w:rPr>
          <w:rFonts w:ascii="Arial" w:hAnsi="Arial" w:cs="Arial" w:eastAsia="Arial" w:hint="default"/>
          <w:spacing w:val="-2"/>
        </w:rPr>
        <w:t> </w:t>
      </w:r>
      <w:r>
        <w:rPr/>
        <w:t>万元，陆益民先生</w:t>
      </w:r>
    </w:p>
    <w:p>
      <w:pPr>
        <w:pStyle w:val="BodyText"/>
        <w:spacing w:line="265" w:lineRule="exact"/>
        <w:ind w:left="146" w:right="0"/>
        <w:jc w:val="both"/>
      </w:pPr>
      <w:r>
        <w:rPr/>
        <w:t>的薪酬为人民币 </w:t>
      </w:r>
      <w:r>
        <w:rPr>
          <w:rFonts w:ascii="Arial" w:hAnsi="Arial" w:cs="Arial" w:eastAsia="Arial" w:hint="default"/>
        </w:rPr>
        <w:t>101.3 </w:t>
      </w:r>
      <w:r>
        <w:rPr/>
        <w:t>万元，佟吉禄先生的薪酬为人民币 </w:t>
      </w:r>
      <w:r>
        <w:rPr>
          <w:rFonts w:ascii="Arial" w:hAnsi="Arial" w:cs="Arial" w:eastAsia="Arial" w:hint="default"/>
        </w:rPr>
        <w:t>90.0</w:t>
      </w:r>
      <w:r>
        <w:rPr>
          <w:rFonts w:ascii="Arial" w:hAnsi="Arial" w:cs="Arial" w:eastAsia="Arial" w:hint="default"/>
          <w:spacing w:val="12"/>
        </w:rPr>
        <w:t> </w:t>
      </w:r>
      <w:r>
        <w:rPr/>
        <w:t>万元，李福申先生的薪酬为人民币</w:t>
      </w:r>
    </w:p>
    <w:p>
      <w:pPr>
        <w:pStyle w:val="BodyText"/>
        <w:spacing w:line="285" w:lineRule="exact"/>
        <w:ind w:left="146" w:right="0"/>
        <w:jc w:val="both"/>
      </w:pPr>
      <w:r>
        <w:rPr>
          <w:rFonts w:ascii="Arial" w:hAnsi="Arial" w:cs="Arial" w:eastAsia="Arial" w:hint="default"/>
        </w:rPr>
        <w:t>89.8</w:t>
      </w:r>
      <w:r>
        <w:rPr>
          <w:rFonts w:ascii="Arial" w:hAnsi="Arial" w:cs="Arial" w:eastAsia="Arial" w:hint="default"/>
          <w:spacing w:val="-8"/>
        </w:rPr>
        <w:t> </w:t>
      </w:r>
      <w:r>
        <w:rPr/>
        <w:t>万元，李建国女士的薪酬为人民币</w:t>
      </w:r>
      <w:r>
        <w:rPr>
          <w:spacing w:val="-55"/>
        </w:rPr>
        <w:t> </w:t>
      </w:r>
      <w:r>
        <w:rPr>
          <w:rFonts w:ascii="Arial" w:hAnsi="Arial" w:cs="Arial" w:eastAsia="Arial" w:hint="default"/>
        </w:rPr>
        <w:t>90.0</w:t>
      </w:r>
      <w:r>
        <w:rPr>
          <w:rFonts w:ascii="Arial" w:hAnsi="Arial" w:cs="Arial" w:eastAsia="Arial" w:hint="default"/>
          <w:spacing w:val="-8"/>
        </w:rPr>
        <w:t> </w:t>
      </w:r>
      <w:r>
        <w:rPr/>
        <w:t>万元，郭小林女士的薪酬为人民币</w:t>
      </w:r>
      <w:r>
        <w:rPr>
          <w:spacing w:val="-55"/>
        </w:rPr>
        <w:t> </w:t>
      </w:r>
      <w:r>
        <w:rPr>
          <w:rFonts w:ascii="Arial" w:hAnsi="Arial" w:cs="Arial" w:eastAsia="Arial" w:hint="default"/>
        </w:rPr>
        <w:t>52.6</w:t>
      </w:r>
      <w:r>
        <w:rPr>
          <w:rFonts w:ascii="Arial" w:hAnsi="Arial" w:cs="Arial" w:eastAsia="Arial" w:hint="default"/>
          <w:spacing w:val="-7"/>
        </w:rPr>
        <w:t> </w:t>
      </w:r>
      <w:r>
        <w:rPr/>
        <w:t>万元，郭晓科</w:t>
      </w:r>
    </w:p>
    <w:p>
      <w:pPr>
        <w:pStyle w:val="BodyText"/>
        <w:spacing w:line="286" w:lineRule="exact"/>
        <w:ind w:left="146" w:right="0"/>
        <w:jc w:val="both"/>
      </w:pPr>
      <w:r>
        <w:rPr/>
        <w:t>先生的薪酬为人民币</w:t>
      </w:r>
      <w:r>
        <w:rPr>
          <w:spacing w:val="-45"/>
        </w:rPr>
        <w:t> </w:t>
      </w:r>
      <w:r>
        <w:rPr>
          <w:rFonts w:ascii="Arial" w:hAnsi="Arial" w:cs="Arial" w:eastAsia="Arial" w:hint="default"/>
        </w:rPr>
        <w:t>64.3</w:t>
      </w:r>
      <w:r>
        <w:rPr>
          <w:rFonts w:ascii="Arial" w:hAnsi="Arial" w:cs="Arial" w:eastAsia="Arial" w:hint="default"/>
          <w:spacing w:val="4"/>
        </w:rPr>
        <w:t> </w:t>
      </w:r>
      <w:r>
        <w:rPr/>
        <w:t>万元；离任监事姚琼女士的薪酬为人民币</w:t>
      </w:r>
      <w:r>
        <w:rPr>
          <w:spacing w:val="-44"/>
        </w:rPr>
        <w:t> </w:t>
      </w:r>
      <w:r>
        <w:rPr>
          <w:rFonts w:ascii="Arial" w:hAnsi="Arial" w:cs="Arial" w:eastAsia="Arial" w:hint="default"/>
        </w:rPr>
        <w:t>19.6</w:t>
      </w:r>
      <w:r>
        <w:rPr>
          <w:rFonts w:ascii="Arial" w:hAnsi="Arial" w:cs="Arial" w:eastAsia="Arial" w:hint="default"/>
          <w:spacing w:val="4"/>
        </w:rPr>
        <w:t> </w:t>
      </w:r>
      <w:r>
        <w:rPr/>
        <w:t>万元，离任监事韦海波先</w:t>
      </w:r>
    </w:p>
    <w:p>
      <w:pPr>
        <w:pStyle w:val="BodyText"/>
        <w:spacing w:line="295" w:lineRule="exact"/>
        <w:ind w:left="146" w:right="0"/>
        <w:jc w:val="both"/>
      </w:pPr>
      <w:r>
        <w:rPr/>
        <w:t>生的薪酬为人民币</w:t>
      </w:r>
      <w:r>
        <w:rPr>
          <w:spacing w:val="-57"/>
        </w:rPr>
        <w:t> </w:t>
      </w:r>
      <w:r>
        <w:rPr>
          <w:rFonts w:ascii="Arial" w:hAnsi="Arial" w:cs="Arial" w:eastAsia="Arial" w:hint="default"/>
        </w:rPr>
        <w:t>22.1</w:t>
      </w:r>
      <w:r>
        <w:rPr>
          <w:rFonts w:ascii="Arial" w:hAnsi="Arial" w:cs="Arial" w:eastAsia="Arial" w:hint="default"/>
          <w:spacing w:val="-9"/>
        </w:rPr>
        <w:t> </w:t>
      </w:r>
      <w:r>
        <w:rPr/>
        <w:t>万元。</w:t>
      </w:r>
    </w:p>
    <w:p>
      <w:pPr>
        <w:spacing w:line="240" w:lineRule="auto" w:before="12"/>
        <w:rPr>
          <w:rFonts w:ascii="宋体" w:hAnsi="宋体" w:cs="宋体" w:eastAsia="宋体" w:hint="default"/>
          <w:sz w:val="17"/>
          <w:szCs w:val="17"/>
        </w:rPr>
      </w:pPr>
    </w:p>
    <w:p>
      <w:pPr>
        <w:pStyle w:val="Heading3"/>
        <w:spacing w:line="240" w:lineRule="auto" w:before="0"/>
        <w:ind w:right="0"/>
        <w:jc w:val="both"/>
        <w:rPr>
          <w:b w:val="0"/>
          <w:bCs w:val="0"/>
        </w:rPr>
      </w:pPr>
      <w:r>
        <w:rPr/>
        <w:t>二、现任及报告期内离任董事、监事和高级管理人员的任职情况</w:t>
      </w:r>
      <w:r>
        <w:rPr>
          <w:b w:val="0"/>
          <w:bCs w:val="0"/>
        </w:rPr>
      </w:r>
    </w:p>
    <w:p>
      <w:pPr>
        <w:spacing w:line="240" w:lineRule="auto" w:before="2"/>
        <w:rPr>
          <w:rFonts w:ascii="宋体" w:hAnsi="宋体" w:cs="宋体" w:eastAsia="宋体" w:hint="default"/>
          <w:b/>
          <w:bCs/>
          <w:sz w:val="19"/>
          <w:szCs w:val="19"/>
        </w:rPr>
      </w:pPr>
    </w:p>
    <w:p>
      <w:pPr>
        <w:pStyle w:val="BodyText"/>
        <w:spacing w:line="240" w:lineRule="auto"/>
        <w:ind w:left="146" w:right="0"/>
        <w:jc w:val="both"/>
      </w:pPr>
      <w:r>
        <w:rPr/>
        <w:t>（一）在股东单位任职情况</w:t>
      </w:r>
    </w:p>
    <w:p>
      <w:pPr>
        <w:spacing w:line="240" w:lineRule="auto" w:before="12"/>
        <w:rPr>
          <w:rFonts w:ascii="宋体" w:hAnsi="宋体" w:cs="宋体" w:eastAsia="宋体" w:hint="default"/>
          <w:sz w:val="21"/>
          <w:szCs w:val="21"/>
        </w:rPr>
      </w:pPr>
    </w:p>
    <w:tbl>
      <w:tblPr>
        <w:tblW w:w="0" w:type="auto"/>
        <w:jc w:val="left"/>
        <w:tblInd w:w="139" w:type="dxa"/>
        <w:tblLayout w:type="fixed"/>
        <w:tblCellMar>
          <w:top w:w="0" w:type="dxa"/>
          <w:left w:w="0" w:type="dxa"/>
          <w:bottom w:w="0" w:type="dxa"/>
          <w:right w:w="0" w:type="dxa"/>
        </w:tblCellMar>
        <w:tblLook w:val="01E0"/>
      </w:tblPr>
      <w:tblGrid>
        <w:gridCol w:w="1083"/>
        <w:gridCol w:w="1530"/>
        <w:gridCol w:w="2789"/>
        <w:gridCol w:w="2161"/>
        <w:gridCol w:w="1880"/>
      </w:tblGrid>
      <w:tr>
        <w:trPr>
          <w:trHeight w:val="274" w:hRule="exact"/>
        </w:trPr>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333"/>
              <w:jc w:val="right"/>
              <w:rPr>
                <w:rFonts w:ascii="宋体" w:hAnsi="宋体" w:cs="宋体" w:eastAsia="宋体" w:hint="default"/>
                <w:sz w:val="20"/>
                <w:szCs w:val="20"/>
              </w:rPr>
            </w:pPr>
            <w:r>
              <w:rPr>
                <w:rFonts w:ascii="宋体" w:hAnsi="宋体" w:cs="宋体" w:eastAsia="宋体" w:hint="default"/>
                <w:sz w:val="20"/>
                <w:szCs w:val="20"/>
              </w:rPr>
              <w:t>姓名</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股东单位名称</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85" w:right="0"/>
              <w:jc w:val="left"/>
              <w:rPr>
                <w:rFonts w:ascii="宋体" w:hAnsi="宋体" w:cs="宋体" w:eastAsia="宋体" w:hint="default"/>
                <w:sz w:val="20"/>
                <w:szCs w:val="20"/>
              </w:rPr>
            </w:pPr>
            <w:r>
              <w:rPr>
                <w:rFonts w:ascii="宋体" w:hAnsi="宋体" w:cs="宋体" w:eastAsia="宋体" w:hint="default"/>
                <w:sz w:val="20"/>
                <w:szCs w:val="20"/>
              </w:rPr>
              <w:t>在股东单位担任的职务</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472" w:right="0"/>
              <w:jc w:val="left"/>
              <w:rPr>
                <w:rFonts w:ascii="宋体" w:hAnsi="宋体" w:cs="宋体" w:eastAsia="宋体" w:hint="default"/>
                <w:sz w:val="20"/>
                <w:szCs w:val="20"/>
              </w:rPr>
            </w:pPr>
            <w:r>
              <w:rPr>
                <w:rFonts w:ascii="宋体" w:hAnsi="宋体" w:cs="宋体" w:eastAsia="宋体" w:hint="default"/>
                <w:sz w:val="20"/>
                <w:szCs w:val="20"/>
              </w:rPr>
              <w:t>任期起始日期</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32" w:right="0"/>
              <w:jc w:val="left"/>
              <w:rPr>
                <w:rFonts w:ascii="宋体" w:hAnsi="宋体" w:cs="宋体" w:eastAsia="宋体" w:hint="default"/>
                <w:sz w:val="20"/>
                <w:szCs w:val="20"/>
              </w:rPr>
            </w:pPr>
            <w:r>
              <w:rPr>
                <w:rFonts w:ascii="宋体" w:hAnsi="宋体" w:cs="宋体" w:eastAsia="宋体" w:hint="default"/>
                <w:sz w:val="20"/>
                <w:szCs w:val="20"/>
              </w:rPr>
              <w:t>任期终止日期</w:t>
            </w:r>
          </w:p>
        </w:tc>
      </w:tr>
      <w:tr>
        <w:trPr>
          <w:trHeight w:val="275" w:hRule="exact"/>
        </w:trPr>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364"/>
              <w:jc w:val="right"/>
              <w:rPr>
                <w:rFonts w:ascii="宋体" w:hAnsi="宋体" w:cs="宋体" w:eastAsia="宋体" w:hint="default"/>
                <w:sz w:val="20"/>
                <w:szCs w:val="20"/>
              </w:rPr>
            </w:pPr>
            <w:r>
              <w:rPr>
                <w:rFonts w:ascii="宋体" w:hAnsi="宋体" w:cs="宋体" w:eastAsia="宋体" w:hint="default"/>
                <w:sz w:val="20"/>
                <w:szCs w:val="20"/>
              </w:rPr>
              <w:t>常小兵</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sz w:val="20"/>
                <w:szCs w:val="20"/>
              </w:rPr>
              <w:t>联通集团</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0"/>
                <w:szCs w:val="20"/>
              </w:rPr>
            </w:pPr>
            <w:r>
              <w:rPr>
                <w:rFonts w:ascii="Arial" w:hAnsi="Arial" w:cs="Arial" w:eastAsia="Arial" w:hint="default"/>
                <w:sz w:val="20"/>
                <w:szCs w:val="20"/>
              </w:rPr>
              <w:t>2004</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11</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4" w:hRule="exact"/>
        </w:trPr>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364"/>
              <w:jc w:val="right"/>
              <w:rPr>
                <w:rFonts w:ascii="宋体" w:hAnsi="宋体" w:cs="宋体" w:eastAsia="宋体" w:hint="default"/>
                <w:sz w:val="20"/>
                <w:szCs w:val="20"/>
              </w:rPr>
            </w:pPr>
            <w:r>
              <w:rPr>
                <w:rFonts w:ascii="宋体" w:hAnsi="宋体" w:cs="宋体" w:eastAsia="宋体" w:hint="default"/>
                <w:sz w:val="20"/>
                <w:szCs w:val="20"/>
              </w:rPr>
              <w:t>陆益民</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联通集团</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副董事长、总经理</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w:t>
            </w:r>
            <w:r>
              <w:rPr>
                <w:rFonts w:ascii="Arial" w:hAnsi="Arial" w:cs="Arial" w:eastAsia="Arial" w:hint="default"/>
                <w:spacing w:val="-5"/>
                <w:sz w:val="20"/>
                <w:szCs w:val="20"/>
              </w:rPr>
              <w:t> </w:t>
            </w:r>
            <w:r>
              <w:rPr>
                <w:rFonts w:ascii="宋体" w:hAnsi="宋体" w:cs="宋体" w:eastAsia="宋体" w:hint="default"/>
                <w:sz w:val="20"/>
                <w:szCs w:val="20"/>
              </w:rPr>
              <w:t>月</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5" w:hRule="exact"/>
        </w:trPr>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364"/>
              <w:jc w:val="right"/>
              <w:rPr>
                <w:rFonts w:ascii="宋体" w:hAnsi="宋体" w:cs="宋体" w:eastAsia="宋体" w:hint="default"/>
                <w:sz w:val="20"/>
                <w:szCs w:val="20"/>
              </w:rPr>
            </w:pPr>
            <w:r>
              <w:rPr>
                <w:rFonts w:ascii="宋体" w:hAnsi="宋体" w:cs="宋体" w:eastAsia="宋体" w:hint="default"/>
                <w:sz w:val="20"/>
                <w:szCs w:val="20"/>
              </w:rPr>
              <w:t>佟吉禄</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sz w:val="20"/>
                <w:szCs w:val="20"/>
              </w:rPr>
              <w:t>联通集团</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董事、副总经理、总会计师</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0"/>
                <w:szCs w:val="20"/>
              </w:rPr>
            </w:pPr>
            <w:r>
              <w:rPr>
                <w:rFonts w:ascii="Arial" w:hAnsi="Arial" w:cs="Arial" w:eastAsia="Arial" w:hint="default"/>
                <w:sz w:val="20"/>
                <w:szCs w:val="20"/>
              </w:rPr>
              <w:t>2001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3</w:t>
            </w:r>
            <w:r>
              <w:rPr>
                <w:rFonts w:ascii="Arial" w:hAnsi="Arial" w:cs="Arial" w:eastAsia="Arial" w:hint="default"/>
                <w:spacing w:val="-5"/>
                <w:sz w:val="20"/>
                <w:szCs w:val="20"/>
              </w:rPr>
              <w:t> </w:t>
            </w:r>
            <w:r>
              <w:rPr>
                <w:rFonts w:ascii="宋体" w:hAnsi="宋体" w:cs="宋体" w:eastAsia="宋体" w:hint="default"/>
                <w:sz w:val="20"/>
                <w:szCs w:val="20"/>
              </w:rPr>
              <w:t>月</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4</w:t>
            </w:r>
            <w:r>
              <w:rPr>
                <w:rFonts w:ascii="Arial" w:hAnsi="Arial" w:cs="Arial" w:eastAsia="Arial" w:hint="default"/>
                <w:spacing w:val="-5"/>
                <w:sz w:val="20"/>
                <w:szCs w:val="20"/>
              </w:rPr>
              <w:t> </w:t>
            </w:r>
            <w:r>
              <w:rPr>
                <w:rFonts w:ascii="宋体" w:hAnsi="宋体" w:cs="宋体" w:eastAsia="宋体" w:hint="default"/>
                <w:sz w:val="20"/>
                <w:szCs w:val="20"/>
              </w:rPr>
              <w:t>月</w:t>
            </w:r>
          </w:p>
        </w:tc>
      </w:tr>
      <w:tr>
        <w:trPr>
          <w:trHeight w:val="275" w:hRule="exact"/>
        </w:trPr>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364"/>
              <w:jc w:val="right"/>
              <w:rPr>
                <w:rFonts w:ascii="宋体" w:hAnsi="宋体" w:cs="宋体" w:eastAsia="宋体" w:hint="default"/>
                <w:sz w:val="20"/>
                <w:szCs w:val="20"/>
              </w:rPr>
            </w:pPr>
            <w:r>
              <w:rPr>
                <w:rFonts w:ascii="宋体" w:hAnsi="宋体" w:cs="宋体" w:eastAsia="宋体" w:hint="default"/>
                <w:sz w:val="20"/>
                <w:szCs w:val="20"/>
              </w:rPr>
              <w:t>佟吉禄</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sz w:val="20"/>
                <w:szCs w:val="20"/>
              </w:rPr>
              <w:t>联通集团</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董事、副总经理</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4</w:t>
            </w:r>
            <w:r>
              <w:rPr>
                <w:rFonts w:ascii="Arial" w:hAnsi="Arial" w:cs="Arial" w:eastAsia="Arial" w:hint="default"/>
                <w:spacing w:val="-5"/>
                <w:sz w:val="20"/>
                <w:szCs w:val="20"/>
              </w:rPr>
              <w:t> </w:t>
            </w:r>
            <w:r>
              <w:rPr>
                <w:rFonts w:ascii="宋体" w:hAnsi="宋体" w:cs="宋体" w:eastAsia="宋体" w:hint="default"/>
                <w:sz w:val="20"/>
                <w:szCs w:val="20"/>
              </w:rPr>
              <w:t>月</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4" w:hRule="exact"/>
        </w:trPr>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364"/>
              <w:jc w:val="right"/>
              <w:rPr>
                <w:rFonts w:ascii="宋体" w:hAnsi="宋体" w:cs="宋体" w:eastAsia="宋体" w:hint="default"/>
                <w:sz w:val="20"/>
                <w:szCs w:val="20"/>
              </w:rPr>
            </w:pPr>
            <w:r>
              <w:rPr>
                <w:rFonts w:ascii="宋体" w:hAnsi="宋体" w:cs="宋体" w:eastAsia="宋体" w:hint="default"/>
                <w:sz w:val="20"/>
                <w:szCs w:val="20"/>
              </w:rPr>
              <w:t>李福申</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联通集团</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副总经理</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w:t>
            </w:r>
            <w:r>
              <w:rPr>
                <w:rFonts w:ascii="Arial" w:hAnsi="Arial" w:cs="Arial" w:eastAsia="Arial" w:hint="default"/>
                <w:spacing w:val="-5"/>
                <w:sz w:val="20"/>
                <w:szCs w:val="20"/>
              </w:rPr>
              <w:t> </w:t>
            </w:r>
            <w:r>
              <w:rPr>
                <w:rFonts w:ascii="宋体" w:hAnsi="宋体" w:cs="宋体" w:eastAsia="宋体" w:hint="default"/>
                <w:sz w:val="20"/>
                <w:szCs w:val="20"/>
              </w:rPr>
              <w:t>月</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4</w:t>
            </w:r>
            <w:r>
              <w:rPr>
                <w:rFonts w:ascii="Arial" w:hAnsi="Arial" w:cs="Arial" w:eastAsia="Arial" w:hint="default"/>
                <w:spacing w:val="-5"/>
                <w:sz w:val="20"/>
                <w:szCs w:val="20"/>
              </w:rPr>
              <w:t> </w:t>
            </w:r>
            <w:r>
              <w:rPr>
                <w:rFonts w:ascii="宋体" w:hAnsi="宋体" w:cs="宋体" w:eastAsia="宋体" w:hint="default"/>
                <w:sz w:val="20"/>
                <w:szCs w:val="20"/>
              </w:rPr>
              <w:t>月</w:t>
            </w:r>
          </w:p>
        </w:tc>
      </w:tr>
      <w:tr>
        <w:trPr>
          <w:trHeight w:val="275" w:hRule="exact"/>
        </w:trPr>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364"/>
              <w:jc w:val="right"/>
              <w:rPr>
                <w:rFonts w:ascii="宋体" w:hAnsi="宋体" w:cs="宋体" w:eastAsia="宋体" w:hint="default"/>
                <w:sz w:val="20"/>
                <w:szCs w:val="20"/>
              </w:rPr>
            </w:pPr>
            <w:r>
              <w:rPr>
                <w:rFonts w:ascii="宋体" w:hAnsi="宋体" w:cs="宋体" w:eastAsia="宋体" w:hint="default"/>
                <w:sz w:val="20"/>
                <w:szCs w:val="20"/>
              </w:rPr>
              <w:t>李福申</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sz w:val="20"/>
                <w:szCs w:val="20"/>
              </w:rPr>
              <w:t>联通集团</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副总经理、总会计师</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4</w:t>
            </w:r>
            <w:r>
              <w:rPr>
                <w:rFonts w:ascii="Arial" w:hAnsi="Arial" w:cs="Arial" w:eastAsia="Arial" w:hint="default"/>
                <w:spacing w:val="-5"/>
                <w:sz w:val="20"/>
                <w:szCs w:val="20"/>
              </w:rPr>
              <w:t> </w:t>
            </w:r>
            <w:r>
              <w:rPr>
                <w:rFonts w:ascii="宋体" w:hAnsi="宋体" w:cs="宋体" w:eastAsia="宋体" w:hint="default"/>
                <w:sz w:val="20"/>
                <w:szCs w:val="20"/>
              </w:rPr>
              <w:t>月</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10</w:t>
            </w:r>
            <w:r>
              <w:rPr>
                <w:rFonts w:ascii="Arial" w:hAnsi="Arial" w:cs="Arial" w:eastAsia="Arial" w:hint="default"/>
                <w:spacing w:val="-7"/>
                <w:sz w:val="20"/>
                <w:szCs w:val="20"/>
              </w:rPr>
              <w:t> </w:t>
            </w:r>
            <w:r>
              <w:rPr>
                <w:rFonts w:ascii="宋体" w:hAnsi="宋体" w:cs="宋体" w:eastAsia="宋体" w:hint="default"/>
                <w:sz w:val="20"/>
                <w:szCs w:val="20"/>
              </w:rPr>
              <w:t>月</w:t>
            </w:r>
          </w:p>
        </w:tc>
      </w:tr>
      <w:tr>
        <w:trPr>
          <w:trHeight w:val="275" w:hRule="exact"/>
        </w:trPr>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364"/>
              <w:jc w:val="right"/>
              <w:rPr>
                <w:rFonts w:ascii="宋体" w:hAnsi="宋体" w:cs="宋体" w:eastAsia="宋体" w:hint="default"/>
                <w:sz w:val="20"/>
                <w:szCs w:val="20"/>
              </w:rPr>
            </w:pPr>
            <w:r>
              <w:rPr>
                <w:rFonts w:ascii="宋体" w:hAnsi="宋体" w:cs="宋体" w:eastAsia="宋体" w:hint="default"/>
                <w:sz w:val="20"/>
                <w:szCs w:val="20"/>
              </w:rPr>
              <w:t>李福申</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sz w:val="20"/>
                <w:szCs w:val="20"/>
              </w:rPr>
              <w:t>联通集团</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董事、副总经理、总会计师</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10</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4" w:hRule="exact"/>
        </w:trPr>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364"/>
              <w:jc w:val="right"/>
              <w:rPr>
                <w:rFonts w:ascii="宋体" w:hAnsi="宋体" w:cs="宋体" w:eastAsia="宋体" w:hint="default"/>
                <w:sz w:val="20"/>
                <w:szCs w:val="20"/>
              </w:rPr>
            </w:pPr>
            <w:r>
              <w:rPr>
                <w:rFonts w:ascii="宋体" w:hAnsi="宋体" w:cs="宋体" w:eastAsia="宋体" w:hint="default"/>
                <w:sz w:val="20"/>
                <w:szCs w:val="20"/>
              </w:rPr>
              <w:t>李建国</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联通集团</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工会主席</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12</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5" w:hRule="exact"/>
        </w:trPr>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364"/>
              <w:jc w:val="right"/>
              <w:rPr>
                <w:rFonts w:ascii="宋体" w:hAnsi="宋体" w:cs="宋体" w:eastAsia="宋体" w:hint="default"/>
                <w:sz w:val="20"/>
                <w:szCs w:val="20"/>
              </w:rPr>
            </w:pPr>
            <w:r>
              <w:rPr>
                <w:rFonts w:ascii="宋体" w:hAnsi="宋体" w:cs="宋体" w:eastAsia="宋体" w:hint="default"/>
                <w:sz w:val="20"/>
                <w:szCs w:val="20"/>
              </w:rPr>
              <w:t>郭小林</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sz w:val="20"/>
                <w:szCs w:val="20"/>
              </w:rPr>
              <w:t>联通集团</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审计部总经理</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4</w:t>
            </w:r>
            <w:r>
              <w:rPr>
                <w:rFonts w:ascii="Arial" w:hAnsi="Arial" w:cs="Arial" w:eastAsia="Arial" w:hint="default"/>
                <w:spacing w:val="-5"/>
                <w:sz w:val="20"/>
                <w:szCs w:val="20"/>
              </w:rPr>
              <w:t> </w:t>
            </w:r>
            <w:r>
              <w:rPr>
                <w:rFonts w:ascii="宋体" w:hAnsi="宋体" w:cs="宋体" w:eastAsia="宋体" w:hint="default"/>
                <w:sz w:val="20"/>
                <w:szCs w:val="20"/>
              </w:rPr>
              <w:t>月</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5" w:hRule="exact"/>
        </w:trPr>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364"/>
              <w:jc w:val="right"/>
              <w:rPr>
                <w:rFonts w:ascii="宋体" w:hAnsi="宋体" w:cs="宋体" w:eastAsia="宋体" w:hint="default"/>
                <w:sz w:val="20"/>
                <w:szCs w:val="20"/>
              </w:rPr>
            </w:pPr>
            <w:r>
              <w:rPr>
                <w:rFonts w:ascii="宋体" w:hAnsi="宋体" w:cs="宋体" w:eastAsia="宋体" w:hint="default"/>
                <w:sz w:val="20"/>
                <w:szCs w:val="20"/>
              </w:rPr>
              <w:t>郭晓科</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联通集团</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工会副主席</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w:t>
            </w:r>
            <w:r>
              <w:rPr>
                <w:rFonts w:ascii="Arial" w:hAnsi="Arial" w:cs="Arial" w:eastAsia="Arial" w:hint="default"/>
                <w:spacing w:val="-5"/>
                <w:sz w:val="20"/>
                <w:szCs w:val="20"/>
              </w:rPr>
              <w:t> </w:t>
            </w:r>
            <w:r>
              <w:rPr>
                <w:rFonts w:ascii="宋体" w:hAnsi="宋体" w:cs="宋体" w:eastAsia="宋体" w:hint="default"/>
                <w:sz w:val="20"/>
                <w:szCs w:val="20"/>
              </w:rPr>
              <w:t>月</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4" w:hRule="exact"/>
        </w:trPr>
        <w:tc>
          <w:tcPr>
            <w:tcW w:w="1083" w:type="dxa"/>
            <w:vMerge w:val="restart"/>
            <w:tcBorders>
              <w:top w:val="single" w:sz="6" w:space="0" w:color="000000"/>
              <w:left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0"/>
                <w:szCs w:val="20"/>
              </w:rPr>
            </w:pPr>
            <w:r>
              <w:rPr>
                <w:rFonts w:ascii="宋体" w:hAnsi="宋体" w:cs="宋体" w:eastAsia="宋体" w:hint="default"/>
                <w:sz w:val="20"/>
                <w:szCs w:val="20"/>
              </w:rPr>
              <w:t>姚琼</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联通集团</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工会副主席</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Arial" w:hAnsi="Arial" w:cs="Arial" w:eastAsia="Arial" w:hint="default"/>
                <w:sz w:val="20"/>
                <w:szCs w:val="20"/>
              </w:rPr>
              <w:t>2008</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11</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9"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w:t>
            </w:r>
            <w:r>
              <w:rPr>
                <w:rFonts w:ascii="Arial" w:hAnsi="Arial" w:cs="Arial" w:eastAsia="Arial" w:hint="default"/>
                <w:spacing w:val="-5"/>
                <w:sz w:val="20"/>
                <w:szCs w:val="20"/>
              </w:rPr>
              <w:t> </w:t>
            </w:r>
            <w:r>
              <w:rPr>
                <w:rFonts w:ascii="宋体" w:hAnsi="宋体" w:cs="宋体" w:eastAsia="宋体" w:hint="default"/>
                <w:sz w:val="20"/>
                <w:szCs w:val="20"/>
              </w:rPr>
              <w:t>月</w:t>
            </w:r>
          </w:p>
        </w:tc>
      </w:tr>
      <w:tr>
        <w:trPr>
          <w:trHeight w:val="275" w:hRule="exact"/>
        </w:trPr>
        <w:tc>
          <w:tcPr>
            <w:tcW w:w="1083"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sz w:val="20"/>
                <w:szCs w:val="20"/>
              </w:rPr>
              <w:t>联通集团</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工会资深经理</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w:t>
            </w:r>
            <w:r>
              <w:rPr>
                <w:rFonts w:ascii="Arial" w:hAnsi="Arial" w:cs="Arial" w:eastAsia="Arial" w:hint="default"/>
                <w:spacing w:val="-5"/>
                <w:sz w:val="20"/>
                <w:szCs w:val="20"/>
              </w:rPr>
              <w:t> </w:t>
            </w:r>
            <w:r>
              <w:rPr>
                <w:rFonts w:ascii="宋体" w:hAnsi="宋体" w:cs="宋体" w:eastAsia="宋体" w:hint="default"/>
                <w:sz w:val="20"/>
                <w:szCs w:val="20"/>
              </w:rPr>
              <w:t>月</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5" w:hRule="exact"/>
        </w:trPr>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364"/>
              <w:jc w:val="right"/>
              <w:rPr>
                <w:rFonts w:ascii="宋体" w:hAnsi="宋体" w:cs="宋体" w:eastAsia="宋体" w:hint="default"/>
                <w:sz w:val="20"/>
                <w:szCs w:val="20"/>
              </w:rPr>
            </w:pPr>
            <w:r>
              <w:rPr>
                <w:rFonts w:ascii="宋体" w:hAnsi="宋体" w:cs="宋体" w:eastAsia="宋体" w:hint="default"/>
                <w:sz w:val="20"/>
                <w:szCs w:val="20"/>
              </w:rPr>
              <w:t>韦海波</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联通集团</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审计部总经理</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3</w:t>
            </w:r>
            <w:r>
              <w:rPr>
                <w:rFonts w:ascii="Arial" w:hAnsi="Arial" w:cs="Arial" w:eastAsia="Arial" w:hint="default"/>
                <w:spacing w:val="-5"/>
                <w:sz w:val="20"/>
                <w:szCs w:val="20"/>
              </w:rPr>
              <w:t> </w:t>
            </w:r>
            <w:r>
              <w:rPr>
                <w:rFonts w:ascii="宋体" w:hAnsi="宋体" w:cs="宋体" w:eastAsia="宋体" w:hint="default"/>
                <w:sz w:val="20"/>
                <w:szCs w:val="20"/>
              </w:rPr>
              <w:t>月</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9"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w:t>
            </w:r>
            <w:r>
              <w:rPr>
                <w:rFonts w:ascii="Arial" w:hAnsi="Arial" w:cs="Arial" w:eastAsia="Arial" w:hint="default"/>
                <w:spacing w:val="-5"/>
                <w:sz w:val="20"/>
                <w:szCs w:val="20"/>
              </w:rPr>
              <w:t> </w:t>
            </w:r>
            <w:r>
              <w:rPr>
                <w:rFonts w:ascii="宋体" w:hAnsi="宋体" w:cs="宋体" w:eastAsia="宋体" w:hint="default"/>
                <w:sz w:val="20"/>
                <w:szCs w:val="20"/>
              </w:rPr>
              <w:t>月</w:t>
            </w:r>
          </w:p>
        </w:tc>
      </w:tr>
    </w:tbl>
    <w:p>
      <w:pPr>
        <w:spacing w:line="240" w:lineRule="auto" w:before="2"/>
        <w:rPr>
          <w:rFonts w:ascii="宋体" w:hAnsi="宋体" w:cs="宋体" w:eastAsia="宋体" w:hint="default"/>
          <w:sz w:val="14"/>
          <w:szCs w:val="14"/>
        </w:rPr>
      </w:pPr>
    </w:p>
    <w:p>
      <w:pPr>
        <w:pStyle w:val="BodyText"/>
        <w:spacing w:line="240" w:lineRule="auto" w:before="31"/>
        <w:ind w:left="146" w:right="0"/>
        <w:jc w:val="left"/>
      </w:pPr>
      <w:r>
        <w:rPr/>
        <w:t>（二）在其他单位任职情况</w:t>
      </w:r>
    </w:p>
    <w:p>
      <w:pPr>
        <w:spacing w:line="240" w:lineRule="auto" w:before="11"/>
        <w:rPr>
          <w:rFonts w:ascii="宋体" w:hAnsi="宋体" w:cs="宋体" w:eastAsia="宋体" w:hint="default"/>
          <w:sz w:val="21"/>
          <w:szCs w:val="21"/>
        </w:rPr>
      </w:pPr>
    </w:p>
    <w:tbl>
      <w:tblPr>
        <w:tblW w:w="0" w:type="auto"/>
        <w:jc w:val="left"/>
        <w:tblInd w:w="139" w:type="dxa"/>
        <w:tblLayout w:type="fixed"/>
        <w:tblCellMar>
          <w:top w:w="0" w:type="dxa"/>
          <w:left w:w="0" w:type="dxa"/>
          <w:bottom w:w="0" w:type="dxa"/>
          <w:right w:w="0" w:type="dxa"/>
        </w:tblCellMar>
        <w:tblLook w:val="01E0"/>
      </w:tblPr>
      <w:tblGrid>
        <w:gridCol w:w="923"/>
        <w:gridCol w:w="2410"/>
        <w:gridCol w:w="2897"/>
        <w:gridCol w:w="1891"/>
        <w:gridCol w:w="1370"/>
      </w:tblGrid>
      <w:tr>
        <w:trPr>
          <w:trHeight w:val="534"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53" w:right="0"/>
              <w:jc w:val="left"/>
              <w:rPr>
                <w:rFonts w:ascii="宋体" w:hAnsi="宋体" w:cs="宋体" w:eastAsia="宋体" w:hint="default"/>
                <w:sz w:val="20"/>
                <w:szCs w:val="20"/>
              </w:rPr>
            </w:pPr>
            <w:r>
              <w:rPr>
                <w:rFonts w:ascii="宋体" w:hAnsi="宋体" w:cs="宋体" w:eastAsia="宋体" w:hint="default"/>
                <w:sz w:val="20"/>
                <w:szCs w:val="20"/>
              </w:rPr>
              <w:t>任职人</w:t>
            </w:r>
          </w:p>
          <w:p>
            <w:pPr>
              <w:pStyle w:val="TableParagraph"/>
              <w:spacing w:line="260" w:lineRule="exact"/>
              <w:ind w:left="153" w:right="0"/>
              <w:jc w:val="left"/>
              <w:rPr>
                <w:rFonts w:ascii="宋体" w:hAnsi="宋体" w:cs="宋体" w:eastAsia="宋体" w:hint="default"/>
                <w:sz w:val="20"/>
                <w:szCs w:val="20"/>
              </w:rPr>
            </w:pPr>
            <w:r>
              <w:rPr>
                <w:rFonts w:ascii="宋体" w:hAnsi="宋体" w:cs="宋体" w:eastAsia="宋体" w:hint="default"/>
                <w:sz w:val="20"/>
                <w:szCs w:val="20"/>
              </w:rPr>
              <w:t>员姓名</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596" w:right="0"/>
              <w:jc w:val="left"/>
              <w:rPr>
                <w:rFonts w:ascii="宋体" w:hAnsi="宋体" w:cs="宋体" w:eastAsia="宋体" w:hint="default"/>
                <w:sz w:val="20"/>
                <w:szCs w:val="20"/>
              </w:rPr>
            </w:pPr>
            <w:r>
              <w:rPr>
                <w:rFonts w:ascii="宋体" w:hAnsi="宋体" w:cs="宋体" w:eastAsia="宋体" w:hint="default"/>
                <w:sz w:val="20"/>
                <w:szCs w:val="20"/>
              </w:rPr>
              <w:t>其他单位名称</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39" w:right="0"/>
              <w:jc w:val="left"/>
              <w:rPr>
                <w:rFonts w:ascii="宋体" w:hAnsi="宋体" w:cs="宋体" w:eastAsia="宋体" w:hint="default"/>
                <w:sz w:val="20"/>
                <w:szCs w:val="20"/>
              </w:rPr>
            </w:pPr>
            <w:r>
              <w:rPr>
                <w:rFonts w:ascii="宋体" w:hAnsi="宋体" w:cs="宋体" w:eastAsia="宋体" w:hint="default"/>
                <w:sz w:val="20"/>
                <w:szCs w:val="20"/>
              </w:rPr>
              <w:t>在其他单位担任的职务</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38" w:right="0"/>
              <w:jc w:val="left"/>
              <w:rPr>
                <w:rFonts w:ascii="宋体" w:hAnsi="宋体" w:cs="宋体" w:eastAsia="宋体" w:hint="default"/>
                <w:sz w:val="20"/>
                <w:szCs w:val="20"/>
              </w:rPr>
            </w:pPr>
            <w:r>
              <w:rPr>
                <w:rFonts w:ascii="宋体" w:hAnsi="宋体" w:cs="宋体" w:eastAsia="宋体" w:hint="default"/>
                <w:sz w:val="20"/>
                <w:szCs w:val="20"/>
              </w:rPr>
              <w:t>任期起始日期</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任期终止</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日期</w:t>
            </w:r>
          </w:p>
        </w:tc>
      </w:tr>
      <w:tr>
        <w:trPr>
          <w:trHeight w:val="534" w:hRule="exact"/>
        </w:trPr>
        <w:tc>
          <w:tcPr>
            <w:tcW w:w="92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20"/>
                <w:szCs w:val="20"/>
              </w:rPr>
            </w:pPr>
            <w:r>
              <w:rPr>
                <w:rFonts w:ascii="宋体" w:hAnsi="宋体" w:cs="宋体" w:eastAsia="宋体" w:hint="default"/>
                <w:sz w:val="20"/>
                <w:szCs w:val="20"/>
              </w:rPr>
              <w:t>常小兵</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00" w:right="0"/>
              <w:jc w:val="left"/>
              <w:rPr>
                <w:rFonts w:ascii="宋体" w:hAnsi="宋体" w:cs="宋体" w:eastAsia="宋体" w:hint="default"/>
                <w:sz w:val="20"/>
                <w:szCs w:val="20"/>
              </w:rPr>
            </w:pPr>
            <w:r>
              <w:rPr>
                <w:rFonts w:ascii="宋体" w:hAnsi="宋体" w:cs="宋体" w:eastAsia="宋体" w:hint="default"/>
                <w:sz w:val="20"/>
                <w:szCs w:val="20"/>
              </w:rPr>
              <w:t>联通红筹公司</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执行董事、董事长兼首席执行</w:t>
            </w:r>
          </w:p>
          <w:p>
            <w:pPr>
              <w:pStyle w:val="TableParagraph"/>
              <w:spacing w:line="260" w:lineRule="exact"/>
              <w:ind w:left="99" w:right="0"/>
              <w:jc w:val="left"/>
              <w:rPr>
                <w:rFonts w:ascii="宋体" w:hAnsi="宋体" w:cs="宋体" w:eastAsia="宋体" w:hint="default"/>
                <w:sz w:val="20"/>
                <w:szCs w:val="20"/>
              </w:rPr>
            </w:pPr>
            <w:r>
              <w:rPr>
                <w:rFonts w:ascii="宋体" w:hAnsi="宋体" w:cs="宋体" w:eastAsia="宋体" w:hint="default"/>
                <w:w w:val="100"/>
                <w:sz w:val="20"/>
                <w:szCs w:val="20"/>
              </w:rPr>
              <w:t>官</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00" w:right="0"/>
              <w:jc w:val="left"/>
              <w:rPr>
                <w:rFonts w:ascii="宋体" w:hAnsi="宋体" w:cs="宋体" w:eastAsia="宋体" w:hint="default"/>
                <w:sz w:val="20"/>
                <w:szCs w:val="20"/>
              </w:rPr>
            </w:pPr>
            <w:r>
              <w:rPr>
                <w:rFonts w:ascii="Arial" w:hAnsi="Arial" w:cs="Arial" w:eastAsia="Arial" w:hint="default"/>
                <w:sz w:val="20"/>
                <w:szCs w:val="20"/>
              </w:rPr>
              <w:t>2004</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12</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日</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5" w:hRule="exact"/>
        </w:trPr>
        <w:tc>
          <w:tcPr>
            <w:tcW w:w="923" w:type="dxa"/>
            <w:vMerge/>
            <w:tcBorders>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联通运营公司</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0"/>
                <w:szCs w:val="20"/>
              </w:rPr>
            </w:pPr>
            <w:r>
              <w:rPr>
                <w:rFonts w:ascii="Arial" w:hAnsi="Arial" w:cs="Arial" w:eastAsia="Arial" w:hint="default"/>
                <w:sz w:val="20"/>
                <w:szCs w:val="20"/>
              </w:rPr>
              <w:t>2004</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12</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日</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4" w:hRule="exact"/>
        </w:trPr>
        <w:tc>
          <w:tcPr>
            <w:tcW w:w="92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9"/>
                <w:szCs w:val="29"/>
              </w:rPr>
            </w:pPr>
          </w:p>
          <w:p>
            <w:pPr>
              <w:pStyle w:val="TableParagraph"/>
              <w:spacing w:line="240" w:lineRule="auto"/>
              <w:ind w:left="153" w:right="0"/>
              <w:jc w:val="left"/>
              <w:rPr>
                <w:rFonts w:ascii="宋体" w:hAnsi="宋体" w:cs="宋体" w:eastAsia="宋体" w:hint="default"/>
                <w:sz w:val="20"/>
                <w:szCs w:val="20"/>
              </w:rPr>
            </w:pPr>
            <w:r>
              <w:rPr>
                <w:rFonts w:ascii="宋体" w:hAnsi="宋体" w:cs="宋体" w:eastAsia="宋体" w:hint="default"/>
                <w:sz w:val="20"/>
                <w:szCs w:val="20"/>
              </w:rPr>
              <w:t>陆益民</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联通红筹公司</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执行董事</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Arial" w:hAnsi="Arial" w:cs="Arial" w:eastAsia="Arial" w:hint="default"/>
                <w:sz w:val="20"/>
                <w:szCs w:val="20"/>
              </w:rPr>
              <w:t>2008</w:t>
            </w:r>
            <w:r>
              <w:rPr>
                <w:rFonts w:ascii="Arial" w:hAnsi="Arial" w:cs="Arial" w:eastAsia="Arial" w:hint="default"/>
                <w:spacing w:val="-20"/>
                <w:sz w:val="20"/>
                <w:szCs w:val="20"/>
              </w:rPr>
              <w:t> </w:t>
            </w:r>
            <w:r>
              <w:rPr>
                <w:rFonts w:ascii="宋体" w:hAnsi="宋体" w:cs="宋体" w:eastAsia="宋体" w:hint="default"/>
                <w:sz w:val="20"/>
                <w:szCs w:val="20"/>
              </w:rPr>
              <w:t>年</w:t>
            </w:r>
            <w:r>
              <w:rPr>
                <w:rFonts w:ascii="宋体" w:hAnsi="宋体" w:cs="宋体" w:eastAsia="宋体" w:hint="default"/>
                <w:spacing w:val="-63"/>
                <w:sz w:val="20"/>
                <w:szCs w:val="20"/>
              </w:rPr>
              <w:t> </w:t>
            </w:r>
            <w:r>
              <w:rPr>
                <w:rFonts w:ascii="Arial" w:hAnsi="Arial" w:cs="Arial" w:eastAsia="Arial" w:hint="default"/>
                <w:sz w:val="20"/>
                <w:szCs w:val="20"/>
              </w:rPr>
              <w:t>10</w:t>
            </w:r>
            <w:r>
              <w:rPr>
                <w:rFonts w:ascii="Arial" w:hAnsi="Arial" w:cs="Arial" w:eastAsia="Arial" w:hint="default"/>
                <w:spacing w:val="-19"/>
                <w:sz w:val="20"/>
                <w:szCs w:val="20"/>
              </w:rPr>
              <w:t> </w:t>
            </w:r>
            <w:r>
              <w:rPr>
                <w:rFonts w:ascii="宋体" w:hAnsi="宋体" w:cs="宋体" w:eastAsia="宋体" w:hint="default"/>
                <w:sz w:val="20"/>
                <w:szCs w:val="20"/>
              </w:rPr>
              <w:t>月</w:t>
            </w:r>
            <w:r>
              <w:rPr>
                <w:rFonts w:ascii="宋体" w:hAnsi="宋体" w:cs="宋体" w:eastAsia="宋体" w:hint="default"/>
                <w:spacing w:val="-64"/>
                <w:sz w:val="20"/>
                <w:szCs w:val="20"/>
              </w:rPr>
              <w:t> </w:t>
            </w:r>
            <w:r>
              <w:rPr>
                <w:rFonts w:ascii="Arial" w:hAnsi="Arial" w:cs="Arial" w:eastAsia="Arial" w:hint="default"/>
                <w:sz w:val="20"/>
                <w:szCs w:val="20"/>
              </w:rPr>
              <w:t>15</w:t>
            </w:r>
            <w:r>
              <w:rPr>
                <w:rFonts w:ascii="Arial" w:hAnsi="Arial" w:cs="Arial" w:eastAsia="Arial" w:hint="default"/>
                <w:spacing w:val="-19"/>
                <w:sz w:val="20"/>
                <w:szCs w:val="20"/>
              </w:rPr>
              <w:t> </w:t>
            </w:r>
            <w:r>
              <w:rPr>
                <w:rFonts w:ascii="宋体" w:hAnsi="宋体" w:cs="宋体" w:eastAsia="宋体" w:hint="default"/>
                <w:sz w:val="20"/>
                <w:szCs w:val="20"/>
              </w:rPr>
              <w:t>日</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5" w:hRule="exact"/>
        </w:trPr>
        <w:tc>
          <w:tcPr>
            <w:tcW w:w="923" w:type="dxa"/>
            <w:vMerge/>
            <w:tcBorders>
              <w:left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联通红筹公司</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总裁</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13</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5" w:hRule="exact"/>
        </w:trPr>
        <w:tc>
          <w:tcPr>
            <w:tcW w:w="923" w:type="dxa"/>
            <w:vMerge/>
            <w:tcBorders>
              <w:left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联通运营公司</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Arial" w:hAnsi="Arial" w:cs="Arial" w:eastAsia="Arial" w:hint="default"/>
                <w:sz w:val="20"/>
                <w:szCs w:val="20"/>
              </w:rPr>
              <w:t>2008</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11</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4" w:hRule="exact"/>
        </w:trPr>
        <w:tc>
          <w:tcPr>
            <w:tcW w:w="923" w:type="dxa"/>
            <w:vMerge/>
            <w:tcBorders>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联通运营公司</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总裁</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13</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5" w:hRule="exact"/>
        </w:trPr>
        <w:tc>
          <w:tcPr>
            <w:tcW w:w="92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20"/>
                <w:szCs w:val="20"/>
              </w:rPr>
            </w:pPr>
            <w:r>
              <w:rPr>
                <w:rFonts w:ascii="宋体" w:hAnsi="宋体" w:cs="宋体" w:eastAsia="宋体" w:hint="default"/>
                <w:sz w:val="20"/>
                <w:szCs w:val="20"/>
              </w:rPr>
              <w:t>佟吉禄</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联通红筹公司</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执行董事、首席财务官</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0"/>
                <w:szCs w:val="20"/>
              </w:rPr>
            </w:pPr>
            <w:r>
              <w:rPr>
                <w:rFonts w:ascii="Arial" w:hAnsi="Arial" w:cs="Arial" w:eastAsia="Arial" w:hint="default"/>
                <w:sz w:val="20"/>
                <w:szCs w:val="20"/>
              </w:rPr>
              <w:t>2004</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3</w:t>
            </w:r>
            <w:r>
              <w:rPr>
                <w:rFonts w:ascii="Arial" w:hAnsi="Arial" w:cs="Arial" w:eastAsia="Arial" w:hint="default"/>
                <w:spacing w:val="-5"/>
                <w:sz w:val="20"/>
                <w:szCs w:val="20"/>
              </w:rPr>
              <w:t> </w:t>
            </w:r>
            <w:r>
              <w:rPr>
                <w:rFonts w:ascii="宋体" w:hAnsi="宋体" w:cs="宋体" w:eastAsia="宋体" w:hint="default"/>
                <w:sz w:val="20"/>
                <w:szCs w:val="20"/>
              </w:rPr>
              <w:t>月</w:t>
            </w:r>
          </w:p>
        </w:tc>
      </w:tr>
      <w:tr>
        <w:trPr>
          <w:trHeight w:val="275" w:hRule="exact"/>
        </w:trPr>
        <w:tc>
          <w:tcPr>
            <w:tcW w:w="923" w:type="dxa"/>
            <w:vMerge/>
            <w:tcBorders>
              <w:left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联通红筹公司</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执行董事、高级副总裁</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3</w:t>
            </w:r>
            <w:r>
              <w:rPr>
                <w:rFonts w:ascii="Arial" w:hAnsi="Arial" w:cs="Arial" w:eastAsia="Arial" w:hint="default"/>
                <w:spacing w:val="-5"/>
                <w:sz w:val="20"/>
                <w:szCs w:val="20"/>
              </w:rPr>
              <w:t> </w:t>
            </w:r>
            <w:r>
              <w:rPr>
                <w:rFonts w:ascii="宋体" w:hAnsi="宋体" w:cs="宋体" w:eastAsia="宋体" w:hint="default"/>
                <w:sz w:val="20"/>
                <w:szCs w:val="20"/>
              </w:rPr>
              <w:t>月</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4" w:hRule="exact"/>
        </w:trPr>
        <w:tc>
          <w:tcPr>
            <w:tcW w:w="923" w:type="dxa"/>
            <w:vMerge/>
            <w:tcBorders>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联通运营公司</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董事、高级副总裁</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Arial" w:hAnsi="Arial" w:cs="Arial" w:eastAsia="Arial" w:hint="default"/>
                <w:sz w:val="20"/>
                <w:szCs w:val="20"/>
              </w:rPr>
              <w:t>2003</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11</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日</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5" w:hRule="exact"/>
        </w:trPr>
        <w:tc>
          <w:tcPr>
            <w:tcW w:w="923" w:type="dxa"/>
            <w:tcBorders>
              <w:top w:val="single" w:sz="6" w:space="0" w:color="000000"/>
              <w:left w:val="single" w:sz="6" w:space="0" w:color="000000"/>
              <w:bottom w:val="single" w:sz="4" w:space="0" w:color="000000"/>
              <w:right w:val="single" w:sz="6" w:space="0" w:color="000000"/>
            </w:tcBorders>
          </w:tcPr>
          <w:p>
            <w:pPr>
              <w:pStyle w:val="TableParagraph"/>
              <w:spacing w:line="231" w:lineRule="exact"/>
              <w:ind w:left="153" w:right="0"/>
              <w:jc w:val="left"/>
              <w:rPr>
                <w:rFonts w:ascii="宋体" w:hAnsi="宋体" w:cs="宋体" w:eastAsia="宋体" w:hint="default"/>
                <w:sz w:val="20"/>
                <w:szCs w:val="20"/>
              </w:rPr>
            </w:pPr>
            <w:r>
              <w:rPr>
                <w:rFonts w:ascii="宋体" w:hAnsi="宋体" w:cs="宋体" w:eastAsia="宋体" w:hint="default"/>
                <w:sz w:val="20"/>
                <w:szCs w:val="20"/>
              </w:rPr>
              <w:t>李福申</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联通红筹公司</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高级副总裁</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2</w:t>
            </w:r>
            <w:r>
              <w:rPr>
                <w:rFonts w:ascii="Arial" w:hAnsi="Arial" w:cs="Arial" w:eastAsia="Arial" w:hint="default"/>
                <w:spacing w:val="-5"/>
                <w:sz w:val="20"/>
                <w:szCs w:val="20"/>
              </w:rPr>
              <w:t> </w:t>
            </w:r>
            <w:r>
              <w:rPr>
                <w:rFonts w:ascii="宋体" w:hAnsi="宋体" w:cs="宋体" w:eastAsia="宋体" w:hint="default"/>
                <w:sz w:val="20"/>
                <w:szCs w:val="20"/>
              </w:rPr>
              <w:t>月</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9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3</w:t>
            </w:r>
            <w:r>
              <w:rPr>
                <w:rFonts w:ascii="Arial" w:hAnsi="Arial" w:cs="Arial" w:eastAsia="Arial" w:hint="default"/>
                <w:spacing w:val="-5"/>
                <w:sz w:val="20"/>
                <w:szCs w:val="20"/>
              </w:rPr>
              <w:t> </w:t>
            </w:r>
            <w:r>
              <w:rPr>
                <w:rFonts w:ascii="宋体" w:hAnsi="宋体" w:cs="宋体" w:eastAsia="宋体" w:hint="default"/>
                <w:sz w:val="20"/>
                <w:szCs w:val="20"/>
              </w:rPr>
              <w:t>月</w:t>
            </w:r>
          </w:p>
        </w:tc>
      </w:tr>
    </w:tbl>
    <w:p>
      <w:pPr>
        <w:spacing w:after="0" w:line="245" w:lineRule="exact"/>
        <w:jc w:val="left"/>
        <w:rPr>
          <w:rFonts w:ascii="宋体" w:hAnsi="宋体" w:cs="宋体" w:eastAsia="宋体" w:hint="default"/>
          <w:sz w:val="20"/>
          <w:szCs w:val="20"/>
        </w:rPr>
        <w:sectPr>
          <w:pgSz w:w="11910" w:h="16840"/>
          <w:pgMar w:header="567" w:footer="745" w:top="800" w:bottom="940" w:left="1380" w:right="7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39" w:type="dxa"/>
        <w:tblLayout w:type="fixed"/>
        <w:tblCellMar>
          <w:top w:w="0" w:type="dxa"/>
          <w:left w:w="0" w:type="dxa"/>
          <w:bottom w:w="0" w:type="dxa"/>
          <w:right w:w="0" w:type="dxa"/>
        </w:tblCellMar>
        <w:tblLook w:val="01E0"/>
      </w:tblPr>
      <w:tblGrid>
        <w:gridCol w:w="923"/>
        <w:gridCol w:w="2410"/>
        <w:gridCol w:w="2897"/>
        <w:gridCol w:w="1891"/>
        <w:gridCol w:w="1370"/>
      </w:tblGrid>
      <w:tr>
        <w:trPr>
          <w:trHeight w:val="275" w:hRule="exact"/>
        </w:trPr>
        <w:tc>
          <w:tcPr>
            <w:tcW w:w="923" w:type="dxa"/>
            <w:vMerge w:val="restart"/>
            <w:tcBorders>
              <w:top w:val="single" w:sz="4" w:space="0" w:color="000000"/>
              <w:left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联通红筹公司</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执行董事、首席财务官</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3</w:t>
            </w:r>
            <w:r>
              <w:rPr>
                <w:rFonts w:ascii="Arial" w:hAnsi="Arial" w:cs="Arial" w:eastAsia="Arial" w:hint="default"/>
                <w:spacing w:val="-5"/>
                <w:sz w:val="20"/>
                <w:szCs w:val="20"/>
              </w:rPr>
              <w:t> </w:t>
            </w:r>
            <w:r>
              <w:rPr>
                <w:rFonts w:ascii="宋体" w:hAnsi="宋体" w:cs="宋体" w:eastAsia="宋体" w:hint="default"/>
                <w:sz w:val="20"/>
                <w:szCs w:val="20"/>
              </w:rPr>
              <w:t>月</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5" w:hRule="exact"/>
        </w:trPr>
        <w:tc>
          <w:tcPr>
            <w:tcW w:w="923" w:type="dxa"/>
            <w:vMerge/>
            <w:tcBorders>
              <w:left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联通运营公司</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Arial" w:hAnsi="Arial" w:cs="Arial" w:eastAsia="Arial" w:hint="default"/>
                <w:sz w:val="20"/>
                <w:szCs w:val="20"/>
              </w:rPr>
              <w:t>2008</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11</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9"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2</w:t>
            </w:r>
            <w:r>
              <w:rPr>
                <w:rFonts w:ascii="Arial" w:hAnsi="Arial" w:cs="Arial" w:eastAsia="Arial" w:hint="default"/>
                <w:spacing w:val="-5"/>
                <w:sz w:val="20"/>
                <w:szCs w:val="20"/>
              </w:rPr>
              <w:t> </w:t>
            </w:r>
            <w:r>
              <w:rPr>
                <w:rFonts w:ascii="宋体" w:hAnsi="宋体" w:cs="宋体" w:eastAsia="宋体" w:hint="default"/>
                <w:sz w:val="20"/>
                <w:szCs w:val="20"/>
              </w:rPr>
              <w:t>月</w:t>
            </w:r>
          </w:p>
        </w:tc>
      </w:tr>
      <w:tr>
        <w:trPr>
          <w:trHeight w:val="274" w:hRule="exact"/>
        </w:trPr>
        <w:tc>
          <w:tcPr>
            <w:tcW w:w="923" w:type="dxa"/>
            <w:vMerge/>
            <w:tcBorders>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联通运营公司</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董事、高级副总裁</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2</w:t>
            </w:r>
            <w:r>
              <w:rPr>
                <w:rFonts w:ascii="Arial" w:hAnsi="Arial" w:cs="Arial" w:eastAsia="Arial" w:hint="default"/>
                <w:spacing w:val="-5"/>
                <w:sz w:val="20"/>
                <w:szCs w:val="20"/>
              </w:rPr>
              <w:t> </w:t>
            </w:r>
            <w:r>
              <w:rPr>
                <w:rFonts w:ascii="宋体" w:hAnsi="宋体" w:cs="宋体" w:eastAsia="宋体" w:hint="default"/>
                <w:sz w:val="20"/>
                <w:szCs w:val="20"/>
              </w:rPr>
              <w:t>月</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5" w:hRule="exact"/>
        </w:trPr>
        <w:tc>
          <w:tcPr>
            <w:tcW w:w="923"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53" w:right="0"/>
              <w:jc w:val="left"/>
              <w:rPr>
                <w:rFonts w:ascii="宋体" w:hAnsi="宋体" w:cs="宋体" w:eastAsia="宋体" w:hint="default"/>
                <w:sz w:val="20"/>
                <w:szCs w:val="20"/>
              </w:rPr>
            </w:pPr>
            <w:r>
              <w:rPr>
                <w:rFonts w:ascii="宋体" w:hAnsi="宋体" w:cs="宋体" w:eastAsia="宋体" w:hint="default"/>
                <w:sz w:val="20"/>
                <w:szCs w:val="20"/>
              </w:rPr>
              <w:t>李建国</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联通红筹公司</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高级副总裁</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13</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5" w:hRule="exact"/>
        </w:trPr>
        <w:tc>
          <w:tcPr>
            <w:tcW w:w="923" w:type="dxa"/>
            <w:vMerge/>
            <w:tcBorders>
              <w:left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联通运营公司</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Arial" w:hAnsi="Arial" w:cs="Arial" w:eastAsia="Arial" w:hint="default"/>
                <w:sz w:val="20"/>
                <w:szCs w:val="20"/>
              </w:rPr>
              <w:t>2008</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11</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4" w:hRule="exact"/>
        </w:trPr>
        <w:tc>
          <w:tcPr>
            <w:tcW w:w="923" w:type="dxa"/>
            <w:vMerge/>
            <w:tcBorders>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联通运营公司</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高级副总裁</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13</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534"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sz w:val="20"/>
                <w:szCs w:val="20"/>
              </w:rPr>
              <w:t>郭晓科</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00" w:right="0"/>
              <w:jc w:val="left"/>
              <w:rPr>
                <w:rFonts w:ascii="宋体" w:hAnsi="宋体" w:cs="宋体" w:eastAsia="宋体" w:hint="default"/>
                <w:sz w:val="20"/>
                <w:szCs w:val="20"/>
              </w:rPr>
            </w:pPr>
            <w:r>
              <w:rPr>
                <w:rFonts w:ascii="宋体" w:hAnsi="宋体" w:cs="宋体" w:eastAsia="宋体" w:hint="default"/>
                <w:sz w:val="20"/>
                <w:szCs w:val="20"/>
              </w:rPr>
              <w:t>联通运营公司</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联通运营公司浙江分公司总经</w:t>
            </w:r>
          </w:p>
          <w:p>
            <w:pPr>
              <w:pStyle w:val="TableParagraph"/>
              <w:spacing w:line="260" w:lineRule="exact"/>
              <w:ind w:left="99" w:right="0"/>
              <w:jc w:val="left"/>
              <w:rPr>
                <w:rFonts w:ascii="宋体" w:hAnsi="宋体" w:cs="宋体" w:eastAsia="宋体" w:hint="default"/>
                <w:sz w:val="20"/>
                <w:szCs w:val="20"/>
              </w:rPr>
            </w:pPr>
            <w:r>
              <w:rPr>
                <w:rFonts w:ascii="宋体" w:hAnsi="宋体" w:cs="宋体" w:eastAsia="宋体" w:hint="default"/>
                <w:w w:val="100"/>
                <w:sz w:val="20"/>
                <w:szCs w:val="20"/>
              </w:rPr>
              <w:t>理</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00"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4</w:t>
            </w:r>
            <w:r>
              <w:rPr>
                <w:rFonts w:ascii="Arial" w:hAnsi="Arial" w:cs="Arial" w:eastAsia="Arial" w:hint="default"/>
                <w:spacing w:val="-5"/>
                <w:sz w:val="20"/>
                <w:szCs w:val="20"/>
              </w:rPr>
              <w:t> </w:t>
            </w:r>
            <w:r>
              <w:rPr>
                <w:rFonts w:ascii="宋体" w:hAnsi="宋体" w:cs="宋体" w:eastAsia="宋体" w:hint="default"/>
                <w:sz w:val="20"/>
                <w:szCs w:val="20"/>
              </w:rPr>
              <w:t>月</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99"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w:t>
            </w:r>
            <w:r>
              <w:rPr>
                <w:rFonts w:ascii="Arial" w:hAnsi="Arial" w:cs="Arial" w:eastAsia="Arial" w:hint="default"/>
                <w:spacing w:val="-5"/>
                <w:sz w:val="20"/>
                <w:szCs w:val="20"/>
              </w:rPr>
              <w:t> </w:t>
            </w:r>
            <w:r>
              <w:rPr>
                <w:rFonts w:ascii="宋体" w:hAnsi="宋体" w:cs="宋体" w:eastAsia="宋体" w:hint="default"/>
                <w:sz w:val="20"/>
                <w:szCs w:val="20"/>
              </w:rPr>
              <w:t>月</w:t>
            </w:r>
          </w:p>
        </w:tc>
      </w:tr>
      <w:tr>
        <w:trPr>
          <w:trHeight w:val="534"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sz w:val="20"/>
                <w:szCs w:val="20"/>
              </w:rPr>
              <w:t>韦海波</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00" w:right="0"/>
              <w:jc w:val="left"/>
              <w:rPr>
                <w:rFonts w:ascii="宋体" w:hAnsi="宋体" w:cs="宋体" w:eastAsia="宋体" w:hint="default"/>
                <w:sz w:val="20"/>
                <w:szCs w:val="20"/>
              </w:rPr>
            </w:pPr>
            <w:r>
              <w:rPr>
                <w:rFonts w:ascii="宋体" w:hAnsi="宋体" w:cs="宋体" w:eastAsia="宋体" w:hint="default"/>
                <w:sz w:val="20"/>
                <w:szCs w:val="20"/>
              </w:rPr>
              <w:t>联通运营公司</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99" w:right="0"/>
              <w:jc w:val="left"/>
              <w:rPr>
                <w:rFonts w:ascii="宋体" w:hAnsi="宋体" w:cs="宋体" w:eastAsia="宋体" w:hint="default"/>
                <w:sz w:val="20"/>
                <w:szCs w:val="20"/>
              </w:rPr>
            </w:pPr>
            <w:r>
              <w:rPr>
                <w:rFonts w:ascii="宋体" w:hAnsi="宋体" w:cs="宋体" w:eastAsia="宋体" w:hint="default"/>
                <w:sz w:val="20"/>
                <w:szCs w:val="20"/>
              </w:rPr>
              <w:t>联通运营公司天津分公司总经</w:t>
            </w:r>
          </w:p>
          <w:p>
            <w:pPr>
              <w:pStyle w:val="TableParagraph"/>
              <w:spacing w:line="261" w:lineRule="exact"/>
              <w:ind w:left="99" w:right="0"/>
              <w:jc w:val="left"/>
              <w:rPr>
                <w:rFonts w:ascii="宋体" w:hAnsi="宋体" w:cs="宋体" w:eastAsia="宋体" w:hint="default"/>
                <w:sz w:val="20"/>
                <w:szCs w:val="20"/>
              </w:rPr>
            </w:pPr>
            <w:r>
              <w:rPr>
                <w:rFonts w:ascii="宋体" w:hAnsi="宋体" w:cs="宋体" w:eastAsia="宋体" w:hint="default"/>
                <w:w w:val="100"/>
                <w:sz w:val="20"/>
                <w:szCs w:val="20"/>
              </w:rPr>
              <w:t>理</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00"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w:t>
            </w:r>
            <w:r>
              <w:rPr>
                <w:rFonts w:ascii="Arial" w:hAnsi="Arial" w:cs="Arial" w:eastAsia="Arial" w:hint="default"/>
                <w:spacing w:val="-5"/>
                <w:sz w:val="20"/>
                <w:szCs w:val="20"/>
              </w:rPr>
              <w:t> </w:t>
            </w:r>
            <w:r>
              <w:rPr>
                <w:rFonts w:ascii="宋体" w:hAnsi="宋体" w:cs="宋体" w:eastAsia="宋体" w:hint="default"/>
                <w:sz w:val="20"/>
                <w:szCs w:val="20"/>
              </w:rPr>
              <w:t>月</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534"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张保英</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sz w:val="20"/>
                <w:szCs w:val="20"/>
              </w:rPr>
              <w:t>联通运营公司</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99" w:right="0"/>
              <w:jc w:val="left"/>
              <w:rPr>
                <w:rFonts w:ascii="宋体" w:hAnsi="宋体" w:cs="宋体" w:eastAsia="宋体" w:hint="default"/>
                <w:sz w:val="20"/>
                <w:szCs w:val="20"/>
              </w:rPr>
            </w:pPr>
            <w:r>
              <w:rPr>
                <w:rFonts w:ascii="宋体" w:hAnsi="宋体" w:cs="宋体" w:eastAsia="宋体" w:hint="default"/>
                <w:sz w:val="20"/>
                <w:szCs w:val="20"/>
              </w:rPr>
              <w:t>联通运营公司山西分公司副总</w:t>
            </w:r>
          </w:p>
          <w:p>
            <w:pPr>
              <w:pStyle w:val="TableParagraph"/>
              <w:spacing w:line="260" w:lineRule="exact"/>
              <w:ind w:left="99" w:right="0"/>
              <w:jc w:val="left"/>
              <w:rPr>
                <w:rFonts w:ascii="宋体" w:hAnsi="宋体" w:cs="宋体" w:eastAsia="宋体" w:hint="default"/>
                <w:sz w:val="20"/>
                <w:szCs w:val="20"/>
              </w:rPr>
            </w:pPr>
            <w:r>
              <w:rPr>
                <w:rFonts w:ascii="宋体" w:hAnsi="宋体" w:cs="宋体" w:eastAsia="宋体" w:hint="default"/>
                <w:sz w:val="20"/>
                <w:szCs w:val="20"/>
              </w:rPr>
              <w:t>经理</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4</w:t>
            </w:r>
            <w:r>
              <w:rPr>
                <w:rFonts w:ascii="Arial" w:hAnsi="Arial" w:cs="Arial" w:eastAsia="Arial" w:hint="default"/>
                <w:spacing w:val="-5"/>
                <w:sz w:val="20"/>
                <w:szCs w:val="20"/>
              </w:rPr>
              <w:t> </w:t>
            </w:r>
            <w:r>
              <w:rPr>
                <w:rFonts w:ascii="宋体" w:hAnsi="宋体" w:cs="宋体" w:eastAsia="宋体" w:hint="default"/>
                <w:sz w:val="20"/>
                <w:szCs w:val="20"/>
              </w:rPr>
              <w:t>月</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4" w:hRule="exact"/>
        </w:trPr>
        <w:tc>
          <w:tcPr>
            <w:tcW w:w="92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left="204" w:right="0"/>
              <w:jc w:val="left"/>
              <w:rPr>
                <w:rFonts w:ascii="宋体" w:hAnsi="宋体" w:cs="宋体" w:eastAsia="宋体" w:hint="default"/>
                <w:sz w:val="20"/>
                <w:szCs w:val="20"/>
              </w:rPr>
            </w:pPr>
            <w:r>
              <w:rPr>
                <w:rFonts w:ascii="宋体" w:hAnsi="宋体" w:cs="宋体" w:eastAsia="宋体" w:hint="default"/>
                <w:sz w:val="20"/>
                <w:szCs w:val="20"/>
              </w:rPr>
              <w:t>刘</w:t>
            </w:r>
            <w:r>
              <w:rPr>
                <w:rFonts w:ascii="宋体" w:hAnsi="宋体" w:cs="宋体" w:eastAsia="宋体" w:hint="default"/>
                <w:spacing w:val="-1"/>
                <w:sz w:val="20"/>
                <w:szCs w:val="20"/>
              </w:rPr>
              <w:t> </w:t>
            </w:r>
            <w:r>
              <w:rPr>
                <w:rFonts w:ascii="宋体" w:hAnsi="宋体" w:cs="宋体" w:eastAsia="宋体" w:hint="default"/>
                <w:sz w:val="20"/>
                <w:szCs w:val="20"/>
              </w:rPr>
              <w:t>彩</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中国通信学会</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副理事长</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Arial" w:hAnsi="Arial" w:cs="Arial" w:eastAsia="Arial" w:hint="default"/>
                <w:sz w:val="20"/>
                <w:szCs w:val="20"/>
              </w:rPr>
              <w:t>2000</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7</w:t>
            </w:r>
            <w:r>
              <w:rPr>
                <w:rFonts w:ascii="Arial" w:hAnsi="Arial" w:cs="Arial" w:eastAsia="Arial" w:hint="default"/>
                <w:spacing w:val="-5"/>
                <w:sz w:val="20"/>
                <w:szCs w:val="20"/>
              </w:rPr>
              <w:t> </w:t>
            </w:r>
            <w:r>
              <w:rPr>
                <w:rFonts w:ascii="宋体" w:hAnsi="宋体" w:cs="宋体" w:eastAsia="宋体" w:hint="default"/>
                <w:sz w:val="20"/>
                <w:szCs w:val="20"/>
              </w:rPr>
              <w:t>月</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9"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27"/>
                <w:sz w:val="20"/>
                <w:szCs w:val="20"/>
              </w:rPr>
              <w:t> </w:t>
            </w:r>
            <w:r>
              <w:rPr>
                <w:rFonts w:ascii="宋体" w:hAnsi="宋体" w:cs="宋体" w:eastAsia="宋体" w:hint="default"/>
                <w:sz w:val="20"/>
                <w:szCs w:val="20"/>
              </w:rPr>
              <w:t>年</w:t>
            </w:r>
            <w:r>
              <w:rPr>
                <w:rFonts w:ascii="宋体" w:hAnsi="宋体" w:cs="宋体" w:eastAsia="宋体" w:hint="default"/>
                <w:spacing w:val="-72"/>
                <w:sz w:val="20"/>
                <w:szCs w:val="20"/>
              </w:rPr>
              <w:t> </w:t>
            </w:r>
            <w:r>
              <w:rPr>
                <w:rFonts w:ascii="Arial" w:hAnsi="Arial" w:cs="Arial" w:eastAsia="Arial" w:hint="default"/>
                <w:sz w:val="20"/>
                <w:szCs w:val="20"/>
              </w:rPr>
              <w:t>10</w:t>
            </w:r>
            <w:r>
              <w:rPr>
                <w:rFonts w:ascii="Arial" w:hAnsi="Arial" w:cs="Arial" w:eastAsia="Arial" w:hint="default"/>
                <w:spacing w:val="-28"/>
                <w:sz w:val="20"/>
                <w:szCs w:val="20"/>
              </w:rPr>
              <w:t> </w:t>
            </w:r>
            <w:r>
              <w:rPr>
                <w:rFonts w:ascii="宋体" w:hAnsi="宋体" w:cs="宋体" w:eastAsia="宋体" w:hint="default"/>
                <w:sz w:val="20"/>
                <w:szCs w:val="20"/>
              </w:rPr>
              <w:t>月</w:t>
            </w:r>
          </w:p>
        </w:tc>
      </w:tr>
      <w:tr>
        <w:trPr>
          <w:trHeight w:val="534" w:hRule="exact"/>
        </w:trPr>
        <w:tc>
          <w:tcPr>
            <w:tcW w:w="923" w:type="dxa"/>
            <w:vMerge/>
            <w:tcBorders>
              <w:left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京信通信系统控股有限</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99" w:right="0"/>
              <w:jc w:val="left"/>
              <w:rPr>
                <w:rFonts w:ascii="宋体" w:hAnsi="宋体" w:cs="宋体" w:eastAsia="宋体" w:hint="default"/>
                <w:sz w:val="20"/>
                <w:szCs w:val="20"/>
              </w:rPr>
            </w:pPr>
            <w:r>
              <w:rPr>
                <w:rFonts w:ascii="宋体" w:hAnsi="宋体" w:cs="宋体" w:eastAsia="宋体" w:hint="default"/>
                <w:sz w:val="20"/>
                <w:szCs w:val="20"/>
              </w:rPr>
              <w:t>独立非执行董事</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00" w:right="0"/>
              <w:jc w:val="left"/>
              <w:rPr>
                <w:rFonts w:ascii="宋体" w:hAnsi="宋体" w:cs="宋体" w:eastAsia="宋体" w:hint="default"/>
                <w:sz w:val="20"/>
                <w:szCs w:val="20"/>
              </w:rPr>
            </w:pPr>
            <w:r>
              <w:rPr>
                <w:rFonts w:ascii="Arial" w:hAnsi="Arial" w:cs="Arial" w:eastAsia="Arial" w:hint="default"/>
                <w:sz w:val="20"/>
                <w:szCs w:val="20"/>
              </w:rPr>
              <w:t>2003</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7</w:t>
            </w:r>
            <w:r>
              <w:rPr>
                <w:rFonts w:ascii="Arial" w:hAnsi="Arial" w:cs="Arial" w:eastAsia="Arial" w:hint="default"/>
                <w:spacing w:val="-5"/>
                <w:sz w:val="20"/>
                <w:szCs w:val="20"/>
              </w:rPr>
              <w:t> </w:t>
            </w:r>
            <w:r>
              <w:rPr>
                <w:rFonts w:ascii="宋体" w:hAnsi="宋体" w:cs="宋体" w:eastAsia="宋体" w:hint="default"/>
                <w:sz w:val="20"/>
                <w:szCs w:val="20"/>
              </w:rPr>
              <w:t>月</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5" w:hRule="exact"/>
        </w:trPr>
        <w:tc>
          <w:tcPr>
            <w:tcW w:w="923" w:type="dxa"/>
            <w:vMerge/>
            <w:tcBorders>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中国通信杂志社</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法人代表、执行董事</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4</w:t>
            </w:r>
            <w:r>
              <w:rPr>
                <w:rFonts w:ascii="Arial" w:hAnsi="Arial" w:cs="Arial" w:eastAsia="Arial" w:hint="default"/>
                <w:spacing w:val="-5"/>
                <w:sz w:val="20"/>
                <w:szCs w:val="20"/>
              </w:rPr>
              <w:t> </w:t>
            </w:r>
            <w:r>
              <w:rPr>
                <w:rFonts w:ascii="宋体" w:hAnsi="宋体" w:cs="宋体" w:eastAsia="宋体" w:hint="default"/>
                <w:sz w:val="20"/>
                <w:szCs w:val="20"/>
              </w:rPr>
              <w:t>月</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533" w:hRule="exact"/>
        </w:trPr>
        <w:tc>
          <w:tcPr>
            <w:tcW w:w="92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53" w:right="0"/>
              <w:jc w:val="left"/>
              <w:rPr>
                <w:rFonts w:ascii="宋体" w:hAnsi="宋体" w:cs="宋体" w:eastAsia="宋体" w:hint="default"/>
                <w:sz w:val="20"/>
                <w:szCs w:val="20"/>
              </w:rPr>
            </w:pPr>
            <w:r>
              <w:rPr>
                <w:rFonts w:ascii="宋体" w:hAnsi="宋体" w:cs="宋体" w:eastAsia="宋体" w:hint="default"/>
                <w:sz w:val="20"/>
                <w:szCs w:val="20"/>
              </w:rPr>
              <w:t>赵纯均</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0"/>
                <w:szCs w:val="20"/>
              </w:rPr>
            </w:pPr>
            <w:r>
              <w:rPr>
                <w:rFonts w:ascii="宋体" w:hAnsi="宋体" w:cs="宋体" w:eastAsia="宋体" w:hint="default"/>
                <w:sz w:val="20"/>
                <w:szCs w:val="20"/>
              </w:rPr>
              <w:t>全国</w:t>
            </w:r>
            <w:r>
              <w:rPr>
                <w:rFonts w:ascii="宋体" w:hAnsi="宋体" w:cs="宋体" w:eastAsia="宋体" w:hint="default"/>
                <w:spacing w:val="-50"/>
                <w:sz w:val="20"/>
                <w:szCs w:val="20"/>
              </w:rPr>
              <w:t> </w:t>
            </w:r>
            <w:r>
              <w:rPr>
                <w:rFonts w:ascii="Arial" w:hAnsi="Arial" w:cs="Arial" w:eastAsia="Arial" w:hint="default"/>
                <w:sz w:val="20"/>
                <w:szCs w:val="20"/>
              </w:rPr>
              <w:t>MBA</w:t>
            </w:r>
            <w:r>
              <w:rPr>
                <w:rFonts w:ascii="Arial" w:hAnsi="Arial" w:cs="Arial" w:eastAsia="Arial" w:hint="default"/>
                <w:spacing w:val="-8"/>
                <w:sz w:val="20"/>
                <w:szCs w:val="20"/>
              </w:rPr>
              <w:t> </w:t>
            </w:r>
            <w:r>
              <w:rPr>
                <w:rFonts w:ascii="宋体" w:hAnsi="宋体" w:cs="宋体" w:eastAsia="宋体" w:hint="default"/>
                <w:sz w:val="20"/>
                <w:szCs w:val="20"/>
              </w:rPr>
              <w:t>教育指导委员</w:t>
            </w:r>
          </w:p>
          <w:p>
            <w:pPr>
              <w:pStyle w:val="TableParagraph"/>
              <w:spacing w:line="253" w:lineRule="exact"/>
              <w:ind w:left="100" w:right="0"/>
              <w:jc w:val="left"/>
              <w:rPr>
                <w:rFonts w:ascii="宋体" w:hAnsi="宋体" w:cs="宋体" w:eastAsia="宋体" w:hint="default"/>
                <w:sz w:val="20"/>
                <w:szCs w:val="20"/>
              </w:rPr>
            </w:pPr>
            <w:r>
              <w:rPr>
                <w:rFonts w:ascii="宋体" w:hAnsi="宋体" w:cs="宋体" w:eastAsia="宋体" w:hint="default"/>
                <w:w w:val="100"/>
                <w:sz w:val="20"/>
                <w:szCs w:val="20"/>
              </w:rPr>
              <w:t>会</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9" w:right="0"/>
              <w:jc w:val="left"/>
              <w:rPr>
                <w:rFonts w:ascii="宋体" w:hAnsi="宋体" w:cs="宋体" w:eastAsia="宋体" w:hint="default"/>
                <w:sz w:val="20"/>
                <w:szCs w:val="20"/>
              </w:rPr>
            </w:pPr>
            <w:r>
              <w:rPr>
                <w:rFonts w:ascii="宋体" w:hAnsi="宋体" w:cs="宋体" w:eastAsia="宋体" w:hint="default"/>
                <w:sz w:val="20"/>
                <w:szCs w:val="20"/>
              </w:rPr>
              <w:t>副主任</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Arial" w:hAnsi="Arial" w:cs="Arial" w:eastAsia="Arial" w:hint="default"/>
                <w:sz w:val="20"/>
                <w:szCs w:val="20"/>
              </w:rPr>
              <w:t>1994</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5" w:hRule="exact"/>
        </w:trPr>
        <w:tc>
          <w:tcPr>
            <w:tcW w:w="923" w:type="dxa"/>
            <w:vMerge/>
            <w:tcBorders>
              <w:left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教育部社科委管理学部</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学部召集人</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0"/>
                <w:szCs w:val="20"/>
              </w:rPr>
            </w:pPr>
            <w:r>
              <w:rPr>
                <w:rFonts w:ascii="Arial" w:hAnsi="Arial" w:cs="Arial" w:eastAsia="Arial" w:hint="default"/>
                <w:sz w:val="20"/>
                <w:szCs w:val="20"/>
              </w:rPr>
              <w:t>2008</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5" w:hRule="exact"/>
        </w:trPr>
        <w:tc>
          <w:tcPr>
            <w:tcW w:w="923" w:type="dxa"/>
            <w:vMerge/>
            <w:tcBorders>
              <w:left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中国管理现代化研究会</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法人代表</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0"/>
                <w:szCs w:val="20"/>
              </w:rPr>
            </w:pPr>
            <w:r>
              <w:rPr>
                <w:rFonts w:ascii="Arial" w:hAnsi="Arial" w:cs="Arial" w:eastAsia="Arial" w:hint="default"/>
                <w:sz w:val="20"/>
                <w:szCs w:val="20"/>
              </w:rPr>
              <w:t>2005</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4" w:hRule="exact"/>
        </w:trPr>
        <w:tc>
          <w:tcPr>
            <w:tcW w:w="923" w:type="dxa"/>
            <w:vMerge/>
            <w:tcBorders>
              <w:left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中国企业研究会</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副会长</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Arial" w:hAnsi="Arial" w:cs="Arial" w:eastAsia="Arial" w:hint="default"/>
                <w:sz w:val="20"/>
                <w:szCs w:val="20"/>
              </w:rPr>
              <w:t>2000</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5" w:hRule="exact"/>
        </w:trPr>
        <w:tc>
          <w:tcPr>
            <w:tcW w:w="923" w:type="dxa"/>
            <w:vMerge/>
            <w:tcBorders>
              <w:left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中国工业经济联合会</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高级副会长</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0"/>
                <w:szCs w:val="20"/>
              </w:rPr>
            </w:pPr>
            <w:r>
              <w:rPr>
                <w:rFonts w:ascii="Arial" w:hAnsi="Arial" w:cs="Arial" w:eastAsia="Arial" w:hint="default"/>
                <w:sz w:val="20"/>
                <w:szCs w:val="20"/>
              </w:rPr>
              <w:t>2005</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5" w:hRule="exact"/>
        </w:trPr>
        <w:tc>
          <w:tcPr>
            <w:tcW w:w="923" w:type="dxa"/>
            <w:vMerge/>
            <w:tcBorders>
              <w:left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中国企业联合会</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常务理事</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0"/>
                <w:szCs w:val="20"/>
              </w:rPr>
            </w:pPr>
            <w:r>
              <w:rPr>
                <w:rFonts w:ascii="Arial" w:hAnsi="Arial" w:cs="Arial" w:eastAsia="Arial" w:hint="default"/>
                <w:sz w:val="20"/>
                <w:szCs w:val="20"/>
              </w:rPr>
              <w:t>2006</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533" w:hRule="exact"/>
        </w:trPr>
        <w:tc>
          <w:tcPr>
            <w:tcW w:w="923" w:type="dxa"/>
            <w:vMerge/>
            <w:tcBorders>
              <w:left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中国通信服务股份有限</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9"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Arial" w:hAnsi="Arial" w:cs="Arial" w:eastAsia="Arial" w:hint="default"/>
                <w:sz w:val="20"/>
                <w:szCs w:val="20"/>
              </w:rPr>
              <w:t>2005</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5" w:hRule="exact"/>
        </w:trPr>
        <w:tc>
          <w:tcPr>
            <w:tcW w:w="923" w:type="dxa"/>
            <w:vMerge/>
            <w:tcBorders>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东方电气股份有限公司</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5" w:hRule="exact"/>
        </w:trPr>
        <w:tc>
          <w:tcPr>
            <w:tcW w:w="92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53" w:right="0"/>
              <w:jc w:val="left"/>
              <w:rPr>
                <w:rFonts w:ascii="宋体" w:hAnsi="宋体" w:cs="宋体" w:eastAsia="宋体" w:hint="default"/>
                <w:sz w:val="20"/>
                <w:szCs w:val="20"/>
              </w:rPr>
            </w:pPr>
            <w:r>
              <w:rPr>
                <w:rFonts w:ascii="宋体" w:hAnsi="宋体" w:cs="宋体" w:eastAsia="宋体" w:hint="default"/>
                <w:sz w:val="20"/>
                <w:szCs w:val="20"/>
              </w:rPr>
              <w:t>张英海</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中国通信学会</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副秘书长</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10</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4" w:hRule="exact"/>
        </w:trPr>
        <w:tc>
          <w:tcPr>
            <w:tcW w:w="923" w:type="dxa"/>
            <w:vMerge/>
            <w:tcBorders>
              <w:left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北京通信信息协会</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理事长</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Arial" w:hAnsi="Arial" w:cs="Arial" w:eastAsia="Arial" w:hint="default"/>
                <w:sz w:val="20"/>
                <w:szCs w:val="20"/>
              </w:rPr>
              <w:t>2008</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w:t>
            </w:r>
            <w:r>
              <w:rPr>
                <w:rFonts w:ascii="Arial" w:hAnsi="Arial" w:cs="Arial" w:eastAsia="Arial" w:hint="default"/>
                <w:spacing w:val="-5"/>
                <w:sz w:val="20"/>
                <w:szCs w:val="20"/>
              </w:rPr>
              <w:t> </w:t>
            </w:r>
            <w:r>
              <w:rPr>
                <w:rFonts w:ascii="宋体" w:hAnsi="宋体" w:cs="宋体" w:eastAsia="宋体" w:hint="default"/>
                <w:sz w:val="20"/>
                <w:szCs w:val="20"/>
              </w:rPr>
              <w:t>月</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534" w:hRule="exact"/>
        </w:trPr>
        <w:tc>
          <w:tcPr>
            <w:tcW w:w="923" w:type="dxa"/>
            <w:vMerge/>
            <w:tcBorders>
              <w:left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北京梅泰诺通信技术股</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份公司</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99"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00"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12</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534" w:hRule="exact"/>
        </w:trPr>
        <w:tc>
          <w:tcPr>
            <w:tcW w:w="923" w:type="dxa"/>
            <w:vMerge/>
            <w:tcBorders>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珠海世纪鼎利通信科技</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股份有限公司</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99"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00"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12</w:t>
            </w:r>
            <w:r>
              <w:rPr>
                <w:rFonts w:ascii="Arial" w:hAnsi="Arial" w:cs="Arial" w:eastAsia="Arial" w:hint="default"/>
                <w:spacing w:val="-7"/>
                <w:sz w:val="20"/>
                <w:szCs w:val="20"/>
              </w:rPr>
              <w:t> </w:t>
            </w:r>
            <w:r>
              <w:rPr>
                <w:rFonts w:ascii="宋体" w:hAnsi="宋体" w:cs="宋体" w:eastAsia="宋体" w:hint="default"/>
                <w:sz w:val="20"/>
                <w:szCs w:val="20"/>
              </w:rPr>
              <w:t>月</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5" w:hRule="exact"/>
        </w:trPr>
        <w:tc>
          <w:tcPr>
            <w:tcW w:w="92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53" w:right="0"/>
              <w:jc w:val="left"/>
              <w:rPr>
                <w:rFonts w:ascii="宋体" w:hAnsi="宋体" w:cs="宋体" w:eastAsia="宋体" w:hint="default"/>
                <w:sz w:val="20"/>
                <w:szCs w:val="20"/>
              </w:rPr>
            </w:pPr>
            <w:r>
              <w:rPr>
                <w:rFonts w:ascii="宋体" w:hAnsi="宋体" w:cs="宋体" w:eastAsia="宋体" w:hint="default"/>
                <w:sz w:val="20"/>
                <w:szCs w:val="20"/>
              </w:rPr>
              <w:t>夏大慰</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中国工业经济学会</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副会长</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Arial" w:hAnsi="Arial" w:cs="Arial" w:eastAsia="Arial" w:hint="default"/>
                <w:sz w:val="20"/>
                <w:szCs w:val="20"/>
              </w:rPr>
              <w:t>1998</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4" w:hRule="exact"/>
        </w:trPr>
        <w:tc>
          <w:tcPr>
            <w:tcW w:w="923" w:type="dxa"/>
            <w:vMerge/>
            <w:tcBorders>
              <w:left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财政部会计准则委员会</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咨询专家</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Arial" w:hAnsi="Arial" w:cs="Arial" w:eastAsia="Arial" w:hint="default"/>
                <w:sz w:val="20"/>
                <w:szCs w:val="20"/>
              </w:rPr>
              <w:t>2002</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534" w:hRule="exact"/>
        </w:trPr>
        <w:tc>
          <w:tcPr>
            <w:tcW w:w="923" w:type="dxa"/>
            <w:vMerge/>
            <w:tcBorders>
              <w:left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财政部企业内部控制标</w:t>
            </w:r>
          </w:p>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准委员会</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99" w:right="0"/>
              <w:jc w:val="left"/>
              <w:rPr>
                <w:rFonts w:ascii="宋体" w:hAnsi="宋体" w:cs="宋体" w:eastAsia="宋体" w:hint="default"/>
                <w:sz w:val="20"/>
                <w:szCs w:val="20"/>
              </w:rPr>
            </w:pPr>
            <w:r>
              <w:rPr>
                <w:rFonts w:ascii="宋体" w:hAnsi="宋体" w:cs="宋体" w:eastAsia="宋体" w:hint="default"/>
                <w:sz w:val="20"/>
                <w:szCs w:val="20"/>
              </w:rPr>
              <w:t>委员</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00" w:right="0"/>
              <w:jc w:val="left"/>
              <w:rPr>
                <w:rFonts w:ascii="宋体" w:hAnsi="宋体" w:cs="宋体" w:eastAsia="宋体" w:hint="default"/>
                <w:sz w:val="20"/>
                <w:szCs w:val="20"/>
              </w:rPr>
            </w:pPr>
            <w:r>
              <w:rPr>
                <w:rFonts w:ascii="Arial" w:hAnsi="Arial" w:cs="Arial" w:eastAsia="Arial" w:hint="default"/>
                <w:sz w:val="20"/>
                <w:szCs w:val="20"/>
              </w:rPr>
              <w:t>2008</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5" w:hRule="exact"/>
        </w:trPr>
        <w:tc>
          <w:tcPr>
            <w:tcW w:w="923" w:type="dxa"/>
            <w:vMerge/>
            <w:tcBorders>
              <w:left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香港中文大学</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名誉教授</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0"/>
                <w:szCs w:val="20"/>
              </w:rPr>
            </w:pPr>
            <w:r>
              <w:rPr>
                <w:rFonts w:ascii="Arial" w:hAnsi="Arial" w:cs="Arial" w:eastAsia="Arial" w:hint="default"/>
                <w:sz w:val="20"/>
                <w:szCs w:val="20"/>
              </w:rPr>
              <w:t>2004</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4" w:hRule="exact"/>
        </w:trPr>
        <w:tc>
          <w:tcPr>
            <w:tcW w:w="923" w:type="dxa"/>
            <w:vMerge/>
            <w:tcBorders>
              <w:left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复旦大学管理学院</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兼职教授</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Arial" w:hAnsi="Arial" w:cs="Arial" w:eastAsia="Arial" w:hint="default"/>
                <w:sz w:val="20"/>
                <w:szCs w:val="20"/>
              </w:rPr>
              <w:t>2003</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534" w:hRule="exact"/>
        </w:trPr>
        <w:tc>
          <w:tcPr>
            <w:tcW w:w="923" w:type="dxa"/>
            <w:vMerge/>
            <w:tcBorders>
              <w:left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上海证券交易所上市公</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司专家委员会</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99" w:right="0"/>
              <w:jc w:val="left"/>
              <w:rPr>
                <w:rFonts w:ascii="宋体" w:hAnsi="宋体" w:cs="宋体" w:eastAsia="宋体" w:hint="default"/>
                <w:sz w:val="20"/>
                <w:szCs w:val="20"/>
              </w:rPr>
            </w:pPr>
            <w:r>
              <w:rPr>
                <w:rFonts w:ascii="宋体" w:hAnsi="宋体" w:cs="宋体" w:eastAsia="宋体" w:hint="default"/>
                <w:sz w:val="20"/>
                <w:szCs w:val="20"/>
              </w:rPr>
              <w:t>委员</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00" w:right="0"/>
              <w:jc w:val="left"/>
              <w:rPr>
                <w:rFonts w:ascii="宋体" w:hAnsi="宋体" w:cs="宋体" w:eastAsia="宋体" w:hint="default"/>
                <w:sz w:val="20"/>
                <w:szCs w:val="20"/>
              </w:rPr>
            </w:pPr>
            <w:r>
              <w:rPr>
                <w:rFonts w:ascii="Arial" w:hAnsi="Arial" w:cs="Arial" w:eastAsia="Arial" w:hint="default"/>
                <w:sz w:val="20"/>
                <w:szCs w:val="20"/>
              </w:rPr>
              <w:t>2001</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5" w:hRule="exact"/>
        </w:trPr>
        <w:tc>
          <w:tcPr>
            <w:tcW w:w="923" w:type="dxa"/>
            <w:vMerge/>
            <w:tcBorders>
              <w:left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联华超市股份有限公司</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20"/>
                <w:szCs w:val="20"/>
              </w:rPr>
            </w:pPr>
            <w:r>
              <w:rPr>
                <w:rFonts w:ascii="Arial" w:hAnsi="Arial" w:cs="Arial" w:eastAsia="Arial" w:hint="default"/>
                <w:sz w:val="20"/>
                <w:szCs w:val="20"/>
              </w:rPr>
              <w:t>2004</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274" w:hRule="exact"/>
        </w:trPr>
        <w:tc>
          <w:tcPr>
            <w:tcW w:w="923" w:type="dxa"/>
            <w:vMerge/>
            <w:tcBorders>
              <w:left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上海电力股份有限公司</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0"/>
                <w:szCs w:val="20"/>
              </w:rPr>
            </w:pPr>
            <w:r>
              <w:rPr>
                <w:rFonts w:ascii="Arial" w:hAnsi="Arial" w:cs="Arial" w:eastAsia="Arial" w:hint="default"/>
                <w:sz w:val="20"/>
                <w:szCs w:val="20"/>
              </w:rPr>
              <w:t>2009</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r>
        <w:trPr>
          <w:trHeight w:val="535" w:hRule="exact"/>
        </w:trPr>
        <w:tc>
          <w:tcPr>
            <w:tcW w:w="923" w:type="dxa"/>
            <w:vMerge/>
            <w:tcBorders>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中国熔盛重工集团控股</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99"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00"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99" w:right="0"/>
              <w:jc w:val="left"/>
              <w:rPr>
                <w:rFonts w:ascii="宋体" w:hAnsi="宋体" w:cs="宋体" w:eastAsia="宋体" w:hint="default"/>
                <w:sz w:val="20"/>
                <w:szCs w:val="20"/>
              </w:rPr>
            </w:pPr>
            <w:r>
              <w:rPr>
                <w:rFonts w:ascii="宋体" w:hAnsi="宋体" w:cs="宋体" w:eastAsia="宋体" w:hint="default"/>
                <w:sz w:val="20"/>
                <w:szCs w:val="20"/>
              </w:rPr>
              <w:t>至今</w:t>
            </w:r>
          </w:p>
        </w:tc>
      </w:tr>
    </w:tbl>
    <w:p>
      <w:pPr>
        <w:spacing w:after="0" w:line="240" w:lineRule="auto"/>
        <w:jc w:val="left"/>
        <w:rPr>
          <w:rFonts w:ascii="宋体" w:hAnsi="宋体" w:cs="宋体" w:eastAsia="宋体" w:hint="default"/>
          <w:sz w:val="20"/>
          <w:szCs w:val="20"/>
        </w:rPr>
        <w:sectPr>
          <w:pgSz w:w="11910" w:h="16840"/>
          <w:pgMar w:header="567" w:footer="745" w:top="800" w:bottom="940" w:left="1380" w:right="740"/>
        </w:sectPr>
      </w:pPr>
    </w:p>
    <w:p>
      <w:pPr>
        <w:spacing w:line="240" w:lineRule="auto" w:before="8"/>
        <w:rPr>
          <w:rFonts w:ascii="Times New Roman" w:hAnsi="Times New Roman" w:cs="Times New Roman" w:eastAsia="Times New Roman" w:hint="default"/>
          <w:sz w:val="25"/>
          <w:szCs w:val="25"/>
        </w:rPr>
      </w:pPr>
    </w:p>
    <w:p>
      <w:pPr>
        <w:pStyle w:val="Heading3"/>
        <w:spacing w:line="240" w:lineRule="auto"/>
        <w:ind w:right="0"/>
        <w:jc w:val="left"/>
        <w:rPr>
          <w:b w:val="0"/>
          <w:bCs w:val="0"/>
        </w:rPr>
      </w:pPr>
      <w:r>
        <w:rPr/>
        <w:t>三、董事、监事、高级管理人员报酬情况</w:t>
      </w:r>
      <w:r>
        <w:rPr>
          <w:b w:val="0"/>
          <w:bCs w:val="0"/>
        </w:rPr>
      </w:r>
    </w:p>
    <w:p>
      <w:pPr>
        <w:spacing w:line="240" w:lineRule="auto" w:before="12"/>
        <w:rPr>
          <w:rFonts w:ascii="宋体" w:hAnsi="宋体" w:cs="宋体" w:eastAsia="宋体" w:hint="default"/>
          <w:b/>
          <w:bCs/>
          <w:sz w:val="21"/>
          <w:szCs w:val="21"/>
        </w:rPr>
      </w:pPr>
    </w:p>
    <w:tbl>
      <w:tblPr>
        <w:tblW w:w="0" w:type="auto"/>
        <w:jc w:val="left"/>
        <w:tblInd w:w="634" w:type="dxa"/>
        <w:tblLayout w:type="fixed"/>
        <w:tblCellMar>
          <w:top w:w="0" w:type="dxa"/>
          <w:left w:w="0" w:type="dxa"/>
          <w:bottom w:w="0" w:type="dxa"/>
          <w:right w:w="0" w:type="dxa"/>
        </w:tblCellMar>
        <w:tblLook w:val="01E0"/>
      </w:tblPr>
      <w:tblGrid>
        <w:gridCol w:w="2372"/>
        <w:gridCol w:w="6629"/>
      </w:tblGrid>
      <w:tr>
        <w:trPr>
          <w:trHeight w:val="534" w:hRule="exact"/>
        </w:trPr>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99" w:right="0"/>
              <w:jc w:val="left"/>
              <w:rPr>
                <w:rFonts w:ascii="宋体" w:hAnsi="宋体" w:cs="宋体" w:eastAsia="宋体" w:hint="default"/>
                <w:sz w:val="20"/>
                <w:szCs w:val="20"/>
              </w:rPr>
            </w:pPr>
            <w:r>
              <w:rPr>
                <w:rFonts w:ascii="宋体" w:hAnsi="宋体" w:cs="宋体" w:eastAsia="宋体" w:hint="default"/>
                <w:spacing w:val="-5"/>
                <w:sz w:val="20"/>
                <w:szCs w:val="20"/>
              </w:rPr>
              <w:t>董事、监事、高级管理人</w:t>
            </w:r>
          </w:p>
          <w:p>
            <w:pPr>
              <w:pStyle w:val="TableParagraph"/>
              <w:spacing w:line="261" w:lineRule="exact"/>
              <w:ind w:left="99" w:right="0"/>
              <w:jc w:val="left"/>
              <w:rPr>
                <w:rFonts w:ascii="宋体" w:hAnsi="宋体" w:cs="宋体" w:eastAsia="宋体" w:hint="default"/>
                <w:sz w:val="20"/>
                <w:szCs w:val="20"/>
              </w:rPr>
            </w:pPr>
            <w:r>
              <w:rPr>
                <w:rFonts w:ascii="宋体" w:hAnsi="宋体" w:cs="宋体" w:eastAsia="宋体" w:hint="default"/>
                <w:sz w:val="20"/>
                <w:szCs w:val="20"/>
              </w:rPr>
              <w:t>员报酬的决策程序</w:t>
            </w:r>
          </w:p>
        </w:tc>
        <w:tc>
          <w:tcPr>
            <w:tcW w:w="662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spacing w:val="-4"/>
                <w:sz w:val="20"/>
                <w:szCs w:val="20"/>
              </w:rPr>
              <w:t>董事和监事的报酬，由董事会、监事会分别拟订方案，提交股东大会审议。</w:t>
            </w:r>
          </w:p>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高级管理人员的报酬，由董事会制定薪酬标准并组织考核确定。</w:t>
            </w:r>
          </w:p>
        </w:tc>
      </w:tr>
      <w:tr>
        <w:trPr>
          <w:trHeight w:val="533" w:hRule="exact"/>
        </w:trPr>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99" w:right="0"/>
              <w:jc w:val="left"/>
              <w:rPr>
                <w:rFonts w:ascii="宋体" w:hAnsi="宋体" w:cs="宋体" w:eastAsia="宋体" w:hint="default"/>
                <w:sz w:val="20"/>
                <w:szCs w:val="20"/>
              </w:rPr>
            </w:pPr>
            <w:r>
              <w:rPr>
                <w:rFonts w:ascii="宋体" w:hAnsi="宋体" w:cs="宋体" w:eastAsia="宋体" w:hint="default"/>
                <w:spacing w:val="-5"/>
                <w:sz w:val="20"/>
                <w:szCs w:val="20"/>
              </w:rPr>
              <w:t>董事、监事、高级管理人</w:t>
            </w:r>
          </w:p>
          <w:p>
            <w:pPr>
              <w:pStyle w:val="TableParagraph"/>
              <w:spacing w:line="260" w:lineRule="exact"/>
              <w:ind w:left="99" w:right="0"/>
              <w:jc w:val="left"/>
              <w:rPr>
                <w:rFonts w:ascii="宋体" w:hAnsi="宋体" w:cs="宋体" w:eastAsia="宋体" w:hint="default"/>
                <w:sz w:val="20"/>
                <w:szCs w:val="20"/>
              </w:rPr>
            </w:pPr>
            <w:r>
              <w:rPr>
                <w:rFonts w:ascii="宋体" w:hAnsi="宋体" w:cs="宋体" w:eastAsia="宋体" w:hint="default"/>
                <w:sz w:val="20"/>
                <w:szCs w:val="20"/>
              </w:rPr>
              <w:t>员报酬确定依据</w:t>
            </w:r>
          </w:p>
        </w:tc>
        <w:tc>
          <w:tcPr>
            <w:tcW w:w="6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sz w:val="20"/>
                <w:szCs w:val="20"/>
              </w:rPr>
              <w:t>高级管理人员的报酬，由董事会制定薪酬标准并组织考核确定。</w:t>
            </w:r>
          </w:p>
        </w:tc>
      </w:tr>
      <w:tr>
        <w:trPr>
          <w:trHeight w:val="534" w:hRule="exact"/>
        </w:trPr>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pacing w:val="-5"/>
                <w:sz w:val="20"/>
                <w:szCs w:val="20"/>
              </w:rPr>
              <w:t>董事、监事和高级管理人</w:t>
            </w:r>
          </w:p>
          <w:p>
            <w:pPr>
              <w:pStyle w:val="TableParagraph"/>
              <w:spacing w:line="260" w:lineRule="exact"/>
              <w:ind w:left="99" w:right="0"/>
              <w:jc w:val="left"/>
              <w:rPr>
                <w:rFonts w:ascii="宋体" w:hAnsi="宋体" w:cs="宋体" w:eastAsia="宋体" w:hint="default"/>
                <w:sz w:val="20"/>
                <w:szCs w:val="20"/>
              </w:rPr>
            </w:pPr>
            <w:r>
              <w:rPr>
                <w:rFonts w:ascii="宋体" w:hAnsi="宋体" w:cs="宋体" w:eastAsia="宋体" w:hint="default"/>
                <w:sz w:val="20"/>
                <w:szCs w:val="20"/>
              </w:rPr>
              <w:t>员报酬的应付报酬情况</w:t>
            </w:r>
          </w:p>
        </w:tc>
        <w:tc>
          <w:tcPr>
            <w:tcW w:w="6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00" w:right="0"/>
              <w:jc w:val="left"/>
              <w:rPr>
                <w:rFonts w:ascii="宋体" w:hAnsi="宋体" w:cs="宋体" w:eastAsia="宋体" w:hint="default"/>
                <w:sz w:val="20"/>
                <w:szCs w:val="20"/>
              </w:rPr>
            </w:pPr>
            <w:r>
              <w:rPr>
                <w:rFonts w:ascii="宋体" w:hAnsi="宋体" w:cs="宋体" w:eastAsia="宋体" w:hint="default"/>
                <w:sz w:val="20"/>
                <w:szCs w:val="20"/>
              </w:rPr>
              <w:t>董事、监事和高级管理人员报酬的应付报酬合计为：</w:t>
            </w:r>
            <w:r>
              <w:rPr>
                <w:rFonts w:ascii="Arial" w:hAnsi="Arial" w:cs="Arial" w:eastAsia="Arial" w:hint="default"/>
                <w:sz w:val="20"/>
                <w:szCs w:val="20"/>
              </w:rPr>
              <w:t>766</w:t>
            </w:r>
            <w:r>
              <w:rPr>
                <w:rFonts w:ascii="Arial" w:hAnsi="Arial" w:cs="Arial" w:eastAsia="Arial" w:hint="default"/>
                <w:spacing w:val="-11"/>
                <w:sz w:val="20"/>
                <w:szCs w:val="20"/>
              </w:rPr>
              <w:t> </w:t>
            </w:r>
            <w:r>
              <w:rPr>
                <w:rFonts w:ascii="宋体" w:hAnsi="宋体" w:cs="宋体" w:eastAsia="宋体" w:hint="default"/>
                <w:sz w:val="20"/>
                <w:szCs w:val="20"/>
              </w:rPr>
              <w:t>万元</w:t>
            </w:r>
          </w:p>
        </w:tc>
      </w:tr>
      <w:tr>
        <w:trPr>
          <w:trHeight w:val="795" w:hRule="exact"/>
        </w:trPr>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pacing w:val="-5"/>
                <w:sz w:val="20"/>
                <w:szCs w:val="20"/>
              </w:rPr>
              <w:t>报告期末全体董事、监事</w:t>
            </w:r>
          </w:p>
          <w:p>
            <w:pPr>
              <w:pStyle w:val="TableParagraph"/>
              <w:spacing w:line="260" w:lineRule="exact" w:before="24"/>
              <w:ind w:left="99" w:right="254"/>
              <w:jc w:val="left"/>
              <w:rPr>
                <w:rFonts w:ascii="宋体" w:hAnsi="宋体" w:cs="宋体" w:eastAsia="宋体" w:hint="default"/>
                <w:sz w:val="20"/>
                <w:szCs w:val="20"/>
              </w:rPr>
            </w:pPr>
            <w:r>
              <w:rPr>
                <w:rFonts w:ascii="宋体" w:hAnsi="宋体" w:cs="宋体" w:eastAsia="宋体" w:hint="default"/>
                <w:sz w:val="20"/>
                <w:szCs w:val="20"/>
              </w:rPr>
              <w:t>和高级管理人员实际获</w:t>
            </w:r>
            <w:r>
              <w:rPr>
                <w:rFonts w:ascii="宋体" w:hAnsi="宋体" w:cs="宋体" w:eastAsia="宋体" w:hint="default"/>
                <w:w w:val="100"/>
                <w:sz w:val="20"/>
                <w:szCs w:val="20"/>
              </w:rPr>
              <w:t> </w:t>
            </w:r>
            <w:r>
              <w:rPr>
                <w:rFonts w:ascii="宋体" w:hAnsi="宋体" w:cs="宋体" w:eastAsia="宋体" w:hint="default"/>
                <w:sz w:val="20"/>
                <w:szCs w:val="20"/>
              </w:rPr>
              <w:t>得的报酬合计</w:t>
            </w:r>
          </w:p>
        </w:tc>
        <w:tc>
          <w:tcPr>
            <w:tcW w:w="6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考核后支付。</w:t>
            </w:r>
          </w:p>
        </w:tc>
      </w:tr>
    </w:tbl>
    <w:p>
      <w:pPr>
        <w:spacing w:line="240" w:lineRule="auto" w:before="2"/>
        <w:rPr>
          <w:rFonts w:ascii="宋体" w:hAnsi="宋体" w:cs="宋体" w:eastAsia="宋体" w:hint="default"/>
          <w:b/>
          <w:bCs/>
          <w:sz w:val="14"/>
          <w:szCs w:val="14"/>
        </w:rPr>
      </w:pPr>
    </w:p>
    <w:p>
      <w:pPr>
        <w:spacing w:before="31"/>
        <w:ind w:left="146" w:right="0" w:firstLine="0"/>
        <w:jc w:val="left"/>
        <w:rPr>
          <w:rFonts w:ascii="宋体" w:hAnsi="宋体" w:cs="宋体" w:eastAsia="宋体" w:hint="default"/>
          <w:sz w:val="22"/>
          <w:szCs w:val="22"/>
        </w:rPr>
      </w:pPr>
      <w:r>
        <w:rPr>
          <w:rFonts w:ascii="宋体" w:hAnsi="宋体" w:cs="宋体" w:eastAsia="宋体" w:hint="default"/>
          <w:b/>
          <w:bCs/>
          <w:sz w:val="22"/>
          <w:szCs w:val="22"/>
        </w:rPr>
        <w:t>四、公司董事、监事、高级管理人员变动情况</w:t>
      </w:r>
      <w:r>
        <w:rPr>
          <w:rFonts w:ascii="宋体" w:hAnsi="宋体" w:cs="宋体" w:eastAsia="宋体" w:hint="default"/>
          <w:sz w:val="22"/>
          <w:szCs w:val="22"/>
        </w:rPr>
      </w:r>
    </w:p>
    <w:p>
      <w:pPr>
        <w:spacing w:line="240" w:lineRule="auto" w:before="11"/>
        <w:rPr>
          <w:rFonts w:ascii="宋体" w:hAnsi="宋体" w:cs="宋体" w:eastAsia="宋体" w:hint="default"/>
          <w:b/>
          <w:bCs/>
          <w:sz w:val="21"/>
          <w:szCs w:val="21"/>
        </w:rPr>
      </w:pPr>
    </w:p>
    <w:tbl>
      <w:tblPr>
        <w:tblW w:w="0" w:type="auto"/>
        <w:jc w:val="left"/>
        <w:tblInd w:w="634" w:type="dxa"/>
        <w:tblLayout w:type="fixed"/>
        <w:tblCellMar>
          <w:top w:w="0" w:type="dxa"/>
          <w:left w:w="0" w:type="dxa"/>
          <w:bottom w:w="0" w:type="dxa"/>
          <w:right w:w="0" w:type="dxa"/>
        </w:tblCellMar>
        <w:tblLook w:val="01E0"/>
      </w:tblPr>
      <w:tblGrid>
        <w:gridCol w:w="1485"/>
        <w:gridCol w:w="2071"/>
        <w:gridCol w:w="1889"/>
        <w:gridCol w:w="3535"/>
      </w:tblGrid>
      <w:tr>
        <w:trPr>
          <w:trHeight w:val="275" w:hRule="exact"/>
        </w:trPr>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姓名</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28" w:right="0"/>
              <w:jc w:val="left"/>
              <w:rPr>
                <w:rFonts w:ascii="宋体" w:hAnsi="宋体" w:cs="宋体" w:eastAsia="宋体" w:hint="default"/>
                <w:sz w:val="20"/>
                <w:szCs w:val="20"/>
              </w:rPr>
            </w:pPr>
            <w:r>
              <w:rPr>
                <w:rFonts w:ascii="宋体" w:hAnsi="宋体" w:cs="宋体" w:eastAsia="宋体" w:hint="default"/>
                <w:sz w:val="20"/>
                <w:szCs w:val="20"/>
              </w:rPr>
              <w:t>担任的职务</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36" w:right="0"/>
              <w:jc w:val="left"/>
              <w:rPr>
                <w:rFonts w:ascii="宋体" w:hAnsi="宋体" w:cs="宋体" w:eastAsia="宋体" w:hint="default"/>
                <w:sz w:val="20"/>
                <w:szCs w:val="20"/>
              </w:rPr>
            </w:pPr>
            <w:r>
              <w:rPr>
                <w:rFonts w:ascii="宋体" w:hAnsi="宋体" w:cs="宋体" w:eastAsia="宋体" w:hint="default"/>
                <w:sz w:val="20"/>
                <w:szCs w:val="20"/>
              </w:rPr>
              <w:t>变动情形</w:t>
            </w:r>
          </w:p>
        </w:tc>
        <w:tc>
          <w:tcPr>
            <w:tcW w:w="3535"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变动原因</w:t>
            </w:r>
          </w:p>
        </w:tc>
      </w:tr>
      <w:tr>
        <w:trPr>
          <w:trHeight w:val="274" w:hRule="exact"/>
        </w:trPr>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姚琼</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离任</w:t>
            </w:r>
          </w:p>
        </w:tc>
        <w:tc>
          <w:tcPr>
            <w:tcW w:w="353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因工作职务变动原因，不再担任</w:t>
            </w:r>
          </w:p>
        </w:tc>
      </w:tr>
      <w:tr>
        <w:trPr>
          <w:trHeight w:val="275" w:hRule="exact"/>
        </w:trPr>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韦海波</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离任</w:t>
            </w:r>
          </w:p>
        </w:tc>
        <w:tc>
          <w:tcPr>
            <w:tcW w:w="3535"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因工作职务变动原因，不再担任</w:t>
            </w:r>
          </w:p>
        </w:tc>
      </w:tr>
      <w:tr>
        <w:trPr>
          <w:trHeight w:val="275" w:hRule="exact"/>
        </w:trPr>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9" w:right="0"/>
              <w:jc w:val="left"/>
              <w:rPr>
                <w:rFonts w:ascii="宋体" w:hAnsi="宋体" w:cs="宋体" w:eastAsia="宋体" w:hint="default"/>
                <w:sz w:val="20"/>
                <w:szCs w:val="20"/>
              </w:rPr>
            </w:pPr>
            <w:r>
              <w:rPr>
                <w:rFonts w:ascii="宋体" w:hAnsi="宋体" w:cs="宋体" w:eastAsia="宋体" w:hint="default"/>
                <w:sz w:val="20"/>
                <w:szCs w:val="20"/>
              </w:rPr>
              <w:t>张保英</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董事会秘书</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离任</w:t>
            </w:r>
          </w:p>
        </w:tc>
        <w:tc>
          <w:tcPr>
            <w:tcW w:w="3535"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因工作职务变动原因，不再担任。</w:t>
            </w:r>
          </w:p>
        </w:tc>
      </w:tr>
      <w:tr>
        <w:trPr>
          <w:trHeight w:val="533" w:hRule="exact"/>
        </w:trPr>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9" w:right="0"/>
              <w:jc w:val="left"/>
              <w:rPr>
                <w:rFonts w:ascii="宋体" w:hAnsi="宋体" w:cs="宋体" w:eastAsia="宋体" w:hint="default"/>
                <w:sz w:val="20"/>
                <w:szCs w:val="20"/>
              </w:rPr>
            </w:pPr>
            <w:r>
              <w:rPr>
                <w:rFonts w:ascii="宋体" w:hAnsi="宋体" w:cs="宋体" w:eastAsia="宋体" w:hint="default"/>
                <w:sz w:val="20"/>
                <w:szCs w:val="20"/>
              </w:rPr>
              <w:t>郭小林</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sz w:val="20"/>
                <w:szCs w:val="20"/>
              </w:rPr>
              <w:t>聘任</w:t>
            </w:r>
          </w:p>
        </w:tc>
        <w:tc>
          <w:tcPr>
            <w:tcW w:w="353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0"/>
                <w:szCs w:val="20"/>
              </w:rPr>
            </w:pPr>
            <w:r>
              <w:rPr>
                <w:rFonts w:ascii="宋体" w:hAnsi="宋体" w:cs="宋体" w:eastAsia="宋体" w:hint="default"/>
                <w:sz w:val="20"/>
                <w:szCs w:val="20"/>
              </w:rPr>
              <w:t>经本公司</w:t>
            </w:r>
            <w:r>
              <w:rPr>
                <w:rFonts w:ascii="宋体" w:hAnsi="宋体" w:cs="宋体" w:eastAsia="宋体" w:hint="default"/>
                <w:spacing w:val="-51"/>
                <w:sz w:val="20"/>
                <w:szCs w:val="20"/>
              </w:rPr>
              <w:t> </w:t>
            </w:r>
            <w:r>
              <w:rPr>
                <w:rFonts w:ascii="Arial" w:hAnsi="Arial" w:cs="Arial" w:eastAsia="Arial" w:hint="default"/>
                <w:sz w:val="20"/>
                <w:szCs w:val="20"/>
              </w:rPr>
              <w:t>2012</w:t>
            </w:r>
            <w:r>
              <w:rPr>
                <w:rFonts w:ascii="Arial" w:hAnsi="Arial" w:cs="Arial" w:eastAsia="Arial" w:hint="default"/>
                <w:spacing w:val="-7"/>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5</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29</w:t>
            </w:r>
            <w:r>
              <w:rPr>
                <w:rFonts w:ascii="Arial" w:hAnsi="Arial" w:cs="Arial" w:eastAsia="Arial" w:hint="default"/>
                <w:spacing w:val="-8"/>
                <w:sz w:val="20"/>
                <w:szCs w:val="20"/>
              </w:rPr>
              <w:t> </w:t>
            </w:r>
            <w:r>
              <w:rPr>
                <w:rFonts w:ascii="宋体" w:hAnsi="宋体" w:cs="宋体" w:eastAsia="宋体" w:hint="default"/>
                <w:sz w:val="20"/>
                <w:szCs w:val="20"/>
              </w:rPr>
              <w:t>日股东大会</w:t>
            </w:r>
          </w:p>
          <w:p>
            <w:pPr>
              <w:pStyle w:val="TableParagraph"/>
              <w:spacing w:line="253" w:lineRule="exact"/>
              <w:ind w:left="100" w:right="0"/>
              <w:jc w:val="left"/>
              <w:rPr>
                <w:rFonts w:ascii="宋体" w:hAnsi="宋体" w:cs="宋体" w:eastAsia="宋体" w:hint="default"/>
                <w:sz w:val="20"/>
                <w:szCs w:val="20"/>
              </w:rPr>
            </w:pPr>
            <w:r>
              <w:rPr>
                <w:rFonts w:ascii="宋体" w:hAnsi="宋体" w:cs="宋体" w:eastAsia="宋体" w:hint="default"/>
                <w:sz w:val="20"/>
                <w:szCs w:val="20"/>
              </w:rPr>
              <w:t>批准，任公司监事。</w:t>
            </w:r>
          </w:p>
        </w:tc>
      </w:tr>
      <w:tr>
        <w:trPr>
          <w:trHeight w:val="534" w:hRule="exact"/>
        </w:trPr>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99" w:right="0"/>
              <w:jc w:val="left"/>
              <w:rPr>
                <w:rFonts w:ascii="宋体" w:hAnsi="宋体" w:cs="宋体" w:eastAsia="宋体" w:hint="default"/>
                <w:sz w:val="20"/>
                <w:szCs w:val="20"/>
              </w:rPr>
            </w:pPr>
            <w:r>
              <w:rPr>
                <w:rFonts w:ascii="宋体" w:hAnsi="宋体" w:cs="宋体" w:eastAsia="宋体" w:hint="default"/>
                <w:sz w:val="20"/>
                <w:szCs w:val="20"/>
              </w:rPr>
              <w:t>郭晓科</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00"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00" w:right="0"/>
              <w:jc w:val="left"/>
              <w:rPr>
                <w:rFonts w:ascii="宋体" w:hAnsi="宋体" w:cs="宋体" w:eastAsia="宋体" w:hint="default"/>
                <w:sz w:val="20"/>
                <w:szCs w:val="20"/>
              </w:rPr>
            </w:pPr>
            <w:r>
              <w:rPr>
                <w:rFonts w:ascii="宋体" w:hAnsi="宋体" w:cs="宋体" w:eastAsia="宋体" w:hint="default"/>
                <w:sz w:val="20"/>
                <w:szCs w:val="20"/>
              </w:rPr>
              <w:t>聘任</w:t>
            </w:r>
          </w:p>
        </w:tc>
        <w:tc>
          <w:tcPr>
            <w:tcW w:w="353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经公司第一届职工代表大会第五次会</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议选举产生。</w:t>
            </w:r>
          </w:p>
        </w:tc>
      </w:tr>
      <w:tr>
        <w:trPr>
          <w:trHeight w:val="535" w:hRule="exact"/>
        </w:trPr>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99" w:right="0"/>
              <w:jc w:val="left"/>
              <w:rPr>
                <w:rFonts w:ascii="宋体" w:hAnsi="宋体" w:cs="宋体" w:eastAsia="宋体" w:hint="default"/>
                <w:sz w:val="20"/>
                <w:szCs w:val="20"/>
              </w:rPr>
            </w:pPr>
            <w:r>
              <w:rPr>
                <w:rFonts w:ascii="宋体" w:hAnsi="宋体" w:cs="宋体" w:eastAsia="宋体" w:hint="default"/>
                <w:sz w:val="20"/>
                <w:szCs w:val="20"/>
              </w:rPr>
              <w:t>张健</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00" w:right="0"/>
              <w:jc w:val="left"/>
              <w:rPr>
                <w:rFonts w:ascii="宋体" w:hAnsi="宋体" w:cs="宋体" w:eastAsia="宋体" w:hint="default"/>
                <w:sz w:val="20"/>
                <w:szCs w:val="20"/>
              </w:rPr>
            </w:pPr>
            <w:r>
              <w:rPr>
                <w:rFonts w:ascii="宋体" w:hAnsi="宋体" w:cs="宋体" w:eastAsia="宋体" w:hint="default"/>
                <w:sz w:val="20"/>
                <w:szCs w:val="20"/>
              </w:rPr>
              <w:t>代行董事会秘书</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00" w:right="0"/>
              <w:jc w:val="left"/>
              <w:rPr>
                <w:rFonts w:ascii="宋体" w:hAnsi="宋体" w:cs="宋体" w:eastAsia="宋体" w:hint="default"/>
                <w:sz w:val="20"/>
                <w:szCs w:val="20"/>
              </w:rPr>
            </w:pPr>
            <w:r>
              <w:rPr>
                <w:rFonts w:ascii="宋体" w:hAnsi="宋体" w:cs="宋体" w:eastAsia="宋体" w:hint="default"/>
                <w:sz w:val="20"/>
                <w:szCs w:val="20"/>
              </w:rPr>
              <w:t>聘任</w:t>
            </w:r>
          </w:p>
        </w:tc>
        <w:tc>
          <w:tcPr>
            <w:tcW w:w="353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经公司第三届董事会第十三次会议审</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议批准。</w:t>
            </w:r>
          </w:p>
        </w:tc>
      </w:tr>
    </w:tbl>
    <w:p>
      <w:pPr>
        <w:spacing w:line="240" w:lineRule="auto" w:before="4"/>
        <w:rPr>
          <w:rFonts w:ascii="宋体" w:hAnsi="宋体" w:cs="宋体" w:eastAsia="宋体" w:hint="default"/>
          <w:b/>
          <w:bCs/>
          <w:sz w:val="12"/>
          <w:szCs w:val="12"/>
        </w:rPr>
      </w:pPr>
    </w:p>
    <w:p>
      <w:pPr>
        <w:spacing w:before="31"/>
        <w:ind w:left="146" w:right="0" w:firstLine="0"/>
        <w:jc w:val="left"/>
        <w:rPr>
          <w:rFonts w:ascii="宋体" w:hAnsi="宋体" w:cs="宋体" w:eastAsia="宋体" w:hint="default"/>
          <w:sz w:val="22"/>
          <w:szCs w:val="22"/>
        </w:rPr>
      </w:pPr>
      <w:r>
        <w:rPr>
          <w:rFonts w:ascii="宋体" w:hAnsi="宋体" w:cs="宋体" w:eastAsia="宋体" w:hint="default"/>
          <w:b/>
          <w:bCs/>
          <w:sz w:val="22"/>
          <w:szCs w:val="22"/>
        </w:rPr>
        <w:t>五、公司核心技术团队或关键技术人员情况</w:t>
      </w:r>
      <w:r>
        <w:rPr>
          <w:rFonts w:ascii="宋体" w:hAnsi="宋体" w:cs="宋体" w:eastAsia="宋体" w:hint="default"/>
          <w:sz w:val="22"/>
          <w:szCs w:val="22"/>
        </w:rPr>
      </w:r>
    </w:p>
    <w:p>
      <w:pPr>
        <w:spacing w:line="240" w:lineRule="auto" w:before="5"/>
        <w:rPr>
          <w:rFonts w:ascii="宋体" w:hAnsi="宋体" w:cs="宋体" w:eastAsia="宋体" w:hint="default"/>
          <w:b/>
          <w:bCs/>
          <w:sz w:val="19"/>
          <w:szCs w:val="19"/>
        </w:rPr>
      </w:pPr>
    </w:p>
    <w:p>
      <w:pPr>
        <w:pStyle w:val="BodyText"/>
        <w:spacing w:line="237" w:lineRule="auto"/>
        <w:ind w:left="641" w:right="153"/>
        <w:jc w:val="both"/>
      </w:pPr>
      <w:r>
        <w:rPr>
          <w:spacing w:val="-1"/>
        </w:rPr>
        <w:t>我公司一直重视核心人才的管理及培养，年内针对核心专家、骨干人才队伍起草并制定了管理</w:t>
      </w:r>
      <w:r>
        <w:rPr>
          <w:w w:val="99"/>
        </w:rPr>
        <w:t> </w:t>
      </w:r>
      <w:r>
        <w:rPr>
          <w:spacing w:val="-1"/>
        </w:rPr>
        <w:t>办法及培养激励政策；通过高层次人才创新创业基地吸引、培养公司高层次研发团队；同时持</w:t>
      </w:r>
      <w:r>
        <w:rPr>
          <w:w w:val="99"/>
        </w:rPr>
        <w:t> </w:t>
      </w:r>
      <w:r>
        <w:rPr/>
        <w:t>续加大核心技术团队和关键技术人员的培养力度，为企业发展不断输送高精尖技术人才。</w:t>
      </w:r>
    </w:p>
    <w:p>
      <w:pPr>
        <w:spacing w:line="240" w:lineRule="auto" w:before="3"/>
        <w:rPr>
          <w:rFonts w:ascii="宋体" w:hAnsi="宋体" w:cs="宋体" w:eastAsia="宋体" w:hint="default"/>
          <w:sz w:val="19"/>
          <w:szCs w:val="19"/>
        </w:rPr>
      </w:pPr>
    </w:p>
    <w:p>
      <w:pPr>
        <w:pStyle w:val="Heading3"/>
        <w:spacing w:line="240" w:lineRule="auto" w:before="0"/>
        <w:ind w:right="0"/>
        <w:jc w:val="left"/>
        <w:rPr>
          <w:b w:val="0"/>
          <w:bCs w:val="0"/>
        </w:rPr>
      </w:pPr>
      <w:r>
        <w:rPr/>
        <w:t>六、母公司和主要子公司的员工情况</w:t>
      </w:r>
      <w:r>
        <w:rPr>
          <w:b w:val="0"/>
          <w:bCs w:val="0"/>
        </w:rPr>
      </w:r>
    </w:p>
    <w:p>
      <w:pPr>
        <w:spacing w:line="240" w:lineRule="auto" w:before="1"/>
        <w:rPr>
          <w:rFonts w:ascii="宋体" w:hAnsi="宋体" w:cs="宋体" w:eastAsia="宋体" w:hint="default"/>
          <w:b/>
          <w:bCs/>
          <w:sz w:val="19"/>
          <w:szCs w:val="19"/>
        </w:rPr>
      </w:pPr>
    </w:p>
    <w:p>
      <w:pPr>
        <w:pStyle w:val="BodyText"/>
        <w:spacing w:line="240" w:lineRule="auto"/>
        <w:ind w:left="146" w:right="0"/>
        <w:jc w:val="left"/>
      </w:pPr>
      <w:r>
        <w:rPr/>
        <w:t>（一）员工情况</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tbl>
      <w:tblPr>
        <w:tblW w:w="0" w:type="auto"/>
        <w:jc w:val="left"/>
        <w:tblInd w:w="769" w:type="dxa"/>
        <w:tblLayout w:type="fixed"/>
        <w:tblCellMar>
          <w:top w:w="0" w:type="dxa"/>
          <w:left w:w="0" w:type="dxa"/>
          <w:bottom w:w="0" w:type="dxa"/>
          <w:right w:w="0" w:type="dxa"/>
        </w:tblCellMar>
        <w:tblLook w:val="01E0"/>
      </w:tblPr>
      <w:tblGrid>
        <w:gridCol w:w="3420"/>
        <w:gridCol w:w="5428"/>
      </w:tblGrid>
      <w:tr>
        <w:trPr>
          <w:trHeight w:val="274" w:hRule="exact"/>
        </w:trPr>
        <w:tc>
          <w:tcPr>
            <w:tcW w:w="342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母公司在职员工的数量</w:t>
            </w:r>
          </w:p>
        </w:tc>
        <w:tc>
          <w:tcPr>
            <w:tcW w:w="542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0"/>
                <w:szCs w:val="20"/>
              </w:rPr>
            </w:pPr>
            <w:r>
              <w:rPr>
                <w:rFonts w:ascii="宋体" w:hAnsi="宋体" w:cs="宋体" w:eastAsia="宋体" w:hint="default"/>
                <w:sz w:val="20"/>
                <w:szCs w:val="20"/>
              </w:rPr>
              <w:t>截止报告期末，母公司在职员工为</w:t>
            </w:r>
            <w:r>
              <w:rPr>
                <w:rFonts w:ascii="宋体" w:hAnsi="宋体" w:cs="宋体" w:eastAsia="宋体" w:hint="default"/>
                <w:spacing w:val="-53"/>
                <w:sz w:val="20"/>
                <w:szCs w:val="20"/>
              </w:rPr>
              <w:t> </w:t>
            </w:r>
            <w:r>
              <w:rPr>
                <w:rFonts w:ascii="Arial" w:hAnsi="Arial" w:cs="Arial" w:eastAsia="Arial" w:hint="default"/>
                <w:sz w:val="20"/>
                <w:szCs w:val="20"/>
              </w:rPr>
              <w:t>1,275</w:t>
            </w:r>
            <w:r>
              <w:rPr>
                <w:rFonts w:ascii="Arial" w:hAnsi="Arial" w:cs="Arial" w:eastAsia="Arial" w:hint="default"/>
                <w:spacing w:val="-9"/>
                <w:sz w:val="20"/>
                <w:szCs w:val="20"/>
              </w:rPr>
              <w:t> </w:t>
            </w:r>
            <w:r>
              <w:rPr>
                <w:rFonts w:ascii="宋体" w:hAnsi="宋体" w:cs="宋体" w:eastAsia="宋体" w:hint="default"/>
                <w:sz w:val="20"/>
                <w:szCs w:val="20"/>
              </w:rPr>
              <w:t>人</w:t>
            </w:r>
          </w:p>
        </w:tc>
      </w:tr>
      <w:tr>
        <w:trPr>
          <w:trHeight w:val="275" w:hRule="exact"/>
        </w:trPr>
        <w:tc>
          <w:tcPr>
            <w:tcW w:w="342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主要子公司在职员工的数量</w:t>
            </w:r>
          </w:p>
        </w:tc>
        <w:tc>
          <w:tcPr>
            <w:tcW w:w="5428"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right="97"/>
              <w:jc w:val="right"/>
              <w:rPr>
                <w:rFonts w:ascii="宋体" w:hAnsi="宋体" w:cs="宋体" w:eastAsia="宋体" w:hint="default"/>
                <w:sz w:val="20"/>
                <w:szCs w:val="20"/>
              </w:rPr>
            </w:pPr>
            <w:r>
              <w:rPr>
                <w:rFonts w:ascii="宋体" w:hAnsi="宋体" w:cs="宋体" w:eastAsia="宋体" w:hint="default"/>
                <w:sz w:val="20"/>
                <w:szCs w:val="20"/>
              </w:rPr>
              <w:t>截止报告期末，子公司在职员工为</w:t>
            </w:r>
            <w:r>
              <w:rPr>
                <w:rFonts w:ascii="宋体" w:hAnsi="宋体" w:cs="宋体" w:eastAsia="宋体" w:hint="default"/>
                <w:spacing w:val="-52"/>
                <w:sz w:val="20"/>
                <w:szCs w:val="20"/>
              </w:rPr>
              <w:t> </w:t>
            </w:r>
            <w:r>
              <w:rPr>
                <w:rFonts w:ascii="Arial" w:hAnsi="Arial" w:cs="Arial" w:eastAsia="Arial" w:hint="default"/>
                <w:sz w:val="20"/>
                <w:szCs w:val="20"/>
              </w:rPr>
              <w:t>212,149</w:t>
            </w:r>
            <w:r>
              <w:rPr>
                <w:rFonts w:ascii="Arial" w:hAnsi="Arial" w:cs="Arial" w:eastAsia="Arial" w:hint="default"/>
                <w:spacing w:val="-6"/>
                <w:sz w:val="20"/>
                <w:szCs w:val="20"/>
              </w:rPr>
              <w:t> </w:t>
            </w:r>
            <w:r>
              <w:rPr>
                <w:rFonts w:ascii="宋体" w:hAnsi="宋体" w:cs="宋体" w:eastAsia="宋体" w:hint="default"/>
                <w:sz w:val="20"/>
                <w:szCs w:val="20"/>
              </w:rPr>
              <w:t>人</w:t>
            </w:r>
          </w:p>
        </w:tc>
      </w:tr>
      <w:tr>
        <w:trPr>
          <w:trHeight w:val="275" w:hRule="exact"/>
        </w:trPr>
        <w:tc>
          <w:tcPr>
            <w:tcW w:w="342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在职员工的数量合计</w:t>
            </w:r>
          </w:p>
        </w:tc>
        <w:tc>
          <w:tcPr>
            <w:tcW w:w="5428"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right="98"/>
              <w:jc w:val="right"/>
              <w:rPr>
                <w:rFonts w:ascii="宋体" w:hAnsi="宋体" w:cs="宋体" w:eastAsia="宋体" w:hint="default"/>
                <w:sz w:val="20"/>
                <w:szCs w:val="20"/>
              </w:rPr>
            </w:pPr>
            <w:r>
              <w:rPr>
                <w:rFonts w:ascii="宋体" w:hAnsi="宋体" w:cs="宋体" w:eastAsia="宋体" w:hint="default"/>
                <w:sz w:val="20"/>
                <w:szCs w:val="20"/>
              </w:rPr>
              <w:t>截止报告期末，公司在职员工为</w:t>
            </w:r>
            <w:r>
              <w:rPr>
                <w:rFonts w:ascii="宋体" w:hAnsi="宋体" w:cs="宋体" w:eastAsia="宋体" w:hint="default"/>
                <w:spacing w:val="-52"/>
                <w:sz w:val="20"/>
                <w:szCs w:val="20"/>
              </w:rPr>
              <w:t> </w:t>
            </w:r>
            <w:r>
              <w:rPr>
                <w:rFonts w:ascii="Arial" w:hAnsi="Arial" w:cs="Arial" w:eastAsia="Arial" w:hint="default"/>
                <w:sz w:val="20"/>
                <w:szCs w:val="20"/>
              </w:rPr>
              <w:t>218,598</w:t>
            </w:r>
            <w:r>
              <w:rPr>
                <w:rFonts w:ascii="Arial" w:hAnsi="Arial" w:cs="Arial" w:eastAsia="Arial" w:hint="default"/>
                <w:spacing w:val="-9"/>
                <w:sz w:val="20"/>
                <w:szCs w:val="20"/>
              </w:rPr>
              <w:t> </w:t>
            </w:r>
            <w:r>
              <w:rPr>
                <w:rFonts w:ascii="宋体" w:hAnsi="宋体" w:cs="宋体" w:eastAsia="宋体" w:hint="default"/>
                <w:sz w:val="20"/>
                <w:szCs w:val="20"/>
              </w:rPr>
              <w:t>人</w:t>
            </w:r>
          </w:p>
        </w:tc>
      </w:tr>
      <w:tr>
        <w:trPr>
          <w:trHeight w:val="534" w:hRule="exact"/>
        </w:trPr>
        <w:tc>
          <w:tcPr>
            <w:tcW w:w="3420"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母公司及主要子公司需承担费用的</w:t>
            </w:r>
          </w:p>
          <w:p>
            <w:pPr>
              <w:pStyle w:val="TableParagraph"/>
              <w:spacing w:line="260" w:lineRule="exact"/>
              <w:ind w:left="335" w:right="0"/>
              <w:jc w:val="left"/>
              <w:rPr>
                <w:rFonts w:ascii="宋体" w:hAnsi="宋体" w:cs="宋体" w:eastAsia="宋体" w:hint="default"/>
                <w:sz w:val="20"/>
                <w:szCs w:val="20"/>
              </w:rPr>
            </w:pPr>
            <w:r>
              <w:rPr>
                <w:rFonts w:ascii="宋体" w:hAnsi="宋体" w:cs="宋体" w:eastAsia="宋体" w:hint="default"/>
                <w:sz w:val="20"/>
                <w:szCs w:val="20"/>
              </w:rPr>
              <w:t>离退休职工人数</w:t>
            </w:r>
          </w:p>
        </w:tc>
        <w:tc>
          <w:tcPr>
            <w:tcW w:w="5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hAnsi="宋体" w:cs="宋体" w:eastAsia="宋体" w:hint="default"/>
                <w:sz w:val="20"/>
                <w:szCs w:val="20"/>
              </w:rPr>
              <w:t>截止报告期末，公司需承担费用的离退休职工为</w:t>
            </w:r>
            <w:r>
              <w:rPr>
                <w:rFonts w:ascii="宋体" w:hAnsi="宋体" w:cs="宋体" w:eastAsia="宋体" w:hint="default"/>
                <w:spacing w:val="-54"/>
                <w:sz w:val="20"/>
                <w:szCs w:val="20"/>
              </w:rPr>
              <w:t> </w:t>
            </w:r>
            <w:r>
              <w:rPr>
                <w:rFonts w:ascii="Arial" w:hAnsi="Arial" w:cs="Arial" w:eastAsia="Arial" w:hint="default"/>
                <w:sz w:val="20"/>
                <w:szCs w:val="20"/>
              </w:rPr>
              <w:t>2,849</w:t>
            </w:r>
            <w:r>
              <w:rPr>
                <w:rFonts w:ascii="Arial" w:hAnsi="Arial" w:cs="Arial" w:eastAsia="Arial" w:hint="default"/>
                <w:spacing w:val="-10"/>
                <w:sz w:val="20"/>
                <w:szCs w:val="20"/>
              </w:rPr>
              <w:t> </w:t>
            </w:r>
            <w:r>
              <w:rPr>
                <w:rFonts w:ascii="宋体" w:hAnsi="宋体" w:cs="宋体" w:eastAsia="宋体" w:hint="default"/>
                <w:sz w:val="20"/>
                <w:szCs w:val="20"/>
              </w:rPr>
              <w:t>人</w:t>
            </w:r>
          </w:p>
        </w:tc>
      </w:tr>
    </w:tbl>
    <w:p>
      <w:pPr>
        <w:spacing w:after="0" w:line="240" w:lineRule="auto"/>
        <w:jc w:val="right"/>
        <w:rPr>
          <w:rFonts w:ascii="宋体" w:hAnsi="宋体" w:cs="宋体" w:eastAsia="宋体" w:hint="default"/>
          <w:sz w:val="20"/>
          <w:szCs w:val="20"/>
        </w:rPr>
        <w:sectPr>
          <w:pgSz w:w="11910" w:h="16840"/>
          <w:pgMar w:header="567" w:footer="745" w:top="800" w:bottom="940" w:left="1380" w:right="7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tbl>
      <w:tblPr>
        <w:tblW w:w="0" w:type="auto"/>
        <w:jc w:val="left"/>
        <w:tblInd w:w="799" w:type="dxa"/>
        <w:tblLayout w:type="fixed"/>
        <w:tblCellMar>
          <w:top w:w="0" w:type="dxa"/>
          <w:left w:w="0" w:type="dxa"/>
          <w:bottom w:w="0" w:type="dxa"/>
          <w:right w:w="0" w:type="dxa"/>
        </w:tblCellMar>
        <w:tblLook w:val="01E0"/>
      </w:tblPr>
      <w:tblGrid>
        <w:gridCol w:w="4023"/>
        <w:gridCol w:w="4816"/>
      </w:tblGrid>
      <w:tr>
        <w:trPr>
          <w:trHeight w:val="295" w:hRule="exact"/>
        </w:trPr>
        <w:tc>
          <w:tcPr>
            <w:tcW w:w="8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专业构成</w:t>
            </w:r>
          </w:p>
        </w:tc>
      </w:tr>
      <w:tr>
        <w:trPr>
          <w:trHeight w:val="295"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专业构成类别</w:t>
            </w:r>
          </w:p>
        </w:tc>
        <w:tc>
          <w:tcPr>
            <w:tcW w:w="481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专业构成人数</w:t>
            </w:r>
          </w:p>
        </w:tc>
      </w:tr>
      <w:tr>
        <w:trPr>
          <w:trHeight w:val="295"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sz w:val="22"/>
                <w:szCs w:val="22"/>
              </w:rPr>
              <w:t>销售与服务人员</w:t>
            </w:r>
          </w:p>
        </w:tc>
        <w:tc>
          <w:tcPr>
            <w:tcW w:w="4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Arial" w:hAnsi="Arial" w:cs="Arial" w:eastAsia="Arial" w:hint="default"/>
                <w:sz w:val="22"/>
                <w:szCs w:val="22"/>
              </w:rPr>
            </w:pPr>
            <w:r>
              <w:rPr>
                <w:rFonts w:ascii="Arial"/>
                <w:w w:val="95"/>
                <w:sz w:val="22"/>
              </w:rPr>
              <w:t>63,397</w:t>
            </w:r>
            <w:r>
              <w:rPr>
                <w:rFonts w:ascii="Arial"/>
                <w:sz w:val="22"/>
              </w:rPr>
            </w:r>
          </w:p>
        </w:tc>
      </w:tr>
      <w:tr>
        <w:trPr>
          <w:trHeight w:val="295"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sz w:val="22"/>
                <w:szCs w:val="22"/>
              </w:rPr>
              <w:t>产品与市场人员</w:t>
            </w:r>
          </w:p>
        </w:tc>
        <w:tc>
          <w:tcPr>
            <w:tcW w:w="4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Arial" w:hAnsi="Arial" w:cs="Arial" w:eastAsia="Arial" w:hint="default"/>
                <w:sz w:val="22"/>
                <w:szCs w:val="22"/>
              </w:rPr>
            </w:pPr>
            <w:r>
              <w:rPr>
                <w:rFonts w:ascii="Arial"/>
                <w:w w:val="95"/>
                <w:sz w:val="22"/>
              </w:rPr>
              <w:t>18,308</w:t>
            </w:r>
            <w:r>
              <w:rPr>
                <w:rFonts w:ascii="Arial"/>
                <w:sz w:val="22"/>
              </w:rPr>
            </w:r>
          </w:p>
        </w:tc>
      </w:tr>
      <w:tr>
        <w:trPr>
          <w:trHeight w:val="295"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sz w:val="22"/>
                <w:szCs w:val="22"/>
              </w:rPr>
              <w:t>建设与维护人员</w:t>
            </w:r>
          </w:p>
        </w:tc>
        <w:tc>
          <w:tcPr>
            <w:tcW w:w="4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Arial" w:hAnsi="Arial" w:cs="Arial" w:eastAsia="Arial" w:hint="default"/>
                <w:sz w:val="22"/>
                <w:szCs w:val="22"/>
              </w:rPr>
            </w:pPr>
            <w:r>
              <w:rPr>
                <w:rFonts w:ascii="Arial"/>
                <w:w w:val="95"/>
                <w:sz w:val="22"/>
              </w:rPr>
              <w:t>81,155</w:t>
            </w:r>
            <w:r>
              <w:rPr>
                <w:rFonts w:ascii="Arial"/>
                <w:sz w:val="22"/>
              </w:rPr>
            </w:r>
          </w:p>
        </w:tc>
      </w:tr>
      <w:tr>
        <w:trPr>
          <w:trHeight w:val="296"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sz w:val="22"/>
                <w:szCs w:val="22"/>
              </w:rPr>
              <w:t>支撑人员</w:t>
            </w:r>
          </w:p>
        </w:tc>
        <w:tc>
          <w:tcPr>
            <w:tcW w:w="4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Arial" w:hAnsi="Arial" w:cs="Arial" w:eastAsia="Arial" w:hint="default"/>
                <w:sz w:val="22"/>
                <w:szCs w:val="22"/>
              </w:rPr>
            </w:pPr>
            <w:r>
              <w:rPr>
                <w:rFonts w:ascii="Arial"/>
                <w:w w:val="95"/>
                <w:sz w:val="22"/>
              </w:rPr>
              <w:t>26,579</w:t>
            </w:r>
            <w:r>
              <w:rPr>
                <w:rFonts w:ascii="Arial"/>
                <w:sz w:val="22"/>
              </w:rPr>
            </w:r>
          </w:p>
        </w:tc>
      </w:tr>
      <w:tr>
        <w:trPr>
          <w:trHeight w:val="295"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管理人员</w:t>
            </w:r>
          </w:p>
        </w:tc>
        <w:tc>
          <w:tcPr>
            <w:tcW w:w="4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Arial" w:hAnsi="Arial" w:cs="Arial" w:eastAsia="Arial" w:hint="default"/>
                <w:sz w:val="22"/>
                <w:szCs w:val="22"/>
              </w:rPr>
            </w:pPr>
            <w:r>
              <w:rPr>
                <w:rFonts w:ascii="Arial"/>
                <w:w w:val="95"/>
                <w:sz w:val="22"/>
              </w:rPr>
              <w:t>23,620</w:t>
            </w:r>
            <w:r>
              <w:rPr>
                <w:rFonts w:ascii="Arial"/>
                <w:sz w:val="22"/>
              </w:rPr>
            </w:r>
          </w:p>
        </w:tc>
      </w:tr>
      <w:tr>
        <w:trPr>
          <w:trHeight w:val="296"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其他</w:t>
            </w:r>
          </w:p>
        </w:tc>
        <w:tc>
          <w:tcPr>
            <w:tcW w:w="4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Arial" w:hAnsi="Arial" w:cs="Arial" w:eastAsia="Arial" w:hint="default"/>
                <w:sz w:val="22"/>
                <w:szCs w:val="22"/>
              </w:rPr>
            </w:pPr>
            <w:r>
              <w:rPr>
                <w:rFonts w:ascii="Arial"/>
                <w:w w:val="95"/>
                <w:sz w:val="22"/>
              </w:rPr>
              <w:t>5,539</w:t>
            </w:r>
            <w:r>
              <w:rPr>
                <w:rFonts w:ascii="Arial"/>
                <w:sz w:val="22"/>
              </w:rPr>
            </w:r>
          </w:p>
        </w:tc>
      </w:tr>
      <w:tr>
        <w:trPr>
          <w:trHeight w:val="295"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合计</w:t>
            </w:r>
          </w:p>
        </w:tc>
        <w:tc>
          <w:tcPr>
            <w:tcW w:w="4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Arial" w:hAnsi="Arial" w:cs="Arial" w:eastAsia="Arial" w:hint="default"/>
                <w:sz w:val="22"/>
                <w:szCs w:val="22"/>
              </w:rPr>
            </w:pPr>
            <w:r>
              <w:rPr>
                <w:rFonts w:ascii="Arial"/>
                <w:w w:val="95"/>
                <w:sz w:val="22"/>
              </w:rPr>
              <w:t>218,598</w:t>
            </w:r>
            <w:r>
              <w:rPr>
                <w:rFonts w:ascii="Arial"/>
                <w:sz w:val="22"/>
              </w:rPr>
            </w:r>
          </w:p>
        </w:tc>
      </w:tr>
      <w:tr>
        <w:trPr>
          <w:trHeight w:val="295" w:hRule="exact"/>
        </w:trPr>
        <w:tc>
          <w:tcPr>
            <w:tcW w:w="8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教育程度</w:t>
            </w:r>
          </w:p>
        </w:tc>
      </w:tr>
      <w:tr>
        <w:trPr>
          <w:trHeight w:val="295"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教育程度类别</w:t>
            </w:r>
          </w:p>
        </w:tc>
        <w:tc>
          <w:tcPr>
            <w:tcW w:w="481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数量（人）</w:t>
            </w:r>
          </w:p>
        </w:tc>
      </w:tr>
      <w:tr>
        <w:trPr>
          <w:trHeight w:val="295"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硕士以上</w:t>
            </w:r>
          </w:p>
        </w:tc>
        <w:tc>
          <w:tcPr>
            <w:tcW w:w="4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Arial" w:hAnsi="Arial" w:cs="Arial" w:eastAsia="Arial" w:hint="default"/>
                <w:sz w:val="22"/>
                <w:szCs w:val="22"/>
              </w:rPr>
            </w:pPr>
            <w:r>
              <w:rPr>
                <w:rFonts w:ascii="Arial"/>
                <w:w w:val="95"/>
                <w:sz w:val="22"/>
              </w:rPr>
              <w:t>10,571</w:t>
            </w:r>
            <w:r>
              <w:rPr>
                <w:rFonts w:ascii="Arial"/>
                <w:sz w:val="22"/>
              </w:rPr>
            </w:r>
          </w:p>
        </w:tc>
      </w:tr>
      <w:tr>
        <w:trPr>
          <w:trHeight w:val="295"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大学本科</w:t>
            </w:r>
          </w:p>
        </w:tc>
        <w:tc>
          <w:tcPr>
            <w:tcW w:w="4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Arial" w:hAnsi="Arial" w:cs="Arial" w:eastAsia="Arial" w:hint="default"/>
                <w:sz w:val="22"/>
                <w:szCs w:val="22"/>
              </w:rPr>
            </w:pPr>
            <w:r>
              <w:rPr>
                <w:rFonts w:ascii="Arial"/>
                <w:w w:val="95"/>
                <w:sz w:val="22"/>
              </w:rPr>
              <w:t>95,407</w:t>
            </w:r>
            <w:r>
              <w:rPr>
                <w:rFonts w:ascii="Arial"/>
                <w:sz w:val="22"/>
              </w:rPr>
            </w:r>
          </w:p>
        </w:tc>
      </w:tr>
      <w:tr>
        <w:trPr>
          <w:trHeight w:val="295"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sz w:val="22"/>
                <w:szCs w:val="22"/>
              </w:rPr>
              <w:t>大学专科</w:t>
            </w:r>
          </w:p>
        </w:tc>
        <w:tc>
          <w:tcPr>
            <w:tcW w:w="4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Arial" w:hAnsi="Arial" w:cs="Arial" w:eastAsia="Arial" w:hint="default"/>
                <w:sz w:val="22"/>
                <w:szCs w:val="22"/>
              </w:rPr>
            </w:pPr>
            <w:r>
              <w:rPr>
                <w:rFonts w:ascii="Arial"/>
                <w:w w:val="95"/>
                <w:sz w:val="22"/>
              </w:rPr>
              <w:t>56,749</w:t>
            </w:r>
            <w:r>
              <w:rPr>
                <w:rFonts w:ascii="Arial"/>
                <w:sz w:val="22"/>
              </w:rPr>
            </w:r>
          </w:p>
        </w:tc>
      </w:tr>
      <w:tr>
        <w:trPr>
          <w:trHeight w:val="295"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sz w:val="22"/>
                <w:szCs w:val="22"/>
              </w:rPr>
              <w:t>大专以下</w:t>
            </w:r>
          </w:p>
        </w:tc>
        <w:tc>
          <w:tcPr>
            <w:tcW w:w="4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Arial" w:hAnsi="Arial" w:cs="Arial" w:eastAsia="Arial" w:hint="default"/>
                <w:sz w:val="22"/>
                <w:szCs w:val="22"/>
              </w:rPr>
            </w:pPr>
            <w:r>
              <w:rPr>
                <w:rFonts w:ascii="Arial"/>
                <w:w w:val="95"/>
                <w:sz w:val="22"/>
              </w:rPr>
              <w:t>55,871</w:t>
            </w:r>
            <w:r>
              <w:rPr>
                <w:rFonts w:ascii="Arial"/>
                <w:sz w:val="22"/>
              </w:rPr>
            </w:r>
          </w:p>
        </w:tc>
      </w:tr>
      <w:tr>
        <w:trPr>
          <w:trHeight w:val="296"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sz w:val="22"/>
                <w:szCs w:val="22"/>
              </w:rPr>
              <w:t>合计</w:t>
            </w:r>
          </w:p>
        </w:tc>
        <w:tc>
          <w:tcPr>
            <w:tcW w:w="4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Arial" w:hAnsi="Arial" w:cs="Arial" w:eastAsia="Arial" w:hint="default"/>
                <w:sz w:val="22"/>
                <w:szCs w:val="22"/>
              </w:rPr>
            </w:pPr>
            <w:r>
              <w:rPr>
                <w:rFonts w:ascii="Arial"/>
                <w:w w:val="95"/>
                <w:sz w:val="22"/>
              </w:rPr>
              <w:t>218,598</w:t>
            </w:r>
            <w:r>
              <w:rPr>
                <w:rFonts w:ascii="Arial"/>
                <w:sz w:val="22"/>
              </w:rPr>
            </w:r>
          </w:p>
        </w:tc>
      </w:tr>
    </w:tbl>
    <w:p>
      <w:pPr>
        <w:spacing w:line="240" w:lineRule="auto" w:before="2"/>
        <w:rPr>
          <w:rFonts w:ascii="宋体" w:hAnsi="宋体" w:cs="宋体" w:eastAsia="宋体" w:hint="default"/>
          <w:sz w:val="14"/>
          <w:szCs w:val="14"/>
        </w:rPr>
      </w:pPr>
    </w:p>
    <w:p>
      <w:pPr>
        <w:pStyle w:val="BodyText"/>
        <w:spacing w:line="240" w:lineRule="auto" w:before="31"/>
        <w:ind w:left="146" w:right="89"/>
        <w:jc w:val="left"/>
      </w:pPr>
      <w:r>
        <w:rPr/>
        <w:t>（二）薪酬政策</w:t>
      </w:r>
    </w:p>
    <w:p>
      <w:pPr>
        <w:spacing w:line="240" w:lineRule="auto" w:before="7"/>
        <w:rPr>
          <w:rFonts w:ascii="宋体" w:hAnsi="宋体" w:cs="宋体" w:eastAsia="宋体" w:hint="default"/>
          <w:sz w:val="27"/>
          <w:szCs w:val="27"/>
        </w:rPr>
      </w:pPr>
    </w:p>
    <w:p>
      <w:pPr>
        <w:pStyle w:val="BodyText"/>
        <w:spacing w:line="237" w:lineRule="auto"/>
        <w:ind w:left="821" w:right="227"/>
        <w:jc w:val="both"/>
      </w:pPr>
      <w:r>
        <w:rPr>
          <w:w w:val="95"/>
        </w:rPr>
        <w:t>公司致力于不断优化薪酬管理体系，推动员工薪酬水平符合市场趋势并保持竞争力，不断完</w:t>
      </w:r>
      <w:r>
        <w:rPr>
          <w:spacing w:val="5"/>
          <w:w w:val="95"/>
        </w:rPr>
        <w:t> </w:t>
      </w:r>
      <w:r>
        <w:rPr>
          <w:w w:val="95"/>
        </w:rPr>
        <w:t>善与公司业务发展及效益目标挂钩的人工成本分配机制，有效激励贡献度高的员工群体。同</w:t>
      </w:r>
      <w:r>
        <w:rPr>
          <w:spacing w:val="5"/>
          <w:w w:val="95"/>
        </w:rPr>
        <w:t> </w:t>
      </w:r>
      <w:r>
        <w:rPr>
          <w:w w:val="95"/>
        </w:rPr>
        <w:t>时公司为员工提供全面性的福利计划及发展机会，包括退休福利、社会保险福利、提供各种</w:t>
      </w:r>
      <w:r>
        <w:rPr>
          <w:spacing w:val="5"/>
          <w:w w:val="95"/>
        </w:rPr>
        <w:t> </w:t>
      </w:r>
      <w:r>
        <w:rPr/>
        <w:t>内外部培训课程等。</w:t>
      </w:r>
    </w:p>
    <w:p>
      <w:pPr>
        <w:spacing w:line="240" w:lineRule="auto" w:before="3"/>
        <w:rPr>
          <w:rFonts w:ascii="宋体" w:hAnsi="宋体" w:cs="宋体" w:eastAsia="宋体" w:hint="default"/>
          <w:sz w:val="19"/>
          <w:szCs w:val="19"/>
        </w:rPr>
      </w:pPr>
    </w:p>
    <w:p>
      <w:pPr>
        <w:pStyle w:val="BodyText"/>
        <w:spacing w:line="240" w:lineRule="auto"/>
        <w:ind w:left="146" w:right="89"/>
        <w:jc w:val="left"/>
      </w:pPr>
      <w:r>
        <w:rPr/>
        <w:t>（三）培训计划</w:t>
      </w:r>
    </w:p>
    <w:p>
      <w:pPr>
        <w:spacing w:line="240" w:lineRule="auto" w:before="1"/>
        <w:rPr>
          <w:rFonts w:ascii="宋体" w:hAnsi="宋体" w:cs="宋体" w:eastAsia="宋体" w:hint="default"/>
          <w:sz w:val="24"/>
          <w:szCs w:val="24"/>
        </w:rPr>
      </w:pPr>
    </w:p>
    <w:p>
      <w:pPr>
        <w:pStyle w:val="BodyText"/>
        <w:spacing w:line="232" w:lineRule="auto"/>
        <w:ind w:left="821" w:right="210"/>
        <w:jc w:val="both"/>
      </w:pPr>
      <w:r>
        <w:rPr/>
        <w:t>我公司高度重视人才培养工作，年内精心组织实施重点领导力培训项目：与西班牙电信组织</w:t>
      </w:r>
      <w:r>
        <w:rPr>
          <w:w w:val="99"/>
        </w:rPr>
        <w:t> </w:t>
      </w:r>
      <w:r>
        <w:rPr/>
        <w:t>了第三期联合高管培训班；组织实施了省级分公司新任副总经理和本地网总经理的管理与经</w:t>
      </w:r>
      <w:r>
        <w:rPr>
          <w:w w:val="99"/>
        </w:rPr>
        <w:t> </w:t>
      </w:r>
      <w:r>
        <w:rPr>
          <w:spacing w:val="-5"/>
          <w:w w:val="99"/>
        </w:rPr>
        <w:t>营能力提升培训等重点领导力培训班，全年举办培训班</w:t>
      </w:r>
      <w:r>
        <w:rPr>
          <w:spacing w:val="-48"/>
          <w:w w:val="99"/>
        </w:rPr>
        <w:t> </w:t>
      </w:r>
      <w:r>
        <w:rPr>
          <w:rFonts w:ascii="Arial" w:hAnsi="Arial" w:cs="Arial" w:eastAsia="Arial" w:hint="default"/>
          <w:w w:val="99"/>
        </w:rPr>
        <w:t>16</w:t>
      </w:r>
      <w:r>
        <w:rPr>
          <w:rFonts w:ascii="Arial" w:hAnsi="Arial" w:cs="Arial" w:eastAsia="Arial" w:hint="default"/>
          <w:spacing w:val="-1"/>
          <w:w w:val="99"/>
        </w:rPr>
        <w:t> </w:t>
      </w:r>
      <w:r>
        <w:rPr>
          <w:w w:val="99"/>
        </w:rPr>
        <w:t>期</w:t>
      </w:r>
      <w:r>
        <w:rPr>
          <w:spacing w:val="-51"/>
          <w:w w:val="99"/>
        </w:rPr>
        <w:t> </w:t>
      </w:r>
      <w:r>
        <w:rPr>
          <w:rFonts w:ascii="Arial" w:hAnsi="Arial" w:cs="Arial" w:eastAsia="Arial" w:hint="default"/>
          <w:w w:val="99"/>
        </w:rPr>
        <w:t>23</w:t>
      </w:r>
      <w:r>
        <w:rPr>
          <w:rFonts w:ascii="Arial" w:hAnsi="Arial" w:cs="Arial" w:eastAsia="Arial" w:hint="default"/>
          <w:spacing w:val="-2"/>
          <w:w w:val="99"/>
        </w:rPr>
        <w:t> </w:t>
      </w:r>
      <w:r>
        <w:rPr>
          <w:spacing w:val="-10"/>
          <w:w w:val="99"/>
        </w:rPr>
        <w:t>个，培训各级领导人员</w:t>
      </w:r>
      <w:r>
        <w:rPr>
          <w:spacing w:val="-50"/>
          <w:w w:val="99"/>
        </w:rPr>
        <w:t> </w:t>
      </w:r>
      <w:r>
        <w:rPr>
          <w:rFonts w:ascii="Arial" w:hAnsi="Arial" w:cs="Arial" w:eastAsia="Arial" w:hint="default"/>
          <w:spacing w:val="-1"/>
          <w:w w:val="99"/>
        </w:rPr>
        <w:t>1,429</w:t>
      </w:r>
      <w:r>
        <w:rPr>
          <w:rFonts w:ascii="Arial" w:hAnsi="Arial" w:cs="Arial" w:eastAsia="Arial" w:hint="default"/>
          <w:spacing w:val="-1"/>
          <w:w w:val="99"/>
        </w:rPr>
        <w:t> </w:t>
      </w:r>
      <w:r>
        <w:rPr/>
        <w:t>人次。</w:t>
      </w:r>
    </w:p>
    <w:p>
      <w:pPr>
        <w:spacing w:line="240" w:lineRule="auto" w:before="8"/>
        <w:rPr>
          <w:rFonts w:ascii="宋体" w:hAnsi="宋体" w:cs="宋体" w:eastAsia="宋体" w:hint="default"/>
          <w:sz w:val="19"/>
          <w:szCs w:val="19"/>
        </w:rPr>
      </w:pPr>
    </w:p>
    <w:p>
      <w:pPr>
        <w:pStyle w:val="BodyText"/>
        <w:spacing w:line="235" w:lineRule="auto"/>
        <w:ind w:left="821" w:right="211"/>
        <w:jc w:val="both"/>
      </w:pPr>
      <w:r>
        <w:rPr/>
        <w:t>同时为了助推公司规模效益发展，持续提升员工专业素质，公司加大力度组织专业线员工培</w:t>
      </w:r>
      <w:r>
        <w:rPr>
          <w:w w:val="99"/>
        </w:rPr>
        <w:t> </w:t>
      </w:r>
      <w:r>
        <w:rPr/>
        <w:t>训，全年统一组织完成集团级业务技能培训班</w:t>
      </w:r>
      <w:r>
        <w:rPr>
          <w:spacing w:val="-66"/>
        </w:rPr>
        <w:t> </w:t>
      </w:r>
      <w:r>
        <w:rPr>
          <w:rFonts w:ascii="Arial" w:hAnsi="Arial" w:cs="Arial" w:eastAsia="Arial" w:hint="default"/>
        </w:rPr>
        <w:t>288</w:t>
      </w:r>
      <w:r>
        <w:rPr>
          <w:rFonts w:ascii="Arial" w:hAnsi="Arial" w:cs="Arial" w:eastAsia="Arial" w:hint="default"/>
          <w:spacing w:val="-19"/>
        </w:rPr>
        <w:t> </w:t>
      </w:r>
      <w:r>
        <w:rPr/>
        <w:t>个，培训员工近</w:t>
      </w:r>
      <w:r>
        <w:rPr>
          <w:spacing w:val="-68"/>
        </w:rPr>
        <w:t> </w:t>
      </w:r>
      <w:r>
        <w:rPr>
          <w:rFonts w:ascii="Arial" w:hAnsi="Arial" w:cs="Arial" w:eastAsia="Arial" w:hint="default"/>
        </w:rPr>
        <w:t>2</w:t>
      </w:r>
      <w:r>
        <w:rPr>
          <w:rFonts w:ascii="Arial" w:hAnsi="Arial" w:cs="Arial" w:eastAsia="Arial" w:hint="default"/>
          <w:spacing w:val="-18"/>
        </w:rPr>
        <w:t> </w:t>
      </w:r>
      <w:r>
        <w:rPr/>
        <w:t>万人次。公司与北京邮</w:t>
      </w:r>
      <w:r>
        <w:rPr>
          <w:w w:val="99"/>
        </w:rPr>
        <w:t> </w:t>
      </w:r>
      <w:r>
        <w:rPr/>
        <w:t>电大学等通信业重点高校联合办学，鼓励重点业务发展方向和紧缺专业员工在职深造。另外</w:t>
      </w:r>
      <w:r>
        <w:rPr>
          <w:w w:val="99"/>
        </w:rPr>
        <w:t> </w:t>
      </w:r>
      <w:r>
        <w:rPr/>
        <w:t>加强一线员工职业技能鉴定工作，不断提升公司技能人才培养力度，全年组织了相关专业职</w:t>
      </w:r>
      <w:r>
        <w:rPr>
          <w:w w:val="99"/>
        </w:rPr>
        <w:t> </w:t>
      </w:r>
      <w:r>
        <w:rPr/>
        <w:t>业技能鉴定</w:t>
      </w:r>
      <w:r>
        <w:rPr>
          <w:spacing w:val="-44"/>
        </w:rPr>
        <w:t> </w:t>
      </w:r>
      <w:r>
        <w:rPr>
          <w:rFonts w:ascii="Arial" w:hAnsi="Arial" w:cs="Arial" w:eastAsia="Arial" w:hint="default"/>
        </w:rPr>
        <w:t>7</w:t>
      </w:r>
      <w:r>
        <w:rPr>
          <w:rFonts w:ascii="Arial" w:hAnsi="Arial" w:cs="Arial" w:eastAsia="Arial" w:hint="default"/>
          <w:spacing w:val="3"/>
        </w:rPr>
        <w:t> </w:t>
      </w:r>
      <w:r>
        <w:rPr/>
        <w:t>批次、</w:t>
      </w:r>
      <w:r>
        <w:rPr>
          <w:rFonts w:ascii="Arial" w:hAnsi="Arial" w:cs="Arial" w:eastAsia="Arial" w:hint="default"/>
        </w:rPr>
        <w:t>4</w:t>
      </w:r>
      <w:r>
        <w:rPr>
          <w:rFonts w:ascii="Arial" w:hAnsi="Arial" w:cs="Arial" w:eastAsia="Arial" w:hint="default"/>
          <w:spacing w:val="4"/>
        </w:rPr>
        <w:t> </w:t>
      </w:r>
      <w:r>
        <w:rPr/>
        <w:t>万多人，共计申领国家职业资格证书</w:t>
      </w:r>
      <w:r>
        <w:rPr>
          <w:spacing w:val="-44"/>
        </w:rPr>
        <w:t> </w:t>
      </w:r>
      <w:r>
        <w:rPr>
          <w:rFonts w:ascii="Arial" w:hAnsi="Arial" w:cs="Arial" w:eastAsia="Arial" w:hint="default"/>
        </w:rPr>
        <w:t>1.1</w:t>
      </w:r>
      <w:r>
        <w:rPr>
          <w:rFonts w:ascii="Arial" w:hAnsi="Arial" w:cs="Arial" w:eastAsia="Arial" w:hint="default"/>
          <w:spacing w:val="3"/>
        </w:rPr>
        <w:t> </w:t>
      </w:r>
      <w:r>
        <w:rPr/>
        <w:t>万人。充分利用网络学院，</w:t>
      </w:r>
    </w:p>
    <w:p>
      <w:pPr>
        <w:pStyle w:val="BodyText"/>
        <w:spacing w:line="287" w:lineRule="exact"/>
        <w:ind w:left="821" w:right="0"/>
        <w:jc w:val="both"/>
      </w:pPr>
      <w:r>
        <w:rPr/>
        <w:t>促进全员的学习与成长，目前在线课程累计达近</w:t>
      </w:r>
      <w:r>
        <w:rPr>
          <w:spacing w:val="-61"/>
        </w:rPr>
        <w:t> </w:t>
      </w:r>
      <w:r>
        <w:rPr>
          <w:rFonts w:ascii="Arial" w:hAnsi="Arial" w:cs="Arial" w:eastAsia="Arial" w:hint="default"/>
        </w:rPr>
        <w:t>1,300</w:t>
      </w:r>
      <w:r>
        <w:rPr>
          <w:rFonts w:ascii="Arial" w:hAnsi="Arial" w:cs="Arial" w:eastAsia="Arial" w:hint="default"/>
          <w:spacing w:val="-12"/>
        </w:rPr>
        <w:t> </w:t>
      </w:r>
      <w:r>
        <w:rPr/>
        <w:t>门，全年在线学习达到</w:t>
      </w:r>
      <w:r>
        <w:rPr>
          <w:spacing w:val="-61"/>
        </w:rPr>
        <w:t> </w:t>
      </w:r>
      <w:r>
        <w:rPr>
          <w:rFonts w:ascii="Arial" w:hAnsi="Arial" w:cs="Arial" w:eastAsia="Arial" w:hint="default"/>
        </w:rPr>
        <w:t>85</w:t>
      </w:r>
      <w:r>
        <w:rPr>
          <w:rFonts w:ascii="Arial" w:hAnsi="Arial" w:cs="Arial" w:eastAsia="Arial" w:hint="default"/>
          <w:spacing w:val="-12"/>
        </w:rPr>
        <w:t> </w:t>
      </w:r>
      <w:r>
        <w:rPr/>
        <w:t>万余人次。</w:t>
      </w:r>
    </w:p>
    <w:p>
      <w:pPr>
        <w:spacing w:line="240" w:lineRule="auto" w:before="0"/>
        <w:rPr>
          <w:rFonts w:ascii="宋体" w:hAnsi="宋体" w:cs="宋体" w:eastAsia="宋体" w:hint="default"/>
          <w:sz w:val="20"/>
          <w:szCs w:val="20"/>
        </w:rPr>
      </w:pPr>
    </w:p>
    <w:p>
      <w:pPr>
        <w:pStyle w:val="BodyText"/>
        <w:spacing w:line="286" w:lineRule="exact"/>
        <w:ind w:left="821" w:right="89"/>
        <w:jc w:val="left"/>
      </w:pPr>
      <w:r>
        <w:rPr/>
        <w:t>公司培训工作紧密围绕企业战略和工作重点，坚定培训转型思路，创新培训模式，搭建培训</w:t>
      </w:r>
      <w:r>
        <w:rPr>
          <w:w w:val="99"/>
        </w:rPr>
        <w:t> </w:t>
      </w:r>
      <w:r>
        <w:rPr>
          <w:spacing w:val="-3"/>
        </w:rPr>
        <w:t>体系，多层次、全方位、持续地开展培训，为公司规模效益发展提供了智力支持和人才保障。</w:t>
      </w:r>
    </w:p>
    <w:p>
      <w:pPr>
        <w:spacing w:after="0" w:line="286" w:lineRule="exact"/>
        <w:jc w:val="left"/>
        <w:sectPr>
          <w:pgSz w:w="11910" w:h="16840"/>
          <w:pgMar w:header="567" w:footer="745" w:top="800" w:bottom="940" w:left="1380" w:right="680"/>
        </w:sectPr>
      </w:pPr>
    </w:p>
    <w:p>
      <w:pPr>
        <w:spacing w:line="240" w:lineRule="auto" w:before="8"/>
        <w:rPr>
          <w:rFonts w:ascii="宋体" w:hAnsi="宋体" w:cs="宋体" w:eastAsia="宋体" w:hint="default"/>
          <w:sz w:val="22"/>
          <w:szCs w:val="22"/>
        </w:rPr>
      </w:pPr>
    </w:p>
    <w:p>
      <w:pPr>
        <w:pStyle w:val="BodyText"/>
        <w:spacing w:line="240" w:lineRule="auto" w:before="31"/>
        <w:ind w:left="146" w:right="0"/>
        <w:jc w:val="left"/>
      </w:pPr>
      <w:r>
        <w:rPr/>
        <w:t>（四）专业构成统计图：</w:t>
      </w:r>
    </w:p>
    <w:p>
      <w:pPr>
        <w:spacing w:line="240" w:lineRule="auto" w:before="0"/>
        <w:rPr>
          <w:rFonts w:ascii="宋体" w:hAnsi="宋体" w:cs="宋体" w:eastAsia="宋体" w:hint="default"/>
          <w:sz w:val="7"/>
          <w:szCs w:val="7"/>
        </w:rPr>
      </w:pPr>
    </w:p>
    <w:p>
      <w:pPr>
        <w:spacing w:line="3852" w:lineRule="exact"/>
        <w:ind w:left="794" w:right="0" w:firstLine="0"/>
        <w:rPr>
          <w:rFonts w:ascii="宋体" w:hAnsi="宋体" w:cs="宋体" w:eastAsia="宋体" w:hint="default"/>
          <w:sz w:val="20"/>
          <w:szCs w:val="20"/>
        </w:rPr>
      </w:pPr>
      <w:r>
        <w:rPr>
          <w:rFonts w:ascii="宋体" w:hAnsi="宋体" w:cs="宋体" w:eastAsia="宋体" w:hint="default"/>
          <w:position w:val="-76"/>
          <w:sz w:val="20"/>
          <w:szCs w:val="20"/>
        </w:rPr>
        <w:drawing>
          <wp:inline distT="0" distB="0" distL="0" distR="0">
            <wp:extent cx="4426312" cy="244602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5" cstate="print"/>
                    <a:stretch>
                      <a:fillRect/>
                    </a:stretch>
                  </pic:blipFill>
                  <pic:spPr>
                    <a:xfrm>
                      <a:off x="0" y="0"/>
                      <a:ext cx="4426312" cy="2446020"/>
                    </a:xfrm>
                    <a:prstGeom prst="rect">
                      <a:avLst/>
                    </a:prstGeom>
                  </pic:spPr>
                </pic:pic>
              </a:graphicData>
            </a:graphic>
          </wp:inline>
        </w:drawing>
      </w:r>
      <w:r>
        <w:rPr>
          <w:rFonts w:ascii="宋体" w:hAnsi="宋体" w:cs="宋体" w:eastAsia="宋体" w:hint="default"/>
          <w:position w:val="-76"/>
          <w:sz w:val="20"/>
          <w:szCs w:val="20"/>
        </w:rPr>
      </w:r>
    </w:p>
    <w:p>
      <w:pPr>
        <w:pStyle w:val="BodyText"/>
        <w:spacing w:line="240" w:lineRule="auto" w:before="197"/>
        <w:ind w:left="146" w:right="0"/>
        <w:jc w:val="left"/>
      </w:pPr>
      <w:r>
        <w:rPr/>
        <w:t>（五）教育程度统计图：</w:t>
      </w:r>
    </w:p>
    <w:p>
      <w:pPr>
        <w:spacing w:line="240" w:lineRule="auto" w:before="12"/>
        <w:rPr>
          <w:rFonts w:ascii="宋体" w:hAnsi="宋体" w:cs="宋体" w:eastAsia="宋体" w:hint="default"/>
          <w:sz w:val="6"/>
          <w:szCs w:val="6"/>
        </w:rPr>
      </w:pPr>
    </w:p>
    <w:p>
      <w:pPr>
        <w:spacing w:line="3075" w:lineRule="exact"/>
        <w:ind w:left="812" w:right="0" w:firstLine="0"/>
        <w:rPr>
          <w:rFonts w:ascii="宋体" w:hAnsi="宋体" w:cs="宋体" w:eastAsia="宋体" w:hint="default"/>
          <w:sz w:val="20"/>
          <w:szCs w:val="20"/>
        </w:rPr>
      </w:pPr>
      <w:r>
        <w:rPr>
          <w:rFonts w:ascii="宋体" w:hAnsi="宋体" w:cs="宋体" w:eastAsia="宋体" w:hint="default"/>
          <w:position w:val="-61"/>
          <w:sz w:val="20"/>
          <w:szCs w:val="20"/>
        </w:rPr>
        <w:drawing>
          <wp:inline distT="0" distB="0" distL="0" distR="0">
            <wp:extent cx="4513580" cy="195262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6" cstate="print"/>
                    <a:stretch>
                      <a:fillRect/>
                    </a:stretch>
                  </pic:blipFill>
                  <pic:spPr>
                    <a:xfrm>
                      <a:off x="0" y="0"/>
                      <a:ext cx="4513580" cy="1952625"/>
                    </a:xfrm>
                    <a:prstGeom prst="rect">
                      <a:avLst/>
                    </a:prstGeom>
                  </pic:spPr>
                </pic:pic>
              </a:graphicData>
            </a:graphic>
          </wp:inline>
        </w:drawing>
      </w:r>
      <w:r>
        <w:rPr>
          <w:rFonts w:ascii="宋体" w:hAnsi="宋体" w:cs="宋体" w:eastAsia="宋体" w:hint="default"/>
          <w:position w:val="-61"/>
          <w:sz w:val="20"/>
          <w:szCs w:val="20"/>
        </w:rPr>
      </w:r>
    </w:p>
    <w:p>
      <w:pPr>
        <w:pStyle w:val="BodyText"/>
        <w:spacing w:line="240" w:lineRule="auto" w:before="195"/>
        <w:ind w:left="146" w:right="0"/>
        <w:jc w:val="left"/>
      </w:pPr>
      <w:r>
        <w:rPr/>
        <w:t>（六）劳务外包情况</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814" w:type="dxa"/>
        <w:tblLayout w:type="fixed"/>
        <w:tblCellMar>
          <w:top w:w="0" w:type="dxa"/>
          <w:left w:w="0" w:type="dxa"/>
          <w:bottom w:w="0" w:type="dxa"/>
          <w:right w:w="0" w:type="dxa"/>
        </w:tblCellMar>
        <w:tblLook w:val="01E0"/>
      </w:tblPr>
      <w:tblGrid>
        <w:gridCol w:w="2925"/>
        <w:gridCol w:w="5868"/>
      </w:tblGrid>
      <w:tr>
        <w:trPr>
          <w:trHeight w:val="300" w:hRule="exact"/>
        </w:trPr>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劳务外包情况</w:t>
            </w:r>
          </w:p>
        </w:tc>
        <w:tc>
          <w:tcPr>
            <w:tcW w:w="5868"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98"/>
              <w:jc w:val="right"/>
              <w:rPr>
                <w:rFonts w:ascii="宋体" w:hAnsi="宋体" w:cs="宋体" w:eastAsia="宋体" w:hint="default"/>
                <w:sz w:val="22"/>
                <w:szCs w:val="22"/>
              </w:rPr>
            </w:pPr>
            <w:r>
              <w:rPr>
                <w:rFonts w:ascii="Arial" w:hAnsi="Arial" w:cs="Arial" w:eastAsia="Arial" w:hint="default"/>
                <w:sz w:val="22"/>
                <w:szCs w:val="22"/>
              </w:rPr>
              <w:t>70,417</w:t>
            </w:r>
            <w:r>
              <w:rPr>
                <w:rFonts w:ascii="Arial" w:hAnsi="Arial" w:cs="Arial" w:eastAsia="Arial" w:hint="default"/>
                <w:spacing w:val="-8"/>
                <w:sz w:val="22"/>
                <w:szCs w:val="22"/>
              </w:rPr>
              <w:t> </w:t>
            </w:r>
            <w:r>
              <w:rPr>
                <w:rFonts w:ascii="宋体" w:hAnsi="宋体" w:cs="宋体" w:eastAsia="宋体" w:hint="default"/>
                <w:sz w:val="22"/>
                <w:szCs w:val="22"/>
              </w:rPr>
              <w:t>人</w:t>
            </w:r>
          </w:p>
        </w:tc>
      </w:tr>
      <w:tr>
        <w:trPr>
          <w:trHeight w:val="301" w:hRule="exact"/>
        </w:trPr>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劳务外包的工时总数（注）</w:t>
            </w:r>
          </w:p>
        </w:tc>
        <w:tc>
          <w:tcPr>
            <w:tcW w:w="5868"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98"/>
              <w:jc w:val="right"/>
              <w:rPr>
                <w:rFonts w:ascii="宋体" w:hAnsi="宋体" w:cs="宋体" w:eastAsia="宋体" w:hint="default"/>
                <w:sz w:val="22"/>
                <w:szCs w:val="22"/>
              </w:rPr>
            </w:pPr>
            <w:r>
              <w:rPr>
                <w:rFonts w:ascii="Arial" w:hAnsi="Arial" w:cs="Arial" w:eastAsia="Arial" w:hint="default"/>
                <w:sz w:val="22"/>
                <w:szCs w:val="22"/>
              </w:rPr>
              <w:t>148,450,303</w:t>
            </w:r>
            <w:r>
              <w:rPr>
                <w:rFonts w:ascii="Arial" w:hAnsi="Arial" w:cs="Arial" w:eastAsia="Arial" w:hint="default"/>
                <w:spacing w:val="-10"/>
                <w:sz w:val="22"/>
                <w:szCs w:val="22"/>
              </w:rPr>
              <w:t> </w:t>
            </w:r>
            <w:r>
              <w:rPr>
                <w:rFonts w:ascii="宋体" w:hAnsi="宋体" w:cs="宋体" w:eastAsia="宋体" w:hint="default"/>
                <w:sz w:val="22"/>
                <w:szCs w:val="22"/>
              </w:rPr>
              <w:t>工时</w:t>
            </w:r>
          </w:p>
        </w:tc>
      </w:tr>
      <w:tr>
        <w:trPr>
          <w:trHeight w:val="300" w:hRule="exact"/>
        </w:trPr>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劳务外包支付的报酬总额</w:t>
            </w:r>
          </w:p>
        </w:tc>
        <w:tc>
          <w:tcPr>
            <w:tcW w:w="586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2"/>
                <w:szCs w:val="22"/>
              </w:rPr>
            </w:pPr>
            <w:r>
              <w:rPr>
                <w:rFonts w:ascii="宋体" w:hAnsi="宋体" w:cs="宋体" w:eastAsia="宋体" w:hint="default"/>
                <w:spacing w:val="-4"/>
                <w:sz w:val="22"/>
                <w:szCs w:val="22"/>
              </w:rPr>
              <w:t>截止报告期末，劳务外包支付的报酬总额为</w:t>
            </w:r>
            <w:r>
              <w:rPr>
                <w:rFonts w:ascii="宋体" w:hAnsi="宋体" w:cs="宋体" w:eastAsia="宋体" w:hint="default"/>
                <w:spacing w:val="-49"/>
                <w:sz w:val="22"/>
                <w:szCs w:val="22"/>
              </w:rPr>
              <w:t> </w:t>
            </w:r>
            <w:r>
              <w:rPr>
                <w:rFonts w:ascii="Arial" w:hAnsi="Arial" w:cs="Arial" w:eastAsia="Arial" w:hint="default"/>
                <w:sz w:val="22"/>
                <w:szCs w:val="22"/>
              </w:rPr>
              <w:t>337,745.9</w:t>
            </w:r>
            <w:r>
              <w:rPr>
                <w:rFonts w:ascii="Arial" w:hAnsi="Arial" w:cs="Arial" w:eastAsia="Arial" w:hint="default"/>
                <w:spacing w:val="-2"/>
                <w:sz w:val="22"/>
                <w:szCs w:val="22"/>
              </w:rPr>
              <w:t> </w:t>
            </w:r>
            <w:r>
              <w:rPr>
                <w:rFonts w:ascii="宋体" w:hAnsi="宋体" w:cs="宋体" w:eastAsia="宋体" w:hint="default"/>
                <w:sz w:val="22"/>
                <w:szCs w:val="22"/>
              </w:rPr>
              <w:t>万元</w:t>
            </w:r>
          </w:p>
        </w:tc>
      </w:tr>
    </w:tbl>
    <w:p>
      <w:pPr>
        <w:spacing w:line="240" w:lineRule="auto" w:before="2"/>
        <w:rPr>
          <w:rFonts w:ascii="宋体" w:hAnsi="宋体" w:cs="宋体" w:eastAsia="宋体" w:hint="default"/>
          <w:sz w:val="14"/>
          <w:szCs w:val="14"/>
        </w:rPr>
      </w:pPr>
    </w:p>
    <w:p>
      <w:pPr>
        <w:pStyle w:val="BodyText"/>
        <w:spacing w:line="240" w:lineRule="auto" w:before="31"/>
        <w:ind w:left="821" w:right="0"/>
        <w:jc w:val="left"/>
      </w:pPr>
      <w:r>
        <w:rPr/>
        <w:t>月平均工资日</w:t>
      </w:r>
      <w:r>
        <w:rPr>
          <w:spacing w:val="-69"/>
        </w:rPr>
        <w:t> </w:t>
      </w:r>
      <w:r>
        <w:rPr>
          <w:rFonts w:ascii="Arial" w:hAnsi="Arial" w:cs="Arial" w:eastAsia="Arial" w:hint="default"/>
        </w:rPr>
        <w:t>21.96</w:t>
      </w:r>
      <w:r>
        <w:rPr/>
        <w:t>，工资时间</w:t>
      </w:r>
      <w:r>
        <w:rPr>
          <w:spacing w:val="-69"/>
        </w:rPr>
        <w:t> </w:t>
      </w:r>
      <w:r>
        <w:rPr>
          <w:rFonts w:ascii="Arial" w:hAnsi="Arial" w:cs="Arial" w:eastAsia="Arial" w:hint="default"/>
        </w:rPr>
        <w:t>8</w:t>
      </w:r>
      <w:r>
        <w:rPr>
          <w:rFonts w:ascii="Arial" w:hAnsi="Arial" w:cs="Arial" w:eastAsia="Arial" w:hint="default"/>
          <w:spacing w:val="-19"/>
        </w:rPr>
        <w:t> </w:t>
      </w:r>
      <w:r>
        <w:rPr/>
        <w:t>小时计：工时总数</w:t>
      </w:r>
      <w:r>
        <w:rPr>
          <w:rFonts w:ascii="Arial" w:hAnsi="Arial" w:cs="Arial" w:eastAsia="Arial" w:hint="default"/>
        </w:rPr>
        <w:t>=70417x21.96x8x12=148,450,303</w:t>
      </w:r>
      <w:r>
        <w:rPr>
          <w:rFonts w:ascii="Arial" w:hAnsi="Arial" w:cs="Arial" w:eastAsia="Arial" w:hint="default"/>
          <w:spacing w:val="-20"/>
        </w:rPr>
        <w:t> </w:t>
      </w:r>
      <w:r>
        <w:rPr/>
        <w:t>小时</w:t>
      </w:r>
    </w:p>
    <w:p>
      <w:pPr>
        <w:spacing w:after="0" w:line="240" w:lineRule="auto"/>
        <w:jc w:val="left"/>
        <w:sectPr>
          <w:pgSz w:w="11910" w:h="16840"/>
          <w:pgMar w:header="567" w:footer="745" w:top="800" w:bottom="940" w:left="1380" w:right="740"/>
        </w:sectPr>
      </w:pPr>
    </w:p>
    <w:p>
      <w:pPr>
        <w:spacing w:line="240" w:lineRule="auto" w:before="3"/>
        <w:rPr>
          <w:rFonts w:ascii="宋体" w:hAnsi="宋体" w:cs="宋体" w:eastAsia="宋体" w:hint="default"/>
          <w:sz w:val="23"/>
          <w:szCs w:val="23"/>
        </w:rPr>
      </w:pPr>
    </w:p>
    <w:p>
      <w:pPr>
        <w:pStyle w:val="Heading1"/>
        <w:tabs>
          <w:tab w:pos="1253" w:val="left" w:leader="none"/>
        </w:tabs>
        <w:spacing w:line="240" w:lineRule="auto"/>
        <w:ind w:right="64"/>
        <w:jc w:val="center"/>
        <w:rPr>
          <w:b w:val="0"/>
          <w:bCs w:val="0"/>
        </w:rPr>
      </w:pPr>
      <w:bookmarkStart w:name="_TOC_250003" w:id="8"/>
      <w:r>
        <w:rPr>
          <w:w w:val="95"/>
        </w:rPr>
        <w:t>第八节</w:t>
        <w:tab/>
      </w:r>
      <w:r>
        <w:rPr/>
        <w:t>公司治理</w:t>
      </w:r>
      <w:bookmarkEnd w:id="8"/>
      <w:r>
        <w:rPr>
          <w:b w:val="0"/>
          <w:bCs w:val="0"/>
        </w:rPr>
      </w:r>
    </w:p>
    <w:p>
      <w:pPr>
        <w:spacing w:line="240" w:lineRule="auto" w:before="12"/>
        <w:rPr>
          <w:rFonts w:ascii="宋体" w:hAnsi="宋体" w:cs="宋体" w:eastAsia="宋体" w:hint="default"/>
          <w:b/>
          <w:bCs/>
          <w:sz w:val="19"/>
          <w:szCs w:val="19"/>
        </w:rPr>
      </w:pPr>
    </w:p>
    <w:p>
      <w:pPr>
        <w:pStyle w:val="Heading3"/>
        <w:spacing w:line="240" w:lineRule="auto" w:before="0"/>
        <w:ind w:right="89"/>
        <w:jc w:val="left"/>
        <w:rPr>
          <w:b w:val="0"/>
          <w:bCs w:val="0"/>
        </w:rPr>
      </w:pPr>
      <w:r>
        <w:rPr/>
        <w:t>一、公司治理及内幕知情人登记管理等相关情况说明</w:t>
      </w:r>
      <w:r>
        <w:rPr>
          <w:b w:val="0"/>
          <w:bCs w:val="0"/>
        </w:rPr>
      </w:r>
    </w:p>
    <w:p>
      <w:pPr>
        <w:spacing w:line="240" w:lineRule="auto" w:before="7"/>
        <w:rPr>
          <w:rFonts w:ascii="宋体" w:hAnsi="宋体" w:cs="宋体" w:eastAsia="宋体" w:hint="default"/>
          <w:b/>
          <w:bCs/>
          <w:sz w:val="27"/>
          <w:szCs w:val="27"/>
        </w:rPr>
      </w:pPr>
    </w:p>
    <w:p>
      <w:pPr>
        <w:pStyle w:val="BodyText"/>
        <w:spacing w:line="237" w:lineRule="auto"/>
        <w:ind w:left="641" w:right="89"/>
        <w:jc w:val="left"/>
      </w:pPr>
      <w:r>
        <w:rPr/>
        <w:t>报告期内，本公司严格按照《公司法》、《证券法》、《上市公司治理准则》、中国证监会等</w:t>
      </w:r>
      <w:r>
        <w:rPr>
          <w:w w:val="99"/>
        </w:rPr>
        <w:t> </w:t>
      </w:r>
      <w:r>
        <w:rPr>
          <w:spacing w:val="-4"/>
        </w:rPr>
        <w:t>监管部门的有关规定以及上海证券交易所《股票上市规则》等法律法规要求开展公司治理工作，</w:t>
      </w:r>
      <w:r>
        <w:rPr>
          <w:spacing w:val="-97"/>
        </w:rPr>
        <w:t> </w:t>
      </w:r>
      <w:r>
        <w:rPr>
          <w:spacing w:val="-97"/>
        </w:rPr>
      </w:r>
      <w:r>
        <w:rPr/>
        <w:t>不断完善公司法人治理结构和公司各项内部管理制度，建立严格有效的内部控制和风险控制体</w:t>
      </w:r>
      <w:r>
        <w:rPr>
          <w:w w:val="99"/>
        </w:rPr>
        <w:t> </w:t>
      </w:r>
      <w:r>
        <w:rPr/>
        <w:t>系，加强信息披露工作，规范公司运作。</w:t>
      </w:r>
    </w:p>
    <w:p>
      <w:pPr>
        <w:spacing w:line="240" w:lineRule="auto" w:before="5"/>
        <w:rPr>
          <w:rFonts w:ascii="宋体" w:hAnsi="宋体" w:cs="宋体" w:eastAsia="宋体" w:hint="default"/>
          <w:sz w:val="21"/>
          <w:szCs w:val="21"/>
        </w:rPr>
      </w:pPr>
    </w:p>
    <w:p>
      <w:pPr>
        <w:pStyle w:val="BodyText"/>
        <w:spacing w:line="286" w:lineRule="exact"/>
        <w:ind w:left="641" w:right="89"/>
        <w:jc w:val="left"/>
      </w:pPr>
      <w:r>
        <w:rPr>
          <w:w w:val="95"/>
        </w:rPr>
        <w:t>本公司已经先后制定了规范公司运作的《公司章程》、《董事会议事规则》、《股东大会议事</w:t>
      </w:r>
      <w:r>
        <w:rPr>
          <w:spacing w:val="100"/>
          <w:w w:val="95"/>
        </w:rPr>
        <w:t> </w:t>
      </w:r>
      <w:r>
        <w:rPr>
          <w:spacing w:val="100"/>
          <w:w w:val="95"/>
        </w:rPr>
      </w:r>
      <w:r>
        <w:rPr>
          <w:w w:val="95"/>
        </w:rPr>
        <w:t>规则》、《监事会议事规则》、《投资者关系管理办法》、《董事会专门委员会工作细则》、</w:t>
      </w:r>
      <w:r>
        <w:rPr/>
      </w:r>
    </w:p>
    <w:p>
      <w:pPr>
        <w:pStyle w:val="BodyText"/>
        <w:spacing w:line="257" w:lineRule="exact"/>
        <w:ind w:left="641" w:right="89"/>
        <w:jc w:val="left"/>
      </w:pPr>
      <w:r>
        <w:rPr>
          <w:spacing w:val="-7"/>
        </w:rPr>
        <w:t>《独立董事工作细则》、《公司信息披露事务管理实施办法》、《董事会秘书工作细则》、《公</w:t>
      </w:r>
    </w:p>
    <w:p>
      <w:pPr>
        <w:pStyle w:val="BodyText"/>
        <w:spacing w:line="232" w:lineRule="auto" w:before="6"/>
        <w:ind w:left="641" w:right="208"/>
        <w:jc w:val="both"/>
        <w:rPr>
          <w:rFonts w:ascii="Arial" w:hAnsi="Arial" w:cs="Arial" w:eastAsia="Arial" w:hint="default"/>
        </w:rPr>
      </w:pPr>
      <w:r>
        <w:rPr>
          <w:spacing w:val="-3"/>
        </w:rPr>
        <w:t>司内幕信息知情人登记制度》等。报告期内本公司严格按照《公司章程》及本公司</w:t>
      </w:r>
      <w:r>
        <w:rPr>
          <w:rFonts w:ascii="Arial" w:hAnsi="Arial" w:cs="Arial" w:eastAsia="Arial" w:hint="default"/>
          <w:spacing w:val="-3"/>
        </w:rPr>
        <w:t>"</w:t>
      </w:r>
      <w:r>
        <w:rPr>
          <w:spacing w:val="-3"/>
        </w:rPr>
        <w:t>三会议事规</w:t>
      </w:r>
      <w:r>
        <w:rPr>
          <w:spacing w:val="-99"/>
        </w:rPr>
        <w:t> </w:t>
      </w:r>
      <w:r>
        <w:rPr>
          <w:spacing w:val="-3"/>
        </w:rPr>
        <w:t>则</w:t>
      </w:r>
      <w:r>
        <w:rPr>
          <w:rFonts w:ascii="Arial" w:hAnsi="Arial" w:cs="Arial" w:eastAsia="Arial" w:hint="default"/>
          <w:spacing w:val="-3"/>
        </w:rPr>
        <w:t>"</w:t>
      </w:r>
      <w:r>
        <w:rPr>
          <w:spacing w:val="-3"/>
        </w:rPr>
        <w:t>的规定程序召集、召开股东大会、董事会和监事会，同时公司还依据《董事会专门委员会工</w:t>
      </w:r>
      <w:r>
        <w:rPr>
          <w:spacing w:val="-105"/>
        </w:rPr>
        <w:t> </w:t>
      </w:r>
      <w:r>
        <w:rPr>
          <w:spacing w:val="-105"/>
        </w:rPr>
      </w:r>
      <w:r>
        <w:rPr>
          <w:spacing w:val="-1"/>
        </w:rPr>
        <w:t>作细则》及《独立董事工作细则》的要求，召开独立董事会、审计委员会会议以及薪酬与考核</w:t>
      </w:r>
      <w:r>
        <w:rPr>
          <w:w w:val="99"/>
        </w:rPr>
        <w:t> </w:t>
      </w:r>
      <w:r>
        <w:rPr>
          <w:spacing w:val="-1"/>
        </w:rPr>
        <w:t>委员会会议，审议公司重大事项等。涉及公司定期报告、公司收购、出售等重大信息时，公司</w:t>
      </w:r>
      <w:r>
        <w:rPr>
          <w:spacing w:val="-106"/>
        </w:rPr>
        <w:t> </w:t>
      </w:r>
      <w:r>
        <w:rPr>
          <w:spacing w:val="-106"/>
        </w:rPr>
      </w:r>
      <w:r>
        <w:rPr/>
        <w:t>均严格按照《公司内幕信息知情人登记制度》做好内幕信息知情人登记工作。截至</w:t>
      </w:r>
      <w:r>
        <w:rPr>
          <w:spacing w:val="-73"/>
        </w:rPr>
        <w:t> </w:t>
      </w:r>
      <w:r>
        <w:rPr>
          <w:rFonts w:ascii="Arial" w:hAnsi="Arial" w:cs="Arial" w:eastAsia="Arial" w:hint="default"/>
        </w:rPr>
        <w:t>2012</w:t>
      </w:r>
      <w:r>
        <w:rPr>
          <w:rFonts w:ascii="Arial" w:hAnsi="Arial" w:cs="Arial" w:eastAsia="Arial" w:hint="default"/>
          <w:spacing w:val="-26"/>
        </w:rPr>
        <w:t> </w:t>
      </w:r>
      <w:r>
        <w:rPr/>
        <w:t>年</w:t>
      </w:r>
      <w:r>
        <w:rPr>
          <w:spacing w:val="-75"/>
        </w:rPr>
        <w:t> </w:t>
      </w:r>
      <w:r>
        <w:rPr>
          <w:rFonts w:ascii="Arial" w:hAnsi="Arial" w:cs="Arial" w:eastAsia="Arial" w:hint="default"/>
        </w:rPr>
        <w:t>12</w:t>
      </w:r>
    </w:p>
    <w:p>
      <w:pPr>
        <w:pStyle w:val="BodyText"/>
        <w:spacing w:line="286" w:lineRule="exact" w:before="11"/>
        <w:ind w:left="641" w:right="207"/>
        <w:jc w:val="left"/>
      </w:pPr>
      <w:r>
        <w:rPr/>
        <w:t>月 </w:t>
      </w:r>
      <w:r>
        <w:rPr>
          <w:rFonts w:ascii="Arial" w:hAnsi="Arial" w:cs="Arial" w:eastAsia="Arial" w:hint="default"/>
        </w:rPr>
        <w:t>31</w:t>
      </w:r>
      <w:r>
        <w:rPr>
          <w:rFonts w:ascii="Arial" w:hAnsi="Arial" w:cs="Arial" w:eastAsia="Arial" w:hint="default"/>
          <w:spacing w:val="-16"/>
        </w:rPr>
        <w:t> </w:t>
      </w:r>
      <w:r>
        <w:rPr/>
        <w:t>日止，本公司治理情况与中国证监会发布的《上市公司治理准则》的要求基本符合。主</w:t>
      </w:r>
      <w:r>
        <w:rPr>
          <w:w w:val="99"/>
        </w:rPr>
        <w:t> </w:t>
      </w:r>
      <w:r>
        <w:rPr/>
        <w:t>要表现：</w:t>
      </w:r>
    </w:p>
    <w:p>
      <w:pPr>
        <w:spacing w:line="240" w:lineRule="auto" w:before="9"/>
        <w:rPr>
          <w:rFonts w:ascii="宋体" w:hAnsi="宋体" w:cs="宋体" w:eastAsia="宋体" w:hint="default"/>
          <w:sz w:val="17"/>
          <w:szCs w:val="17"/>
        </w:rPr>
      </w:pPr>
    </w:p>
    <w:p>
      <w:pPr>
        <w:pStyle w:val="BodyText"/>
        <w:spacing w:line="232" w:lineRule="auto"/>
        <w:ind w:left="974" w:right="210" w:hanging="316"/>
        <w:jc w:val="both"/>
      </w:pPr>
      <w:r>
        <w:rPr>
          <w:rFonts w:ascii="Arial" w:hAnsi="Arial" w:cs="Arial" w:eastAsia="Arial" w:hint="default"/>
        </w:rPr>
        <w:t>1</w:t>
      </w:r>
      <w:r>
        <w:rPr/>
        <w:t>、股东与股东大会：报告期内，本公司召开了两次年度股东大会。本公司股东大会的召集、</w:t>
      </w:r>
      <w:r>
        <w:rPr>
          <w:spacing w:val="-90"/>
        </w:rPr>
        <w:t> </w:t>
      </w:r>
      <w:r>
        <w:rPr>
          <w:spacing w:val="-90"/>
        </w:rPr>
      </w:r>
      <w:r>
        <w:rPr>
          <w:spacing w:val="2"/>
        </w:rPr>
        <w:t>召开、表决等相关程序均严格按照有关法律法规和本公司《股东大会议事规则》的规定。</w:t>
      </w:r>
      <w:r>
        <w:rPr>
          <w:w w:val="99"/>
        </w:rPr>
        <w:t> </w:t>
      </w:r>
      <w:r>
        <w:rPr>
          <w:spacing w:val="2"/>
        </w:rPr>
        <w:t>本公司确保全体股东，特别是中小股东享有平等地位，确保所有股东能够按其持有的股份</w:t>
      </w:r>
      <w:r>
        <w:rPr>
          <w:w w:val="99"/>
        </w:rPr>
        <w:t> </w:t>
      </w:r>
      <w:r>
        <w:rPr>
          <w:spacing w:val="-4"/>
        </w:rPr>
        <w:t>享有并充分行使自己的权利。尤其是公司在</w:t>
      </w:r>
      <w:r>
        <w:rPr>
          <w:spacing w:val="-55"/>
        </w:rPr>
        <w:t> </w:t>
      </w:r>
      <w:r>
        <w:rPr>
          <w:rFonts w:ascii="Arial" w:hAnsi="Arial" w:cs="Arial" w:eastAsia="Arial" w:hint="default"/>
        </w:rPr>
        <w:t>2012</w:t>
      </w:r>
      <w:r>
        <w:rPr>
          <w:rFonts w:ascii="Arial" w:hAnsi="Arial" w:cs="Arial" w:eastAsia="Arial" w:hint="default"/>
          <w:spacing w:val="-6"/>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21</w:t>
      </w:r>
      <w:r>
        <w:rPr>
          <w:rFonts w:ascii="Arial" w:hAnsi="Arial" w:cs="Arial" w:eastAsia="Arial" w:hint="default"/>
          <w:spacing w:val="-7"/>
        </w:rPr>
        <w:t> </w:t>
      </w:r>
      <w:r>
        <w:rPr/>
        <w:t>日召开</w:t>
      </w:r>
      <w:r>
        <w:rPr>
          <w:spacing w:val="-56"/>
        </w:rPr>
        <w:t> </w:t>
      </w:r>
      <w:r>
        <w:rPr>
          <w:rFonts w:ascii="Arial" w:hAnsi="Arial" w:cs="Arial" w:eastAsia="Arial" w:hint="default"/>
        </w:rPr>
        <w:t>2012</w:t>
      </w:r>
      <w:r>
        <w:rPr>
          <w:rFonts w:ascii="Arial" w:hAnsi="Arial" w:cs="Arial" w:eastAsia="Arial" w:hint="default"/>
          <w:spacing w:val="-6"/>
        </w:rPr>
        <w:t> </w:t>
      </w:r>
      <w:r>
        <w:rPr/>
        <w:t>年度第一次临时</w:t>
      </w:r>
      <w:r>
        <w:rPr>
          <w:w w:val="99"/>
        </w:rPr>
        <w:t> 股东大会审议收购联通新时空通信有限公司的</w:t>
      </w:r>
      <w:r>
        <w:rPr>
          <w:spacing w:val="-45"/>
          <w:w w:val="99"/>
        </w:rPr>
        <w:t> </w:t>
      </w:r>
      <w:r>
        <w:rPr>
          <w:rFonts w:ascii="Arial" w:hAnsi="Arial" w:cs="Arial" w:eastAsia="Arial" w:hint="default"/>
          <w:spacing w:val="-5"/>
          <w:w w:val="99"/>
        </w:rPr>
        <w:t>100%</w:t>
      </w:r>
      <w:r>
        <w:rPr>
          <w:spacing w:val="-5"/>
          <w:w w:val="99"/>
        </w:rPr>
        <w:t>的股权事项前，公司管理层就此次收购</w:t>
      </w:r>
      <w:r>
        <w:rPr>
          <w:w w:val="99"/>
        </w:rPr>
        <w:t> </w:t>
      </w:r>
      <w:r>
        <w:rPr>
          <w:spacing w:val="2"/>
        </w:rPr>
        <w:t>事项还专门走访了公司的一些中小股东，中小股东在听取公司管理层的相关介绍后，对公</w:t>
      </w:r>
      <w:r>
        <w:rPr>
          <w:w w:val="99"/>
        </w:rPr>
        <w:t> </w:t>
      </w:r>
      <w:r>
        <w:rPr>
          <w:spacing w:val="2"/>
        </w:rPr>
        <w:t>司此次收购均给予了正面评价。认为公司此次收购不仅增厚上市公司的盈利，提升股东长</w:t>
      </w:r>
      <w:r>
        <w:rPr>
          <w:w w:val="99"/>
        </w:rPr>
        <w:t> </w:t>
      </w:r>
      <w:r>
        <w:rPr>
          <w:spacing w:val="2"/>
        </w:rPr>
        <w:t>期价值，也有利于南方固网网络和业务的统一规划和管理，提升经营管理效率。而且减少</w:t>
      </w:r>
      <w:r>
        <w:rPr>
          <w:w w:val="99"/>
        </w:rPr>
        <w:t> </w:t>
      </w:r>
      <w:r>
        <w:rPr/>
        <w:t>上市公司与集团之间的关联交易，提升治理水平。</w:t>
      </w:r>
    </w:p>
    <w:p>
      <w:pPr>
        <w:spacing w:line="240" w:lineRule="auto" w:before="8"/>
        <w:rPr>
          <w:rFonts w:ascii="宋体" w:hAnsi="宋体" w:cs="宋体" w:eastAsia="宋体" w:hint="default"/>
          <w:sz w:val="19"/>
          <w:szCs w:val="19"/>
        </w:rPr>
      </w:pPr>
    </w:p>
    <w:p>
      <w:pPr>
        <w:pStyle w:val="BodyText"/>
        <w:spacing w:line="235" w:lineRule="auto"/>
        <w:ind w:left="1002" w:right="210" w:hanging="344"/>
        <w:jc w:val="both"/>
      </w:pPr>
      <w:r>
        <w:rPr>
          <w:rFonts w:ascii="Arial" w:hAnsi="Arial" w:cs="Arial" w:eastAsia="Arial" w:hint="default"/>
        </w:rPr>
        <w:t>2</w:t>
      </w:r>
      <w:r>
        <w:rPr/>
        <w:t>、董事与董事会：本公司一贯重视董事会建设，努力提高董事会的运作效率。董事会以本公</w:t>
      </w:r>
      <w:r>
        <w:rPr>
          <w:spacing w:val="-90"/>
        </w:rPr>
        <w:t> </w:t>
      </w:r>
      <w:r>
        <w:rPr>
          <w:spacing w:val="-90"/>
        </w:rPr>
      </w:r>
      <w:r>
        <w:rPr/>
        <w:t>司及股东的最佳利益为原则，负责审议及批准本公司重大事项，包括经营策略、重大投资</w:t>
      </w:r>
      <w:r>
        <w:rPr>
          <w:w w:val="99"/>
        </w:rPr>
        <w:t> </w:t>
      </w:r>
      <w:r>
        <w:rPr/>
        <w:t>等。董事会的主要职能还包括审批公司定期对外公布的业绩及运营情况等。报告期内本公</w:t>
      </w:r>
      <w:r>
        <w:rPr>
          <w:w w:val="99"/>
        </w:rPr>
        <w:t> </w:t>
      </w:r>
      <w:r>
        <w:rPr/>
        <w:t>司召开了六次董事会，讨论及审议了包括</w:t>
      </w:r>
      <w:r>
        <w:rPr>
          <w:spacing w:val="-62"/>
        </w:rPr>
        <w:t> </w:t>
      </w:r>
      <w:r>
        <w:rPr>
          <w:rFonts w:ascii="Arial" w:hAnsi="Arial" w:cs="Arial" w:eastAsia="Arial" w:hint="default"/>
        </w:rPr>
        <w:t>2011</w:t>
      </w:r>
      <w:r>
        <w:rPr>
          <w:rFonts w:ascii="Arial" w:hAnsi="Arial" w:cs="Arial" w:eastAsia="Arial" w:hint="default"/>
          <w:spacing w:val="-14"/>
        </w:rPr>
        <w:t> </w:t>
      </w:r>
      <w:r>
        <w:rPr>
          <w:spacing w:val="-4"/>
        </w:rPr>
        <w:t>年年度报告、</w:t>
      </w:r>
      <w:r>
        <w:rPr>
          <w:rFonts w:ascii="Arial" w:hAnsi="Arial" w:cs="Arial" w:eastAsia="Arial" w:hint="default"/>
          <w:spacing w:val="-4"/>
        </w:rPr>
        <w:t>2012</w:t>
      </w:r>
      <w:r>
        <w:rPr>
          <w:rFonts w:ascii="Arial" w:hAnsi="Arial" w:cs="Arial" w:eastAsia="Arial" w:hint="default"/>
          <w:spacing w:val="-14"/>
        </w:rPr>
        <w:t> </w:t>
      </w:r>
      <w:r>
        <w:rPr>
          <w:spacing w:val="-4"/>
        </w:rPr>
        <w:t>年中期报告、</w:t>
      </w:r>
      <w:r>
        <w:rPr>
          <w:rFonts w:ascii="Arial" w:hAnsi="Arial" w:cs="Arial" w:eastAsia="Arial" w:hint="default"/>
          <w:spacing w:val="-4"/>
        </w:rPr>
        <w:t>2012</w:t>
      </w:r>
      <w:r>
        <w:rPr>
          <w:rFonts w:ascii="Arial" w:hAnsi="Arial" w:cs="Arial" w:eastAsia="Arial" w:hint="default"/>
          <w:spacing w:val="-13"/>
        </w:rPr>
        <w:t> </w:t>
      </w:r>
      <w:r>
        <w:rPr/>
        <w:t>年第</w:t>
      </w:r>
      <w:r>
        <w:rPr>
          <w:spacing w:val="-2"/>
          <w:w w:val="99"/>
        </w:rPr>
        <w:t> </w:t>
      </w:r>
      <w:r>
        <w:rPr/>
        <w:t>一季度报告和第三季度报告、内控工作报告、社会责任报告、董事会换届、批准本公司与</w:t>
      </w:r>
      <w:r>
        <w:rPr>
          <w:w w:val="99"/>
        </w:rPr>
        <w:t> </w:t>
      </w:r>
      <w:r>
        <w:rPr/>
        <w:t>联通集团签署的《关于联通新时空通信有限公司的股权转让协议》以及本公司与联通运营</w:t>
      </w:r>
      <w:r>
        <w:rPr>
          <w:w w:val="99"/>
        </w:rPr>
        <w:t> </w:t>
      </w:r>
      <w:r>
        <w:rPr/>
        <w:t>公司签署的《关于联通新时空通信有限公司的股权转让协议》等重要事项。本公司董事会</w:t>
      </w:r>
      <w:r>
        <w:rPr>
          <w:w w:val="99"/>
        </w:rPr>
        <w:t> </w:t>
      </w:r>
      <w:r>
        <w:rPr/>
        <w:t>的召集、召开、表决等相关程序均严格按照有关法律法规和本公司《董事会议事规则》的</w:t>
      </w:r>
      <w:r>
        <w:rPr>
          <w:w w:val="99"/>
        </w:rPr>
        <w:t> </w:t>
      </w:r>
      <w:r>
        <w:rPr/>
        <w:t>规定。本公司董事会职责清晰，本公司各位董事均投入了足够的时间处理本公司事务，且</w:t>
      </w:r>
      <w:r>
        <w:rPr>
          <w:w w:val="99"/>
        </w:rPr>
        <w:t> </w:t>
      </w:r>
      <w:r>
        <w:rPr/>
        <w:t>均按时出席董事会。作为本公司的董事均了解其作为董事的权利、义务和责任，均能履行</w:t>
      </w:r>
      <w:r>
        <w:rPr>
          <w:w w:val="99"/>
        </w:rPr>
        <w:t> </w:t>
      </w:r>
      <w:r>
        <w:rPr/>
        <w:t>诚信和勤勉尽职的职责，认真审阅董事会和股东大会的各项议案，并提出有益的建议，其</w:t>
      </w:r>
      <w:r>
        <w:rPr>
          <w:w w:val="99"/>
        </w:rPr>
        <w:t> </w:t>
      </w:r>
      <w:r>
        <w:rPr/>
        <w:t>决策亦符合股东利益和公司长远发展。</w:t>
      </w:r>
    </w:p>
    <w:p>
      <w:pPr>
        <w:spacing w:after="0" w:line="235" w:lineRule="auto"/>
        <w:jc w:val="both"/>
        <w:sectPr>
          <w:pgSz w:w="11910" w:h="16840"/>
          <w:pgMar w:header="567" w:footer="745" w:top="800" w:bottom="940" w:left="1380" w:right="680"/>
        </w:sectPr>
      </w:pPr>
    </w:p>
    <w:p>
      <w:pPr>
        <w:spacing w:line="240" w:lineRule="auto" w:before="8"/>
        <w:rPr>
          <w:rFonts w:ascii="宋体" w:hAnsi="宋体" w:cs="宋体" w:eastAsia="宋体" w:hint="default"/>
          <w:sz w:val="22"/>
          <w:szCs w:val="22"/>
        </w:rPr>
      </w:pPr>
    </w:p>
    <w:p>
      <w:pPr>
        <w:pStyle w:val="BodyText"/>
        <w:spacing w:line="286" w:lineRule="exact" w:before="60"/>
        <w:ind w:left="1002" w:right="219" w:hanging="344"/>
        <w:jc w:val="both"/>
      </w:pPr>
      <w:r>
        <w:rPr>
          <w:rFonts w:ascii="Arial" w:hAnsi="Arial" w:cs="Arial" w:eastAsia="Arial" w:hint="default"/>
        </w:rPr>
        <w:t>3</w:t>
      </w:r>
      <w:r>
        <w:rPr/>
        <w:t>、关于监事与监事会：报告期内，本公司监事会共召开五次监事会会议。监事会的召集、召</w:t>
      </w:r>
      <w:r>
        <w:rPr>
          <w:spacing w:val="-90"/>
        </w:rPr>
        <w:t> </w:t>
      </w:r>
      <w:r>
        <w:rPr>
          <w:spacing w:val="-90"/>
        </w:rPr>
      </w:r>
      <w:r>
        <w:rPr/>
        <w:t>开程序符合公司《监事会议事规则》的规定。本公司监事能够认真履行自己的职责，从股</w:t>
      </w:r>
      <w:r>
        <w:rPr>
          <w:w w:val="99"/>
        </w:rPr>
        <w:t> </w:t>
      </w:r>
      <w:r>
        <w:rPr/>
        <w:t>东利益出发，对本公司重大事项、财务以及本公司董事、高级管理人员履职的合法合规性</w:t>
      </w:r>
      <w:r>
        <w:rPr>
          <w:w w:val="99"/>
        </w:rPr>
        <w:t> </w:t>
      </w:r>
      <w:r>
        <w:rPr/>
        <w:t>进行监督。</w:t>
      </w:r>
    </w:p>
    <w:p>
      <w:pPr>
        <w:spacing w:line="240" w:lineRule="auto" w:before="9"/>
        <w:rPr>
          <w:rFonts w:ascii="宋体" w:hAnsi="宋体" w:cs="宋体" w:eastAsia="宋体" w:hint="default"/>
          <w:sz w:val="17"/>
          <w:szCs w:val="17"/>
        </w:rPr>
      </w:pPr>
    </w:p>
    <w:p>
      <w:pPr>
        <w:pStyle w:val="BodyText"/>
        <w:spacing w:line="232" w:lineRule="auto"/>
        <w:ind w:left="1002" w:right="219" w:hanging="344"/>
        <w:jc w:val="both"/>
      </w:pPr>
      <w:r>
        <w:rPr>
          <w:rFonts w:ascii="Arial" w:hAnsi="Arial" w:cs="Arial" w:eastAsia="Arial" w:hint="default"/>
        </w:rPr>
        <w:t>4</w:t>
      </w:r>
      <w:r>
        <w:rPr/>
        <w:t>、控股股东与上市公司的关系：本公司控股股东严格规范自己行为，依法行使股东权利，承</w:t>
      </w:r>
      <w:r>
        <w:rPr>
          <w:spacing w:val="-90"/>
        </w:rPr>
        <w:t> </w:t>
      </w:r>
      <w:r>
        <w:rPr>
          <w:spacing w:val="-90"/>
        </w:rPr>
      </w:r>
      <w:r>
        <w:rPr/>
        <w:t>担义务。本公司与控股股东在资产、业务、机构、财务、人员等方面严格分开，本公司董</w:t>
      </w:r>
      <w:r>
        <w:rPr>
          <w:w w:val="99"/>
        </w:rPr>
        <w:t> </w:t>
      </w:r>
      <w:r>
        <w:rPr/>
        <w:t>事会、监事会和内部机构均独立运作。未发现控股股东非经营性占用公司资金和资产的情</w:t>
      </w:r>
      <w:r>
        <w:rPr>
          <w:w w:val="99"/>
        </w:rPr>
        <w:t> </w:t>
      </w:r>
      <w:r>
        <w:rPr/>
        <w:t>况。</w:t>
      </w:r>
    </w:p>
    <w:p>
      <w:pPr>
        <w:spacing w:line="240" w:lineRule="auto" w:before="8"/>
        <w:rPr>
          <w:rFonts w:ascii="宋体" w:hAnsi="宋体" w:cs="宋体" w:eastAsia="宋体" w:hint="default"/>
          <w:sz w:val="19"/>
          <w:szCs w:val="19"/>
        </w:rPr>
      </w:pPr>
    </w:p>
    <w:p>
      <w:pPr>
        <w:pStyle w:val="BodyText"/>
        <w:spacing w:line="235" w:lineRule="auto"/>
        <w:ind w:left="1002" w:right="210" w:hanging="344"/>
        <w:jc w:val="both"/>
      </w:pPr>
      <w:r>
        <w:rPr>
          <w:rFonts w:ascii="Arial" w:hAnsi="Arial" w:cs="Arial" w:eastAsia="Arial" w:hint="default"/>
        </w:rPr>
        <w:t>5</w:t>
      </w:r>
      <w:r>
        <w:rPr/>
        <w:t>、关于独立董事：本公司各位独立董事均不在公司担任除董事外的其它职务，并与本公司及</w:t>
      </w:r>
      <w:r>
        <w:rPr>
          <w:spacing w:val="-90"/>
        </w:rPr>
        <w:t> </w:t>
      </w:r>
      <w:r>
        <w:rPr>
          <w:spacing w:val="-90"/>
        </w:rPr>
      </w:r>
      <w:r>
        <w:rPr/>
        <w:t>其主要股东不存在可能妨碍其进行独立客观判断的关系。独立董事均了解对本公司及全体</w:t>
      </w:r>
      <w:r>
        <w:rPr>
          <w:w w:val="99"/>
        </w:rPr>
        <w:t> </w:t>
      </w:r>
      <w:r>
        <w:rPr/>
        <w:t>股东负有诚信与勤勉尽职义务。并按照相关法律法规、公司章程及本制度的要求，认真履</w:t>
      </w:r>
      <w:r>
        <w:rPr>
          <w:w w:val="99"/>
        </w:rPr>
        <w:t> </w:t>
      </w:r>
      <w:r>
        <w:rPr/>
        <w:t>行职责，维护公司整体利益，尤其关注中小股东的合法权益不受损害。本公司一贯重视发</w:t>
      </w:r>
      <w:r>
        <w:rPr>
          <w:w w:val="99"/>
        </w:rPr>
        <w:t> </w:t>
      </w:r>
      <w:r>
        <w:rPr/>
        <w:t>挥独立董事的作用，独立董事们也以他们独立的立场、专业的视角、丰富的经验为公司出</w:t>
      </w:r>
      <w:r>
        <w:rPr>
          <w:w w:val="99"/>
        </w:rPr>
        <w:t> </w:t>
      </w:r>
      <w:r>
        <w:rPr/>
        <w:t>谋划策，提高了董事会决策的科学性。报告期内，本公司各位独立董事亲自参加历次独立</w:t>
      </w:r>
      <w:r>
        <w:rPr>
          <w:w w:val="99"/>
        </w:rPr>
        <w:t> </w:t>
      </w:r>
      <w:r>
        <w:rPr/>
        <w:t>董事会议，发表独立意见。报告期内，审核了公司与联通集团签署的《关于联通新时空有</w:t>
      </w:r>
      <w:r>
        <w:rPr>
          <w:w w:val="99"/>
        </w:rPr>
        <w:t> </w:t>
      </w:r>
      <w:r>
        <w:rPr/>
        <w:t>限公司的股权转让协议》的议案、本公司与联通运营公司签署的《关于联通新时空有限公</w:t>
      </w:r>
      <w:r>
        <w:rPr>
          <w:w w:val="99"/>
        </w:rPr>
        <w:t> </w:t>
      </w:r>
      <w:r>
        <w:rPr/>
        <w:t>司的股权转让协议》的议案，及公司起草的《中国联合网络通信股份有限公司关于收购联</w:t>
      </w:r>
      <w:r>
        <w:rPr>
          <w:w w:val="99"/>
        </w:rPr>
        <w:t> </w:t>
      </w:r>
      <w:r>
        <w:rPr/>
        <w:t>通新时空通信有限公司的</w:t>
      </w:r>
      <w:r>
        <w:rPr>
          <w:spacing w:val="16"/>
        </w:rPr>
        <w:t> </w:t>
      </w:r>
      <w:r>
        <w:rPr>
          <w:rFonts w:ascii="Arial" w:hAnsi="Arial" w:cs="Arial" w:eastAsia="Arial" w:hint="default"/>
        </w:rPr>
        <w:t>100%</w:t>
      </w:r>
      <w:r>
        <w:rPr/>
        <w:t>股权的关联交易公告》。为此，独立董事对该关联交易发</w:t>
      </w:r>
      <w:r>
        <w:rPr>
          <w:w w:val="99"/>
        </w:rPr>
        <w:t> </w:t>
      </w:r>
      <w:r>
        <w:rPr/>
        <w:t>表了独立意见：认为公司此次股权收购将对本公司产生积极的影响，有利于提升股东长期</w:t>
      </w:r>
      <w:r>
        <w:rPr>
          <w:w w:val="99"/>
        </w:rPr>
        <w:t> </w:t>
      </w:r>
      <w:r>
        <w:rPr/>
        <w:t>价值，有利于提升经营及管理效率，减少本公司与联通集团之间的持续关联交易，有利于</w:t>
      </w:r>
      <w:r>
        <w:rPr>
          <w:w w:val="99"/>
        </w:rPr>
        <w:t> </w:t>
      </w:r>
      <w:r>
        <w:rPr/>
        <w:t>提升公司治理水平；本次收购交易公平合理，不存在侵害公司少数股东利益的情况。</w:t>
      </w:r>
    </w:p>
    <w:p>
      <w:pPr>
        <w:spacing w:line="240" w:lineRule="auto" w:before="0"/>
        <w:rPr>
          <w:rFonts w:ascii="宋体" w:hAnsi="宋体" w:cs="宋体" w:eastAsia="宋体" w:hint="default"/>
          <w:sz w:val="20"/>
          <w:szCs w:val="20"/>
        </w:rPr>
      </w:pPr>
    </w:p>
    <w:p>
      <w:pPr>
        <w:pStyle w:val="BodyText"/>
        <w:spacing w:line="230" w:lineRule="auto"/>
        <w:ind w:left="1002" w:right="219" w:hanging="344"/>
        <w:jc w:val="both"/>
      </w:pPr>
      <w:r>
        <w:rPr>
          <w:rFonts w:ascii="Arial" w:hAnsi="Arial" w:cs="Arial" w:eastAsia="Arial" w:hint="default"/>
        </w:rPr>
        <w:t>6</w:t>
      </w:r>
      <w:r>
        <w:rPr/>
        <w:t>、关于审计委员会：本公司审计委员会能有效执行其任务，使董事会能更好监察本公司的财</w:t>
      </w:r>
      <w:r>
        <w:rPr>
          <w:spacing w:val="-90"/>
        </w:rPr>
        <w:t> </w:t>
      </w:r>
      <w:r>
        <w:rPr>
          <w:spacing w:val="-90"/>
        </w:rPr>
      </w:r>
      <w:r>
        <w:rPr/>
        <w:t>务管理状况，监管本公司与财务报告相关的内部控制体系，保障本公司财务报表的完整及</w:t>
      </w:r>
      <w:r>
        <w:rPr>
          <w:w w:val="99"/>
        </w:rPr>
        <w:t> </w:t>
      </w:r>
      <w:r>
        <w:rPr/>
        <w:t>真实性。</w:t>
      </w:r>
    </w:p>
    <w:p>
      <w:pPr>
        <w:spacing w:line="240" w:lineRule="auto" w:before="11"/>
        <w:rPr>
          <w:rFonts w:ascii="宋体" w:hAnsi="宋体" w:cs="宋体" w:eastAsia="宋体" w:hint="default"/>
          <w:sz w:val="19"/>
          <w:szCs w:val="19"/>
        </w:rPr>
      </w:pPr>
    </w:p>
    <w:p>
      <w:pPr>
        <w:pStyle w:val="BodyText"/>
        <w:spacing w:line="232" w:lineRule="auto"/>
        <w:ind w:left="1002" w:right="212" w:hanging="344"/>
        <w:jc w:val="both"/>
      </w:pPr>
      <w:r>
        <w:rPr>
          <w:rFonts w:ascii="Arial" w:hAnsi="Arial" w:cs="Arial" w:eastAsia="Arial" w:hint="default"/>
        </w:rPr>
        <w:t>7</w:t>
      </w:r>
      <w:r>
        <w:rPr/>
        <w:t>、良好互动的投资者关系：本公司十分注重与投资者的沟通与互动，设有专人负责与普通投</w:t>
      </w:r>
      <w:r>
        <w:rPr>
          <w:spacing w:val="-90"/>
        </w:rPr>
        <w:t> </w:t>
      </w:r>
      <w:r>
        <w:rPr>
          <w:spacing w:val="-90"/>
        </w:rPr>
      </w:r>
      <w:r>
        <w:rPr/>
        <w:t>资者的沟通、联系。包括接听电话、回复来信等；管理层和投资者关系管理人员经常参加</w:t>
      </w:r>
      <w:r>
        <w:rPr>
          <w:w w:val="99"/>
        </w:rPr>
        <w:t> </w:t>
      </w:r>
      <w:r>
        <w:rPr/>
        <w:t>证券机构组织的投资者见面会，回答投资者的提问。如有必要还会主动走访投资者，比如</w:t>
      </w:r>
      <w:r>
        <w:rPr>
          <w:w w:val="99"/>
        </w:rPr>
        <w:t> </w:t>
      </w:r>
      <w:r>
        <w:rPr>
          <w:rFonts w:ascii="Arial" w:hAnsi="Arial" w:cs="Arial" w:eastAsia="Arial" w:hint="default"/>
        </w:rPr>
        <w:t>2012</w:t>
      </w:r>
      <w:r>
        <w:rPr>
          <w:rFonts w:ascii="Arial" w:hAnsi="Arial" w:cs="Arial" w:eastAsia="Arial" w:hint="default"/>
          <w:spacing w:val="-5"/>
        </w:rPr>
        <w:t> </w:t>
      </w:r>
      <w:r>
        <w:rPr/>
        <w:t>年</w:t>
      </w:r>
      <w:r>
        <w:rPr>
          <w:spacing w:val="-54"/>
        </w:rPr>
        <w:t> </w:t>
      </w:r>
      <w:r>
        <w:rPr>
          <w:rFonts w:ascii="Arial" w:hAnsi="Arial" w:cs="Arial" w:eastAsia="Arial" w:hint="default"/>
        </w:rPr>
        <w:t>11</w:t>
      </w:r>
      <w:r>
        <w:rPr>
          <w:rFonts w:ascii="Arial" w:hAnsi="Arial" w:cs="Arial" w:eastAsia="Arial" w:hint="default"/>
          <w:spacing w:val="-5"/>
        </w:rPr>
        <w:t> </w:t>
      </w:r>
      <w:r>
        <w:rPr/>
        <w:t>月到</w:t>
      </w:r>
      <w:r>
        <w:rPr>
          <w:spacing w:val="-54"/>
        </w:rPr>
        <w:t> </w:t>
      </w:r>
      <w:r>
        <w:rPr>
          <w:rFonts w:ascii="Arial" w:hAnsi="Arial" w:cs="Arial" w:eastAsia="Arial" w:hint="default"/>
        </w:rPr>
        <w:t>12</w:t>
      </w:r>
      <w:r>
        <w:rPr>
          <w:rFonts w:ascii="Arial" w:hAnsi="Arial" w:cs="Arial" w:eastAsia="Arial" w:hint="default"/>
          <w:spacing w:val="-5"/>
        </w:rPr>
        <w:t> </w:t>
      </w:r>
      <w:r>
        <w:rPr>
          <w:spacing w:val="-4"/>
        </w:rPr>
        <w:t>月期间，本公司管理层、副总裁兼代行董事会秘书先后在北京、上海和</w:t>
      </w:r>
      <w:r>
        <w:rPr>
          <w:w w:val="99"/>
        </w:rPr>
        <w:t> </w:t>
      </w:r>
      <w:r>
        <w:rPr/>
        <w:t>深圳走访了十几家投资机构，介绍公司收购联通新时空的</w:t>
      </w:r>
      <w:r>
        <w:rPr>
          <w:spacing w:val="14"/>
        </w:rPr>
        <w:t> </w:t>
      </w:r>
      <w:r>
        <w:rPr>
          <w:rFonts w:ascii="Arial" w:hAnsi="Arial" w:cs="Arial" w:eastAsia="Arial" w:hint="default"/>
        </w:rPr>
        <w:t>100%</w:t>
      </w:r>
      <w:r>
        <w:rPr/>
        <w:t>的股权事项以及公司经营</w:t>
      </w:r>
      <w:r>
        <w:rPr>
          <w:w w:val="99"/>
        </w:rPr>
        <w:t> </w:t>
      </w:r>
      <w:r>
        <w:rPr/>
        <w:t>发展等情况。普通投资者也能方便地与本公司进行沟通、联系以及反映有关情况。本公司</w:t>
      </w:r>
      <w:r>
        <w:rPr>
          <w:w w:val="99"/>
        </w:rPr>
        <w:t> </w:t>
      </w:r>
      <w:r>
        <w:rPr/>
        <w:t>每年年报、半年报披露后立即召开业绩推介会，公司管理层与投资者见面，介绍公司经营</w:t>
      </w:r>
      <w:r>
        <w:rPr>
          <w:w w:val="99"/>
        </w:rPr>
        <w:t> </w:t>
      </w:r>
      <w:r>
        <w:rPr/>
        <w:t>情况、回答投资者关心的问题等。</w:t>
      </w:r>
    </w:p>
    <w:p>
      <w:pPr>
        <w:spacing w:line="240" w:lineRule="auto" w:before="11"/>
        <w:rPr>
          <w:rFonts w:ascii="宋体" w:hAnsi="宋体" w:cs="宋体" w:eastAsia="宋体" w:hint="default"/>
          <w:sz w:val="19"/>
          <w:szCs w:val="19"/>
        </w:rPr>
      </w:pPr>
    </w:p>
    <w:p>
      <w:pPr>
        <w:pStyle w:val="BodyText"/>
        <w:spacing w:line="232" w:lineRule="auto"/>
        <w:ind w:left="1002" w:right="212"/>
        <w:jc w:val="both"/>
      </w:pPr>
      <w:r>
        <w:rPr/>
        <w:t>为进一步加强公司信息的保密管理，有效防控利用内幕信息进行的内幕交易，降低公司及</w:t>
      </w:r>
      <w:r>
        <w:rPr>
          <w:spacing w:val="-83"/>
        </w:rPr>
        <w:t> </w:t>
      </w:r>
      <w:r>
        <w:rPr>
          <w:spacing w:val="-83"/>
        </w:rPr>
      </w:r>
      <w:r>
        <w:rPr/>
        <w:t>公司有关人员与内幕交易相关的法律风险，维护信息披露的公平原则，保护投资者的合法</w:t>
      </w:r>
      <w:r>
        <w:rPr>
          <w:spacing w:val="-84"/>
        </w:rPr>
        <w:t> </w:t>
      </w:r>
      <w:r>
        <w:rPr>
          <w:spacing w:val="-84"/>
        </w:rPr>
      </w:r>
      <w:r>
        <w:rPr>
          <w:spacing w:val="-3"/>
        </w:rPr>
        <w:t>权益，公司于</w:t>
      </w:r>
      <w:r>
        <w:rPr>
          <w:spacing w:val="-60"/>
        </w:rPr>
        <w:t> </w:t>
      </w:r>
      <w:r>
        <w:rPr>
          <w:rFonts w:ascii="Arial" w:hAnsi="Arial" w:cs="Arial" w:eastAsia="Arial" w:hint="default"/>
        </w:rPr>
        <w:t>2012</w:t>
      </w:r>
      <w:r>
        <w:rPr>
          <w:rFonts w:ascii="Arial" w:hAnsi="Arial" w:cs="Arial" w:eastAsia="Arial" w:hint="default"/>
          <w:spacing w:val="-11"/>
        </w:rPr>
        <w:t> </w:t>
      </w:r>
      <w:r>
        <w:rPr/>
        <w:t>年</w:t>
      </w:r>
      <w:r>
        <w:rPr>
          <w:spacing w:val="-60"/>
        </w:rPr>
        <w:t> </w:t>
      </w:r>
      <w:r>
        <w:rPr>
          <w:rFonts w:ascii="Arial" w:hAnsi="Arial" w:cs="Arial" w:eastAsia="Arial" w:hint="default"/>
        </w:rPr>
        <w:t>3</w:t>
      </w:r>
      <w:r>
        <w:rPr>
          <w:rFonts w:ascii="Arial" w:hAnsi="Arial" w:cs="Arial" w:eastAsia="Arial" w:hint="default"/>
          <w:spacing w:val="-11"/>
        </w:rPr>
        <w:t> </w:t>
      </w:r>
      <w:r>
        <w:rPr/>
        <w:t>月</w:t>
      </w:r>
      <w:r>
        <w:rPr>
          <w:spacing w:val="-60"/>
        </w:rPr>
        <w:t> </w:t>
      </w:r>
      <w:r>
        <w:rPr>
          <w:rFonts w:ascii="Arial" w:hAnsi="Arial" w:cs="Arial" w:eastAsia="Arial" w:hint="default"/>
        </w:rPr>
        <w:t>22</w:t>
      </w:r>
      <w:r>
        <w:rPr>
          <w:rFonts w:ascii="Arial" w:hAnsi="Arial" w:cs="Arial" w:eastAsia="Arial" w:hint="default"/>
          <w:spacing w:val="-11"/>
        </w:rPr>
        <w:t> </w:t>
      </w:r>
      <w:r>
        <w:rPr/>
        <w:t>日公司第三届董事会第十二次会议审议通过了《公司内幕信</w:t>
      </w:r>
      <w:r>
        <w:rPr>
          <w:w w:val="99"/>
        </w:rPr>
        <w:t> </w:t>
      </w:r>
      <w:r>
        <w:rPr/>
        <w:t>息知情人登记制度》。</w:t>
      </w:r>
    </w:p>
    <w:p>
      <w:pPr>
        <w:spacing w:line="240" w:lineRule="auto" w:before="11"/>
        <w:rPr>
          <w:rFonts w:ascii="宋体" w:hAnsi="宋体" w:cs="宋体" w:eastAsia="宋体" w:hint="default"/>
          <w:sz w:val="19"/>
          <w:szCs w:val="19"/>
        </w:rPr>
      </w:pPr>
    </w:p>
    <w:p>
      <w:pPr>
        <w:pStyle w:val="BodyText"/>
        <w:spacing w:line="232" w:lineRule="auto"/>
        <w:ind w:left="1002" w:right="89"/>
        <w:jc w:val="left"/>
      </w:pPr>
      <w:r>
        <w:rPr/>
        <w:t>报告期内，公司在涉及定期报告、收购联通新时空通信有限公司的</w:t>
      </w:r>
      <w:r>
        <w:rPr>
          <w:spacing w:val="12"/>
        </w:rPr>
        <w:t> </w:t>
      </w:r>
      <w:r>
        <w:rPr>
          <w:rFonts w:ascii="Arial" w:hAnsi="Arial" w:cs="Arial" w:eastAsia="Arial" w:hint="default"/>
        </w:rPr>
        <w:t>100%</w:t>
      </w:r>
      <w:r>
        <w:rPr/>
        <w:t>的股权事项时，</w:t>
      </w:r>
      <w:r>
        <w:rPr>
          <w:spacing w:val="-106"/>
        </w:rPr>
        <w:t> </w:t>
      </w:r>
      <w:r>
        <w:rPr>
          <w:spacing w:val="-106"/>
        </w:rPr>
      </w:r>
      <w:r>
        <w:rPr>
          <w:spacing w:val="-2"/>
        </w:rPr>
        <w:t>均严格按照《公司内幕信息知情人登记制度》做好了内幕信息知情人登记工作。报告期内，</w:t>
      </w:r>
      <w:r>
        <w:rPr>
          <w:spacing w:val="-98"/>
        </w:rPr>
        <w:t> </w:t>
      </w:r>
      <w:r>
        <w:rPr>
          <w:spacing w:val="-98"/>
        </w:rPr>
      </w:r>
      <w:r>
        <w:rPr/>
        <w:t>公司未发生内幕信息知情人在影响公司股价的重大敏感信息披露前利用内幕信息买卖公司</w:t>
      </w:r>
      <w:r>
        <w:rPr>
          <w:spacing w:val="-84"/>
        </w:rPr>
        <w:t> </w:t>
      </w:r>
      <w:r>
        <w:rPr>
          <w:spacing w:val="-84"/>
        </w:rPr>
      </w:r>
      <w:r>
        <w:rPr/>
        <w:t>股份的情况。</w:t>
      </w:r>
    </w:p>
    <w:p>
      <w:pPr>
        <w:spacing w:after="0" w:line="232" w:lineRule="auto"/>
        <w:jc w:val="left"/>
        <w:sectPr>
          <w:pgSz w:w="11910" w:h="16840"/>
          <w:pgMar w:header="567" w:footer="745" w:top="800" w:bottom="940" w:left="1380" w:right="680"/>
        </w:sectPr>
      </w:pP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t>二、股东大会情况简介</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0"/>
          <w:szCs w:val="10"/>
        </w:rPr>
      </w:pPr>
    </w:p>
    <w:tbl>
      <w:tblPr>
        <w:tblW w:w="0" w:type="auto"/>
        <w:jc w:val="left"/>
        <w:tblInd w:w="616" w:type="dxa"/>
        <w:tblLayout w:type="fixed"/>
        <w:tblCellMar>
          <w:top w:w="0" w:type="dxa"/>
          <w:left w:w="0" w:type="dxa"/>
          <w:bottom w:w="0" w:type="dxa"/>
          <w:right w:w="0" w:type="dxa"/>
        </w:tblCellMar>
        <w:tblLook w:val="01E0"/>
      </w:tblPr>
      <w:tblGrid>
        <w:gridCol w:w="1100"/>
        <w:gridCol w:w="1033"/>
        <w:gridCol w:w="1883"/>
        <w:gridCol w:w="1170"/>
        <w:gridCol w:w="2440"/>
        <w:gridCol w:w="1345"/>
      </w:tblGrid>
      <w:tr>
        <w:trPr>
          <w:trHeight w:val="533" w:hRule="exact"/>
        </w:trPr>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41" w:right="0"/>
              <w:jc w:val="left"/>
              <w:rPr>
                <w:rFonts w:ascii="宋体" w:hAnsi="宋体" w:cs="宋体" w:eastAsia="宋体" w:hint="default"/>
                <w:sz w:val="20"/>
                <w:szCs w:val="20"/>
              </w:rPr>
            </w:pPr>
            <w:r>
              <w:rPr>
                <w:rFonts w:ascii="宋体" w:hAnsi="宋体" w:cs="宋体" w:eastAsia="宋体" w:hint="default"/>
                <w:sz w:val="20"/>
                <w:szCs w:val="20"/>
              </w:rPr>
              <w:t>会议届次</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9" w:right="0"/>
              <w:jc w:val="left"/>
              <w:rPr>
                <w:rFonts w:ascii="宋体" w:hAnsi="宋体" w:cs="宋体" w:eastAsia="宋体" w:hint="default"/>
                <w:sz w:val="20"/>
                <w:szCs w:val="20"/>
              </w:rPr>
            </w:pPr>
            <w:r>
              <w:rPr>
                <w:rFonts w:ascii="宋体" w:hAnsi="宋体" w:cs="宋体" w:eastAsia="宋体" w:hint="default"/>
                <w:sz w:val="20"/>
                <w:szCs w:val="20"/>
              </w:rPr>
              <w:t>召开日期</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333" w:right="0"/>
              <w:jc w:val="left"/>
              <w:rPr>
                <w:rFonts w:ascii="宋体" w:hAnsi="宋体" w:cs="宋体" w:eastAsia="宋体" w:hint="default"/>
                <w:sz w:val="20"/>
                <w:szCs w:val="20"/>
              </w:rPr>
            </w:pPr>
            <w:r>
              <w:rPr>
                <w:rFonts w:ascii="宋体" w:hAnsi="宋体" w:cs="宋体" w:eastAsia="宋体" w:hint="default"/>
                <w:sz w:val="20"/>
                <w:szCs w:val="20"/>
              </w:rPr>
              <w:t>会议议案名称</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77" w:right="0"/>
              <w:jc w:val="left"/>
              <w:rPr>
                <w:rFonts w:ascii="宋体" w:hAnsi="宋体" w:cs="宋体" w:eastAsia="宋体" w:hint="default"/>
                <w:sz w:val="20"/>
                <w:szCs w:val="20"/>
              </w:rPr>
            </w:pPr>
            <w:r>
              <w:rPr>
                <w:rFonts w:ascii="宋体" w:hAnsi="宋体" w:cs="宋体" w:eastAsia="宋体" w:hint="default"/>
                <w:sz w:val="20"/>
                <w:szCs w:val="20"/>
              </w:rPr>
              <w:t>决议情况</w:t>
            </w:r>
          </w:p>
        </w:tc>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sz w:val="20"/>
                <w:szCs w:val="20"/>
              </w:rPr>
              <w:t>决议刊登的指定网站的查</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询索引</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263" w:right="0" w:hanging="100"/>
              <w:jc w:val="left"/>
              <w:rPr>
                <w:rFonts w:ascii="宋体" w:hAnsi="宋体" w:cs="宋体" w:eastAsia="宋体" w:hint="default"/>
                <w:sz w:val="20"/>
                <w:szCs w:val="20"/>
              </w:rPr>
            </w:pPr>
            <w:r>
              <w:rPr>
                <w:rFonts w:ascii="宋体" w:hAnsi="宋体" w:cs="宋体" w:eastAsia="宋体" w:hint="default"/>
                <w:sz w:val="20"/>
                <w:szCs w:val="20"/>
              </w:rPr>
              <w:t>决议刊登的</w:t>
            </w:r>
          </w:p>
          <w:p>
            <w:pPr>
              <w:pStyle w:val="TableParagraph"/>
              <w:spacing w:line="260" w:lineRule="exact"/>
              <w:ind w:left="263" w:right="0"/>
              <w:jc w:val="left"/>
              <w:rPr>
                <w:rFonts w:ascii="宋体" w:hAnsi="宋体" w:cs="宋体" w:eastAsia="宋体" w:hint="default"/>
                <w:sz w:val="20"/>
                <w:szCs w:val="20"/>
              </w:rPr>
            </w:pPr>
            <w:r>
              <w:rPr>
                <w:rFonts w:ascii="宋体" w:hAnsi="宋体" w:cs="宋体" w:eastAsia="宋体" w:hint="default"/>
                <w:sz w:val="20"/>
                <w:szCs w:val="20"/>
              </w:rPr>
              <w:t>披露日期</w:t>
            </w:r>
          </w:p>
        </w:tc>
      </w:tr>
      <w:tr>
        <w:trPr>
          <w:trHeight w:val="534" w:hRule="exact"/>
        </w:trPr>
        <w:tc>
          <w:tcPr>
            <w:tcW w:w="11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60" w:lineRule="exact" w:before="160"/>
              <w:ind w:left="99" w:right="97"/>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16"/>
                <w:sz w:val="20"/>
                <w:szCs w:val="20"/>
              </w:rPr>
              <w:t> </w:t>
            </w:r>
            <w:r>
              <w:rPr>
                <w:rFonts w:ascii="宋体" w:hAnsi="宋体" w:cs="宋体" w:eastAsia="宋体" w:hint="default"/>
                <w:sz w:val="20"/>
                <w:szCs w:val="20"/>
              </w:rPr>
              <w:t>年度</w:t>
            </w:r>
            <w:r>
              <w:rPr>
                <w:rFonts w:ascii="宋体" w:hAnsi="宋体" w:cs="宋体" w:eastAsia="宋体" w:hint="default"/>
                <w:w w:val="100"/>
                <w:sz w:val="20"/>
                <w:szCs w:val="20"/>
              </w:rPr>
              <w:t> </w:t>
            </w:r>
            <w:r>
              <w:rPr>
                <w:rFonts w:ascii="宋体" w:hAnsi="宋体" w:cs="宋体" w:eastAsia="宋体" w:hint="default"/>
                <w:sz w:val="20"/>
                <w:szCs w:val="20"/>
              </w:rPr>
              <w:t>股东大会</w:t>
            </w:r>
          </w:p>
        </w:tc>
        <w:tc>
          <w:tcPr>
            <w:tcW w:w="103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68" w:lineRule="exact" w:before="134"/>
              <w:ind w:left="100" w:right="0"/>
              <w:jc w:val="left"/>
              <w:rPr>
                <w:rFonts w:ascii="Arial" w:hAnsi="Arial" w:cs="Arial" w:eastAsia="Arial" w:hint="default"/>
                <w:sz w:val="20"/>
                <w:szCs w:val="20"/>
              </w:rPr>
            </w:pPr>
            <w:r>
              <w:rPr>
                <w:rFonts w:ascii="Arial" w:hAnsi="Arial" w:cs="Arial" w:eastAsia="Arial" w:hint="default"/>
                <w:sz w:val="20"/>
                <w:szCs w:val="20"/>
              </w:rPr>
              <w:t>2012</w:t>
            </w:r>
            <w:r>
              <w:rPr>
                <w:rFonts w:ascii="Arial" w:hAnsi="Arial" w:cs="Arial" w:eastAsia="Arial" w:hint="default"/>
                <w:spacing w:val="-26"/>
                <w:sz w:val="20"/>
                <w:szCs w:val="20"/>
              </w:rPr>
              <w:t> </w:t>
            </w:r>
            <w:r>
              <w:rPr>
                <w:rFonts w:ascii="宋体" w:hAnsi="宋体" w:cs="宋体" w:eastAsia="宋体" w:hint="default"/>
                <w:sz w:val="20"/>
                <w:szCs w:val="20"/>
              </w:rPr>
              <w:t>年</w:t>
            </w:r>
            <w:r>
              <w:rPr>
                <w:rFonts w:ascii="宋体" w:hAnsi="宋体" w:cs="宋体" w:eastAsia="宋体" w:hint="default"/>
                <w:spacing w:val="-70"/>
                <w:sz w:val="20"/>
                <w:szCs w:val="20"/>
              </w:rPr>
              <w:t> </w:t>
            </w:r>
            <w:r>
              <w:rPr>
                <w:rFonts w:ascii="Arial" w:hAnsi="Arial" w:cs="Arial" w:eastAsia="Arial" w:hint="default"/>
                <w:sz w:val="20"/>
                <w:szCs w:val="20"/>
              </w:rPr>
              <w:t>5</w:t>
            </w:r>
          </w:p>
          <w:p>
            <w:pPr>
              <w:pStyle w:val="TableParagraph"/>
              <w:spacing w:line="268" w:lineRule="exact"/>
              <w:ind w:left="10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29</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00"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1"/>
                <w:sz w:val="20"/>
                <w:szCs w:val="20"/>
              </w:rPr>
              <w:t> </w:t>
            </w:r>
            <w:r>
              <w:rPr>
                <w:rFonts w:ascii="Arial" w:hAnsi="Arial" w:cs="Arial" w:eastAsia="Arial" w:hint="default"/>
                <w:sz w:val="20"/>
                <w:szCs w:val="20"/>
              </w:rPr>
              <w:t>2011</w:t>
            </w:r>
            <w:r>
              <w:rPr>
                <w:rFonts w:ascii="Arial" w:hAnsi="Arial" w:cs="Arial" w:eastAsia="Arial" w:hint="default"/>
                <w:spacing w:val="-7"/>
                <w:sz w:val="20"/>
                <w:szCs w:val="20"/>
              </w:rPr>
              <w:t> </w:t>
            </w:r>
            <w:r>
              <w:rPr>
                <w:rFonts w:ascii="宋体" w:hAnsi="宋体" w:cs="宋体" w:eastAsia="宋体" w:hint="default"/>
                <w:sz w:val="20"/>
                <w:szCs w:val="20"/>
              </w:rPr>
              <w:t>年度财</w:t>
            </w:r>
          </w:p>
          <w:p>
            <w:pPr>
              <w:pStyle w:val="TableParagraph"/>
              <w:spacing w:line="253" w:lineRule="exact"/>
              <w:ind w:left="100" w:right="0"/>
              <w:jc w:val="left"/>
              <w:rPr>
                <w:rFonts w:ascii="宋体" w:hAnsi="宋体" w:cs="宋体" w:eastAsia="宋体" w:hint="default"/>
                <w:sz w:val="20"/>
                <w:szCs w:val="20"/>
              </w:rPr>
            </w:pPr>
            <w:r>
              <w:rPr>
                <w:rFonts w:ascii="宋体" w:hAnsi="宋体" w:cs="宋体" w:eastAsia="宋体" w:hint="default"/>
                <w:sz w:val="20"/>
                <w:szCs w:val="20"/>
              </w:rPr>
              <w:t>务决算报告</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审议通过</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全部议案</w:t>
            </w:r>
          </w:p>
        </w:tc>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23"/>
              <w:ind w:left="100" w:right="98"/>
              <w:jc w:val="left"/>
              <w:rPr>
                <w:rFonts w:ascii="Arial" w:hAnsi="Arial" w:cs="Arial" w:eastAsia="Arial" w:hint="default"/>
                <w:sz w:val="20"/>
                <w:szCs w:val="20"/>
              </w:rPr>
            </w:pPr>
            <w:hyperlink r:id="rId13">
              <w:r>
                <w:rPr>
                  <w:rFonts w:ascii="Arial" w:hAnsi="Arial" w:cs="Arial" w:eastAsia="Arial" w:hint="default"/>
                  <w:sz w:val="20"/>
                  <w:szCs w:val="20"/>
                </w:rPr>
                <w:t>www.sse.com.cn</w:t>
              </w:r>
            </w:hyperlink>
            <w:r>
              <w:rPr>
                <w:rFonts w:ascii="宋体" w:hAnsi="宋体" w:cs="宋体" w:eastAsia="宋体" w:hint="default"/>
                <w:sz w:val="20"/>
                <w:szCs w:val="20"/>
              </w:rPr>
              <w:t>；</w:t>
            </w:r>
            <w:r>
              <w:rPr>
                <w:rFonts w:ascii="宋体" w:hAnsi="宋体" w:cs="宋体" w:eastAsia="宋体" w:hint="default"/>
                <w:w w:val="100"/>
                <w:sz w:val="20"/>
                <w:szCs w:val="20"/>
              </w:rPr>
              <w:t> </w:t>
            </w:r>
            <w:hyperlink r:id="rId11">
              <w:r>
                <w:rPr>
                  <w:rFonts w:ascii="Arial" w:hAnsi="Arial" w:cs="Arial" w:eastAsia="Arial" w:hint="default"/>
                  <w:sz w:val="20"/>
                  <w:szCs w:val="20"/>
                </w:rPr>
                <w:t>www.chinaunicom-a.com</w:t>
              </w:r>
            </w:hyperlink>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99"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5</w:t>
            </w:r>
            <w:r>
              <w:rPr>
                <w:rFonts w:ascii="Arial" w:hAnsi="Arial" w:cs="Arial" w:eastAsia="Arial" w:hint="default"/>
                <w:spacing w:val="-5"/>
                <w:sz w:val="20"/>
                <w:szCs w:val="20"/>
              </w:rPr>
              <w:t> </w:t>
            </w:r>
            <w:r>
              <w:rPr>
                <w:rFonts w:ascii="宋体" w:hAnsi="宋体" w:cs="宋体" w:eastAsia="宋体" w:hint="default"/>
                <w:sz w:val="20"/>
                <w:szCs w:val="20"/>
              </w:rPr>
              <w:t>月</w:t>
            </w:r>
          </w:p>
          <w:p>
            <w:pPr>
              <w:pStyle w:val="TableParagraph"/>
              <w:spacing w:line="268" w:lineRule="exact"/>
              <w:ind w:left="99" w:right="0"/>
              <w:jc w:val="left"/>
              <w:rPr>
                <w:rFonts w:ascii="宋体" w:hAnsi="宋体" w:cs="宋体" w:eastAsia="宋体" w:hint="default"/>
                <w:sz w:val="20"/>
                <w:szCs w:val="20"/>
              </w:rPr>
            </w:pPr>
            <w:r>
              <w:rPr>
                <w:rFonts w:ascii="Arial" w:hAnsi="Arial" w:cs="Arial" w:eastAsia="Arial" w:hint="default"/>
                <w:sz w:val="20"/>
                <w:szCs w:val="20"/>
              </w:rPr>
              <w:t>30</w:t>
            </w:r>
            <w:r>
              <w:rPr>
                <w:rFonts w:ascii="Arial" w:hAnsi="Arial" w:cs="Arial" w:eastAsia="Arial" w:hint="default"/>
                <w:spacing w:val="-5"/>
                <w:sz w:val="20"/>
                <w:szCs w:val="20"/>
              </w:rPr>
              <w:t> </w:t>
            </w:r>
            <w:r>
              <w:rPr>
                <w:rFonts w:ascii="宋体" w:hAnsi="宋体" w:cs="宋体" w:eastAsia="宋体" w:hint="default"/>
                <w:sz w:val="20"/>
                <w:szCs w:val="20"/>
              </w:rPr>
              <w:t>日</w:t>
            </w:r>
          </w:p>
        </w:tc>
      </w:tr>
      <w:tr>
        <w:trPr>
          <w:trHeight w:val="534" w:hRule="exact"/>
        </w:trPr>
        <w:tc>
          <w:tcPr>
            <w:tcW w:w="1100" w:type="dxa"/>
            <w:vMerge/>
            <w:tcBorders>
              <w:left w:val="single" w:sz="6" w:space="0" w:color="000000"/>
              <w:right w:val="single" w:sz="6" w:space="0" w:color="000000"/>
            </w:tcBorders>
          </w:tcPr>
          <w:p>
            <w:pPr/>
          </w:p>
        </w:tc>
        <w:tc>
          <w:tcPr>
            <w:tcW w:w="1033" w:type="dxa"/>
            <w:vMerge/>
            <w:tcBorders>
              <w:left w:val="single" w:sz="6" w:space="0" w:color="000000"/>
              <w:right w:val="single" w:sz="6" w:space="0" w:color="000000"/>
            </w:tcBorders>
          </w:tcPr>
          <w:p>
            <w:pP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00"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1"/>
                <w:sz w:val="20"/>
                <w:szCs w:val="20"/>
              </w:rPr>
              <w:t> </w:t>
            </w:r>
            <w:r>
              <w:rPr>
                <w:rFonts w:ascii="Arial" w:hAnsi="Arial" w:cs="Arial" w:eastAsia="Arial" w:hint="default"/>
                <w:sz w:val="20"/>
                <w:szCs w:val="20"/>
              </w:rPr>
              <w:t>2011</w:t>
            </w:r>
            <w:r>
              <w:rPr>
                <w:rFonts w:ascii="Arial" w:hAnsi="Arial" w:cs="Arial" w:eastAsia="Arial" w:hint="default"/>
                <w:spacing w:val="-7"/>
                <w:sz w:val="20"/>
                <w:szCs w:val="20"/>
              </w:rPr>
              <w:t> </w:t>
            </w:r>
            <w:r>
              <w:rPr>
                <w:rFonts w:ascii="宋体" w:hAnsi="宋体" w:cs="宋体" w:eastAsia="宋体" w:hint="default"/>
                <w:sz w:val="20"/>
                <w:szCs w:val="20"/>
              </w:rPr>
              <w:t>年度利</w:t>
            </w:r>
          </w:p>
          <w:p>
            <w:pPr>
              <w:pStyle w:val="TableParagraph"/>
              <w:spacing w:line="253" w:lineRule="exact"/>
              <w:ind w:left="100" w:right="0"/>
              <w:jc w:val="left"/>
              <w:rPr>
                <w:rFonts w:ascii="宋体" w:hAnsi="宋体" w:cs="宋体" w:eastAsia="宋体" w:hint="default"/>
                <w:sz w:val="20"/>
                <w:szCs w:val="20"/>
              </w:rPr>
            </w:pPr>
            <w:r>
              <w:rPr>
                <w:rFonts w:ascii="宋体" w:hAnsi="宋体" w:cs="宋体" w:eastAsia="宋体" w:hint="default"/>
                <w:sz w:val="20"/>
                <w:szCs w:val="20"/>
              </w:rPr>
              <w:t>润分配的议案</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审议通过</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全部议案</w:t>
            </w:r>
          </w:p>
        </w:tc>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23"/>
              <w:ind w:left="100" w:right="98"/>
              <w:jc w:val="left"/>
              <w:rPr>
                <w:rFonts w:ascii="Arial" w:hAnsi="Arial" w:cs="Arial" w:eastAsia="Arial" w:hint="default"/>
                <w:sz w:val="20"/>
                <w:szCs w:val="20"/>
              </w:rPr>
            </w:pPr>
            <w:hyperlink r:id="rId13">
              <w:r>
                <w:rPr>
                  <w:rFonts w:ascii="Arial" w:hAnsi="Arial" w:cs="Arial" w:eastAsia="Arial" w:hint="default"/>
                  <w:sz w:val="20"/>
                  <w:szCs w:val="20"/>
                </w:rPr>
                <w:t>www.sse.com.cn</w:t>
              </w:r>
            </w:hyperlink>
            <w:r>
              <w:rPr>
                <w:rFonts w:ascii="宋体" w:hAnsi="宋体" w:cs="宋体" w:eastAsia="宋体" w:hint="default"/>
                <w:sz w:val="20"/>
                <w:szCs w:val="20"/>
              </w:rPr>
              <w:t>；</w:t>
            </w:r>
            <w:r>
              <w:rPr>
                <w:rFonts w:ascii="宋体" w:hAnsi="宋体" w:cs="宋体" w:eastAsia="宋体" w:hint="default"/>
                <w:w w:val="100"/>
                <w:sz w:val="20"/>
                <w:szCs w:val="20"/>
              </w:rPr>
              <w:t> </w:t>
            </w:r>
            <w:hyperlink r:id="rId11">
              <w:r>
                <w:rPr>
                  <w:rFonts w:ascii="Arial" w:hAnsi="Arial" w:cs="Arial" w:eastAsia="Arial" w:hint="default"/>
                  <w:sz w:val="20"/>
                  <w:szCs w:val="20"/>
                </w:rPr>
                <w:t>www.chinaunicom-a.com</w:t>
              </w:r>
            </w:hyperlink>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99"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5</w:t>
            </w:r>
            <w:r>
              <w:rPr>
                <w:rFonts w:ascii="Arial" w:hAnsi="Arial" w:cs="Arial" w:eastAsia="Arial" w:hint="default"/>
                <w:spacing w:val="-5"/>
                <w:sz w:val="20"/>
                <w:szCs w:val="20"/>
              </w:rPr>
              <w:t> </w:t>
            </w:r>
            <w:r>
              <w:rPr>
                <w:rFonts w:ascii="宋体" w:hAnsi="宋体" w:cs="宋体" w:eastAsia="宋体" w:hint="default"/>
                <w:sz w:val="20"/>
                <w:szCs w:val="20"/>
              </w:rPr>
              <w:t>月</w:t>
            </w:r>
          </w:p>
          <w:p>
            <w:pPr>
              <w:pStyle w:val="TableParagraph"/>
              <w:spacing w:line="268" w:lineRule="exact"/>
              <w:ind w:left="99" w:right="0"/>
              <w:jc w:val="left"/>
              <w:rPr>
                <w:rFonts w:ascii="宋体" w:hAnsi="宋体" w:cs="宋体" w:eastAsia="宋体" w:hint="default"/>
                <w:sz w:val="20"/>
                <w:szCs w:val="20"/>
              </w:rPr>
            </w:pPr>
            <w:r>
              <w:rPr>
                <w:rFonts w:ascii="Arial" w:hAnsi="Arial" w:cs="Arial" w:eastAsia="Arial" w:hint="default"/>
                <w:sz w:val="20"/>
                <w:szCs w:val="20"/>
              </w:rPr>
              <w:t>30</w:t>
            </w:r>
            <w:r>
              <w:rPr>
                <w:rFonts w:ascii="Arial" w:hAnsi="Arial" w:cs="Arial" w:eastAsia="Arial" w:hint="default"/>
                <w:spacing w:val="-5"/>
                <w:sz w:val="20"/>
                <w:szCs w:val="20"/>
              </w:rPr>
              <w:t> </w:t>
            </w:r>
            <w:r>
              <w:rPr>
                <w:rFonts w:ascii="宋体" w:hAnsi="宋体" w:cs="宋体" w:eastAsia="宋体" w:hint="default"/>
                <w:sz w:val="20"/>
                <w:szCs w:val="20"/>
              </w:rPr>
              <w:t>日</w:t>
            </w:r>
          </w:p>
        </w:tc>
      </w:tr>
      <w:tr>
        <w:trPr>
          <w:trHeight w:val="534" w:hRule="exact"/>
        </w:trPr>
        <w:tc>
          <w:tcPr>
            <w:tcW w:w="1100" w:type="dxa"/>
            <w:vMerge/>
            <w:tcBorders>
              <w:left w:val="single" w:sz="6" w:space="0" w:color="000000"/>
              <w:right w:val="single" w:sz="6" w:space="0" w:color="000000"/>
            </w:tcBorders>
          </w:tcPr>
          <w:p>
            <w:pPr/>
          </w:p>
        </w:tc>
        <w:tc>
          <w:tcPr>
            <w:tcW w:w="1033" w:type="dxa"/>
            <w:vMerge/>
            <w:tcBorders>
              <w:left w:val="single" w:sz="6" w:space="0" w:color="000000"/>
              <w:right w:val="single" w:sz="6" w:space="0" w:color="000000"/>
            </w:tcBorders>
          </w:tcPr>
          <w:p>
            <w:pP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sz w:val="20"/>
                <w:szCs w:val="20"/>
              </w:rPr>
              <w:t>关于聘请会计师事</w:t>
            </w:r>
          </w:p>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务所的议案</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sz w:val="20"/>
                <w:szCs w:val="20"/>
              </w:rPr>
              <w:t>审议通过</w:t>
            </w:r>
          </w:p>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全部议案</w:t>
            </w:r>
          </w:p>
        </w:tc>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24"/>
              <w:ind w:left="100" w:right="98"/>
              <w:jc w:val="left"/>
              <w:rPr>
                <w:rFonts w:ascii="Arial" w:hAnsi="Arial" w:cs="Arial" w:eastAsia="Arial" w:hint="default"/>
                <w:sz w:val="20"/>
                <w:szCs w:val="20"/>
              </w:rPr>
            </w:pPr>
            <w:hyperlink r:id="rId13">
              <w:r>
                <w:rPr>
                  <w:rFonts w:ascii="Arial" w:hAnsi="Arial" w:cs="Arial" w:eastAsia="Arial" w:hint="default"/>
                  <w:sz w:val="20"/>
                  <w:szCs w:val="20"/>
                </w:rPr>
                <w:t>www.sse.com.cn</w:t>
              </w:r>
            </w:hyperlink>
            <w:r>
              <w:rPr>
                <w:rFonts w:ascii="宋体" w:hAnsi="宋体" w:cs="宋体" w:eastAsia="宋体" w:hint="default"/>
                <w:sz w:val="20"/>
                <w:szCs w:val="20"/>
              </w:rPr>
              <w:t>；</w:t>
            </w:r>
            <w:r>
              <w:rPr>
                <w:rFonts w:ascii="宋体" w:hAnsi="宋体" w:cs="宋体" w:eastAsia="宋体" w:hint="default"/>
                <w:w w:val="100"/>
                <w:sz w:val="20"/>
                <w:szCs w:val="20"/>
              </w:rPr>
              <w:t> </w:t>
            </w:r>
            <w:hyperlink r:id="rId11">
              <w:r>
                <w:rPr>
                  <w:rFonts w:ascii="Arial" w:hAnsi="Arial" w:cs="Arial" w:eastAsia="Arial" w:hint="default"/>
                  <w:sz w:val="20"/>
                  <w:szCs w:val="20"/>
                </w:rPr>
                <w:t>www.chinaunicom-a.com</w:t>
              </w:r>
            </w:hyperlink>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99"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5</w:t>
            </w:r>
            <w:r>
              <w:rPr>
                <w:rFonts w:ascii="Arial" w:hAnsi="Arial" w:cs="Arial" w:eastAsia="Arial" w:hint="default"/>
                <w:spacing w:val="-5"/>
                <w:sz w:val="20"/>
                <w:szCs w:val="20"/>
              </w:rPr>
              <w:t> </w:t>
            </w:r>
            <w:r>
              <w:rPr>
                <w:rFonts w:ascii="宋体" w:hAnsi="宋体" w:cs="宋体" w:eastAsia="宋体" w:hint="default"/>
                <w:sz w:val="20"/>
                <w:szCs w:val="20"/>
              </w:rPr>
              <w:t>月</w:t>
            </w:r>
          </w:p>
          <w:p>
            <w:pPr>
              <w:pStyle w:val="TableParagraph"/>
              <w:spacing w:line="268" w:lineRule="exact"/>
              <w:ind w:left="99" w:right="0"/>
              <w:jc w:val="left"/>
              <w:rPr>
                <w:rFonts w:ascii="宋体" w:hAnsi="宋体" w:cs="宋体" w:eastAsia="宋体" w:hint="default"/>
                <w:sz w:val="20"/>
                <w:szCs w:val="20"/>
              </w:rPr>
            </w:pPr>
            <w:r>
              <w:rPr>
                <w:rFonts w:ascii="Arial" w:hAnsi="Arial" w:cs="Arial" w:eastAsia="Arial" w:hint="default"/>
                <w:sz w:val="20"/>
                <w:szCs w:val="20"/>
              </w:rPr>
              <w:t>30</w:t>
            </w:r>
            <w:r>
              <w:rPr>
                <w:rFonts w:ascii="Arial" w:hAnsi="Arial" w:cs="Arial" w:eastAsia="Arial" w:hint="default"/>
                <w:spacing w:val="-5"/>
                <w:sz w:val="20"/>
                <w:szCs w:val="20"/>
              </w:rPr>
              <w:t> </w:t>
            </w:r>
            <w:r>
              <w:rPr>
                <w:rFonts w:ascii="宋体" w:hAnsi="宋体" w:cs="宋体" w:eastAsia="宋体" w:hint="default"/>
                <w:sz w:val="20"/>
                <w:szCs w:val="20"/>
              </w:rPr>
              <w:t>日</w:t>
            </w:r>
          </w:p>
        </w:tc>
      </w:tr>
      <w:tr>
        <w:trPr>
          <w:trHeight w:val="534" w:hRule="exact"/>
        </w:trPr>
        <w:tc>
          <w:tcPr>
            <w:tcW w:w="1100" w:type="dxa"/>
            <w:vMerge/>
            <w:tcBorders>
              <w:left w:val="single" w:sz="6" w:space="0" w:color="000000"/>
              <w:right w:val="single" w:sz="6" w:space="0" w:color="000000"/>
            </w:tcBorders>
          </w:tcPr>
          <w:p>
            <w:pPr/>
          </w:p>
        </w:tc>
        <w:tc>
          <w:tcPr>
            <w:tcW w:w="1033" w:type="dxa"/>
            <w:vMerge/>
            <w:tcBorders>
              <w:left w:val="single" w:sz="6" w:space="0" w:color="000000"/>
              <w:right w:val="single" w:sz="6" w:space="0" w:color="000000"/>
            </w:tcBorders>
          </w:tcPr>
          <w:p>
            <w:pP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9"/>
                <w:sz w:val="20"/>
                <w:szCs w:val="20"/>
              </w:rPr>
              <w:t> </w:t>
            </w:r>
            <w:r>
              <w:rPr>
                <w:rFonts w:ascii="宋体" w:hAnsi="宋体" w:cs="宋体" w:eastAsia="宋体" w:hint="default"/>
                <w:sz w:val="20"/>
                <w:szCs w:val="20"/>
              </w:rPr>
              <w:t>年度董事会</w:t>
            </w:r>
          </w:p>
          <w:p>
            <w:pPr>
              <w:pStyle w:val="TableParagraph"/>
              <w:spacing w:line="253" w:lineRule="exact"/>
              <w:ind w:left="100" w:right="0"/>
              <w:jc w:val="left"/>
              <w:rPr>
                <w:rFonts w:ascii="宋体" w:hAnsi="宋体" w:cs="宋体" w:eastAsia="宋体" w:hint="default"/>
                <w:sz w:val="20"/>
                <w:szCs w:val="20"/>
              </w:rPr>
            </w:pPr>
            <w:r>
              <w:rPr>
                <w:rFonts w:ascii="宋体" w:hAnsi="宋体" w:cs="宋体" w:eastAsia="宋体" w:hint="default"/>
                <w:sz w:val="20"/>
                <w:szCs w:val="20"/>
              </w:rPr>
              <w:t>报告</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审议通过</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全部议案</w:t>
            </w:r>
          </w:p>
        </w:tc>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23"/>
              <w:ind w:left="100" w:right="98"/>
              <w:jc w:val="left"/>
              <w:rPr>
                <w:rFonts w:ascii="Arial" w:hAnsi="Arial" w:cs="Arial" w:eastAsia="Arial" w:hint="default"/>
                <w:sz w:val="20"/>
                <w:szCs w:val="20"/>
              </w:rPr>
            </w:pPr>
            <w:hyperlink r:id="rId13">
              <w:r>
                <w:rPr>
                  <w:rFonts w:ascii="Arial" w:hAnsi="Arial" w:cs="Arial" w:eastAsia="Arial" w:hint="default"/>
                  <w:sz w:val="20"/>
                  <w:szCs w:val="20"/>
                </w:rPr>
                <w:t>www.sse.com.cn</w:t>
              </w:r>
            </w:hyperlink>
            <w:r>
              <w:rPr>
                <w:rFonts w:ascii="宋体" w:hAnsi="宋体" w:cs="宋体" w:eastAsia="宋体" w:hint="default"/>
                <w:sz w:val="20"/>
                <w:szCs w:val="20"/>
              </w:rPr>
              <w:t>；</w:t>
            </w:r>
            <w:r>
              <w:rPr>
                <w:rFonts w:ascii="宋体" w:hAnsi="宋体" w:cs="宋体" w:eastAsia="宋体" w:hint="default"/>
                <w:w w:val="100"/>
                <w:sz w:val="20"/>
                <w:szCs w:val="20"/>
              </w:rPr>
              <w:t> </w:t>
            </w:r>
            <w:hyperlink r:id="rId11">
              <w:r>
                <w:rPr>
                  <w:rFonts w:ascii="Arial" w:hAnsi="Arial" w:cs="Arial" w:eastAsia="Arial" w:hint="default"/>
                  <w:sz w:val="20"/>
                  <w:szCs w:val="20"/>
                </w:rPr>
                <w:t>www.chinaunicom-a.com</w:t>
              </w:r>
            </w:hyperlink>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99"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5</w:t>
            </w:r>
            <w:r>
              <w:rPr>
                <w:rFonts w:ascii="Arial" w:hAnsi="Arial" w:cs="Arial" w:eastAsia="Arial" w:hint="default"/>
                <w:spacing w:val="-5"/>
                <w:sz w:val="20"/>
                <w:szCs w:val="20"/>
              </w:rPr>
              <w:t> </w:t>
            </w:r>
            <w:r>
              <w:rPr>
                <w:rFonts w:ascii="宋体" w:hAnsi="宋体" w:cs="宋体" w:eastAsia="宋体" w:hint="default"/>
                <w:sz w:val="20"/>
                <w:szCs w:val="20"/>
              </w:rPr>
              <w:t>月</w:t>
            </w:r>
          </w:p>
          <w:p>
            <w:pPr>
              <w:pStyle w:val="TableParagraph"/>
              <w:spacing w:line="268" w:lineRule="exact"/>
              <w:ind w:left="99" w:right="0"/>
              <w:jc w:val="left"/>
              <w:rPr>
                <w:rFonts w:ascii="宋体" w:hAnsi="宋体" w:cs="宋体" w:eastAsia="宋体" w:hint="default"/>
                <w:sz w:val="20"/>
                <w:szCs w:val="20"/>
              </w:rPr>
            </w:pPr>
            <w:r>
              <w:rPr>
                <w:rFonts w:ascii="Arial" w:hAnsi="Arial" w:cs="Arial" w:eastAsia="Arial" w:hint="default"/>
                <w:sz w:val="20"/>
                <w:szCs w:val="20"/>
              </w:rPr>
              <w:t>30</w:t>
            </w:r>
            <w:r>
              <w:rPr>
                <w:rFonts w:ascii="Arial" w:hAnsi="Arial" w:cs="Arial" w:eastAsia="Arial" w:hint="default"/>
                <w:spacing w:val="-5"/>
                <w:sz w:val="20"/>
                <w:szCs w:val="20"/>
              </w:rPr>
              <w:t> </w:t>
            </w:r>
            <w:r>
              <w:rPr>
                <w:rFonts w:ascii="宋体" w:hAnsi="宋体" w:cs="宋体" w:eastAsia="宋体" w:hint="default"/>
                <w:sz w:val="20"/>
                <w:szCs w:val="20"/>
              </w:rPr>
              <w:t>日</w:t>
            </w:r>
          </w:p>
        </w:tc>
      </w:tr>
      <w:tr>
        <w:trPr>
          <w:trHeight w:val="533" w:hRule="exact"/>
        </w:trPr>
        <w:tc>
          <w:tcPr>
            <w:tcW w:w="1100" w:type="dxa"/>
            <w:vMerge/>
            <w:tcBorders>
              <w:left w:val="single" w:sz="6" w:space="0" w:color="000000"/>
              <w:right w:val="single" w:sz="6" w:space="0" w:color="000000"/>
            </w:tcBorders>
          </w:tcPr>
          <w:p>
            <w:pPr/>
          </w:p>
        </w:tc>
        <w:tc>
          <w:tcPr>
            <w:tcW w:w="1033" w:type="dxa"/>
            <w:vMerge/>
            <w:tcBorders>
              <w:left w:val="single" w:sz="6" w:space="0" w:color="000000"/>
              <w:right w:val="single" w:sz="6" w:space="0" w:color="000000"/>
            </w:tcBorders>
          </w:tcPr>
          <w:p>
            <w:pP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1"/>
                <w:sz w:val="20"/>
                <w:szCs w:val="20"/>
              </w:rPr>
              <w:t> </w:t>
            </w:r>
            <w:r>
              <w:rPr>
                <w:rFonts w:ascii="Arial" w:hAnsi="Arial" w:cs="Arial" w:eastAsia="Arial" w:hint="default"/>
                <w:sz w:val="20"/>
                <w:szCs w:val="20"/>
              </w:rPr>
              <w:t>2011</w:t>
            </w:r>
            <w:r>
              <w:rPr>
                <w:rFonts w:ascii="Arial" w:hAnsi="Arial" w:cs="Arial" w:eastAsia="Arial" w:hint="default"/>
                <w:spacing w:val="-7"/>
                <w:sz w:val="20"/>
                <w:szCs w:val="20"/>
              </w:rPr>
              <w:t> </w:t>
            </w:r>
            <w:r>
              <w:rPr>
                <w:rFonts w:ascii="宋体" w:hAnsi="宋体" w:cs="宋体" w:eastAsia="宋体" w:hint="default"/>
                <w:sz w:val="20"/>
                <w:szCs w:val="20"/>
              </w:rPr>
              <w:t>年度监</w:t>
            </w:r>
          </w:p>
          <w:p>
            <w:pPr>
              <w:pStyle w:val="TableParagraph"/>
              <w:spacing w:line="253" w:lineRule="exact"/>
              <w:ind w:left="100" w:right="0"/>
              <w:jc w:val="left"/>
              <w:rPr>
                <w:rFonts w:ascii="宋体" w:hAnsi="宋体" w:cs="宋体" w:eastAsia="宋体" w:hint="default"/>
                <w:sz w:val="20"/>
                <w:szCs w:val="20"/>
              </w:rPr>
            </w:pPr>
            <w:r>
              <w:rPr>
                <w:rFonts w:ascii="宋体" w:hAnsi="宋体" w:cs="宋体" w:eastAsia="宋体" w:hint="default"/>
                <w:sz w:val="20"/>
                <w:szCs w:val="20"/>
              </w:rPr>
              <w:t>事会报告</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审议通过</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全部议案</w:t>
            </w:r>
          </w:p>
        </w:tc>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22"/>
              <w:ind w:left="100" w:right="98"/>
              <w:jc w:val="left"/>
              <w:rPr>
                <w:rFonts w:ascii="Arial" w:hAnsi="Arial" w:cs="Arial" w:eastAsia="Arial" w:hint="default"/>
                <w:sz w:val="20"/>
                <w:szCs w:val="20"/>
              </w:rPr>
            </w:pPr>
            <w:hyperlink r:id="rId13">
              <w:r>
                <w:rPr>
                  <w:rFonts w:ascii="Arial" w:hAnsi="Arial" w:cs="Arial" w:eastAsia="Arial" w:hint="default"/>
                  <w:sz w:val="20"/>
                  <w:szCs w:val="20"/>
                </w:rPr>
                <w:t>www.sse.com.cn</w:t>
              </w:r>
            </w:hyperlink>
            <w:r>
              <w:rPr>
                <w:rFonts w:ascii="宋体" w:hAnsi="宋体" w:cs="宋体" w:eastAsia="宋体" w:hint="default"/>
                <w:sz w:val="20"/>
                <w:szCs w:val="20"/>
              </w:rPr>
              <w:t>；</w:t>
            </w:r>
            <w:r>
              <w:rPr>
                <w:rFonts w:ascii="宋体" w:hAnsi="宋体" w:cs="宋体" w:eastAsia="宋体" w:hint="default"/>
                <w:w w:val="100"/>
                <w:sz w:val="20"/>
                <w:szCs w:val="20"/>
              </w:rPr>
              <w:t> </w:t>
            </w:r>
            <w:hyperlink r:id="rId11">
              <w:r>
                <w:rPr>
                  <w:rFonts w:ascii="Arial" w:hAnsi="Arial" w:cs="Arial" w:eastAsia="Arial" w:hint="default"/>
                  <w:sz w:val="20"/>
                  <w:szCs w:val="20"/>
                </w:rPr>
                <w:t>www.chinaunicom-a.com</w:t>
              </w:r>
            </w:hyperlink>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99"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5</w:t>
            </w:r>
            <w:r>
              <w:rPr>
                <w:rFonts w:ascii="Arial" w:hAnsi="Arial" w:cs="Arial" w:eastAsia="Arial" w:hint="default"/>
                <w:spacing w:val="-5"/>
                <w:sz w:val="20"/>
                <w:szCs w:val="20"/>
              </w:rPr>
              <w:t> </w:t>
            </w:r>
            <w:r>
              <w:rPr>
                <w:rFonts w:ascii="宋体" w:hAnsi="宋体" w:cs="宋体" w:eastAsia="宋体" w:hint="default"/>
                <w:sz w:val="20"/>
                <w:szCs w:val="20"/>
              </w:rPr>
              <w:t>月</w:t>
            </w:r>
          </w:p>
          <w:p>
            <w:pPr>
              <w:pStyle w:val="TableParagraph"/>
              <w:spacing w:line="268" w:lineRule="exact"/>
              <w:ind w:left="99" w:right="0"/>
              <w:jc w:val="left"/>
              <w:rPr>
                <w:rFonts w:ascii="宋体" w:hAnsi="宋体" w:cs="宋体" w:eastAsia="宋体" w:hint="default"/>
                <w:sz w:val="20"/>
                <w:szCs w:val="20"/>
              </w:rPr>
            </w:pPr>
            <w:r>
              <w:rPr>
                <w:rFonts w:ascii="Arial" w:hAnsi="Arial" w:cs="Arial" w:eastAsia="Arial" w:hint="default"/>
                <w:sz w:val="20"/>
                <w:szCs w:val="20"/>
              </w:rPr>
              <w:t>30</w:t>
            </w:r>
            <w:r>
              <w:rPr>
                <w:rFonts w:ascii="Arial" w:hAnsi="Arial" w:cs="Arial" w:eastAsia="Arial" w:hint="default"/>
                <w:spacing w:val="-5"/>
                <w:sz w:val="20"/>
                <w:szCs w:val="20"/>
              </w:rPr>
              <w:t> </w:t>
            </w:r>
            <w:r>
              <w:rPr>
                <w:rFonts w:ascii="宋体" w:hAnsi="宋体" w:cs="宋体" w:eastAsia="宋体" w:hint="default"/>
                <w:sz w:val="20"/>
                <w:szCs w:val="20"/>
              </w:rPr>
              <w:t>日</w:t>
            </w:r>
          </w:p>
        </w:tc>
      </w:tr>
      <w:tr>
        <w:trPr>
          <w:trHeight w:val="534" w:hRule="exact"/>
        </w:trPr>
        <w:tc>
          <w:tcPr>
            <w:tcW w:w="1100" w:type="dxa"/>
            <w:vMerge/>
            <w:tcBorders>
              <w:left w:val="single" w:sz="6" w:space="0" w:color="000000"/>
              <w:right w:val="single" w:sz="6" w:space="0" w:color="000000"/>
            </w:tcBorders>
          </w:tcPr>
          <w:p>
            <w:pPr/>
          </w:p>
        </w:tc>
        <w:tc>
          <w:tcPr>
            <w:tcW w:w="1033" w:type="dxa"/>
            <w:vMerge/>
            <w:tcBorders>
              <w:left w:val="single" w:sz="6" w:space="0" w:color="000000"/>
              <w:right w:val="single" w:sz="6" w:space="0" w:color="000000"/>
            </w:tcBorders>
          </w:tcPr>
          <w:p>
            <w:pP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00"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1"/>
                <w:sz w:val="20"/>
                <w:szCs w:val="20"/>
              </w:rPr>
              <w:t> </w:t>
            </w:r>
            <w:r>
              <w:rPr>
                <w:rFonts w:ascii="Arial" w:hAnsi="Arial" w:cs="Arial" w:eastAsia="Arial" w:hint="default"/>
                <w:sz w:val="20"/>
                <w:szCs w:val="20"/>
              </w:rPr>
              <w:t>2011</w:t>
            </w:r>
            <w:r>
              <w:rPr>
                <w:rFonts w:ascii="Arial" w:hAnsi="Arial" w:cs="Arial" w:eastAsia="Arial" w:hint="default"/>
                <w:spacing w:val="-7"/>
                <w:sz w:val="20"/>
                <w:szCs w:val="20"/>
              </w:rPr>
              <w:t> </w:t>
            </w:r>
            <w:r>
              <w:rPr>
                <w:rFonts w:ascii="宋体" w:hAnsi="宋体" w:cs="宋体" w:eastAsia="宋体" w:hint="default"/>
                <w:sz w:val="20"/>
                <w:szCs w:val="20"/>
              </w:rPr>
              <w:t>年年度</w:t>
            </w:r>
          </w:p>
          <w:p>
            <w:pPr>
              <w:pStyle w:val="TableParagraph"/>
              <w:spacing w:line="253" w:lineRule="exact"/>
              <w:ind w:left="100" w:right="0"/>
              <w:jc w:val="left"/>
              <w:rPr>
                <w:rFonts w:ascii="宋体" w:hAnsi="宋体" w:cs="宋体" w:eastAsia="宋体" w:hint="default"/>
                <w:sz w:val="20"/>
                <w:szCs w:val="20"/>
              </w:rPr>
            </w:pPr>
            <w:r>
              <w:rPr>
                <w:rFonts w:ascii="宋体" w:hAnsi="宋体" w:cs="宋体" w:eastAsia="宋体" w:hint="default"/>
                <w:sz w:val="20"/>
                <w:szCs w:val="20"/>
              </w:rPr>
              <w:t>报告</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审议通过</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全部议案</w:t>
            </w:r>
          </w:p>
        </w:tc>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23"/>
              <w:ind w:left="100" w:right="98"/>
              <w:jc w:val="left"/>
              <w:rPr>
                <w:rFonts w:ascii="Arial" w:hAnsi="Arial" w:cs="Arial" w:eastAsia="Arial" w:hint="default"/>
                <w:sz w:val="20"/>
                <w:szCs w:val="20"/>
              </w:rPr>
            </w:pPr>
            <w:hyperlink r:id="rId13">
              <w:r>
                <w:rPr>
                  <w:rFonts w:ascii="Arial" w:hAnsi="Arial" w:cs="Arial" w:eastAsia="Arial" w:hint="default"/>
                  <w:sz w:val="20"/>
                  <w:szCs w:val="20"/>
                </w:rPr>
                <w:t>www.sse.com.cn</w:t>
              </w:r>
            </w:hyperlink>
            <w:r>
              <w:rPr>
                <w:rFonts w:ascii="宋体" w:hAnsi="宋体" w:cs="宋体" w:eastAsia="宋体" w:hint="default"/>
                <w:sz w:val="20"/>
                <w:szCs w:val="20"/>
              </w:rPr>
              <w:t>；</w:t>
            </w:r>
            <w:r>
              <w:rPr>
                <w:rFonts w:ascii="宋体" w:hAnsi="宋体" w:cs="宋体" w:eastAsia="宋体" w:hint="default"/>
                <w:w w:val="100"/>
                <w:sz w:val="20"/>
                <w:szCs w:val="20"/>
              </w:rPr>
              <w:t> </w:t>
            </w:r>
            <w:hyperlink r:id="rId11">
              <w:r>
                <w:rPr>
                  <w:rFonts w:ascii="Arial" w:hAnsi="Arial" w:cs="Arial" w:eastAsia="Arial" w:hint="default"/>
                  <w:sz w:val="20"/>
                  <w:szCs w:val="20"/>
                </w:rPr>
                <w:t>www.chinaunicom-a.com</w:t>
              </w:r>
            </w:hyperlink>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99"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5</w:t>
            </w:r>
            <w:r>
              <w:rPr>
                <w:rFonts w:ascii="Arial" w:hAnsi="Arial" w:cs="Arial" w:eastAsia="Arial" w:hint="default"/>
                <w:spacing w:val="-5"/>
                <w:sz w:val="20"/>
                <w:szCs w:val="20"/>
              </w:rPr>
              <w:t> </w:t>
            </w:r>
            <w:r>
              <w:rPr>
                <w:rFonts w:ascii="宋体" w:hAnsi="宋体" w:cs="宋体" w:eastAsia="宋体" w:hint="default"/>
                <w:sz w:val="20"/>
                <w:szCs w:val="20"/>
              </w:rPr>
              <w:t>月</w:t>
            </w:r>
          </w:p>
          <w:p>
            <w:pPr>
              <w:pStyle w:val="TableParagraph"/>
              <w:spacing w:line="268" w:lineRule="exact"/>
              <w:ind w:left="99" w:right="0"/>
              <w:jc w:val="left"/>
              <w:rPr>
                <w:rFonts w:ascii="宋体" w:hAnsi="宋体" w:cs="宋体" w:eastAsia="宋体" w:hint="default"/>
                <w:sz w:val="20"/>
                <w:szCs w:val="20"/>
              </w:rPr>
            </w:pPr>
            <w:r>
              <w:rPr>
                <w:rFonts w:ascii="Arial" w:hAnsi="Arial" w:cs="Arial" w:eastAsia="Arial" w:hint="default"/>
                <w:sz w:val="20"/>
                <w:szCs w:val="20"/>
              </w:rPr>
              <w:t>30</w:t>
            </w:r>
            <w:r>
              <w:rPr>
                <w:rFonts w:ascii="Arial" w:hAnsi="Arial" w:cs="Arial" w:eastAsia="Arial" w:hint="default"/>
                <w:spacing w:val="-5"/>
                <w:sz w:val="20"/>
                <w:szCs w:val="20"/>
              </w:rPr>
              <w:t> </w:t>
            </w:r>
            <w:r>
              <w:rPr>
                <w:rFonts w:ascii="宋体" w:hAnsi="宋体" w:cs="宋体" w:eastAsia="宋体" w:hint="default"/>
                <w:sz w:val="20"/>
                <w:szCs w:val="20"/>
              </w:rPr>
              <w:t>日</w:t>
            </w:r>
          </w:p>
        </w:tc>
      </w:tr>
      <w:tr>
        <w:trPr>
          <w:trHeight w:val="534" w:hRule="exact"/>
        </w:trPr>
        <w:tc>
          <w:tcPr>
            <w:tcW w:w="1100" w:type="dxa"/>
            <w:vMerge/>
            <w:tcBorders>
              <w:left w:val="single" w:sz="6" w:space="0" w:color="000000"/>
              <w:right w:val="single" w:sz="6" w:space="0" w:color="000000"/>
            </w:tcBorders>
          </w:tcPr>
          <w:p>
            <w:pPr/>
          </w:p>
        </w:tc>
        <w:tc>
          <w:tcPr>
            <w:tcW w:w="1033" w:type="dxa"/>
            <w:vMerge/>
            <w:tcBorders>
              <w:left w:val="single" w:sz="6" w:space="0" w:color="000000"/>
              <w:right w:val="single" w:sz="6" w:space="0" w:color="000000"/>
            </w:tcBorders>
          </w:tcPr>
          <w:p>
            <w:pP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关于更换监事的议</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w w:val="100"/>
                <w:sz w:val="20"/>
                <w:szCs w:val="20"/>
              </w:rPr>
              <w:t>案</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审议通过</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全部议案</w:t>
            </w:r>
          </w:p>
        </w:tc>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23"/>
              <w:ind w:left="100" w:right="98"/>
              <w:jc w:val="left"/>
              <w:rPr>
                <w:rFonts w:ascii="Arial" w:hAnsi="Arial" w:cs="Arial" w:eastAsia="Arial" w:hint="default"/>
                <w:sz w:val="20"/>
                <w:szCs w:val="20"/>
              </w:rPr>
            </w:pPr>
            <w:hyperlink r:id="rId13">
              <w:r>
                <w:rPr>
                  <w:rFonts w:ascii="Arial" w:hAnsi="Arial" w:cs="Arial" w:eastAsia="Arial" w:hint="default"/>
                  <w:sz w:val="20"/>
                  <w:szCs w:val="20"/>
                </w:rPr>
                <w:t>www.sse.com.cn</w:t>
              </w:r>
            </w:hyperlink>
            <w:r>
              <w:rPr>
                <w:rFonts w:ascii="宋体" w:hAnsi="宋体" w:cs="宋体" w:eastAsia="宋体" w:hint="default"/>
                <w:sz w:val="20"/>
                <w:szCs w:val="20"/>
              </w:rPr>
              <w:t>；</w:t>
            </w:r>
            <w:r>
              <w:rPr>
                <w:rFonts w:ascii="宋体" w:hAnsi="宋体" w:cs="宋体" w:eastAsia="宋体" w:hint="default"/>
                <w:w w:val="100"/>
                <w:sz w:val="20"/>
                <w:szCs w:val="20"/>
              </w:rPr>
              <w:t> </w:t>
            </w:r>
            <w:hyperlink r:id="rId11">
              <w:r>
                <w:rPr>
                  <w:rFonts w:ascii="Arial" w:hAnsi="Arial" w:cs="Arial" w:eastAsia="Arial" w:hint="default"/>
                  <w:sz w:val="20"/>
                  <w:szCs w:val="20"/>
                </w:rPr>
                <w:t>www.chinaunicom-a.com</w:t>
              </w:r>
            </w:hyperlink>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99"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5</w:t>
            </w:r>
            <w:r>
              <w:rPr>
                <w:rFonts w:ascii="Arial" w:hAnsi="Arial" w:cs="Arial" w:eastAsia="Arial" w:hint="default"/>
                <w:spacing w:val="-5"/>
                <w:sz w:val="20"/>
                <w:szCs w:val="20"/>
              </w:rPr>
              <w:t> </w:t>
            </w:r>
            <w:r>
              <w:rPr>
                <w:rFonts w:ascii="宋体" w:hAnsi="宋体" w:cs="宋体" w:eastAsia="宋体" w:hint="default"/>
                <w:sz w:val="20"/>
                <w:szCs w:val="20"/>
              </w:rPr>
              <w:t>月</w:t>
            </w:r>
          </w:p>
          <w:p>
            <w:pPr>
              <w:pStyle w:val="TableParagraph"/>
              <w:spacing w:line="268" w:lineRule="exact"/>
              <w:ind w:left="99" w:right="0"/>
              <w:jc w:val="left"/>
              <w:rPr>
                <w:rFonts w:ascii="宋体" w:hAnsi="宋体" w:cs="宋体" w:eastAsia="宋体" w:hint="default"/>
                <w:sz w:val="20"/>
                <w:szCs w:val="20"/>
              </w:rPr>
            </w:pPr>
            <w:r>
              <w:rPr>
                <w:rFonts w:ascii="Arial" w:hAnsi="Arial" w:cs="Arial" w:eastAsia="Arial" w:hint="default"/>
                <w:sz w:val="20"/>
                <w:szCs w:val="20"/>
              </w:rPr>
              <w:t>30</w:t>
            </w:r>
            <w:r>
              <w:rPr>
                <w:rFonts w:ascii="Arial" w:hAnsi="Arial" w:cs="Arial" w:eastAsia="Arial" w:hint="default"/>
                <w:spacing w:val="-5"/>
                <w:sz w:val="20"/>
                <w:szCs w:val="20"/>
              </w:rPr>
              <w:t> </w:t>
            </w:r>
            <w:r>
              <w:rPr>
                <w:rFonts w:ascii="宋体" w:hAnsi="宋体" w:cs="宋体" w:eastAsia="宋体" w:hint="default"/>
                <w:sz w:val="20"/>
                <w:szCs w:val="20"/>
              </w:rPr>
              <w:t>日</w:t>
            </w:r>
          </w:p>
        </w:tc>
      </w:tr>
      <w:tr>
        <w:trPr>
          <w:trHeight w:val="793" w:hRule="exact"/>
        </w:trPr>
        <w:tc>
          <w:tcPr>
            <w:tcW w:w="1100" w:type="dxa"/>
            <w:vMerge/>
            <w:tcBorders>
              <w:left w:val="single" w:sz="6" w:space="0" w:color="000000"/>
              <w:right w:val="single" w:sz="6" w:space="0" w:color="000000"/>
            </w:tcBorders>
          </w:tcPr>
          <w:p>
            <w:pPr/>
          </w:p>
        </w:tc>
        <w:tc>
          <w:tcPr>
            <w:tcW w:w="1033" w:type="dxa"/>
            <w:vMerge/>
            <w:tcBorders>
              <w:left w:val="single" w:sz="6" w:space="0" w:color="000000"/>
              <w:right w:val="single" w:sz="6" w:space="0" w:color="000000"/>
            </w:tcBorders>
          </w:tcPr>
          <w:p>
            <w:pP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sz w:val="20"/>
                <w:szCs w:val="20"/>
              </w:rPr>
              <w:t>关于联通红筹公司</w:t>
            </w:r>
          </w:p>
          <w:p>
            <w:pPr>
              <w:pStyle w:val="TableParagraph"/>
              <w:spacing w:line="260" w:lineRule="exact" w:before="25"/>
              <w:ind w:left="100" w:right="27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8"/>
                <w:sz w:val="20"/>
                <w:szCs w:val="20"/>
              </w:rPr>
              <w:t> </w:t>
            </w:r>
            <w:r>
              <w:rPr>
                <w:rFonts w:ascii="宋体" w:hAnsi="宋体" w:cs="宋体" w:eastAsia="宋体" w:hint="default"/>
                <w:sz w:val="20"/>
                <w:szCs w:val="20"/>
              </w:rPr>
              <w:t>年度利润分</w:t>
            </w:r>
            <w:r>
              <w:rPr>
                <w:rFonts w:ascii="宋体" w:hAnsi="宋体" w:cs="宋体" w:eastAsia="宋体" w:hint="default"/>
                <w:w w:val="100"/>
                <w:sz w:val="20"/>
                <w:szCs w:val="20"/>
              </w:rPr>
              <w:t> </w:t>
            </w:r>
            <w:r>
              <w:rPr>
                <w:rFonts w:ascii="宋体" w:hAnsi="宋体" w:cs="宋体" w:eastAsia="宋体" w:hint="default"/>
                <w:sz w:val="20"/>
                <w:szCs w:val="20"/>
              </w:rPr>
              <w:t>配的事项</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24"/>
              <w:ind w:left="100" w:right="251"/>
              <w:jc w:val="left"/>
              <w:rPr>
                <w:rFonts w:ascii="宋体" w:hAnsi="宋体" w:cs="宋体" w:eastAsia="宋体" w:hint="default"/>
                <w:sz w:val="20"/>
                <w:szCs w:val="20"/>
              </w:rPr>
            </w:pPr>
            <w:r>
              <w:rPr>
                <w:rFonts w:ascii="宋体" w:hAnsi="宋体" w:cs="宋体" w:eastAsia="宋体" w:hint="default"/>
                <w:sz w:val="20"/>
                <w:szCs w:val="20"/>
              </w:rPr>
              <w:t>审议通过</w:t>
            </w:r>
            <w:r>
              <w:rPr>
                <w:rFonts w:ascii="宋体" w:hAnsi="宋体" w:cs="宋体" w:eastAsia="宋体" w:hint="default"/>
                <w:w w:val="100"/>
                <w:sz w:val="20"/>
                <w:szCs w:val="20"/>
              </w:rPr>
              <w:t> </w:t>
            </w:r>
            <w:r>
              <w:rPr>
                <w:rFonts w:ascii="宋体" w:hAnsi="宋体" w:cs="宋体" w:eastAsia="宋体" w:hint="default"/>
                <w:sz w:val="20"/>
                <w:szCs w:val="20"/>
              </w:rPr>
              <w:t>全部议案</w:t>
            </w:r>
          </w:p>
        </w:tc>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52" w:lineRule="auto" w:before="113"/>
              <w:ind w:left="100" w:right="98"/>
              <w:jc w:val="left"/>
              <w:rPr>
                <w:rFonts w:ascii="Arial" w:hAnsi="Arial" w:cs="Arial" w:eastAsia="Arial" w:hint="default"/>
                <w:sz w:val="20"/>
                <w:szCs w:val="20"/>
              </w:rPr>
            </w:pPr>
            <w:hyperlink r:id="rId13">
              <w:r>
                <w:rPr>
                  <w:rFonts w:ascii="Arial" w:hAnsi="Arial" w:cs="Arial" w:eastAsia="Arial" w:hint="default"/>
                  <w:sz w:val="20"/>
                  <w:szCs w:val="20"/>
                </w:rPr>
                <w:t>www.sse.com.cn</w:t>
              </w:r>
            </w:hyperlink>
            <w:r>
              <w:rPr>
                <w:rFonts w:ascii="宋体" w:hAnsi="宋体" w:cs="宋体" w:eastAsia="宋体" w:hint="default"/>
                <w:sz w:val="20"/>
                <w:szCs w:val="20"/>
              </w:rPr>
              <w:t>；</w:t>
            </w:r>
            <w:r>
              <w:rPr>
                <w:rFonts w:ascii="宋体" w:hAnsi="宋体" w:cs="宋体" w:eastAsia="宋体" w:hint="default"/>
                <w:w w:val="100"/>
                <w:sz w:val="20"/>
                <w:szCs w:val="20"/>
              </w:rPr>
              <w:t> </w:t>
            </w:r>
            <w:hyperlink r:id="rId11">
              <w:r>
                <w:rPr>
                  <w:rFonts w:ascii="Arial" w:hAnsi="Arial" w:cs="Arial" w:eastAsia="Arial" w:hint="default"/>
                  <w:sz w:val="20"/>
                  <w:szCs w:val="20"/>
                </w:rPr>
                <w:t>www.chinaunicom-a.com</w:t>
              </w:r>
            </w:hyperlink>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before="99"/>
              <w:ind w:left="99"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5</w:t>
            </w:r>
            <w:r>
              <w:rPr>
                <w:rFonts w:ascii="Arial" w:hAnsi="Arial" w:cs="Arial" w:eastAsia="Arial" w:hint="default"/>
                <w:spacing w:val="-5"/>
                <w:sz w:val="20"/>
                <w:szCs w:val="20"/>
              </w:rPr>
              <w:t> </w:t>
            </w:r>
            <w:r>
              <w:rPr>
                <w:rFonts w:ascii="宋体" w:hAnsi="宋体" w:cs="宋体" w:eastAsia="宋体" w:hint="default"/>
                <w:sz w:val="20"/>
                <w:szCs w:val="20"/>
              </w:rPr>
              <w:t>月</w:t>
            </w:r>
          </w:p>
          <w:p>
            <w:pPr>
              <w:pStyle w:val="TableParagraph"/>
              <w:spacing w:line="268" w:lineRule="exact"/>
              <w:ind w:left="99" w:right="0"/>
              <w:jc w:val="left"/>
              <w:rPr>
                <w:rFonts w:ascii="宋体" w:hAnsi="宋体" w:cs="宋体" w:eastAsia="宋体" w:hint="default"/>
                <w:sz w:val="20"/>
                <w:szCs w:val="20"/>
              </w:rPr>
            </w:pPr>
            <w:r>
              <w:rPr>
                <w:rFonts w:ascii="Arial" w:hAnsi="Arial" w:cs="Arial" w:eastAsia="Arial" w:hint="default"/>
                <w:sz w:val="20"/>
                <w:szCs w:val="20"/>
              </w:rPr>
              <w:t>30</w:t>
            </w:r>
            <w:r>
              <w:rPr>
                <w:rFonts w:ascii="Arial" w:hAnsi="Arial" w:cs="Arial" w:eastAsia="Arial" w:hint="default"/>
                <w:spacing w:val="-5"/>
                <w:sz w:val="20"/>
                <w:szCs w:val="20"/>
              </w:rPr>
              <w:t> </w:t>
            </w:r>
            <w:r>
              <w:rPr>
                <w:rFonts w:ascii="宋体" w:hAnsi="宋体" w:cs="宋体" w:eastAsia="宋体" w:hint="default"/>
                <w:sz w:val="20"/>
                <w:szCs w:val="20"/>
              </w:rPr>
              <w:t>日</w:t>
            </w:r>
          </w:p>
        </w:tc>
      </w:tr>
      <w:tr>
        <w:trPr>
          <w:trHeight w:val="1830" w:hRule="exact"/>
        </w:trPr>
        <w:tc>
          <w:tcPr>
            <w:tcW w:w="1100" w:type="dxa"/>
            <w:vMerge/>
            <w:tcBorders>
              <w:left w:val="single" w:sz="6" w:space="0" w:color="000000"/>
              <w:right w:val="single" w:sz="6" w:space="0" w:color="000000"/>
            </w:tcBorders>
          </w:tcPr>
          <w:p>
            <w:pPr/>
          </w:p>
        </w:tc>
        <w:tc>
          <w:tcPr>
            <w:tcW w:w="1033" w:type="dxa"/>
            <w:vMerge/>
            <w:tcBorders>
              <w:left w:val="single" w:sz="6" w:space="0" w:color="000000"/>
              <w:right w:val="single" w:sz="6" w:space="0" w:color="000000"/>
            </w:tcBorders>
          </w:tcPr>
          <w:p>
            <w:pP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100" w:right="0"/>
              <w:jc w:val="both"/>
              <w:rPr>
                <w:rFonts w:ascii="宋体" w:hAnsi="宋体" w:cs="宋体" w:eastAsia="宋体" w:hint="default"/>
                <w:sz w:val="20"/>
                <w:szCs w:val="20"/>
              </w:rPr>
            </w:pPr>
            <w:r>
              <w:rPr>
                <w:rFonts w:ascii="宋体" w:hAnsi="宋体" w:cs="宋体" w:eastAsia="宋体" w:hint="default"/>
                <w:sz w:val="20"/>
                <w:szCs w:val="20"/>
              </w:rPr>
              <w:t>联通红筹公司股东</w:t>
            </w:r>
          </w:p>
          <w:p>
            <w:pPr>
              <w:pStyle w:val="TableParagraph"/>
              <w:spacing w:line="260" w:lineRule="exact" w:before="25"/>
              <w:ind w:left="100" w:right="164"/>
              <w:jc w:val="both"/>
              <w:rPr>
                <w:rFonts w:ascii="Arial" w:hAnsi="Arial" w:cs="Arial" w:eastAsia="Arial" w:hint="default"/>
                <w:sz w:val="20"/>
                <w:szCs w:val="20"/>
              </w:rPr>
            </w:pPr>
            <w:r>
              <w:rPr>
                <w:rFonts w:ascii="宋体" w:hAnsi="宋体" w:cs="宋体" w:eastAsia="宋体" w:hint="default"/>
                <w:sz w:val="20"/>
                <w:szCs w:val="20"/>
              </w:rPr>
              <w:t>大会授权其董事会</w:t>
            </w:r>
            <w:r>
              <w:rPr>
                <w:rFonts w:ascii="宋体" w:hAnsi="宋体" w:cs="宋体" w:eastAsia="宋体" w:hint="default"/>
                <w:w w:val="100"/>
                <w:sz w:val="20"/>
                <w:szCs w:val="20"/>
              </w:rPr>
              <w:t> </w:t>
            </w:r>
            <w:r>
              <w:rPr>
                <w:rFonts w:ascii="宋体" w:hAnsi="宋体" w:cs="宋体" w:eastAsia="宋体" w:hint="default"/>
                <w:sz w:val="20"/>
                <w:szCs w:val="20"/>
              </w:rPr>
              <w:t>在一定期间内重选</w:t>
            </w:r>
            <w:r>
              <w:rPr>
                <w:rFonts w:ascii="宋体" w:hAnsi="宋体" w:cs="宋体" w:eastAsia="宋体" w:hint="default"/>
                <w:w w:val="100"/>
                <w:sz w:val="20"/>
                <w:szCs w:val="20"/>
              </w:rPr>
              <w:t> </w:t>
            </w:r>
            <w:r>
              <w:rPr>
                <w:rFonts w:ascii="宋体" w:hAnsi="宋体" w:cs="宋体" w:eastAsia="宋体" w:hint="default"/>
                <w:sz w:val="20"/>
                <w:szCs w:val="20"/>
              </w:rPr>
              <w:t>董事并授权董事会</w:t>
            </w:r>
            <w:r>
              <w:rPr>
                <w:rFonts w:ascii="宋体" w:hAnsi="宋体" w:cs="宋体" w:eastAsia="宋体" w:hint="default"/>
                <w:w w:val="100"/>
                <w:sz w:val="20"/>
                <w:szCs w:val="20"/>
              </w:rPr>
              <w:t> </w:t>
            </w:r>
            <w:r>
              <w:rPr>
                <w:rFonts w:ascii="宋体" w:hAnsi="宋体" w:cs="宋体" w:eastAsia="宋体" w:hint="default"/>
                <w:sz w:val="20"/>
                <w:szCs w:val="20"/>
              </w:rPr>
              <w:t>决定其截至</w:t>
            </w:r>
            <w:r>
              <w:rPr>
                <w:rFonts w:ascii="宋体" w:hAnsi="宋体" w:cs="宋体" w:eastAsia="宋体" w:hint="default"/>
                <w:spacing w:val="-51"/>
                <w:sz w:val="20"/>
                <w:szCs w:val="20"/>
              </w:rPr>
              <w:t> </w:t>
            </w:r>
            <w:r>
              <w:rPr>
                <w:rFonts w:ascii="Arial" w:hAnsi="Arial" w:cs="Arial" w:eastAsia="Arial" w:hint="default"/>
                <w:sz w:val="20"/>
                <w:szCs w:val="20"/>
              </w:rPr>
              <w:t>2012</w:t>
            </w:r>
          </w:p>
          <w:p>
            <w:pPr>
              <w:pStyle w:val="TableParagraph"/>
              <w:spacing w:line="260" w:lineRule="exact"/>
              <w:ind w:left="100" w:right="119"/>
              <w:jc w:val="both"/>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Arial" w:hAnsi="Arial" w:cs="Arial" w:eastAsia="Arial" w:hint="default"/>
                <w:sz w:val="20"/>
                <w:szCs w:val="20"/>
              </w:rPr>
              <w:t>12</w:t>
            </w:r>
            <w:r>
              <w:rPr>
                <w:rFonts w:ascii="Arial" w:hAnsi="Arial" w:cs="Arial" w:eastAsia="Arial" w:hint="default"/>
                <w:spacing w:val="-5"/>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7"/>
                <w:sz w:val="20"/>
                <w:szCs w:val="20"/>
              </w:rPr>
              <w:t> </w:t>
            </w:r>
            <w:r>
              <w:rPr>
                <w:rFonts w:ascii="宋体" w:hAnsi="宋体" w:cs="宋体" w:eastAsia="宋体" w:hint="default"/>
                <w:sz w:val="20"/>
                <w:szCs w:val="20"/>
              </w:rPr>
              <w:t>日止的</w:t>
            </w:r>
            <w:r>
              <w:rPr>
                <w:rFonts w:ascii="宋体" w:hAnsi="宋体" w:cs="宋体" w:eastAsia="宋体" w:hint="default"/>
                <w:w w:val="100"/>
                <w:sz w:val="20"/>
                <w:szCs w:val="20"/>
              </w:rPr>
              <w:t> </w:t>
            </w:r>
            <w:r>
              <w:rPr>
                <w:rFonts w:ascii="宋体" w:hAnsi="宋体" w:cs="宋体" w:eastAsia="宋体" w:hint="default"/>
                <w:sz w:val="20"/>
                <w:szCs w:val="20"/>
              </w:rPr>
              <w:t>袍金事项</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9"/>
                <w:szCs w:val="29"/>
              </w:rPr>
            </w:pPr>
          </w:p>
          <w:p>
            <w:pPr>
              <w:pStyle w:val="TableParagraph"/>
              <w:spacing w:line="260" w:lineRule="exact"/>
              <w:ind w:left="100" w:right="251"/>
              <w:jc w:val="left"/>
              <w:rPr>
                <w:rFonts w:ascii="宋体" w:hAnsi="宋体" w:cs="宋体" w:eastAsia="宋体" w:hint="default"/>
                <w:sz w:val="20"/>
                <w:szCs w:val="20"/>
              </w:rPr>
            </w:pPr>
            <w:r>
              <w:rPr>
                <w:rFonts w:ascii="宋体" w:hAnsi="宋体" w:cs="宋体" w:eastAsia="宋体" w:hint="default"/>
                <w:sz w:val="20"/>
                <w:szCs w:val="20"/>
              </w:rPr>
              <w:t>审议通过</w:t>
            </w:r>
            <w:r>
              <w:rPr>
                <w:rFonts w:ascii="宋体" w:hAnsi="宋体" w:cs="宋体" w:eastAsia="宋体" w:hint="default"/>
                <w:w w:val="100"/>
                <w:sz w:val="20"/>
                <w:szCs w:val="20"/>
              </w:rPr>
              <w:t> </w:t>
            </w:r>
            <w:r>
              <w:rPr>
                <w:rFonts w:ascii="宋体" w:hAnsi="宋体" w:cs="宋体" w:eastAsia="宋体" w:hint="default"/>
                <w:sz w:val="20"/>
                <w:szCs w:val="20"/>
              </w:rPr>
              <w:t>全部议案</w:t>
            </w:r>
          </w:p>
        </w:tc>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8"/>
                <w:szCs w:val="28"/>
              </w:rPr>
            </w:pPr>
          </w:p>
          <w:p>
            <w:pPr>
              <w:pStyle w:val="TableParagraph"/>
              <w:spacing w:line="252" w:lineRule="auto"/>
              <w:ind w:left="100" w:right="98"/>
              <w:jc w:val="left"/>
              <w:rPr>
                <w:rFonts w:ascii="Arial" w:hAnsi="Arial" w:cs="Arial" w:eastAsia="Arial" w:hint="default"/>
                <w:sz w:val="20"/>
                <w:szCs w:val="20"/>
              </w:rPr>
            </w:pPr>
            <w:hyperlink r:id="rId13">
              <w:r>
                <w:rPr>
                  <w:rFonts w:ascii="Arial" w:hAnsi="Arial" w:cs="Arial" w:eastAsia="Arial" w:hint="default"/>
                  <w:sz w:val="20"/>
                  <w:szCs w:val="20"/>
                </w:rPr>
                <w:t>www.sse.com.cn</w:t>
              </w:r>
            </w:hyperlink>
            <w:r>
              <w:rPr>
                <w:rFonts w:ascii="宋体" w:hAnsi="宋体" w:cs="宋体" w:eastAsia="宋体" w:hint="default"/>
                <w:sz w:val="20"/>
                <w:szCs w:val="20"/>
              </w:rPr>
              <w:t>；</w:t>
            </w:r>
            <w:r>
              <w:rPr>
                <w:rFonts w:ascii="宋体" w:hAnsi="宋体" w:cs="宋体" w:eastAsia="宋体" w:hint="default"/>
                <w:w w:val="100"/>
                <w:sz w:val="20"/>
                <w:szCs w:val="20"/>
              </w:rPr>
              <w:t> </w:t>
            </w:r>
            <w:hyperlink r:id="rId11">
              <w:r>
                <w:rPr>
                  <w:rFonts w:ascii="Arial" w:hAnsi="Arial" w:cs="Arial" w:eastAsia="Arial" w:hint="default"/>
                  <w:sz w:val="20"/>
                  <w:szCs w:val="20"/>
                </w:rPr>
                <w:t>www.chinaunicom-a.com</w:t>
              </w:r>
            </w:hyperlink>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7"/>
                <w:szCs w:val="27"/>
              </w:rPr>
            </w:pPr>
          </w:p>
          <w:p>
            <w:pPr>
              <w:pStyle w:val="TableParagraph"/>
              <w:spacing w:line="268" w:lineRule="exact"/>
              <w:ind w:left="99"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5</w:t>
            </w:r>
            <w:r>
              <w:rPr>
                <w:rFonts w:ascii="Arial" w:hAnsi="Arial" w:cs="Arial" w:eastAsia="Arial" w:hint="default"/>
                <w:spacing w:val="-5"/>
                <w:sz w:val="20"/>
                <w:szCs w:val="20"/>
              </w:rPr>
              <w:t> </w:t>
            </w:r>
            <w:r>
              <w:rPr>
                <w:rFonts w:ascii="宋体" w:hAnsi="宋体" w:cs="宋体" w:eastAsia="宋体" w:hint="default"/>
                <w:sz w:val="20"/>
                <w:szCs w:val="20"/>
              </w:rPr>
              <w:t>月</w:t>
            </w:r>
          </w:p>
          <w:p>
            <w:pPr>
              <w:pStyle w:val="TableParagraph"/>
              <w:spacing w:line="268" w:lineRule="exact"/>
              <w:ind w:left="99" w:right="0"/>
              <w:jc w:val="left"/>
              <w:rPr>
                <w:rFonts w:ascii="宋体" w:hAnsi="宋体" w:cs="宋体" w:eastAsia="宋体" w:hint="default"/>
                <w:sz w:val="20"/>
                <w:szCs w:val="20"/>
              </w:rPr>
            </w:pPr>
            <w:r>
              <w:rPr>
                <w:rFonts w:ascii="Arial" w:hAnsi="Arial" w:cs="Arial" w:eastAsia="Arial" w:hint="default"/>
                <w:sz w:val="20"/>
                <w:szCs w:val="20"/>
              </w:rPr>
              <w:t>30</w:t>
            </w:r>
            <w:r>
              <w:rPr>
                <w:rFonts w:ascii="Arial" w:hAnsi="Arial" w:cs="Arial" w:eastAsia="Arial" w:hint="default"/>
                <w:spacing w:val="-5"/>
                <w:sz w:val="20"/>
                <w:szCs w:val="20"/>
              </w:rPr>
              <w:t> </w:t>
            </w:r>
            <w:r>
              <w:rPr>
                <w:rFonts w:ascii="宋体" w:hAnsi="宋体" w:cs="宋体" w:eastAsia="宋体" w:hint="default"/>
                <w:sz w:val="20"/>
                <w:szCs w:val="20"/>
              </w:rPr>
              <w:t>日</w:t>
            </w:r>
          </w:p>
        </w:tc>
      </w:tr>
      <w:tr>
        <w:trPr>
          <w:trHeight w:val="2091" w:hRule="exact"/>
        </w:trPr>
        <w:tc>
          <w:tcPr>
            <w:tcW w:w="1100" w:type="dxa"/>
            <w:vMerge/>
            <w:tcBorders>
              <w:left w:val="single" w:sz="6" w:space="0" w:color="000000"/>
              <w:right w:val="single" w:sz="6" w:space="0" w:color="000000"/>
            </w:tcBorders>
          </w:tcPr>
          <w:p>
            <w:pPr/>
          </w:p>
        </w:tc>
        <w:tc>
          <w:tcPr>
            <w:tcW w:w="1033" w:type="dxa"/>
            <w:vMerge/>
            <w:tcBorders>
              <w:left w:val="single" w:sz="6" w:space="0" w:color="000000"/>
              <w:right w:val="single" w:sz="6" w:space="0" w:color="000000"/>
            </w:tcBorders>
          </w:tcPr>
          <w:p>
            <w:pP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both"/>
              <w:rPr>
                <w:rFonts w:ascii="宋体" w:hAnsi="宋体" w:cs="宋体" w:eastAsia="宋体" w:hint="default"/>
                <w:sz w:val="20"/>
                <w:szCs w:val="20"/>
              </w:rPr>
            </w:pPr>
            <w:r>
              <w:rPr>
                <w:rFonts w:ascii="宋体" w:hAnsi="宋体" w:cs="宋体" w:eastAsia="宋体" w:hint="default"/>
                <w:sz w:val="20"/>
                <w:szCs w:val="20"/>
              </w:rPr>
              <w:t>联通红筹公司股东</w:t>
            </w:r>
          </w:p>
          <w:p>
            <w:pPr>
              <w:pStyle w:val="TableParagraph"/>
              <w:spacing w:line="237" w:lineRule="auto" w:before="1"/>
              <w:ind w:left="100" w:right="164"/>
              <w:jc w:val="both"/>
              <w:rPr>
                <w:rFonts w:ascii="宋体" w:hAnsi="宋体" w:cs="宋体" w:eastAsia="宋体" w:hint="default"/>
                <w:sz w:val="20"/>
                <w:szCs w:val="20"/>
              </w:rPr>
            </w:pPr>
            <w:r>
              <w:rPr>
                <w:rFonts w:ascii="宋体" w:hAnsi="宋体" w:cs="宋体" w:eastAsia="宋体" w:hint="default"/>
                <w:sz w:val="20"/>
                <w:szCs w:val="20"/>
              </w:rPr>
              <w:t>大会授权其董事会</w:t>
            </w:r>
            <w:r>
              <w:rPr>
                <w:rFonts w:ascii="宋体" w:hAnsi="宋体" w:cs="宋体" w:eastAsia="宋体" w:hint="default"/>
                <w:w w:val="100"/>
                <w:sz w:val="20"/>
                <w:szCs w:val="20"/>
              </w:rPr>
              <w:t> </w:t>
            </w:r>
            <w:r>
              <w:rPr>
                <w:rFonts w:ascii="宋体" w:hAnsi="宋体" w:cs="宋体" w:eastAsia="宋体" w:hint="default"/>
                <w:sz w:val="20"/>
                <w:szCs w:val="20"/>
              </w:rPr>
              <w:t>在规定的期间内，</w:t>
            </w:r>
            <w:r>
              <w:rPr>
                <w:rFonts w:ascii="宋体" w:hAnsi="宋体" w:cs="宋体" w:eastAsia="宋体" w:hint="default"/>
                <w:w w:val="100"/>
                <w:sz w:val="20"/>
                <w:szCs w:val="20"/>
              </w:rPr>
              <w:t> </w:t>
            </w:r>
            <w:r>
              <w:rPr>
                <w:rFonts w:ascii="宋体" w:hAnsi="宋体" w:cs="宋体" w:eastAsia="宋体" w:hint="default"/>
                <w:sz w:val="20"/>
                <w:szCs w:val="20"/>
              </w:rPr>
              <w:t>在香港联合交易所</w:t>
            </w:r>
            <w:r>
              <w:rPr>
                <w:rFonts w:ascii="宋体" w:hAnsi="宋体" w:cs="宋体" w:eastAsia="宋体" w:hint="default"/>
                <w:w w:val="100"/>
                <w:sz w:val="20"/>
                <w:szCs w:val="20"/>
              </w:rPr>
              <w:t> </w:t>
            </w:r>
            <w:r>
              <w:rPr>
                <w:rFonts w:ascii="宋体" w:hAnsi="宋体" w:cs="宋体" w:eastAsia="宋体" w:hint="default"/>
                <w:sz w:val="20"/>
                <w:szCs w:val="20"/>
              </w:rPr>
              <w:t>及指定的其他证券</w:t>
            </w:r>
            <w:r>
              <w:rPr>
                <w:rFonts w:ascii="宋体" w:hAnsi="宋体" w:cs="宋体" w:eastAsia="宋体" w:hint="default"/>
                <w:w w:val="100"/>
                <w:sz w:val="20"/>
                <w:szCs w:val="20"/>
              </w:rPr>
              <w:t> </w:t>
            </w:r>
            <w:r>
              <w:rPr>
                <w:rFonts w:ascii="宋体" w:hAnsi="宋体" w:cs="宋体" w:eastAsia="宋体" w:hint="default"/>
                <w:sz w:val="20"/>
                <w:szCs w:val="20"/>
              </w:rPr>
              <w:t>交易所，按适用的</w:t>
            </w:r>
            <w:r>
              <w:rPr>
                <w:rFonts w:ascii="宋体" w:hAnsi="宋体" w:cs="宋体" w:eastAsia="宋体" w:hint="default"/>
                <w:w w:val="100"/>
                <w:sz w:val="20"/>
                <w:szCs w:val="20"/>
              </w:rPr>
              <w:t> </w:t>
            </w:r>
            <w:r>
              <w:rPr>
                <w:rFonts w:ascii="宋体" w:hAnsi="宋体" w:cs="宋体" w:eastAsia="宋体" w:hint="default"/>
                <w:sz w:val="20"/>
                <w:szCs w:val="20"/>
              </w:rPr>
              <w:t>法律购买公司股份</w:t>
            </w:r>
            <w:r>
              <w:rPr>
                <w:rFonts w:ascii="宋体" w:hAnsi="宋体" w:cs="宋体" w:eastAsia="宋体" w:hint="default"/>
                <w:w w:val="100"/>
                <w:sz w:val="20"/>
                <w:szCs w:val="20"/>
              </w:rPr>
              <w:t> </w:t>
            </w:r>
            <w:r>
              <w:rPr>
                <w:rFonts w:ascii="宋体" w:hAnsi="宋体" w:cs="宋体" w:eastAsia="宋体" w:hint="default"/>
                <w:sz w:val="20"/>
                <w:szCs w:val="20"/>
              </w:rPr>
              <w:t>事项</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60" w:lineRule="exact"/>
              <w:ind w:left="100" w:right="251"/>
              <w:jc w:val="left"/>
              <w:rPr>
                <w:rFonts w:ascii="宋体" w:hAnsi="宋体" w:cs="宋体" w:eastAsia="宋体" w:hint="default"/>
                <w:sz w:val="20"/>
                <w:szCs w:val="20"/>
              </w:rPr>
            </w:pPr>
            <w:r>
              <w:rPr>
                <w:rFonts w:ascii="宋体" w:hAnsi="宋体" w:cs="宋体" w:eastAsia="宋体" w:hint="default"/>
                <w:sz w:val="20"/>
                <w:szCs w:val="20"/>
              </w:rPr>
              <w:t>审议通过</w:t>
            </w:r>
            <w:r>
              <w:rPr>
                <w:rFonts w:ascii="宋体" w:hAnsi="宋体" w:cs="宋体" w:eastAsia="宋体" w:hint="default"/>
                <w:w w:val="100"/>
                <w:sz w:val="20"/>
                <w:szCs w:val="20"/>
              </w:rPr>
              <w:t> </w:t>
            </w:r>
            <w:r>
              <w:rPr>
                <w:rFonts w:ascii="宋体" w:hAnsi="宋体" w:cs="宋体" w:eastAsia="宋体" w:hint="default"/>
                <w:sz w:val="20"/>
                <w:szCs w:val="20"/>
              </w:rPr>
              <w:t>全部议案</w:t>
            </w:r>
          </w:p>
        </w:tc>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52" w:lineRule="auto"/>
              <w:ind w:left="100" w:right="98"/>
              <w:jc w:val="left"/>
              <w:rPr>
                <w:rFonts w:ascii="Arial" w:hAnsi="Arial" w:cs="Arial" w:eastAsia="Arial" w:hint="default"/>
                <w:sz w:val="20"/>
                <w:szCs w:val="20"/>
              </w:rPr>
            </w:pPr>
            <w:hyperlink r:id="rId13">
              <w:r>
                <w:rPr>
                  <w:rFonts w:ascii="Arial" w:hAnsi="Arial" w:cs="Arial" w:eastAsia="Arial" w:hint="default"/>
                  <w:sz w:val="20"/>
                  <w:szCs w:val="20"/>
                </w:rPr>
                <w:t>www.sse.com.cn</w:t>
              </w:r>
            </w:hyperlink>
            <w:r>
              <w:rPr>
                <w:rFonts w:ascii="宋体" w:hAnsi="宋体" w:cs="宋体" w:eastAsia="宋体" w:hint="default"/>
                <w:sz w:val="20"/>
                <w:szCs w:val="20"/>
              </w:rPr>
              <w:t>；</w:t>
            </w:r>
            <w:r>
              <w:rPr>
                <w:rFonts w:ascii="宋体" w:hAnsi="宋体" w:cs="宋体" w:eastAsia="宋体" w:hint="default"/>
                <w:w w:val="100"/>
                <w:sz w:val="20"/>
                <w:szCs w:val="20"/>
              </w:rPr>
              <w:t> </w:t>
            </w:r>
            <w:hyperlink r:id="rId11">
              <w:r>
                <w:rPr>
                  <w:rFonts w:ascii="Arial" w:hAnsi="Arial" w:cs="Arial" w:eastAsia="Arial" w:hint="default"/>
                  <w:sz w:val="20"/>
                  <w:szCs w:val="20"/>
                </w:rPr>
                <w:t>www.chinaunicom-a.com</w:t>
              </w:r>
            </w:hyperlink>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7"/>
                <w:szCs w:val="17"/>
              </w:rPr>
            </w:pPr>
          </w:p>
          <w:p>
            <w:pPr>
              <w:pStyle w:val="TableParagraph"/>
              <w:spacing w:line="268" w:lineRule="exact"/>
              <w:ind w:left="99"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5</w:t>
            </w:r>
            <w:r>
              <w:rPr>
                <w:rFonts w:ascii="Arial" w:hAnsi="Arial" w:cs="Arial" w:eastAsia="Arial" w:hint="default"/>
                <w:spacing w:val="-5"/>
                <w:sz w:val="20"/>
                <w:szCs w:val="20"/>
              </w:rPr>
              <w:t> </w:t>
            </w:r>
            <w:r>
              <w:rPr>
                <w:rFonts w:ascii="宋体" w:hAnsi="宋体" w:cs="宋体" w:eastAsia="宋体" w:hint="default"/>
                <w:sz w:val="20"/>
                <w:szCs w:val="20"/>
              </w:rPr>
              <w:t>月</w:t>
            </w:r>
          </w:p>
          <w:p>
            <w:pPr>
              <w:pStyle w:val="TableParagraph"/>
              <w:spacing w:line="268" w:lineRule="exact"/>
              <w:ind w:left="99" w:right="0"/>
              <w:jc w:val="left"/>
              <w:rPr>
                <w:rFonts w:ascii="宋体" w:hAnsi="宋体" w:cs="宋体" w:eastAsia="宋体" w:hint="default"/>
                <w:sz w:val="20"/>
                <w:szCs w:val="20"/>
              </w:rPr>
            </w:pPr>
            <w:r>
              <w:rPr>
                <w:rFonts w:ascii="Arial" w:hAnsi="Arial" w:cs="Arial" w:eastAsia="Arial" w:hint="default"/>
                <w:sz w:val="20"/>
                <w:szCs w:val="20"/>
              </w:rPr>
              <w:t>30</w:t>
            </w:r>
            <w:r>
              <w:rPr>
                <w:rFonts w:ascii="Arial" w:hAnsi="Arial" w:cs="Arial" w:eastAsia="Arial" w:hint="default"/>
                <w:spacing w:val="-5"/>
                <w:sz w:val="20"/>
                <w:szCs w:val="20"/>
              </w:rPr>
              <w:t> </w:t>
            </w:r>
            <w:r>
              <w:rPr>
                <w:rFonts w:ascii="宋体" w:hAnsi="宋体" w:cs="宋体" w:eastAsia="宋体" w:hint="default"/>
                <w:sz w:val="20"/>
                <w:szCs w:val="20"/>
              </w:rPr>
              <w:t>日</w:t>
            </w:r>
          </w:p>
        </w:tc>
      </w:tr>
      <w:tr>
        <w:trPr>
          <w:trHeight w:val="1313" w:hRule="exact"/>
        </w:trPr>
        <w:tc>
          <w:tcPr>
            <w:tcW w:w="1100" w:type="dxa"/>
            <w:vMerge/>
            <w:tcBorders>
              <w:left w:val="single" w:sz="6" w:space="0" w:color="000000"/>
              <w:bottom w:val="single" w:sz="6" w:space="0" w:color="000000"/>
              <w:right w:val="single" w:sz="6" w:space="0" w:color="000000"/>
            </w:tcBorders>
          </w:tcPr>
          <w:p>
            <w:pPr/>
          </w:p>
        </w:tc>
        <w:tc>
          <w:tcPr>
            <w:tcW w:w="1033" w:type="dxa"/>
            <w:vMerge/>
            <w:tcBorders>
              <w:left w:val="single" w:sz="6" w:space="0" w:color="000000"/>
              <w:bottom w:val="single" w:sz="6" w:space="0" w:color="000000"/>
              <w:right w:val="single" w:sz="6" w:space="0" w:color="000000"/>
            </w:tcBorders>
          </w:tcPr>
          <w:p>
            <w:pP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both"/>
              <w:rPr>
                <w:rFonts w:ascii="宋体" w:hAnsi="宋体" w:cs="宋体" w:eastAsia="宋体" w:hint="default"/>
                <w:sz w:val="20"/>
                <w:szCs w:val="20"/>
              </w:rPr>
            </w:pPr>
            <w:r>
              <w:rPr>
                <w:rFonts w:ascii="宋体" w:hAnsi="宋体" w:cs="宋体" w:eastAsia="宋体" w:hint="default"/>
                <w:sz w:val="20"/>
                <w:szCs w:val="20"/>
              </w:rPr>
              <w:t>联通红筹公司股东</w:t>
            </w:r>
          </w:p>
          <w:p>
            <w:pPr>
              <w:pStyle w:val="TableParagraph"/>
              <w:spacing w:line="260" w:lineRule="exact" w:before="24"/>
              <w:ind w:left="100" w:right="164"/>
              <w:jc w:val="both"/>
              <w:rPr>
                <w:rFonts w:ascii="宋体" w:hAnsi="宋体" w:cs="宋体" w:eastAsia="宋体" w:hint="default"/>
                <w:sz w:val="20"/>
                <w:szCs w:val="20"/>
              </w:rPr>
            </w:pPr>
            <w:r>
              <w:rPr>
                <w:rFonts w:ascii="宋体" w:hAnsi="宋体" w:cs="宋体" w:eastAsia="宋体" w:hint="default"/>
                <w:sz w:val="20"/>
                <w:szCs w:val="20"/>
              </w:rPr>
              <w:t>大会按惯例授权其</w:t>
            </w:r>
            <w:r>
              <w:rPr>
                <w:rFonts w:ascii="宋体" w:hAnsi="宋体" w:cs="宋体" w:eastAsia="宋体" w:hint="default"/>
                <w:w w:val="100"/>
                <w:sz w:val="20"/>
                <w:szCs w:val="20"/>
              </w:rPr>
              <w:t> </w:t>
            </w:r>
            <w:r>
              <w:rPr>
                <w:rFonts w:ascii="宋体" w:hAnsi="宋体" w:cs="宋体" w:eastAsia="宋体" w:hint="default"/>
                <w:sz w:val="20"/>
                <w:szCs w:val="20"/>
              </w:rPr>
              <w:t>董事会在规定的范</w:t>
            </w:r>
            <w:r>
              <w:rPr>
                <w:rFonts w:ascii="宋体" w:hAnsi="宋体" w:cs="宋体" w:eastAsia="宋体" w:hint="default"/>
                <w:w w:val="100"/>
                <w:sz w:val="20"/>
                <w:szCs w:val="20"/>
              </w:rPr>
              <w:t> </w:t>
            </w:r>
            <w:r>
              <w:rPr>
                <w:rFonts w:ascii="宋体" w:hAnsi="宋体" w:cs="宋体" w:eastAsia="宋体" w:hint="default"/>
                <w:sz w:val="20"/>
                <w:szCs w:val="20"/>
              </w:rPr>
              <w:t>围内决定股份发行</w:t>
            </w:r>
            <w:r>
              <w:rPr>
                <w:rFonts w:ascii="宋体" w:hAnsi="宋体" w:cs="宋体" w:eastAsia="宋体" w:hint="default"/>
                <w:w w:val="100"/>
                <w:sz w:val="20"/>
                <w:szCs w:val="20"/>
              </w:rPr>
              <w:t> </w:t>
            </w:r>
            <w:r>
              <w:rPr>
                <w:rFonts w:ascii="宋体" w:hAnsi="宋体" w:cs="宋体" w:eastAsia="宋体" w:hint="default"/>
                <w:sz w:val="20"/>
                <w:szCs w:val="20"/>
              </w:rPr>
              <w:t>计划事项</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9"/>
                <w:szCs w:val="29"/>
              </w:rPr>
            </w:pPr>
          </w:p>
          <w:p>
            <w:pPr>
              <w:pStyle w:val="TableParagraph"/>
              <w:spacing w:line="260" w:lineRule="exact"/>
              <w:ind w:left="100" w:right="251"/>
              <w:jc w:val="left"/>
              <w:rPr>
                <w:rFonts w:ascii="宋体" w:hAnsi="宋体" w:cs="宋体" w:eastAsia="宋体" w:hint="default"/>
                <w:sz w:val="20"/>
                <w:szCs w:val="20"/>
              </w:rPr>
            </w:pPr>
            <w:r>
              <w:rPr>
                <w:rFonts w:ascii="宋体" w:hAnsi="宋体" w:cs="宋体" w:eastAsia="宋体" w:hint="default"/>
                <w:sz w:val="20"/>
                <w:szCs w:val="20"/>
              </w:rPr>
              <w:t>审议通过</w:t>
            </w:r>
            <w:r>
              <w:rPr>
                <w:rFonts w:ascii="宋体" w:hAnsi="宋体" w:cs="宋体" w:eastAsia="宋体" w:hint="default"/>
                <w:w w:val="100"/>
                <w:sz w:val="20"/>
                <w:szCs w:val="20"/>
              </w:rPr>
              <w:t> </w:t>
            </w:r>
            <w:r>
              <w:rPr>
                <w:rFonts w:ascii="宋体" w:hAnsi="宋体" w:cs="宋体" w:eastAsia="宋体" w:hint="default"/>
                <w:sz w:val="20"/>
                <w:szCs w:val="20"/>
              </w:rPr>
              <w:t>全部议案</w:t>
            </w:r>
          </w:p>
        </w:tc>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8"/>
                <w:szCs w:val="28"/>
              </w:rPr>
            </w:pPr>
          </w:p>
          <w:p>
            <w:pPr>
              <w:pStyle w:val="TableParagraph"/>
              <w:spacing w:line="252" w:lineRule="auto"/>
              <w:ind w:left="100" w:right="98"/>
              <w:jc w:val="left"/>
              <w:rPr>
                <w:rFonts w:ascii="Arial" w:hAnsi="Arial" w:cs="Arial" w:eastAsia="Arial" w:hint="default"/>
                <w:sz w:val="20"/>
                <w:szCs w:val="20"/>
              </w:rPr>
            </w:pPr>
            <w:hyperlink r:id="rId13">
              <w:r>
                <w:rPr>
                  <w:rFonts w:ascii="Arial" w:hAnsi="Arial" w:cs="Arial" w:eastAsia="Arial" w:hint="default"/>
                  <w:sz w:val="20"/>
                  <w:szCs w:val="20"/>
                </w:rPr>
                <w:t>www.sse.com.cn</w:t>
              </w:r>
            </w:hyperlink>
            <w:r>
              <w:rPr>
                <w:rFonts w:ascii="宋体" w:hAnsi="宋体" w:cs="宋体" w:eastAsia="宋体" w:hint="default"/>
                <w:sz w:val="20"/>
                <w:szCs w:val="20"/>
              </w:rPr>
              <w:t>；</w:t>
            </w:r>
            <w:r>
              <w:rPr>
                <w:rFonts w:ascii="宋体" w:hAnsi="宋体" w:cs="宋体" w:eastAsia="宋体" w:hint="default"/>
                <w:w w:val="100"/>
                <w:sz w:val="20"/>
                <w:szCs w:val="20"/>
              </w:rPr>
              <w:t> </w:t>
            </w:r>
            <w:hyperlink r:id="rId11">
              <w:r>
                <w:rPr>
                  <w:rFonts w:ascii="Arial" w:hAnsi="Arial" w:cs="Arial" w:eastAsia="Arial" w:hint="default"/>
                  <w:sz w:val="20"/>
                  <w:szCs w:val="20"/>
                </w:rPr>
                <w:t>www.chinaunicom-a.com</w:t>
              </w:r>
            </w:hyperlink>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68" w:lineRule="exact"/>
              <w:ind w:left="99"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5</w:t>
            </w:r>
            <w:r>
              <w:rPr>
                <w:rFonts w:ascii="Arial" w:hAnsi="Arial" w:cs="Arial" w:eastAsia="Arial" w:hint="default"/>
                <w:spacing w:val="-5"/>
                <w:sz w:val="20"/>
                <w:szCs w:val="20"/>
              </w:rPr>
              <w:t> </w:t>
            </w:r>
            <w:r>
              <w:rPr>
                <w:rFonts w:ascii="宋体" w:hAnsi="宋体" w:cs="宋体" w:eastAsia="宋体" w:hint="default"/>
                <w:sz w:val="20"/>
                <w:szCs w:val="20"/>
              </w:rPr>
              <w:t>月</w:t>
            </w:r>
          </w:p>
          <w:p>
            <w:pPr>
              <w:pStyle w:val="TableParagraph"/>
              <w:spacing w:line="268" w:lineRule="exact"/>
              <w:ind w:left="99" w:right="0"/>
              <w:jc w:val="left"/>
              <w:rPr>
                <w:rFonts w:ascii="宋体" w:hAnsi="宋体" w:cs="宋体" w:eastAsia="宋体" w:hint="default"/>
                <w:sz w:val="20"/>
                <w:szCs w:val="20"/>
              </w:rPr>
            </w:pPr>
            <w:r>
              <w:rPr>
                <w:rFonts w:ascii="Arial" w:hAnsi="Arial" w:cs="Arial" w:eastAsia="Arial" w:hint="default"/>
                <w:sz w:val="20"/>
                <w:szCs w:val="20"/>
              </w:rPr>
              <w:t>30</w:t>
            </w:r>
            <w:r>
              <w:rPr>
                <w:rFonts w:ascii="Arial" w:hAnsi="Arial" w:cs="Arial" w:eastAsia="Arial" w:hint="default"/>
                <w:spacing w:val="-5"/>
                <w:sz w:val="20"/>
                <w:szCs w:val="20"/>
              </w:rPr>
              <w:t> </w:t>
            </w:r>
            <w:r>
              <w:rPr>
                <w:rFonts w:ascii="宋体" w:hAnsi="宋体" w:cs="宋体" w:eastAsia="宋体" w:hint="default"/>
                <w:sz w:val="20"/>
                <w:szCs w:val="20"/>
              </w:rPr>
              <w:t>日</w:t>
            </w:r>
          </w:p>
        </w:tc>
      </w:tr>
    </w:tbl>
    <w:p>
      <w:pPr>
        <w:spacing w:after="0" w:line="268" w:lineRule="exact"/>
        <w:jc w:val="left"/>
        <w:rPr>
          <w:rFonts w:ascii="宋体" w:hAnsi="宋体" w:cs="宋体" w:eastAsia="宋体" w:hint="default"/>
          <w:sz w:val="20"/>
          <w:szCs w:val="20"/>
        </w:rPr>
        <w:sectPr>
          <w:pgSz w:w="11910" w:h="16840"/>
          <w:pgMar w:header="567" w:footer="745" w:top="800" w:bottom="940" w:left="1380" w:right="7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1"/>
          <w:szCs w:val="11"/>
        </w:rPr>
      </w:pPr>
    </w:p>
    <w:tbl>
      <w:tblPr>
        <w:tblW w:w="0" w:type="auto"/>
        <w:jc w:val="left"/>
        <w:tblInd w:w="814" w:type="dxa"/>
        <w:tblLayout w:type="fixed"/>
        <w:tblCellMar>
          <w:top w:w="0" w:type="dxa"/>
          <w:left w:w="0" w:type="dxa"/>
          <w:bottom w:w="0" w:type="dxa"/>
          <w:right w:w="0" w:type="dxa"/>
        </w:tblCellMar>
        <w:tblLook w:val="01E0"/>
      </w:tblPr>
      <w:tblGrid>
        <w:gridCol w:w="1097"/>
        <w:gridCol w:w="1036"/>
        <w:gridCol w:w="1687"/>
        <w:gridCol w:w="1167"/>
        <w:gridCol w:w="2440"/>
        <w:gridCol w:w="1444"/>
      </w:tblGrid>
      <w:tr>
        <w:trPr>
          <w:trHeight w:val="1052" w:hRule="exact"/>
        </w:trPr>
        <w:tc>
          <w:tcPr>
            <w:tcW w:w="109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32" w:lineRule="auto"/>
              <w:ind w:left="100" w:right="98"/>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20"/>
                <w:sz w:val="20"/>
                <w:szCs w:val="20"/>
              </w:rPr>
              <w:t> </w:t>
            </w:r>
            <w:r>
              <w:rPr>
                <w:rFonts w:ascii="宋体" w:hAnsi="宋体" w:cs="宋体" w:eastAsia="宋体" w:hint="default"/>
                <w:sz w:val="20"/>
                <w:szCs w:val="20"/>
              </w:rPr>
              <w:t>年度</w:t>
            </w:r>
            <w:r>
              <w:rPr>
                <w:rFonts w:ascii="宋体" w:hAnsi="宋体" w:cs="宋体" w:eastAsia="宋体" w:hint="default"/>
                <w:w w:val="100"/>
                <w:sz w:val="20"/>
                <w:szCs w:val="20"/>
              </w:rPr>
              <w:t> </w:t>
            </w:r>
            <w:r>
              <w:rPr>
                <w:rFonts w:ascii="宋体" w:hAnsi="宋体" w:cs="宋体" w:eastAsia="宋体" w:hint="default"/>
                <w:sz w:val="20"/>
                <w:szCs w:val="20"/>
              </w:rPr>
              <w:t>第一次临</w:t>
            </w:r>
            <w:r>
              <w:rPr>
                <w:rFonts w:ascii="宋体" w:hAnsi="宋体" w:cs="宋体" w:eastAsia="宋体" w:hint="default"/>
                <w:w w:val="100"/>
                <w:sz w:val="20"/>
                <w:szCs w:val="20"/>
              </w:rPr>
              <w:t> </w:t>
            </w:r>
            <w:r>
              <w:rPr>
                <w:rFonts w:ascii="宋体" w:hAnsi="宋体" w:cs="宋体" w:eastAsia="宋体" w:hint="default"/>
                <w:sz w:val="20"/>
                <w:szCs w:val="20"/>
              </w:rPr>
              <w:t>时股东大</w:t>
            </w:r>
            <w:r>
              <w:rPr>
                <w:rFonts w:ascii="宋体" w:hAnsi="宋体" w:cs="宋体" w:eastAsia="宋体" w:hint="default"/>
                <w:w w:val="100"/>
                <w:sz w:val="20"/>
                <w:szCs w:val="20"/>
              </w:rPr>
              <w:t> </w:t>
            </w:r>
            <w:r>
              <w:rPr>
                <w:rFonts w:ascii="宋体" w:hAnsi="宋体" w:cs="宋体" w:eastAsia="宋体" w:hint="default"/>
                <w:sz w:val="20"/>
                <w:szCs w:val="20"/>
              </w:rPr>
              <w:t>会</w:t>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8" w:lineRule="exact" w:before="138"/>
              <w:ind w:left="44"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p>
          <w:p>
            <w:pPr>
              <w:pStyle w:val="TableParagraph"/>
              <w:spacing w:line="259" w:lineRule="exact"/>
              <w:ind w:left="44" w:right="0"/>
              <w:jc w:val="left"/>
              <w:rPr>
                <w:rFonts w:ascii="Arial" w:hAnsi="Arial" w:cs="Arial" w:eastAsia="Arial" w:hint="default"/>
                <w:sz w:val="20"/>
                <w:szCs w:val="20"/>
              </w:rPr>
            </w:pPr>
            <w:r>
              <w:rPr>
                <w:rFonts w:ascii="Arial" w:hAnsi="Arial" w:cs="Arial" w:eastAsia="Arial" w:hint="default"/>
                <w:sz w:val="20"/>
                <w:szCs w:val="20"/>
              </w:rPr>
              <w:t>12 </w:t>
            </w:r>
            <w:r>
              <w:rPr>
                <w:rFonts w:ascii="宋体" w:hAnsi="宋体" w:cs="宋体" w:eastAsia="宋体" w:hint="default"/>
                <w:sz w:val="20"/>
                <w:szCs w:val="20"/>
              </w:rPr>
              <w:t>月</w:t>
            </w:r>
            <w:r>
              <w:rPr>
                <w:rFonts w:ascii="宋体" w:hAnsi="宋体" w:cs="宋体" w:eastAsia="宋体" w:hint="default"/>
                <w:spacing w:val="-56"/>
                <w:sz w:val="20"/>
                <w:szCs w:val="20"/>
              </w:rPr>
              <w:t> </w:t>
            </w:r>
            <w:r>
              <w:rPr>
                <w:rFonts w:ascii="Arial" w:hAnsi="Arial" w:cs="Arial" w:eastAsia="Arial" w:hint="default"/>
                <w:sz w:val="20"/>
                <w:szCs w:val="20"/>
              </w:rPr>
              <w:t>21</w:t>
            </w:r>
          </w:p>
          <w:p>
            <w:pPr>
              <w:pStyle w:val="TableParagraph"/>
              <w:spacing w:line="253" w:lineRule="exact"/>
              <w:ind w:left="44"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100" w:right="0"/>
              <w:jc w:val="both"/>
              <w:rPr>
                <w:rFonts w:ascii="宋体" w:hAnsi="宋体" w:cs="宋体" w:eastAsia="宋体" w:hint="default"/>
                <w:sz w:val="20"/>
                <w:szCs w:val="20"/>
              </w:rPr>
            </w:pPr>
            <w:r>
              <w:rPr>
                <w:rFonts w:ascii="宋体" w:hAnsi="宋体" w:cs="宋体" w:eastAsia="宋体" w:hint="default"/>
                <w:sz w:val="20"/>
                <w:szCs w:val="20"/>
              </w:rPr>
              <w:t>关于选举常小兵</w:t>
            </w:r>
          </w:p>
          <w:p>
            <w:pPr>
              <w:pStyle w:val="TableParagraph"/>
              <w:spacing w:line="260" w:lineRule="exact" w:before="25"/>
              <w:ind w:left="100" w:right="169"/>
              <w:jc w:val="both"/>
              <w:rPr>
                <w:rFonts w:ascii="宋体" w:hAnsi="宋体" w:cs="宋体" w:eastAsia="宋体" w:hint="default"/>
                <w:sz w:val="20"/>
                <w:szCs w:val="20"/>
              </w:rPr>
            </w:pPr>
            <w:r>
              <w:rPr>
                <w:rFonts w:ascii="宋体" w:hAnsi="宋体" w:cs="宋体" w:eastAsia="宋体" w:hint="default"/>
                <w:sz w:val="20"/>
                <w:szCs w:val="20"/>
              </w:rPr>
              <w:t>先生为第四届董</w:t>
            </w:r>
            <w:r>
              <w:rPr>
                <w:rFonts w:ascii="宋体" w:hAnsi="宋体" w:cs="宋体" w:eastAsia="宋体" w:hint="default"/>
                <w:w w:val="100"/>
                <w:sz w:val="20"/>
                <w:szCs w:val="20"/>
              </w:rPr>
              <w:t> </w:t>
            </w:r>
            <w:r>
              <w:rPr>
                <w:rFonts w:ascii="宋体" w:hAnsi="宋体" w:cs="宋体" w:eastAsia="宋体" w:hint="default"/>
                <w:sz w:val="20"/>
                <w:szCs w:val="20"/>
              </w:rPr>
              <w:t>事会董事候选人</w:t>
            </w:r>
            <w:r>
              <w:rPr>
                <w:rFonts w:ascii="宋体" w:hAnsi="宋体" w:cs="宋体" w:eastAsia="宋体" w:hint="default"/>
                <w:w w:val="100"/>
                <w:sz w:val="20"/>
                <w:szCs w:val="20"/>
              </w:rPr>
              <w:t> </w:t>
            </w:r>
            <w:r>
              <w:rPr>
                <w:rFonts w:ascii="宋体" w:hAnsi="宋体" w:cs="宋体" w:eastAsia="宋体" w:hint="default"/>
                <w:sz w:val="20"/>
                <w:szCs w:val="20"/>
              </w:rPr>
              <w:t>的议案</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60" w:lineRule="exact"/>
              <w:ind w:left="100" w:right="249"/>
              <w:jc w:val="left"/>
              <w:rPr>
                <w:rFonts w:ascii="宋体" w:hAnsi="宋体" w:cs="宋体" w:eastAsia="宋体" w:hint="default"/>
                <w:sz w:val="20"/>
                <w:szCs w:val="20"/>
              </w:rPr>
            </w:pPr>
            <w:r>
              <w:rPr>
                <w:rFonts w:ascii="宋体" w:hAnsi="宋体" w:cs="宋体" w:eastAsia="宋体" w:hint="default"/>
                <w:sz w:val="20"/>
                <w:szCs w:val="20"/>
              </w:rPr>
              <w:t>审议通过</w:t>
            </w:r>
            <w:r>
              <w:rPr>
                <w:rFonts w:ascii="宋体" w:hAnsi="宋体" w:cs="宋体" w:eastAsia="宋体" w:hint="default"/>
                <w:w w:val="100"/>
                <w:sz w:val="20"/>
                <w:szCs w:val="20"/>
              </w:rPr>
              <w:t> </w:t>
            </w:r>
            <w:r>
              <w:rPr>
                <w:rFonts w:ascii="宋体" w:hAnsi="宋体" w:cs="宋体" w:eastAsia="宋体" w:hint="default"/>
                <w:sz w:val="20"/>
                <w:szCs w:val="20"/>
              </w:rPr>
              <w:t>全部议案</w:t>
            </w:r>
          </w:p>
        </w:tc>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52" w:lineRule="auto"/>
              <w:ind w:left="100" w:right="98"/>
              <w:jc w:val="left"/>
              <w:rPr>
                <w:rFonts w:ascii="Arial" w:hAnsi="Arial" w:cs="Arial" w:eastAsia="Arial" w:hint="default"/>
                <w:sz w:val="20"/>
                <w:szCs w:val="20"/>
              </w:rPr>
            </w:pPr>
            <w:hyperlink r:id="rId13">
              <w:r>
                <w:rPr>
                  <w:rFonts w:ascii="Arial" w:hAnsi="Arial" w:cs="Arial" w:eastAsia="Arial" w:hint="default"/>
                  <w:sz w:val="20"/>
                  <w:szCs w:val="20"/>
                </w:rPr>
                <w:t>www.sse.com.cn</w:t>
              </w:r>
            </w:hyperlink>
            <w:r>
              <w:rPr>
                <w:rFonts w:ascii="宋体" w:hAnsi="宋体" w:cs="宋体" w:eastAsia="宋体" w:hint="default"/>
                <w:sz w:val="20"/>
                <w:szCs w:val="20"/>
              </w:rPr>
              <w:t>；</w:t>
            </w:r>
            <w:r>
              <w:rPr>
                <w:rFonts w:ascii="宋体" w:hAnsi="宋体" w:cs="宋体" w:eastAsia="宋体" w:hint="default"/>
                <w:w w:val="100"/>
                <w:sz w:val="20"/>
                <w:szCs w:val="20"/>
              </w:rPr>
              <w:t> </w:t>
            </w:r>
            <w:hyperlink r:id="rId11">
              <w:r>
                <w:rPr>
                  <w:rFonts w:ascii="Arial" w:hAnsi="Arial" w:cs="Arial" w:eastAsia="Arial" w:hint="default"/>
                  <w:sz w:val="20"/>
                  <w:szCs w:val="20"/>
                </w:rPr>
                <w:t>www.chinaunicom-a.com</w:t>
              </w:r>
            </w:hyperlink>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68" w:lineRule="exact"/>
              <w:ind w:left="100"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12</w:t>
            </w:r>
            <w:r>
              <w:rPr>
                <w:rFonts w:ascii="Arial" w:hAnsi="Arial" w:cs="Arial" w:eastAsia="Arial" w:hint="default"/>
                <w:spacing w:val="-7"/>
                <w:sz w:val="20"/>
                <w:szCs w:val="20"/>
              </w:rPr>
              <w:t> </w:t>
            </w:r>
            <w:r>
              <w:rPr>
                <w:rFonts w:ascii="宋体" w:hAnsi="宋体" w:cs="宋体" w:eastAsia="宋体" w:hint="default"/>
                <w:sz w:val="20"/>
                <w:szCs w:val="20"/>
              </w:rPr>
              <w:t>月</w:t>
            </w:r>
          </w:p>
          <w:p>
            <w:pPr>
              <w:pStyle w:val="TableParagraph"/>
              <w:spacing w:line="268" w:lineRule="exact"/>
              <w:ind w:left="100" w:right="0"/>
              <w:jc w:val="left"/>
              <w:rPr>
                <w:rFonts w:ascii="宋体" w:hAnsi="宋体" w:cs="宋体" w:eastAsia="宋体" w:hint="default"/>
                <w:sz w:val="20"/>
                <w:szCs w:val="20"/>
              </w:rPr>
            </w:pPr>
            <w:r>
              <w:rPr>
                <w:rFonts w:ascii="Arial" w:hAnsi="Arial" w:cs="Arial" w:eastAsia="Arial" w:hint="default"/>
                <w:sz w:val="20"/>
                <w:szCs w:val="20"/>
              </w:rPr>
              <w:t>22</w:t>
            </w:r>
            <w:r>
              <w:rPr>
                <w:rFonts w:ascii="Arial" w:hAnsi="Arial" w:cs="Arial" w:eastAsia="Arial" w:hint="default"/>
                <w:spacing w:val="-5"/>
                <w:sz w:val="20"/>
                <w:szCs w:val="20"/>
              </w:rPr>
              <w:t> </w:t>
            </w:r>
            <w:r>
              <w:rPr>
                <w:rFonts w:ascii="宋体" w:hAnsi="宋体" w:cs="宋体" w:eastAsia="宋体" w:hint="default"/>
                <w:sz w:val="20"/>
                <w:szCs w:val="20"/>
              </w:rPr>
              <w:t>日</w:t>
            </w:r>
          </w:p>
        </w:tc>
      </w:tr>
      <w:tr>
        <w:trPr>
          <w:trHeight w:val="1052" w:hRule="exact"/>
        </w:trPr>
        <w:tc>
          <w:tcPr>
            <w:tcW w:w="1097" w:type="dxa"/>
            <w:vMerge/>
            <w:tcBorders>
              <w:left w:val="single" w:sz="6" w:space="0" w:color="000000"/>
              <w:right w:val="single" w:sz="6" w:space="0" w:color="000000"/>
            </w:tcBorders>
          </w:tcPr>
          <w:p>
            <w:pPr/>
          </w:p>
        </w:tc>
        <w:tc>
          <w:tcPr>
            <w:tcW w:w="1036" w:type="dxa"/>
            <w:vMerge/>
            <w:tcBorders>
              <w:left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both"/>
              <w:rPr>
                <w:rFonts w:ascii="宋体" w:hAnsi="宋体" w:cs="宋体" w:eastAsia="宋体" w:hint="default"/>
                <w:sz w:val="20"/>
                <w:szCs w:val="20"/>
              </w:rPr>
            </w:pPr>
            <w:r>
              <w:rPr>
                <w:rFonts w:ascii="宋体" w:hAnsi="宋体" w:cs="宋体" w:eastAsia="宋体" w:hint="default"/>
                <w:sz w:val="20"/>
                <w:szCs w:val="20"/>
              </w:rPr>
              <w:t>关于选举陆益民</w:t>
            </w:r>
          </w:p>
          <w:p>
            <w:pPr>
              <w:pStyle w:val="TableParagraph"/>
              <w:spacing w:line="260" w:lineRule="exact" w:before="24"/>
              <w:ind w:left="100" w:right="169"/>
              <w:jc w:val="both"/>
              <w:rPr>
                <w:rFonts w:ascii="宋体" w:hAnsi="宋体" w:cs="宋体" w:eastAsia="宋体" w:hint="default"/>
                <w:sz w:val="20"/>
                <w:szCs w:val="20"/>
              </w:rPr>
            </w:pPr>
            <w:r>
              <w:rPr>
                <w:rFonts w:ascii="宋体" w:hAnsi="宋体" w:cs="宋体" w:eastAsia="宋体" w:hint="default"/>
                <w:sz w:val="20"/>
                <w:szCs w:val="20"/>
              </w:rPr>
              <w:t>先生为第四届董</w:t>
            </w:r>
            <w:r>
              <w:rPr>
                <w:rFonts w:ascii="宋体" w:hAnsi="宋体" w:cs="宋体" w:eastAsia="宋体" w:hint="default"/>
                <w:w w:val="100"/>
                <w:sz w:val="20"/>
                <w:szCs w:val="20"/>
              </w:rPr>
              <w:t> </w:t>
            </w:r>
            <w:r>
              <w:rPr>
                <w:rFonts w:ascii="宋体" w:hAnsi="宋体" w:cs="宋体" w:eastAsia="宋体" w:hint="default"/>
                <w:sz w:val="20"/>
                <w:szCs w:val="20"/>
              </w:rPr>
              <w:t>事会董事候选人</w:t>
            </w:r>
            <w:r>
              <w:rPr>
                <w:rFonts w:ascii="宋体" w:hAnsi="宋体" w:cs="宋体" w:eastAsia="宋体" w:hint="default"/>
                <w:w w:val="100"/>
                <w:sz w:val="20"/>
                <w:szCs w:val="20"/>
              </w:rPr>
              <w:t> </w:t>
            </w:r>
            <w:r>
              <w:rPr>
                <w:rFonts w:ascii="宋体" w:hAnsi="宋体" w:cs="宋体" w:eastAsia="宋体" w:hint="default"/>
                <w:sz w:val="20"/>
                <w:szCs w:val="20"/>
              </w:rPr>
              <w:t>的议案</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60" w:lineRule="exact"/>
              <w:ind w:left="100" w:right="249"/>
              <w:jc w:val="left"/>
              <w:rPr>
                <w:rFonts w:ascii="宋体" w:hAnsi="宋体" w:cs="宋体" w:eastAsia="宋体" w:hint="default"/>
                <w:sz w:val="20"/>
                <w:szCs w:val="20"/>
              </w:rPr>
            </w:pPr>
            <w:r>
              <w:rPr>
                <w:rFonts w:ascii="宋体" w:hAnsi="宋体" w:cs="宋体" w:eastAsia="宋体" w:hint="default"/>
                <w:sz w:val="20"/>
                <w:szCs w:val="20"/>
              </w:rPr>
              <w:t>审议通过</w:t>
            </w:r>
            <w:r>
              <w:rPr>
                <w:rFonts w:ascii="宋体" w:hAnsi="宋体" w:cs="宋体" w:eastAsia="宋体" w:hint="default"/>
                <w:w w:val="100"/>
                <w:sz w:val="20"/>
                <w:szCs w:val="20"/>
              </w:rPr>
              <w:t> </w:t>
            </w:r>
            <w:r>
              <w:rPr>
                <w:rFonts w:ascii="宋体" w:hAnsi="宋体" w:cs="宋体" w:eastAsia="宋体" w:hint="default"/>
                <w:sz w:val="20"/>
                <w:szCs w:val="20"/>
              </w:rPr>
              <w:t>全部议案</w:t>
            </w:r>
          </w:p>
        </w:tc>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52" w:lineRule="auto"/>
              <w:ind w:left="100" w:right="98"/>
              <w:jc w:val="left"/>
              <w:rPr>
                <w:rFonts w:ascii="Arial" w:hAnsi="Arial" w:cs="Arial" w:eastAsia="Arial" w:hint="default"/>
                <w:sz w:val="20"/>
                <w:szCs w:val="20"/>
              </w:rPr>
            </w:pPr>
            <w:hyperlink r:id="rId13">
              <w:r>
                <w:rPr>
                  <w:rFonts w:ascii="Arial" w:hAnsi="Arial" w:cs="Arial" w:eastAsia="Arial" w:hint="default"/>
                  <w:sz w:val="20"/>
                  <w:szCs w:val="20"/>
                </w:rPr>
                <w:t>www.sse.com.cn</w:t>
              </w:r>
            </w:hyperlink>
            <w:r>
              <w:rPr>
                <w:rFonts w:ascii="宋体" w:hAnsi="宋体" w:cs="宋体" w:eastAsia="宋体" w:hint="default"/>
                <w:sz w:val="20"/>
                <w:szCs w:val="20"/>
              </w:rPr>
              <w:t>；</w:t>
            </w:r>
            <w:r>
              <w:rPr>
                <w:rFonts w:ascii="宋体" w:hAnsi="宋体" w:cs="宋体" w:eastAsia="宋体" w:hint="default"/>
                <w:w w:val="100"/>
                <w:sz w:val="20"/>
                <w:szCs w:val="20"/>
              </w:rPr>
              <w:t> </w:t>
            </w:r>
            <w:hyperlink r:id="rId11">
              <w:r>
                <w:rPr>
                  <w:rFonts w:ascii="Arial" w:hAnsi="Arial" w:cs="Arial" w:eastAsia="Arial" w:hint="default"/>
                  <w:sz w:val="20"/>
                  <w:szCs w:val="20"/>
                </w:rPr>
                <w:t>www.chinaunicom-a.com</w:t>
              </w:r>
            </w:hyperlink>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68" w:lineRule="exact"/>
              <w:ind w:left="100"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12</w:t>
            </w:r>
            <w:r>
              <w:rPr>
                <w:rFonts w:ascii="Arial" w:hAnsi="Arial" w:cs="Arial" w:eastAsia="Arial" w:hint="default"/>
                <w:spacing w:val="-7"/>
                <w:sz w:val="20"/>
                <w:szCs w:val="20"/>
              </w:rPr>
              <w:t> </w:t>
            </w:r>
            <w:r>
              <w:rPr>
                <w:rFonts w:ascii="宋体" w:hAnsi="宋体" w:cs="宋体" w:eastAsia="宋体" w:hint="default"/>
                <w:sz w:val="20"/>
                <w:szCs w:val="20"/>
              </w:rPr>
              <w:t>月</w:t>
            </w:r>
          </w:p>
          <w:p>
            <w:pPr>
              <w:pStyle w:val="TableParagraph"/>
              <w:spacing w:line="268" w:lineRule="exact"/>
              <w:ind w:left="100" w:right="0"/>
              <w:jc w:val="left"/>
              <w:rPr>
                <w:rFonts w:ascii="宋体" w:hAnsi="宋体" w:cs="宋体" w:eastAsia="宋体" w:hint="default"/>
                <w:sz w:val="20"/>
                <w:szCs w:val="20"/>
              </w:rPr>
            </w:pPr>
            <w:r>
              <w:rPr>
                <w:rFonts w:ascii="Arial" w:hAnsi="Arial" w:cs="Arial" w:eastAsia="Arial" w:hint="default"/>
                <w:sz w:val="20"/>
                <w:szCs w:val="20"/>
              </w:rPr>
              <w:t>22</w:t>
            </w:r>
            <w:r>
              <w:rPr>
                <w:rFonts w:ascii="Arial" w:hAnsi="Arial" w:cs="Arial" w:eastAsia="Arial" w:hint="default"/>
                <w:spacing w:val="-5"/>
                <w:sz w:val="20"/>
                <w:szCs w:val="20"/>
              </w:rPr>
              <w:t> </w:t>
            </w:r>
            <w:r>
              <w:rPr>
                <w:rFonts w:ascii="宋体" w:hAnsi="宋体" w:cs="宋体" w:eastAsia="宋体" w:hint="default"/>
                <w:sz w:val="20"/>
                <w:szCs w:val="20"/>
              </w:rPr>
              <w:t>日</w:t>
            </w:r>
          </w:p>
        </w:tc>
      </w:tr>
      <w:tr>
        <w:trPr>
          <w:trHeight w:val="1053" w:hRule="exact"/>
        </w:trPr>
        <w:tc>
          <w:tcPr>
            <w:tcW w:w="1097" w:type="dxa"/>
            <w:vMerge/>
            <w:tcBorders>
              <w:left w:val="single" w:sz="6" w:space="0" w:color="000000"/>
              <w:right w:val="single" w:sz="6" w:space="0" w:color="000000"/>
            </w:tcBorders>
          </w:tcPr>
          <w:p>
            <w:pPr/>
          </w:p>
        </w:tc>
        <w:tc>
          <w:tcPr>
            <w:tcW w:w="1036" w:type="dxa"/>
            <w:vMerge/>
            <w:tcBorders>
              <w:left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both"/>
              <w:rPr>
                <w:rFonts w:ascii="宋体" w:hAnsi="宋体" w:cs="宋体" w:eastAsia="宋体" w:hint="default"/>
                <w:sz w:val="20"/>
                <w:szCs w:val="20"/>
              </w:rPr>
            </w:pPr>
            <w:r>
              <w:rPr>
                <w:rFonts w:ascii="宋体" w:hAnsi="宋体" w:cs="宋体" w:eastAsia="宋体" w:hint="default"/>
                <w:sz w:val="20"/>
                <w:szCs w:val="20"/>
              </w:rPr>
              <w:t>关于选举佟吉禄</w:t>
            </w:r>
          </w:p>
          <w:p>
            <w:pPr>
              <w:pStyle w:val="TableParagraph"/>
              <w:spacing w:line="260" w:lineRule="exact" w:before="24"/>
              <w:ind w:left="100" w:right="169"/>
              <w:jc w:val="both"/>
              <w:rPr>
                <w:rFonts w:ascii="宋体" w:hAnsi="宋体" w:cs="宋体" w:eastAsia="宋体" w:hint="default"/>
                <w:sz w:val="20"/>
                <w:szCs w:val="20"/>
              </w:rPr>
            </w:pPr>
            <w:r>
              <w:rPr>
                <w:rFonts w:ascii="宋体" w:hAnsi="宋体" w:cs="宋体" w:eastAsia="宋体" w:hint="default"/>
                <w:sz w:val="20"/>
                <w:szCs w:val="20"/>
              </w:rPr>
              <w:t>先生为第四届董</w:t>
            </w:r>
            <w:r>
              <w:rPr>
                <w:rFonts w:ascii="宋体" w:hAnsi="宋体" w:cs="宋体" w:eastAsia="宋体" w:hint="default"/>
                <w:w w:val="100"/>
                <w:sz w:val="20"/>
                <w:szCs w:val="20"/>
              </w:rPr>
              <w:t> </w:t>
            </w:r>
            <w:r>
              <w:rPr>
                <w:rFonts w:ascii="宋体" w:hAnsi="宋体" w:cs="宋体" w:eastAsia="宋体" w:hint="default"/>
                <w:sz w:val="20"/>
                <w:szCs w:val="20"/>
              </w:rPr>
              <w:t>事会董事候选人</w:t>
            </w:r>
            <w:r>
              <w:rPr>
                <w:rFonts w:ascii="宋体" w:hAnsi="宋体" w:cs="宋体" w:eastAsia="宋体" w:hint="default"/>
                <w:w w:val="100"/>
                <w:sz w:val="20"/>
                <w:szCs w:val="20"/>
              </w:rPr>
              <w:t> </w:t>
            </w:r>
            <w:r>
              <w:rPr>
                <w:rFonts w:ascii="宋体" w:hAnsi="宋体" w:cs="宋体" w:eastAsia="宋体" w:hint="default"/>
                <w:sz w:val="20"/>
                <w:szCs w:val="20"/>
              </w:rPr>
              <w:t>的议案</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60" w:lineRule="exact"/>
              <w:ind w:left="100" w:right="249"/>
              <w:jc w:val="left"/>
              <w:rPr>
                <w:rFonts w:ascii="宋体" w:hAnsi="宋体" w:cs="宋体" w:eastAsia="宋体" w:hint="default"/>
                <w:sz w:val="20"/>
                <w:szCs w:val="20"/>
              </w:rPr>
            </w:pPr>
            <w:r>
              <w:rPr>
                <w:rFonts w:ascii="宋体" w:hAnsi="宋体" w:cs="宋体" w:eastAsia="宋体" w:hint="default"/>
                <w:sz w:val="20"/>
                <w:szCs w:val="20"/>
              </w:rPr>
              <w:t>审议通过</w:t>
            </w:r>
            <w:r>
              <w:rPr>
                <w:rFonts w:ascii="宋体" w:hAnsi="宋体" w:cs="宋体" w:eastAsia="宋体" w:hint="default"/>
                <w:w w:val="100"/>
                <w:sz w:val="20"/>
                <w:szCs w:val="20"/>
              </w:rPr>
              <w:t> </w:t>
            </w:r>
            <w:r>
              <w:rPr>
                <w:rFonts w:ascii="宋体" w:hAnsi="宋体" w:cs="宋体" w:eastAsia="宋体" w:hint="default"/>
                <w:sz w:val="20"/>
                <w:szCs w:val="20"/>
              </w:rPr>
              <w:t>全部议案</w:t>
            </w:r>
          </w:p>
        </w:tc>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52" w:lineRule="auto"/>
              <w:ind w:left="100" w:right="98"/>
              <w:jc w:val="left"/>
              <w:rPr>
                <w:rFonts w:ascii="Arial" w:hAnsi="Arial" w:cs="Arial" w:eastAsia="Arial" w:hint="default"/>
                <w:sz w:val="20"/>
                <w:szCs w:val="20"/>
              </w:rPr>
            </w:pPr>
            <w:hyperlink r:id="rId13">
              <w:r>
                <w:rPr>
                  <w:rFonts w:ascii="Arial" w:hAnsi="Arial" w:cs="Arial" w:eastAsia="Arial" w:hint="default"/>
                  <w:sz w:val="20"/>
                  <w:szCs w:val="20"/>
                </w:rPr>
                <w:t>www.sse.com.cn</w:t>
              </w:r>
            </w:hyperlink>
            <w:r>
              <w:rPr>
                <w:rFonts w:ascii="宋体" w:hAnsi="宋体" w:cs="宋体" w:eastAsia="宋体" w:hint="default"/>
                <w:sz w:val="20"/>
                <w:szCs w:val="20"/>
              </w:rPr>
              <w:t>；</w:t>
            </w:r>
            <w:r>
              <w:rPr>
                <w:rFonts w:ascii="宋体" w:hAnsi="宋体" w:cs="宋体" w:eastAsia="宋体" w:hint="default"/>
                <w:w w:val="100"/>
                <w:sz w:val="20"/>
                <w:szCs w:val="20"/>
              </w:rPr>
              <w:t> </w:t>
            </w:r>
            <w:hyperlink r:id="rId11">
              <w:r>
                <w:rPr>
                  <w:rFonts w:ascii="Arial" w:hAnsi="Arial" w:cs="Arial" w:eastAsia="Arial" w:hint="default"/>
                  <w:sz w:val="20"/>
                  <w:szCs w:val="20"/>
                </w:rPr>
                <w:t>www.chinaunicom-a.com</w:t>
              </w:r>
            </w:hyperlink>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68" w:lineRule="exact"/>
              <w:ind w:left="100"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12</w:t>
            </w:r>
            <w:r>
              <w:rPr>
                <w:rFonts w:ascii="Arial" w:hAnsi="Arial" w:cs="Arial" w:eastAsia="Arial" w:hint="default"/>
                <w:spacing w:val="-7"/>
                <w:sz w:val="20"/>
                <w:szCs w:val="20"/>
              </w:rPr>
              <w:t> </w:t>
            </w:r>
            <w:r>
              <w:rPr>
                <w:rFonts w:ascii="宋体" w:hAnsi="宋体" w:cs="宋体" w:eastAsia="宋体" w:hint="default"/>
                <w:sz w:val="20"/>
                <w:szCs w:val="20"/>
              </w:rPr>
              <w:t>月</w:t>
            </w:r>
          </w:p>
          <w:p>
            <w:pPr>
              <w:pStyle w:val="TableParagraph"/>
              <w:spacing w:line="268" w:lineRule="exact"/>
              <w:ind w:left="100" w:right="0"/>
              <w:jc w:val="left"/>
              <w:rPr>
                <w:rFonts w:ascii="宋体" w:hAnsi="宋体" w:cs="宋体" w:eastAsia="宋体" w:hint="default"/>
                <w:sz w:val="20"/>
                <w:szCs w:val="20"/>
              </w:rPr>
            </w:pPr>
            <w:r>
              <w:rPr>
                <w:rFonts w:ascii="Arial" w:hAnsi="Arial" w:cs="Arial" w:eastAsia="Arial" w:hint="default"/>
                <w:sz w:val="20"/>
                <w:szCs w:val="20"/>
              </w:rPr>
              <w:t>22</w:t>
            </w:r>
            <w:r>
              <w:rPr>
                <w:rFonts w:ascii="Arial" w:hAnsi="Arial" w:cs="Arial" w:eastAsia="Arial" w:hint="default"/>
                <w:spacing w:val="-5"/>
                <w:sz w:val="20"/>
                <w:szCs w:val="20"/>
              </w:rPr>
              <w:t> </w:t>
            </w:r>
            <w:r>
              <w:rPr>
                <w:rFonts w:ascii="宋体" w:hAnsi="宋体" w:cs="宋体" w:eastAsia="宋体" w:hint="default"/>
                <w:sz w:val="20"/>
                <w:szCs w:val="20"/>
              </w:rPr>
              <w:t>日</w:t>
            </w:r>
          </w:p>
        </w:tc>
      </w:tr>
      <w:tr>
        <w:trPr>
          <w:trHeight w:val="1052" w:hRule="exact"/>
        </w:trPr>
        <w:tc>
          <w:tcPr>
            <w:tcW w:w="1097" w:type="dxa"/>
            <w:vMerge/>
            <w:tcBorders>
              <w:left w:val="single" w:sz="6" w:space="0" w:color="000000"/>
              <w:right w:val="single" w:sz="6" w:space="0" w:color="000000"/>
            </w:tcBorders>
          </w:tcPr>
          <w:p>
            <w:pPr/>
          </w:p>
        </w:tc>
        <w:tc>
          <w:tcPr>
            <w:tcW w:w="1036" w:type="dxa"/>
            <w:vMerge/>
            <w:tcBorders>
              <w:left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both"/>
              <w:rPr>
                <w:rFonts w:ascii="宋体" w:hAnsi="宋体" w:cs="宋体" w:eastAsia="宋体" w:hint="default"/>
                <w:sz w:val="20"/>
                <w:szCs w:val="20"/>
              </w:rPr>
            </w:pPr>
            <w:r>
              <w:rPr>
                <w:rFonts w:ascii="宋体" w:hAnsi="宋体" w:cs="宋体" w:eastAsia="宋体" w:hint="default"/>
                <w:sz w:val="20"/>
                <w:szCs w:val="20"/>
              </w:rPr>
              <w:t>关于选举李福申</w:t>
            </w:r>
          </w:p>
          <w:p>
            <w:pPr>
              <w:pStyle w:val="TableParagraph"/>
              <w:spacing w:line="260" w:lineRule="exact" w:before="24"/>
              <w:ind w:left="100" w:right="169"/>
              <w:jc w:val="both"/>
              <w:rPr>
                <w:rFonts w:ascii="宋体" w:hAnsi="宋体" w:cs="宋体" w:eastAsia="宋体" w:hint="default"/>
                <w:sz w:val="20"/>
                <w:szCs w:val="20"/>
              </w:rPr>
            </w:pPr>
            <w:r>
              <w:rPr>
                <w:rFonts w:ascii="宋体" w:hAnsi="宋体" w:cs="宋体" w:eastAsia="宋体" w:hint="default"/>
                <w:sz w:val="20"/>
                <w:szCs w:val="20"/>
              </w:rPr>
              <w:t>先生为第四届董</w:t>
            </w:r>
            <w:r>
              <w:rPr>
                <w:rFonts w:ascii="宋体" w:hAnsi="宋体" w:cs="宋体" w:eastAsia="宋体" w:hint="default"/>
                <w:w w:val="100"/>
                <w:sz w:val="20"/>
                <w:szCs w:val="20"/>
              </w:rPr>
              <w:t> </w:t>
            </w:r>
            <w:r>
              <w:rPr>
                <w:rFonts w:ascii="宋体" w:hAnsi="宋体" w:cs="宋体" w:eastAsia="宋体" w:hint="default"/>
                <w:sz w:val="20"/>
                <w:szCs w:val="20"/>
              </w:rPr>
              <w:t>事会董事候选人</w:t>
            </w:r>
            <w:r>
              <w:rPr>
                <w:rFonts w:ascii="宋体" w:hAnsi="宋体" w:cs="宋体" w:eastAsia="宋体" w:hint="default"/>
                <w:w w:val="100"/>
                <w:sz w:val="20"/>
                <w:szCs w:val="20"/>
              </w:rPr>
              <w:t> </w:t>
            </w:r>
            <w:r>
              <w:rPr>
                <w:rFonts w:ascii="宋体" w:hAnsi="宋体" w:cs="宋体" w:eastAsia="宋体" w:hint="default"/>
                <w:sz w:val="20"/>
                <w:szCs w:val="20"/>
              </w:rPr>
              <w:t>的议案</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60" w:lineRule="exact"/>
              <w:ind w:left="100" w:right="249"/>
              <w:jc w:val="left"/>
              <w:rPr>
                <w:rFonts w:ascii="宋体" w:hAnsi="宋体" w:cs="宋体" w:eastAsia="宋体" w:hint="default"/>
                <w:sz w:val="20"/>
                <w:szCs w:val="20"/>
              </w:rPr>
            </w:pPr>
            <w:r>
              <w:rPr>
                <w:rFonts w:ascii="宋体" w:hAnsi="宋体" w:cs="宋体" w:eastAsia="宋体" w:hint="default"/>
                <w:sz w:val="20"/>
                <w:szCs w:val="20"/>
              </w:rPr>
              <w:t>审议通过</w:t>
            </w:r>
            <w:r>
              <w:rPr>
                <w:rFonts w:ascii="宋体" w:hAnsi="宋体" w:cs="宋体" w:eastAsia="宋体" w:hint="default"/>
                <w:w w:val="100"/>
                <w:sz w:val="20"/>
                <w:szCs w:val="20"/>
              </w:rPr>
              <w:t> </w:t>
            </w:r>
            <w:r>
              <w:rPr>
                <w:rFonts w:ascii="宋体" w:hAnsi="宋体" w:cs="宋体" w:eastAsia="宋体" w:hint="default"/>
                <w:sz w:val="20"/>
                <w:szCs w:val="20"/>
              </w:rPr>
              <w:t>全部议案</w:t>
            </w:r>
          </w:p>
        </w:tc>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52" w:lineRule="auto"/>
              <w:ind w:left="100" w:right="98"/>
              <w:jc w:val="left"/>
              <w:rPr>
                <w:rFonts w:ascii="Arial" w:hAnsi="Arial" w:cs="Arial" w:eastAsia="Arial" w:hint="default"/>
                <w:sz w:val="20"/>
                <w:szCs w:val="20"/>
              </w:rPr>
            </w:pPr>
            <w:hyperlink r:id="rId13">
              <w:r>
                <w:rPr>
                  <w:rFonts w:ascii="Arial" w:hAnsi="Arial" w:cs="Arial" w:eastAsia="Arial" w:hint="default"/>
                  <w:sz w:val="20"/>
                  <w:szCs w:val="20"/>
                </w:rPr>
                <w:t>www.sse.com.cn</w:t>
              </w:r>
            </w:hyperlink>
            <w:r>
              <w:rPr>
                <w:rFonts w:ascii="宋体" w:hAnsi="宋体" w:cs="宋体" w:eastAsia="宋体" w:hint="default"/>
                <w:sz w:val="20"/>
                <w:szCs w:val="20"/>
              </w:rPr>
              <w:t>；</w:t>
            </w:r>
            <w:r>
              <w:rPr>
                <w:rFonts w:ascii="宋体" w:hAnsi="宋体" w:cs="宋体" w:eastAsia="宋体" w:hint="default"/>
                <w:w w:val="100"/>
                <w:sz w:val="20"/>
                <w:szCs w:val="20"/>
              </w:rPr>
              <w:t> </w:t>
            </w:r>
            <w:hyperlink r:id="rId11">
              <w:r>
                <w:rPr>
                  <w:rFonts w:ascii="Arial" w:hAnsi="Arial" w:cs="Arial" w:eastAsia="Arial" w:hint="default"/>
                  <w:sz w:val="20"/>
                  <w:szCs w:val="20"/>
                </w:rPr>
                <w:t>www.chinaunicom-a.com</w:t>
              </w:r>
            </w:hyperlink>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68" w:lineRule="exact"/>
              <w:ind w:left="100"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12</w:t>
            </w:r>
            <w:r>
              <w:rPr>
                <w:rFonts w:ascii="Arial" w:hAnsi="Arial" w:cs="Arial" w:eastAsia="Arial" w:hint="default"/>
                <w:spacing w:val="-7"/>
                <w:sz w:val="20"/>
                <w:szCs w:val="20"/>
              </w:rPr>
              <w:t> </w:t>
            </w:r>
            <w:r>
              <w:rPr>
                <w:rFonts w:ascii="宋体" w:hAnsi="宋体" w:cs="宋体" w:eastAsia="宋体" w:hint="default"/>
                <w:sz w:val="20"/>
                <w:szCs w:val="20"/>
              </w:rPr>
              <w:t>月</w:t>
            </w:r>
          </w:p>
          <w:p>
            <w:pPr>
              <w:pStyle w:val="TableParagraph"/>
              <w:spacing w:line="268" w:lineRule="exact"/>
              <w:ind w:left="100" w:right="0"/>
              <w:jc w:val="left"/>
              <w:rPr>
                <w:rFonts w:ascii="宋体" w:hAnsi="宋体" w:cs="宋体" w:eastAsia="宋体" w:hint="default"/>
                <w:sz w:val="20"/>
                <w:szCs w:val="20"/>
              </w:rPr>
            </w:pPr>
            <w:r>
              <w:rPr>
                <w:rFonts w:ascii="Arial" w:hAnsi="Arial" w:cs="Arial" w:eastAsia="Arial" w:hint="default"/>
                <w:sz w:val="20"/>
                <w:szCs w:val="20"/>
              </w:rPr>
              <w:t>22</w:t>
            </w:r>
            <w:r>
              <w:rPr>
                <w:rFonts w:ascii="Arial" w:hAnsi="Arial" w:cs="Arial" w:eastAsia="Arial" w:hint="default"/>
                <w:spacing w:val="-5"/>
                <w:sz w:val="20"/>
                <w:szCs w:val="20"/>
              </w:rPr>
              <w:t> </w:t>
            </w:r>
            <w:r>
              <w:rPr>
                <w:rFonts w:ascii="宋体" w:hAnsi="宋体" w:cs="宋体" w:eastAsia="宋体" w:hint="default"/>
                <w:sz w:val="20"/>
                <w:szCs w:val="20"/>
              </w:rPr>
              <w:t>日</w:t>
            </w:r>
          </w:p>
        </w:tc>
      </w:tr>
      <w:tr>
        <w:trPr>
          <w:trHeight w:val="1052" w:hRule="exact"/>
        </w:trPr>
        <w:tc>
          <w:tcPr>
            <w:tcW w:w="1097" w:type="dxa"/>
            <w:vMerge/>
            <w:tcBorders>
              <w:left w:val="single" w:sz="6" w:space="0" w:color="000000"/>
              <w:right w:val="single" w:sz="6" w:space="0" w:color="000000"/>
            </w:tcBorders>
          </w:tcPr>
          <w:p>
            <w:pPr/>
          </w:p>
        </w:tc>
        <w:tc>
          <w:tcPr>
            <w:tcW w:w="1036" w:type="dxa"/>
            <w:vMerge/>
            <w:tcBorders>
              <w:left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both"/>
              <w:rPr>
                <w:rFonts w:ascii="宋体" w:hAnsi="宋体" w:cs="宋体" w:eastAsia="宋体" w:hint="default"/>
                <w:sz w:val="20"/>
                <w:szCs w:val="20"/>
              </w:rPr>
            </w:pPr>
            <w:r>
              <w:rPr>
                <w:rFonts w:ascii="宋体" w:hAnsi="宋体" w:cs="宋体" w:eastAsia="宋体" w:hint="default"/>
                <w:sz w:val="20"/>
                <w:szCs w:val="20"/>
              </w:rPr>
              <w:t>关于选举刘彩先</w:t>
            </w:r>
          </w:p>
          <w:p>
            <w:pPr>
              <w:pStyle w:val="TableParagraph"/>
              <w:spacing w:line="260" w:lineRule="exact" w:before="24"/>
              <w:ind w:left="100" w:right="169"/>
              <w:jc w:val="both"/>
              <w:rPr>
                <w:rFonts w:ascii="宋体" w:hAnsi="宋体" w:cs="宋体" w:eastAsia="宋体" w:hint="default"/>
                <w:sz w:val="20"/>
                <w:szCs w:val="20"/>
              </w:rPr>
            </w:pPr>
            <w:r>
              <w:rPr>
                <w:rFonts w:ascii="宋体" w:hAnsi="宋体" w:cs="宋体" w:eastAsia="宋体" w:hint="default"/>
                <w:sz w:val="20"/>
                <w:szCs w:val="20"/>
              </w:rPr>
              <w:t>生为第四届董事</w:t>
            </w:r>
            <w:r>
              <w:rPr>
                <w:rFonts w:ascii="宋体" w:hAnsi="宋体" w:cs="宋体" w:eastAsia="宋体" w:hint="default"/>
                <w:w w:val="100"/>
                <w:sz w:val="20"/>
                <w:szCs w:val="20"/>
              </w:rPr>
              <w:t> </w:t>
            </w:r>
            <w:r>
              <w:rPr>
                <w:rFonts w:ascii="宋体" w:hAnsi="宋体" w:cs="宋体" w:eastAsia="宋体" w:hint="default"/>
                <w:sz w:val="20"/>
                <w:szCs w:val="20"/>
              </w:rPr>
              <w:t>会独立董事候选</w:t>
            </w:r>
            <w:r>
              <w:rPr>
                <w:rFonts w:ascii="宋体" w:hAnsi="宋体" w:cs="宋体" w:eastAsia="宋体" w:hint="default"/>
                <w:w w:val="100"/>
                <w:sz w:val="20"/>
                <w:szCs w:val="20"/>
              </w:rPr>
              <w:t> </w:t>
            </w:r>
            <w:r>
              <w:rPr>
                <w:rFonts w:ascii="宋体" w:hAnsi="宋体" w:cs="宋体" w:eastAsia="宋体" w:hint="default"/>
                <w:sz w:val="20"/>
                <w:szCs w:val="20"/>
              </w:rPr>
              <w:t>人的议案</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60" w:lineRule="exact"/>
              <w:ind w:left="100" w:right="249"/>
              <w:jc w:val="left"/>
              <w:rPr>
                <w:rFonts w:ascii="宋体" w:hAnsi="宋体" w:cs="宋体" w:eastAsia="宋体" w:hint="default"/>
                <w:sz w:val="20"/>
                <w:szCs w:val="20"/>
              </w:rPr>
            </w:pPr>
            <w:r>
              <w:rPr>
                <w:rFonts w:ascii="宋体" w:hAnsi="宋体" w:cs="宋体" w:eastAsia="宋体" w:hint="default"/>
                <w:sz w:val="20"/>
                <w:szCs w:val="20"/>
              </w:rPr>
              <w:t>审议通过</w:t>
            </w:r>
            <w:r>
              <w:rPr>
                <w:rFonts w:ascii="宋体" w:hAnsi="宋体" w:cs="宋体" w:eastAsia="宋体" w:hint="default"/>
                <w:w w:val="100"/>
                <w:sz w:val="20"/>
                <w:szCs w:val="20"/>
              </w:rPr>
              <w:t> </w:t>
            </w:r>
            <w:r>
              <w:rPr>
                <w:rFonts w:ascii="宋体" w:hAnsi="宋体" w:cs="宋体" w:eastAsia="宋体" w:hint="default"/>
                <w:sz w:val="20"/>
                <w:szCs w:val="20"/>
              </w:rPr>
              <w:t>全部议案</w:t>
            </w:r>
          </w:p>
        </w:tc>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52" w:lineRule="auto"/>
              <w:ind w:left="100" w:right="98"/>
              <w:jc w:val="left"/>
              <w:rPr>
                <w:rFonts w:ascii="Arial" w:hAnsi="Arial" w:cs="Arial" w:eastAsia="Arial" w:hint="default"/>
                <w:sz w:val="20"/>
                <w:szCs w:val="20"/>
              </w:rPr>
            </w:pPr>
            <w:hyperlink r:id="rId13">
              <w:r>
                <w:rPr>
                  <w:rFonts w:ascii="Arial" w:hAnsi="Arial" w:cs="Arial" w:eastAsia="Arial" w:hint="default"/>
                  <w:sz w:val="20"/>
                  <w:szCs w:val="20"/>
                </w:rPr>
                <w:t>www.sse.com.cn</w:t>
              </w:r>
            </w:hyperlink>
            <w:r>
              <w:rPr>
                <w:rFonts w:ascii="宋体" w:hAnsi="宋体" w:cs="宋体" w:eastAsia="宋体" w:hint="default"/>
                <w:sz w:val="20"/>
                <w:szCs w:val="20"/>
              </w:rPr>
              <w:t>；</w:t>
            </w:r>
            <w:r>
              <w:rPr>
                <w:rFonts w:ascii="宋体" w:hAnsi="宋体" w:cs="宋体" w:eastAsia="宋体" w:hint="default"/>
                <w:w w:val="100"/>
                <w:sz w:val="20"/>
                <w:szCs w:val="20"/>
              </w:rPr>
              <w:t> </w:t>
            </w:r>
            <w:hyperlink r:id="rId11">
              <w:r>
                <w:rPr>
                  <w:rFonts w:ascii="Arial" w:hAnsi="Arial" w:cs="Arial" w:eastAsia="Arial" w:hint="default"/>
                  <w:sz w:val="20"/>
                  <w:szCs w:val="20"/>
                </w:rPr>
                <w:t>www.chinaunicom-a.com</w:t>
              </w:r>
            </w:hyperlink>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68" w:lineRule="exact"/>
              <w:ind w:left="100"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12</w:t>
            </w:r>
            <w:r>
              <w:rPr>
                <w:rFonts w:ascii="Arial" w:hAnsi="Arial" w:cs="Arial" w:eastAsia="Arial" w:hint="default"/>
                <w:spacing w:val="-7"/>
                <w:sz w:val="20"/>
                <w:szCs w:val="20"/>
              </w:rPr>
              <w:t> </w:t>
            </w:r>
            <w:r>
              <w:rPr>
                <w:rFonts w:ascii="宋体" w:hAnsi="宋体" w:cs="宋体" w:eastAsia="宋体" w:hint="default"/>
                <w:sz w:val="20"/>
                <w:szCs w:val="20"/>
              </w:rPr>
              <w:t>月</w:t>
            </w:r>
          </w:p>
          <w:p>
            <w:pPr>
              <w:pStyle w:val="TableParagraph"/>
              <w:spacing w:line="268" w:lineRule="exact"/>
              <w:ind w:left="100" w:right="0"/>
              <w:jc w:val="left"/>
              <w:rPr>
                <w:rFonts w:ascii="宋体" w:hAnsi="宋体" w:cs="宋体" w:eastAsia="宋体" w:hint="default"/>
                <w:sz w:val="20"/>
                <w:szCs w:val="20"/>
              </w:rPr>
            </w:pPr>
            <w:r>
              <w:rPr>
                <w:rFonts w:ascii="Arial" w:hAnsi="Arial" w:cs="Arial" w:eastAsia="Arial" w:hint="default"/>
                <w:sz w:val="20"/>
                <w:szCs w:val="20"/>
              </w:rPr>
              <w:t>22</w:t>
            </w:r>
            <w:r>
              <w:rPr>
                <w:rFonts w:ascii="Arial" w:hAnsi="Arial" w:cs="Arial" w:eastAsia="Arial" w:hint="default"/>
                <w:spacing w:val="-5"/>
                <w:sz w:val="20"/>
                <w:szCs w:val="20"/>
              </w:rPr>
              <w:t> </w:t>
            </w:r>
            <w:r>
              <w:rPr>
                <w:rFonts w:ascii="宋体" w:hAnsi="宋体" w:cs="宋体" w:eastAsia="宋体" w:hint="default"/>
                <w:sz w:val="20"/>
                <w:szCs w:val="20"/>
              </w:rPr>
              <w:t>日</w:t>
            </w:r>
          </w:p>
        </w:tc>
      </w:tr>
      <w:tr>
        <w:trPr>
          <w:trHeight w:val="1052" w:hRule="exact"/>
        </w:trPr>
        <w:tc>
          <w:tcPr>
            <w:tcW w:w="1097" w:type="dxa"/>
            <w:vMerge/>
            <w:tcBorders>
              <w:left w:val="single" w:sz="6" w:space="0" w:color="000000"/>
              <w:right w:val="single" w:sz="6" w:space="0" w:color="000000"/>
            </w:tcBorders>
          </w:tcPr>
          <w:p>
            <w:pPr/>
          </w:p>
        </w:tc>
        <w:tc>
          <w:tcPr>
            <w:tcW w:w="1036" w:type="dxa"/>
            <w:vMerge/>
            <w:tcBorders>
              <w:left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both"/>
              <w:rPr>
                <w:rFonts w:ascii="宋体" w:hAnsi="宋体" w:cs="宋体" w:eastAsia="宋体" w:hint="default"/>
                <w:sz w:val="20"/>
                <w:szCs w:val="20"/>
              </w:rPr>
            </w:pPr>
            <w:r>
              <w:rPr>
                <w:rFonts w:ascii="宋体" w:hAnsi="宋体" w:cs="宋体" w:eastAsia="宋体" w:hint="default"/>
                <w:sz w:val="20"/>
                <w:szCs w:val="20"/>
              </w:rPr>
              <w:t>关于选举赵纯均</w:t>
            </w:r>
          </w:p>
          <w:p>
            <w:pPr>
              <w:pStyle w:val="TableParagraph"/>
              <w:spacing w:line="260" w:lineRule="exact" w:before="24"/>
              <w:ind w:left="100" w:right="169"/>
              <w:jc w:val="both"/>
              <w:rPr>
                <w:rFonts w:ascii="宋体" w:hAnsi="宋体" w:cs="宋体" w:eastAsia="宋体" w:hint="default"/>
                <w:sz w:val="20"/>
                <w:szCs w:val="20"/>
              </w:rPr>
            </w:pPr>
            <w:r>
              <w:rPr>
                <w:rFonts w:ascii="宋体" w:hAnsi="宋体" w:cs="宋体" w:eastAsia="宋体" w:hint="default"/>
                <w:sz w:val="20"/>
                <w:szCs w:val="20"/>
              </w:rPr>
              <w:t>先生为第四届董</w:t>
            </w:r>
            <w:r>
              <w:rPr>
                <w:rFonts w:ascii="宋体" w:hAnsi="宋体" w:cs="宋体" w:eastAsia="宋体" w:hint="default"/>
                <w:w w:val="100"/>
                <w:sz w:val="20"/>
                <w:szCs w:val="20"/>
              </w:rPr>
              <w:t> </w:t>
            </w:r>
            <w:r>
              <w:rPr>
                <w:rFonts w:ascii="宋体" w:hAnsi="宋体" w:cs="宋体" w:eastAsia="宋体" w:hint="default"/>
                <w:sz w:val="20"/>
                <w:szCs w:val="20"/>
              </w:rPr>
              <w:t>事会独立董事候</w:t>
            </w:r>
            <w:r>
              <w:rPr>
                <w:rFonts w:ascii="宋体" w:hAnsi="宋体" w:cs="宋体" w:eastAsia="宋体" w:hint="default"/>
                <w:w w:val="100"/>
                <w:sz w:val="20"/>
                <w:szCs w:val="20"/>
              </w:rPr>
              <w:t> </w:t>
            </w:r>
            <w:r>
              <w:rPr>
                <w:rFonts w:ascii="宋体" w:hAnsi="宋体" w:cs="宋体" w:eastAsia="宋体" w:hint="default"/>
                <w:sz w:val="20"/>
                <w:szCs w:val="20"/>
              </w:rPr>
              <w:t>选人的议案</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60" w:lineRule="exact"/>
              <w:ind w:left="100" w:right="249"/>
              <w:jc w:val="left"/>
              <w:rPr>
                <w:rFonts w:ascii="宋体" w:hAnsi="宋体" w:cs="宋体" w:eastAsia="宋体" w:hint="default"/>
                <w:sz w:val="20"/>
                <w:szCs w:val="20"/>
              </w:rPr>
            </w:pPr>
            <w:r>
              <w:rPr>
                <w:rFonts w:ascii="宋体" w:hAnsi="宋体" w:cs="宋体" w:eastAsia="宋体" w:hint="default"/>
                <w:sz w:val="20"/>
                <w:szCs w:val="20"/>
              </w:rPr>
              <w:t>审议通过</w:t>
            </w:r>
            <w:r>
              <w:rPr>
                <w:rFonts w:ascii="宋体" w:hAnsi="宋体" w:cs="宋体" w:eastAsia="宋体" w:hint="default"/>
                <w:w w:val="100"/>
                <w:sz w:val="20"/>
                <w:szCs w:val="20"/>
              </w:rPr>
              <w:t> </w:t>
            </w:r>
            <w:r>
              <w:rPr>
                <w:rFonts w:ascii="宋体" w:hAnsi="宋体" w:cs="宋体" w:eastAsia="宋体" w:hint="default"/>
                <w:sz w:val="20"/>
                <w:szCs w:val="20"/>
              </w:rPr>
              <w:t>全部议案</w:t>
            </w:r>
          </w:p>
        </w:tc>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52" w:lineRule="auto"/>
              <w:ind w:left="100" w:right="98"/>
              <w:jc w:val="left"/>
              <w:rPr>
                <w:rFonts w:ascii="Arial" w:hAnsi="Arial" w:cs="Arial" w:eastAsia="Arial" w:hint="default"/>
                <w:sz w:val="20"/>
                <w:szCs w:val="20"/>
              </w:rPr>
            </w:pPr>
            <w:hyperlink r:id="rId13">
              <w:r>
                <w:rPr>
                  <w:rFonts w:ascii="Arial" w:hAnsi="Arial" w:cs="Arial" w:eastAsia="Arial" w:hint="default"/>
                  <w:sz w:val="20"/>
                  <w:szCs w:val="20"/>
                </w:rPr>
                <w:t>www.sse.com.cn</w:t>
              </w:r>
            </w:hyperlink>
            <w:r>
              <w:rPr>
                <w:rFonts w:ascii="宋体" w:hAnsi="宋体" w:cs="宋体" w:eastAsia="宋体" w:hint="default"/>
                <w:sz w:val="20"/>
                <w:szCs w:val="20"/>
              </w:rPr>
              <w:t>；</w:t>
            </w:r>
            <w:r>
              <w:rPr>
                <w:rFonts w:ascii="宋体" w:hAnsi="宋体" w:cs="宋体" w:eastAsia="宋体" w:hint="default"/>
                <w:w w:val="100"/>
                <w:sz w:val="20"/>
                <w:szCs w:val="20"/>
              </w:rPr>
              <w:t> </w:t>
            </w:r>
            <w:hyperlink r:id="rId11">
              <w:r>
                <w:rPr>
                  <w:rFonts w:ascii="Arial" w:hAnsi="Arial" w:cs="Arial" w:eastAsia="Arial" w:hint="default"/>
                  <w:sz w:val="20"/>
                  <w:szCs w:val="20"/>
                </w:rPr>
                <w:t>www.chinaunicom-a.com</w:t>
              </w:r>
            </w:hyperlink>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68" w:lineRule="exact"/>
              <w:ind w:left="100"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12</w:t>
            </w:r>
            <w:r>
              <w:rPr>
                <w:rFonts w:ascii="Arial" w:hAnsi="Arial" w:cs="Arial" w:eastAsia="Arial" w:hint="default"/>
                <w:spacing w:val="-7"/>
                <w:sz w:val="20"/>
                <w:szCs w:val="20"/>
              </w:rPr>
              <w:t> </w:t>
            </w:r>
            <w:r>
              <w:rPr>
                <w:rFonts w:ascii="宋体" w:hAnsi="宋体" w:cs="宋体" w:eastAsia="宋体" w:hint="default"/>
                <w:sz w:val="20"/>
                <w:szCs w:val="20"/>
              </w:rPr>
              <w:t>月</w:t>
            </w:r>
          </w:p>
          <w:p>
            <w:pPr>
              <w:pStyle w:val="TableParagraph"/>
              <w:spacing w:line="268" w:lineRule="exact"/>
              <w:ind w:left="100" w:right="0"/>
              <w:jc w:val="left"/>
              <w:rPr>
                <w:rFonts w:ascii="宋体" w:hAnsi="宋体" w:cs="宋体" w:eastAsia="宋体" w:hint="default"/>
                <w:sz w:val="20"/>
                <w:szCs w:val="20"/>
              </w:rPr>
            </w:pPr>
            <w:r>
              <w:rPr>
                <w:rFonts w:ascii="Arial" w:hAnsi="Arial" w:cs="Arial" w:eastAsia="Arial" w:hint="default"/>
                <w:sz w:val="20"/>
                <w:szCs w:val="20"/>
              </w:rPr>
              <w:t>22</w:t>
            </w:r>
            <w:r>
              <w:rPr>
                <w:rFonts w:ascii="Arial" w:hAnsi="Arial" w:cs="Arial" w:eastAsia="Arial" w:hint="default"/>
                <w:spacing w:val="-5"/>
                <w:sz w:val="20"/>
                <w:szCs w:val="20"/>
              </w:rPr>
              <w:t> </w:t>
            </w:r>
            <w:r>
              <w:rPr>
                <w:rFonts w:ascii="宋体" w:hAnsi="宋体" w:cs="宋体" w:eastAsia="宋体" w:hint="default"/>
                <w:sz w:val="20"/>
                <w:szCs w:val="20"/>
              </w:rPr>
              <w:t>日</w:t>
            </w:r>
          </w:p>
        </w:tc>
      </w:tr>
      <w:tr>
        <w:trPr>
          <w:trHeight w:val="1054" w:hRule="exact"/>
        </w:trPr>
        <w:tc>
          <w:tcPr>
            <w:tcW w:w="1097" w:type="dxa"/>
            <w:vMerge/>
            <w:tcBorders>
              <w:left w:val="single" w:sz="6" w:space="0" w:color="000000"/>
              <w:right w:val="single" w:sz="6" w:space="0" w:color="000000"/>
            </w:tcBorders>
          </w:tcPr>
          <w:p>
            <w:pPr/>
          </w:p>
        </w:tc>
        <w:tc>
          <w:tcPr>
            <w:tcW w:w="1036" w:type="dxa"/>
            <w:vMerge/>
            <w:tcBorders>
              <w:left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both"/>
              <w:rPr>
                <w:rFonts w:ascii="宋体" w:hAnsi="宋体" w:cs="宋体" w:eastAsia="宋体" w:hint="default"/>
                <w:sz w:val="20"/>
                <w:szCs w:val="20"/>
              </w:rPr>
            </w:pPr>
            <w:r>
              <w:rPr>
                <w:rFonts w:ascii="宋体" w:hAnsi="宋体" w:cs="宋体" w:eastAsia="宋体" w:hint="default"/>
                <w:sz w:val="20"/>
                <w:szCs w:val="20"/>
              </w:rPr>
              <w:t>关于选举张英海</w:t>
            </w:r>
          </w:p>
          <w:p>
            <w:pPr>
              <w:pStyle w:val="TableParagraph"/>
              <w:spacing w:line="260" w:lineRule="exact" w:before="24"/>
              <w:ind w:left="100" w:right="169"/>
              <w:jc w:val="both"/>
              <w:rPr>
                <w:rFonts w:ascii="宋体" w:hAnsi="宋体" w:cs="宋体" w:eastAsia="宋体" w:hint="default"/>
                <w:sz w:val="20"/>
                <w:szCs w:val="20"/>
              </w:rPr>
            </w:pPr>
            <w:r>
              <w:rPr>
                <w:rFonts w:ascii="宋体" w:hAnsi="宋体" w:cs="宋体" w:eastAsia="宋体" w:hint="default"/>
                <w:sz w:val="20"/>
                <w:szCs w:val="20"/>
              </w:rPr>
              <w:t>先生为第四届董</w:t>
            </w:r>
            <w:r>
              <w:rPr>
                <w:rFonts w:ascii="宋体" w:hAnsi="宋体" w:cs="宋体" w:eastAsia="宋体" w:hint="default"/>
                <w:w w:val="100"/>
                <w:sz w:val="20"/>
                <w:szCs w:val="20"/>
              </w:rPr>
              <w:t> </w:t>
            </w:r>
            <w:r>
              <w:rPr>
                <w:rFonts w:ascii="宋体" w:hAnsi="宋体" w:cs="宋体" w:eastAsia="宋体" w:hint="default"/>
                <w:sz w:val="20"/>
                <w:szCs w:val="20"/>
              </w:rPr>
              <w:t>事会独立董事候</w:t>
            </w:r>
            <w:r>
              <w:rPr>
                <w:rFonts w:ascii="宋体" w:hAnsi="宋体" w:cs="宋体" w:eastAsia="宋体" w:hint="default"/>
                <w:w w:val="100"/>
                <w:sz w:val="20"/>
                <w:szCs w:val="20"/>
              </w:rPr>
              <w:t> </w:t>
            </w:r>
            <w:r>
              <w:rPr>
                <w:rFonts w:ascii="宋体" w:hAnsi="宋体" w:cs="宋体" w:eastAsia="宋体" w:hint="default"/>
                <w:sz w:val="20"/>
                <w:szCs w:val="20"/>
              </w:rPr>
              <w:t>选人的议案</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60" w:lineRule="exact"/>
              <w:ind w:left="100" w:right="249"/>
              <w:jc w:val="left"/>
              <w:rPr>
                <w:rFonts w:ascii="宋体" w:hAnsi="宋体" w:cs="宋体" w:eastAsia="宋体" w:hint="default"/>
                <w:sz w:val="20"/>
                <w:szCs w:val="20"/>
              </w:rPr>
            </w:pPr>
            <w:r>
              <w:rPr>
                <w:rFonts w:ascii="宋体" w:hAnsi="宋体" w:cs="宋体" w:eastAsia="宋体" w:hint="default"/>
                <w:sz w:val="20"/>
                <w:szCs w:val="20"/>
              </w:rPr>
              <w:t>审议通过</w:t>
            </w:r>
            <w:r>
              <w:rPr>
                <w:rFonts w:ascii="宋体" w:hAnsi="宋体" w:cs="宋体" w:eastAsia="宋体" w:hint="default"/>
                <w:w w:val="100"/>
                <w:sz w:val="20"/>
                <w:szCs w:val="20"/>
              </w:rPr>
              <w:t> </w:t>
            </w:r>
            <w:r>
              <w:rPr>
                <w:rFonts w:ascii="宋体" w:hAnsi="宋体" w:cs="宋体" w:eastAsia="宋体" w:hint="default"/>
                <w:sz w:val="20"/>
                <w:szCs w:val="20"/>
              </w:rPr>
              <w:t>全部议案</w:t>
            </w:r>
          </w:p>
        </w:tc>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52" w:lineRule="auto"/>
              <w:ind w:left="100" w:right="98"/>
              <w:jc w:val="left"/>
              <w:rPr>
                <w:rFonts w:ascii="Arial" w:hAnsi="Arial" w:cs="Arial" w:eastAsia="Arial" w:hint="default"/>
                <w:sz w:val="20"/>
                <w:szCs w:val="20"/>
              </w:rPr>
            </w:pPr>
            <w:hyperlink r:id="rId13">
              <w:r>
                <w:rPr>
                  <w:rFonts w:ascii="Arial" w:hAnsi="Arial" w:cs="Arial" w:eastAsia="Arial" w:hint="default"/>
                  <w:sz w:val="20"/>
                  <w:szCs w:val="20"/>
                </w:rPr>
                <w:t>www.sse.com.cn</w:t>
              </w:r>
            </w:hyperlink>
            <w:r>
              <w:rPr>
                <w:rFonts w:ascii="宋体" w:hAnsi="宋体" w:cs="宋体" w:eastAsia="宋体" w:hint="default"/>
                <w:sz w:val="20"/>
                <w:szCs w:val="20"/>
              </w:rPr>
              <w:t>；</w:t>
            </w:r>
            <w:r>
              <w:rPr>
                <w:rFonts w:ascii="宋体" w:hAnsi="宋体" w:cs="宋体" w:eastAsia="宋体" w:hint="default"/>
                <w:w w:val="100"/>
                <w:sz w:val="20"/>
                <w:szCs w:val="20"/>
              </w:rPr>
              <w:t> </w:t>
            </w:r>
            <w:hyperlink r:id="rId11">
              <w:r>
                <w:rPr>
                  <w:rFonts w:ascii="Arial" w:hAnsi="Arial" w:cs="Arial" w:eastAsia="Arial" w:hint="default"/>
                  <w:sz w:val="20"/>
                  <w:szCs w:val="20"/>
                </w:rPr>
                <w:t>www.chinaunicom-a.com</w:t>
              </w:r>
            </w:hyperlink>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68" w:lineRule="exact"/>
              <w:ind w:left="100"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12</w:t>
            </w:r>
            <w:r>
              <w:rPr>
                <w:rFonts w:ascii="Arial" w:hAnsi="Arial" w:cs="Arial" w:eastAsia="Arial" w:hint="default"/>
                <w:spacing w:val="-7"/>
                <w:sz w:val="20"/>
                <w:szCs w:val="20"/>
              </w:rPr>
              <w:t> </w:t>
            </w:r>
            <w:r>
              <w:rPr>
                <w:rFonts w:ascii="宋体" w:hAnsi="宋体" w:cs="宋体" w:eastAsia="宋体" w:hint="default"/>
                <w:sz w:val="20"/>
                <w:szCs w:val="20"/>
              </w:rPr>
              <w:t>月</w:t>
            </w:r>
          </w:p>
          <w:p>
            <w:pPr>
              <w:pStyle w:val="TableParagraph"/>
              <w:spacing w:line="268" w:lineRule="exact"/>
              <w:ind w:left="100" w:right="0"/>
              <w:jc w:val="left"/>
              <w:rPr>
                <w:rFonts w:ascii="宋体" w:hAnsi="宋体" w:cs="宋体" w:eastAsia="宋体" w:hint="default"/>
                <w:sz w:val="20"/>
                <w:szCs w:val="20"/>
              </w:rPr>
            </w:pPr>
            <w:r>
              <w:rPr>
                <w:rFonts w:ascii="Arial" w:hAnsi="Arial" w:cs="Arial" w:eastAsia="Arial" w:hint="default"/>
                <w:sz w:val="20"/>
                <w:szCs w:val="20"/>
              </w:rPr>
              <w:t>22</w:t>
            </w:r>
            <w:r>
              <w:rPr>
                <w:rFonts w:ascii="Arial" w:hAnsi="Arial" w:cs="Arial" w:eastAsia="Arial" w:hint="default"/>
                <w:spacing w:val="-5"/>
                <w:sz w:val="20"/>
                <w:szCs w:val="20"/>
              </w:rPr>
              <w:t> </w:t>
            </w:r>
            <w:r>
              <w:rPr>
                <w:rFonts w:ascii="宋体" w:hAnsi="宋体" w:cs="宋体" w:eastAsia="宋体" w:hint="default"/>
                <w:sz w:val="20"/>
                <w:szCs w:val="20"/>
              </w:rPr>
              <w:t>日</w:t>
            </w:r>
          </w:p>
        </w:tc>
      </w:tr>
      <w:tr>
        <w:trPr>
          <w:trHeight w:val="1052" w:hRule="exact"/>
        </w:trPr>
        <w:tc>
          <w:tcPr>
            <w:tcW w:w="1097" w:type="dxa"/>
            <w:vMerge/>
            <w:tcBorders>
              <w:left w:val="single" w:sz="6" w:space="0" w:color="000000"/>
              <w:right w:val="single" w:sz="6" w:space="0" w:color="000000"/>
            </w:tcBorders>
          </w:tcPr>
          <w:p>
            <w:pPr/>
          </w:p>
        </w:tc>
        <w:tc>
          <w:tcPr>
            <w:tcW w:w="1036" w:type="dxa"/>
            <w:vMerge/>
            <w:tcBorders>
              <w:left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both"/>
              <w:rPr>
                <w:rFonts w:ascii="宋体" w:hAnsi="宋体" w:cs="宋体" w:eastAsia="宋体" w:hint="default"/>
                <w:sz w:val="20"/>
                <w:szCs w:val="20"/>
              </w:rPr>
            </w:pPr>
            <w:r>
              <w:rPr>
                <w:rFonts w:ascii="宋体" w:hAnsi="宋体" w:cs="宋体" w:eastAsia="宋体" w:hint="default"/>
                <w:sz w:val="20"/>
                <w:szCs w:val="20"/>
              </w:rPr>
              <w:t>关于选举夏大慰</w:t>
            </w:r>
          </w:p>
          <w:p>
            <w:pPr>
              <w:pStyle w:val="TableParagraph"/>
              <w:spacing w:line="237" w:lineRule="auto" w:before="1"/>
              <w:ind w:left="100" w:right="169"/>
              <w:jc w:val="both"/>
              <w:rPr>
                <w:rFonts w:ascii="宋体" w:hAnsi="宋体" w:cs="宋体" w:eastAsia="宋体" w:hint="default"/>
                <w:sz w:val="20"/>
                <w:szCs w:val="20"/>
              </w:rPr>
            </w:pPr>
            <w:r>
              <w:rPr>
                <w:rFonts w:ascii="宋体" w:hAnsi="宋体" w:cs="宋体" w:eastAsia="宋体" w:hint="default"/>
                <w:sz w:val="20"/>
                <w:szCs w:val="20"/>
              </w:rPr>
              <w:t>先生为第四届董</w:t>
            </w:r>
            <w:r>
              <w:rPr>
                <w:rFonts w:ascii="宋体" w:hAnsi="宋体" w:cs="宋体" w:eastAsia="宋体" w:hint="default"/>
                <w:w w:val="100"/>
                <w:sz w:val="20"/>
                <w:szCs w:val="20"/>
              </w:rPr>
              <w:t> </w:t>
            </w:r>
            <w:r>
              <w:rPr>
                <w:rFonts w:ascii="宋体" w:hAnsi="宋体" w:cs="宋体" w:eastAsia="宋体" w:hint="default"/>
                <w:sz w:val="20"/>
                <w:szCs w:val="20"/>
              </w:rPr>
              <w:t>事会独立董事候</w:t>
            </w:r>
            <w:r>
              <w:rPr>
                <w:rFonts w:ascii="宋体" w:hAnsi="宋体" w:cs="宋体" w:eastAsia="宋体" w:hint="default"/>
                <w:w w:val="100"/>
                <w:sz w:val="20"/>
                <w:szCs w:val="20"/>
              </w:rPr>
              <w:t> </w:t>
            </w:r>
            <w:r>
              <w:rPr>
                <w:rFonts w:ascii="宋体" w:hAnsi="宋体" w:cs="宋体" w:eastAsia="宋体" w:hint="default"/>
                <w:sz w:val="20"/>
                <w:szCs w:val="20"/>
              </w:rPr>
              <w:t>选人的议案</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60" w:lineRule="exact"/>
              <w:ind w:left="100" w:right="249"/>
              <w:jc w:val="left"/>
              <w:rPr>
                <w:rFonts w:ascii="宋体" w:hAnsi="宋体" w:cs="宋体" w:eastAsia="宋体" w:hint="default"/>
                <w:sz w:val="20"/>
                <w:szCs w:val="20"/>
              </w:rPr>
            </w:pPr>
            <w:r>
              <w:rPr>
                <w:rFonts w:ascii="宋体" w:hAnsi="宋体" w:cs="宋体" w:eastAsia="宋体" w:hint="default"/>
                <w:sz w:val="20"/>
                <w:szCs w:val="20"/>
              </w:rPr>
              <w:t>审议通过</w:t>
            </w:r>
            <w:r>
              <w:rPr>
                <w:rFonts w:ascii="宋体" w:hAnsi="宋体" w:cs="宋体" w:eastAsia="宋体" w:hint="default"/>
                <w:w w:val="100"/>
                <w:sz w:val="20"/>
                <w:szCs w:val="20"/>
              </w:rPr>
              <w:t> </w:t>
            </w:r>
            <w:r>
              <w:rPr>
                <w:rFonts w:ascii="宋体" w:hAnsi="宋体" w:cs="宋体" w:eastAsia="宋体" w:hint="default"/>
                <w:sz w:val="20"/>
                <w:szCs w:val="20"/>
              </w:rPr>
              <w:t>全部议案</w:t>
            </w:r>
          </w:p>
        </w:tc>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52" w:lineRule="auto"/>
              <w:ind w:left="100" w:right="98"/>
              <w:jc w:val="left"/>
              <w:rPr>
                <w:rFonts w:ascii="Arial" w:hAnsi="Arial" w:cs="Arial" w:eastAsia="Arial" w:hint="default"/>
                <w:sz w:val="20"/>
                <w:szCs w:val="20"/>
              </w:rPr>
            </w:pPr>
            <w:hyperlink r:id="rId13">
              <w:r>
                <w:rPr>
                  <w:rFonts w:ascii="Arial" w:hAnsi="Arial" w:cs="Arial" w:eastAsia="Arial" w:hint="default"/>
                  <w:sz w:val="20"/>
                  <w:szCs w:val="20"/>
                </w:rPr>
                <w:t>www.sse.com.cn</w:t>
              </w:r>
            </w:hyperlink>
            <w:r>
              <w:rPr>
                <w:rFonts w:ascii="宋体" w:hAnsi="宋体" w:cs="宋体" w:eastAsia="宋体" w:hint="default"/>
                <w:sz w:val="20"/>
                <w:szCs w:val="20"/>
              </w:rPr>
              <w:t>；</w:t>
            </w:r>
            <w:r>
              <w:rPr>
                <w:rFonts w:ascii="宋体" w:hAnsi="宋体" w:cs="宋体" w:eastAsia="宋体" w:hint="default"/>
                <w:w w:val="100"/>
                <w:sz w:val="20"/>
                <w:szCs w:val="20"/>
              </w:rPr>
              <w:t> </w:t>
            </w:r>
            <w:hyperlink r:id="rId11">
              <w:r>
                <w:rPr>
                  <w:rFonts w:ascii="Arial" w:hAnsi="Arial" w:cs="Arial" w:eastAsia="Arial" w:hint="default"/>
                  <w:sz w:val="20"/>
                  <w:szCs w:val="20"/>
                </w:rPr>
                <w:t>www.chinaunicom-a.com</w:t>
              </w:r>
            </w:hyperlink>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68" w:lineRule="exact"/>
              <w:ind w:left="100"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12</w:t>
            </w:r>
            <w:r>
              <w:rPr>
                <w:rFonts w:ascii="Arial" w:hAnsi="Arial" w:cs="Arial" w:eastAsia="Arial" w:hint="default"/>
                <w:spacing w:val="-7"/>
                <w:sz w:val="20"/>
                <w:szCs w:val="20"/>
              </w:rPr>
              <w:t> </w:t>
            </w:r>
            <w:r>
              <w:rPr>
                <w:rFonts w:ascii="宋体" w:hAnsi="宋体" w:cs="宋体" w:eastAsia="宋体" w:hint="default"/>
                <w:sz w:val="20"/>
                <w:szCs w:val="20"/>
              </w:rPr>
              <w:t>月</w:t>
            </w:r>
          </w:p>
          <w:p>
            <w:pPr>
              <w:pStyle w:val="TableParagraph"/>
              <w:spacing w:line="268" w:lineRule="exact"/>
              <w:ind w:left="100" w:right="0"/>
              <w:jc w:val="left"/>
              <w:rPr>
                <w:rFonts w:ascii="宋体" w:hAnsi="宋体" w:cs="宋体" w:eastAsia="宋体" w:hint="default"/>
                <w:sz w:val="20"/>
                <w:szCs w:val="20"/>
              </w:rPr>
            </w:pPr>
            <w:r>
              <w:rPr>
                <w:rFonts w:ascii="Arial" w:hAnsi="Arial" w:cs="Arial" w:eastAsia="Arial" w:hint="default"/>
                <w:sz w:val="20"/>
                <w:szCs w:val="20"/>
              </w:rPr>
              <w:t>22</w:t>
            </w:r>
            <w:r>
              <w:rPr>
                <w:rFonts w:ascii="Arial" w:hAnsi="Arial" w:cs="Arial" w:eastAsia="Arial" w:hint="default"/>
                <w:spacing w:val="-5"/>
                <w:sz w:val="20"/>
                <w:szCs w:val="20"/>
              </w:rPr>
              <w:t> </w:t>
            </w:r>
            <w:r>
              <w:rPr>
                <w:rFonts w:ascii="宋体" w:hAnsi="宋体" w:cs="宋体" w:eastAsia="宋体" w:hint="default"/>
                <w:sz w:val="20"/>
                <w:szCs w:val="20"/>
              </w:rPr>
              <w:t>日</w:t>
            </w:r>
          </w:p>
        </w:tc>
      </w:tr>
      <w:tr>
        <w:trPr>
          <w:trHeight w:val="1053" w:hRule="exact"/>
        </w:trPr>
        <w:tc>
          <w:tcPr>
            <w:tcW w:w="1097" w:type="dxa"/>
            <w:vMerge/>
            <w:tcBorders>
              <w:left w:val="single" w:sz="6" w:space="0" w:color="000000"/>
              <w:right w:val="single" w:sz="6" w:space="0" w:color="000000"/>
            </w:tcBorders>
          </w:tcPr>
          <w:p>
            <w:pPr/>
          </w:p>
        </w:tc>
        <w:tc>
          <w:tcPr>
            <w:tcW w:w="1036" w:type="dxa"/>
            <w:vMerge/>
            <w:tcBorders>
              <w:left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both"/>
              <w:rPr>
                <w:rFonts w:ascii="宋体" w:hAnsi="宋体" w:cs="宋体" w:eastAsia="宋体" w:hint="default"/>
                <w:sz w:val="20"/>
                <w:szCs w:val="20"/>
              </w:rPr>
            </w:pPr>
            <w:r>
              <w:rPr>
                <w:rFonts w:ascii="宋体" w:hAnsi="宋体" w:cs="宋体" w:eastAsia="宋体" w:hint="default"/>
                <w:sz w:val="20"/>
                <w:szCs w:val="20"/>
              </w:rPr>
              <w:t>关于选举李建国</w:t>
            </w:r>
          </w:p>
          <w:p>
            <w:pPr>
              <w:pStyle w:val="TableParagraph"/>
              <w:spacing w:line="237" w:lineRule="auto" w:before="1"/>
              <w:ind w:left="100" w:right="169"/>
              <w:jc w:val="both"/>
              <w:rPr>
                <w:rFonts w:ascii="宋体" w:hAnsi="宋体" w:cs="宋体" w:eastAsia="宋体" w:hint="default"/>
                <w:sz w:val="20"/>
                <w:szCs w:val="20"/>
              </w:rPr>
            </w:pPr>
            <w:r>
              <w:rPr>
                <w:rFonts w:ascii="宋体" w:hAnsi="宋体" w:cs="宋体" w:eastAsia="宋体" w:hint="default"/>
                <w:sz w:val="20"/>
                <w:szCs w:val="20"/>
              </w:rPr>
              <w:t>女士为第四届监</w:t>
            </w:r>
            <w:r>
              <w:rPr>
                <w:rFonts w:ascii="宋体" w:hAnsi="宋体" w:cs="宋体" w:eastAsia="宋体" w:hint="default"/>
                <w:w w:val="100"/>
                <w:sz w:val="20"/>
                <w:szCs w:val="20"/>
              </w:rPr>
              <w:t> </w:t>
            </w:r>
            <w:r>
              <w:rPr>
                <w:rFonts w:ascii="宋体" w:hAnsi="宋体" w:cs="宋体" w:eastAsia="宋体" w:hint="default"/>
                <w:sz w:val="20"/>
                <w:szCs w:val="20"/>
              </w:rPr>
              <w:t>事会监事候选人</w:t>
            </w:r>
            <w:r>
              <w:rPr>
                <w:rFonts w:ascii="宋体" w:hAnsi="宋体" w:cs="宋体" w:eastAsia="宋体" w:hint="default"/>
                <w:w w:val="100"/>
                <w:sz w:val="20"/>
                <w:szCs w:val="20"/>
              </w:rPr>
              <w:t> </w:t>
            </w:r>
            <w:r>
              <w:rPr>
                <w:rFonts w:ascii="宋体" w:hAnsi="宋体" w:cs="宋体" w:eastAsia="宋体" w:hint="default"/>
                <w:sz w:val="20"/>
                <w:szCs w:val="20"/>
              </w:rPr>
              <w:t>的议案</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60" w:lineRule="exact"/>
              <w:ind w:left="100" w:right="249"/>
              <w:jc w:val="left"/>
              <w:rPr>
                <w:rFonts w:ascii="宋体" w:hAnsi="宋体" w:cs="宋体" w:eastAsia="宋体" w:hint="default"/>
                <w:sz w:val="20"/>
                <w:szCs w:val="20"/>
              </w:rPr>
            </w:pPr>
            <w:r>
              <w:rPr>
                <w:rFonts w:ascii="宋体" w:hAnsi="宋体" w:cs="宋体" w:eastAsia="宋体" w:hint="default"/>
                <w:sz w:val="20"/>
                <w:szCs w:val="20"/>
              </w:rPr>
              <w:t>审议通过</w:t>
            </w:r>
            <w:r>
              <w:rPr>
                <w:rFonts w:ascii="宋体" w:hAnsi="宋体" w:cs="宋体" w:eastAsia="宋体" w:hint="default"/>
                <w:w w:val="100"/>
                <w:sz w:val="20"/>
                <w:szCs w:val="20"/>
              </w:rPr>
              <w:t> </w:t>
            </w:r>
            <w:r>
              <w:rPr>
                <w:rFonts w:ascii="宋体" w:hAnsi="宋体" w:cs="宋体" w:eastAsia="宋体" w:hint="default"/>
                <w:sz w:val="20"/>
                <w:szCs w:val="20"/>
              </w:rPr>
              <w:t>全部议案</w:t>
            </w:r>
          </w:p>
        </w:tc>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52" w:lineRule="auto"/>
              <w:ind w:left="100" w:right="98"/>
              <w:jc w:val="left"/>
              <w:rPr>
                <w:rFonts w:ascii="Arial" w:hAnsi="Arial" w:cs="Arial" w:eastAsia="Arial" w:hint="default"/>
                <w:sz w:val="20"/>
                <w:szCs w:val="20"/>
              </w:rPr>
            </w:pPr>
            <w:hyperlink r:id="rId13">
              <w:r>
                <w:rPr>
                  <w:rFonts w:ascii="Arial" w:hAnsi="Arial" w:cs="Arial" w:eastAsia="Arial" w:hint="default"/>
                  <w:sz w:val="20"/>
                  <w:szCs w:val="20"/>
                </w:rPr>
                <w:t>www.sse.com.cn</w:t>
              </w:r>
            </w:hyperlink>
            <w:r>
              <w:rPr>
                <w:rFonts w:ascii="宋体" w:hAnsi="宋体" w:cs="宋体" w:eastAsia="宋体" w:hint="default"/>
                <w:sz w:val="20"/>
                <w:szCs w:val="20"/>
              </w:rPr>
              <w:t>；</w:t>
            </w:r>
            <w:r>
              <w:rPr>
                <w:rFonts w:ascii="宋体" w:hAnsi="宋体" w:cs="宋体" w:eastAsia="宋体" w:hint="default"/>
                <w:w w:val="100"/>
                <w:sz w:val="20"/>
                <w:szCs w:val="20"/>
              </w:rPr>
              <w:t> </w:t>
            </w:r>
            <w:hyperlink r:id="rId11">
              <w:r>
                <w:rPr>
                  <w:rFonts w:ascii="Arial" w:hAnsi="Arial" w:cs="Arial" w:eastAsia="Arial" w:hint="default"/>
                  <w:sz w:val="20"/>
                  <w:szCs w:val="20"/>
                </w:rPr>
                <w:t>www.chinaunicom-a.com</w:t>
              </w:r>
            </w:hyperlink>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68" w:lineRule="exact"/>
              <w:ind w:left="100"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12</w:t>
            </w:r>
            <w:r>
              <w:rPr>
                <w:rFonts w:ascii="Arial" w:hAnsi="Arial" w:cs="Arial" w:eastAsia="Arial" w:hint="default"/>
                <w:spacing w:val="-7"/>
                <w:sz w:val="20"/>
                <w:szCs w:val="20"/>
              </w:rPr>
              <w:t> </w:t>
            </w:r>
            <w:r>
              <w:rPr>
                <w:rFonts w:ascii="宋体" w:hAnsi="宋体" w:cs="宋体" w:eastAsia="宋体" w:hint="default"/>
                <w:sz w:val="20"/>
                <w:szCs w:val="20"/>
              </w:rPr>
              <w:t>月</w:t>
            </w:r>
          </w:p>
          <w:p>
            <w:pPr>
              <w:pStyle w:val="TableParagraph"/>
              <w:spacing w:line="268" w:lineRule="exact"/>
              <w:ind w:left="100" w:right="0"/>
              <w:jc w:val="left"/>
              <w:rPr>
                <w:rFonts w:ascii="宋体" w:hAnsi="宋体" w:cs="宋体" w:eastAsia="宋体" w:hint="default"/>
                <w:sz w:val="20"/>
                <w:szCs w:val="20"/>
              </w:rPr>
            </w:pPr>
            <w:r>
              <w:rPr>
                <w:rFonts w:ascii="Arial" w:hAnsi="Arial" w:cs="Arial" w:eastAsia="Arial" w:hint="default"/>
                <w:sz w:val="20"/>
                <w:szCs w:val="20"/>
              </w:rPr>
              <w:t>22</w:t>
            </w:r>
            <w:r>
              <w:rPr>
                <w:rFonts w:ascii="Arial" w:hAnsi="Arial" w:cs="Arial" w:eastAsia="Arial" w:hint="default"/>
                <w:spacing w:val="-5"/>
                <w:sz w:val="20"/>
                <w:szCs w:val="20"/>
              </w:rPr>
              <w:t> </w:t>
            </w:r>
            <w:r>
              <w:rPr>
                <w:rFonts w:ascii="宋体" w:hAnsi="宋体" w:cs="宋体" w:eastAsia="宋体" w:hint="default"/>
                <w:sz w:val="20"/>
                <w:szCs w:val="20"/>
              </w:rPr>
              <w:t>日</w:t>
            </w:r>
          </w:p>
        </w:tc>
      </w:tr>
      <w:tr>
        <w:trPr>
          <w:trHeight w:val="1052" w:hRule="exact"/>
        </w:trPr>
        <w:tc>
          <w:tcPr>
            <w:tcW w:w="1097" w:type="dxa"/>
            <w:vMerge/>
            <w:tcBorders>
              <w:left w:val="single" w:sz="6" w:space="0" w:color="000000"/>
              <w:right w:val="single" w:sz="6" w:space="0" w:color="000000"/>
            </w:tcBorders>
          </w:tcPr>
          <w:p>
            <w:pPr/>
          </w:p>
        </w:tc>
        <w:tc>
          <w:tcPr>
            <w:tcW w:w="1036" w:type="dxa"/>
            <w:vMerge/>
            <w:tcBorders>
              <w:left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both"/>
              <w:rPr>
                <w:rFonts w:ascii="宋体" w:hAnsi="宋体" w:cs="宋体" w:eastAsia="宋体" w:hint="default"/>
                <w:sz w:val="20"/>
                <w:szCs w:val="20"/>
              </w:rPr>
            </w:pPr>
            <w:r>
              <w:rPr>
                <w:rFonts w:ascii="宋体" w:hAnsi="宋体" w:cs="宋体" w:eastAsia="宋体" w:hint="default"/>
                <w:sz w:val="20"/>
                <w:szCs w:val="20"/>
              </w:rPr>
              <w:t>关于选举郭小林</w:t>
            </w:r>
          </w:p>
          <w:p>
            <w:pPr>
              <w:pStyle w:val="TableParagraph"/>
              <w:spacing w:line="237" w:lineRule="auto" w:before="1"/>
              <w:ind w:left="100" w:right="169"/>
              <w:jc w:val="both"/>
              <w:rPr>
                <w:rFonts w:ascii="宋体" w:hAnsi="宋体" w:cs="宋体" w:eastAsia="宋体" w:hint="default"/>
                <w:sz w:val="20"/>
                <w:szCs w:val="20"/>
              </w:rPr>
            </w:pPr>
            <w:r>
              <w:rPr>
                <w:rFonts w:ascii="宋体" w:hAnsi="宋体" w:cs="宋体" w:eastAsia="宋体" w:hint="default"/>
                <w:sz w:val="20"/>
                <w:szCs w:val="20"/>
              </w:rPr>
              <w:t>女士为第四届监</w:t>
            </w:r>
            <w:r>
              <w:rPr>
                <w:rFonts w:ascii="宋体" w:hAnsi="宋体" w:cs="宋体" w:eastAsia="宋体" w:hint="default"/>
                <w:w w:val="100"/>
                <w:sz w:val="20"/>
                <w:szCs w:val="20"/>
              </w:rPr>
              <w:t> </w:t>
            </w:r>
            <w:r>
              <w:rPr>
                <w:rFonts w:ascii="宋体" w:hAnsi="宋体" w:cs="宋体" w:eastAsia="宋体" w:hint="default"/>
                <w:sz w:val="20"/>
                <w:szCs w:val="20"/>
              </w:rPr>
              <w:t>事会监事候选人</w:t>
            </w:r>
            <w:r>
              <w:rPr>
                <w:rFonts w:ascii="宋体" w:hAnsi="宋体" w:cs="宋体" w:eastAsia="宋体" w:hint="default"/>
                <w:w w:val="100"/>
                <w:sz w:val="20"/>
                <w:szCs w:val="20"/>
              </w:rPr>
              <w:t> </w:t>
            </w:r>
            <w:r>
              <w:rPr>
                <w:rFonts w:ascii="宋体" w:hAnsi="宋体" w:cs="宋体" w:eastAsia="宋体" w:hint="default"/>
                <w:sz w:val="20"/>
                <w:szCs w:val="20"/>
              </w:rPr>
              <w:t>的议案</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0" w:right="249"/>
              <w:jc w:val="left"/>
              <w:rPr>
                <w:rFonts w:ascii="宋体" w:hAnsi="宋体" w:cs="宋体" w:eastAsia="宋体" w:hint="default"/>
                <w:sz w:val="20"/>
                <w:szCs w:val="20"/>
              </w:rPr>
            </w:pPr>
            <w:r>
              <w:rPr>
                <w:rFonts w:ascii="宋体" w:hAnsi="宋体" w:cs="宋体" w:eastAsia="宋体" w:hint="default"/>
                <w:sz w:val="20"/>
                <w:szCs w:val="20"/>
              </w:rPr>
              <w:t>审议通过</w:t>
            </w:r>
            <w:r>
              <w:rPr>
                <w:rFonts w:ascii="宋体" w:hAnsi="宋体" w:cs="宋体" w:eastAsia="宋体" w:hint="default"/>
                <w:w w:val="100"/>
                <w:sz w:val="20"/>
                <w:szCs w:val="20"/>
              </w:rPr>
              <w:t> </w:t>
            </w:r>
            <w:r>
              <w:rPr>
                <w:rFonts w:ascii="宋体" w:hAnsi="宋体" w:cs="宋体" w:eastAsia="宋体" w:hint="default"/>
                <w:sz w:val="20"/>
                <w:szCs w:val="20"/>
              </w:rPr>
              <w:t>全部议案</w:t>
            </w:r>
          </w:p>
        </w:tc>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52" w:lineRule="auto"/>
              <w:ind w:left="100" w:right="98"/>
              <w:jc w:val="left"/>
              <w:rPr>
                <w:rFonts w:ascii="Arial" w:hAnsi="Arial" w:cs="Arial" w:eastAsia="Arial" w:hint="default"/>
                <w:sz w:val="20"/>
                <w:szCs w:val="20"/>
              </w:rPr>
            </w:pPr>
            <w:hyperlink r:id="rId13">
              <w:r>
                <w:rPr>
                  <w:rFonts w:ascii="Arial" w:hAnsi="Arial" w:cs="Arial" w:eastAsia="Arial" w:hint="default"/>
                  <w:sz w:val="20"/>
                  <w:szCs w:val="20"/>
                </w:rPr>
                <w:t>www.sse.com.cn</w:t>
              </w:r>
            </w:hyperlink>
            <w:r>
              <w:rPr>
                <w:rFonts w:ascii="宋体" w:hAnsi="宋体" w:cs="宋体" w:eastAsia="宋体" w:hint="default"/>
                <w:sz w:val="20"/>
                <w:szCs w:val="20"/>
              </w:rPr>
              <w:t>；</w:t>
            </w:r>
            <w:r>
              <w:rPr>
                <w:rFonts w:ascii="宋体" w:hAnsi="宋体" w:cs="宋体" w:eastAsia="宋体" w:hint="default"/>
                <w:w w:val="100"/>
                <w:sz w:val="20"/>
                <w:szCs w:val="20"/>
              </w:rPr>
              <w:t> </w:t>
            </w:r>
            <w:hyperlink r:id="rId11">
              <w:r>
                <w:rPr>
                  <w:rFonts w:ascii="Arial" w:hAnsi="Arial" w:cs="Arial" w:eastAsia="Arial" w:hint="default"/>
                  <w:sz w:val="20"/>
                  <w:szCs w:val="20"/>
                </w:rPr>
                <w:t>www.chinaunicom-a.com</w:t>
              </w:r>
            </w:hyperlink>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68" w:lineRule="exact"/>
              <w:ind w:left="100"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12</w:t>
            </w:r>
            <w:r>
              <w:rPr>
                <w:rFonts w:ascii="Arial" w:hAnsi="Arial" w:cs="Arial" w:eastAsia="Arial" w:hint="default"/>
                <w:spacing w:val="-7"/>
                <w:sz w:val="20"/>
                <w:szCs w:val="20"/>
              </w:rPr>
              <w:t> </w:t>
            </w:r>
            <w:r>
              <w:rPr>
                <w:rFonts w:ascii="宋体" w:hAnsi="宋体" w:cs="宋体" w:eastAsia="宋体" w:hint="default"/>
                <w:sz w:val="20"/>
                <w:szCs w:val="20"/>
              </w:rPr>
              <w:t>月</w:t>
            </w:r>
          </w:p>
          <w:p>
            <w:pPr>
              <w:pStyle w:val="TableParagraph"/>
              <w:spacing w:line="268" w:lineRule="exact"/>
              <w:ind w:left="100" w:right="0"/>
              <w:jc w:val="left"/>
              <w:rPr>
                <w:rFonts w:ascii="宋体" w:hAnsi="宋体" w:cs="宋体" w:eastAsia="宋体" w:hint="default"/>
                <w:sz w:val="20"/>
                <w:szCs w:val="20"/>
              </w:rPr>
            </w:pPr>
            <w:r>
              <w:rPr>
                <w:rFonts w:ascii="Arial" w:hAnsi="Arial" w:cs="Arial" w:eastAsia="Arial" w:hint="default"/>
                <w:sz w:val="20"/>
                <w:szCs w:val="20"/>
              </w:rPr>
              <w:t>22</w:t>
            </w:r>
            <w:r>
              <w:rPr>
                <w:rFonts w:ascii="Arial" w:hAnsi="Arial" w:cs="Arial" w:eastAsia="Arial" w:hint="default"/>
                <w:spacing w:val="-5"/>
                <w:sz w:val="20"/>
                <w:szCs w:val="20"/>
              </w:rPr>
              <w:t> </w:t>
            </w:r>
            <w:r>
              <w:rPr>
                <w:rFonts w:ascii="宋体" w:hAnsi="宋体" w:cs="宋体" w:eastAsia="宋体" w:hint="default"/>
                <w:sz w:val="20"/>
                <w:szCs w:val="20"/>
              </w:rPr>
              <w:t>日</w:t>
            </w:r>
          </w:p>
        </w:tc>
      </w:tr>
      <w:tr>
        <w:trPr>
          <w:trHeight w:val="1052" w:hRule="exact"/>
        </w:trPr>
        <w:tc>
          <w:tcPr>
            <w:tcW w:w="1097" w:type="dxa"/>
            <w:vMerge/>
            <w:tcBorders>
              <w:left w:val="single" w:sz="6" w:space="0" w:color="000000"/>
              <w:right w:val="single" w:sz="6" w:space="0" w:color="000000"/>
            </w:tcBorders>
          </w:tcPr>
          <w:p>
            <w:pPr/>
          </w:p>
        </w:tc>
        <w:tc>
          <w:tcPr>
            <w:tcW w:w="1036" w:type="dxa"/>
            <w:vMerge/>
            <w:tcBorders>
              <w:left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both"/>
              <w:rPr>
                <w:rFonts w:ascii="宋体" w:hAnsi="宋体" w:cs="宋体" w:eastAsia="宋体" w:hint="default"/>
                <w:sz w:val="20"/>
                <w:szCs w:val="20"/>
              </w:rPr>
            </w:pPr>
            <w:r>
              <w:rPr>
                <w:rFonts w:ascii="宋体" w:hAnsi="宋体" w:cs="宋体" w:eastAsia="宋体" w:hint="default"/>
                <w:sz w:val="20"/>
                <w:szCs w:val="20"/>
              </w:rPr>
              <w:t>关于收购联通新</w:t>
            </w:r>
          </w:p>
          <w:p>
            <w:pPr>
              <w:pStyle w:val="TableParagraph"/>
              <w:spacing w:line="232" w:lineRule="auto" w:before="5"/>
              <w:ind w:left="100" w:right="169"/>
              <w:jc w:val="both"/>
              <w:rPr>
                <w:rFonts w:ascii="宋体" w:hAnsi="宋体" w:cs="宋体" w:eastAsia="宋体" w:hint="default"/>
                <w:sz w:val="20"/>
                <w:szCs w:val="20"/>
              </w:rPr>
            </w:pPr>
            <w:r>
              <w:rPr>
                <w:rFonts w:ascii="宋体" w:hAnsi="宋体" w:cs="宋体" w:eastAsia="宋体" w:hint="default"/>
                <w:sz w:val="20"/>
                <w:szCs w:val="20"/>
              </w:rPr>
              <w:t>时空通信有限公</w:t>
            </w:r>
            <w:r>
              <w:rPr>
                <w:rFonts w:ascii="宋体" w:hAnsi="宋体" w:cs="宋体" w:eastAsia="宋体" w:hint="default"/>
                <w:w w:val="100"/>
                <w:sz w:val="20"/>
                <w:szCs w:val="20"/>
              </w:rPr>
              <w:t> </w:t>
            </w:r>
            <w:r>
              <w:rPr>
                <w:rFonts w:ascii="宋体" w:hAnsi="宋体" w:cs="宋体" w:eastAsia="宋体" w:hint="default"/>
                <w:sz w:val="20"/>
                <w:szCs w:val="20"/>
              </w:rPr>
              <w:t>司的</w:t>
            </w:r>
            <w:r>
              <w:rPr>
                <w:rFonts w:ascii="宋体" w:hAnsi="宋体" w:cs="宋体" w:eastAsia="宋体" w:hint="default"/>
                <w:spacing w:val="-52"/>
                <w:sz w:val="20"/>
                <w:szCs w:val="20"/>
              </w:rPr>
              <w:t> </w:t>
            </w:r>
            <w:r>
              <w:rPr>
                <w:rFonts w:ascii="Arial" w:hAnsi="Arial" w:cs="Arial" w:eastAsia="Arial" w:hint="default"/>
                <w:sz w:val="20"/>
                <w:szCs w:val="20"/>
              </w:rPr>
              <w:t>100%</w:t>
            </w:r>
            <w:r>
              <w:rPr>
                <w:rFonts w:ascii="宋体" w:hAnsi="宋体" w:cs="宋体" w:eastAsia="宋体" w:hint="default"/>
                <w:sz w:val="20"/>
                <w:szCs w:val="20"/>
              </w:rPr>
              <w:t>股权</w:t>
            </w:r>
            <w:r>
              <w:rPr>
                <w:rFonts w:ascii="宋体" w:hAnsi="宋体" w:cs="宋体" w:eastAsia="宋体" w:hint="default"/>
                <w:spacing w:val="-2"/>
                <w:w w:val="100"/>
                <w:sz w:val="20"/>
                <w:szCs w:val="20"/>
              </w:rPr>
              <w:t> </w:t>
            </w:r>
            <w:r>
              <w:rPr>
                <w:rFonts w:ascii="宋体" w:hAnsi="宋体" w:cs="宋体" w:eastAsia="宋体" w:hint="default"/>
                <w:sz w:val="20"/>
                <w:szCs w:val="20"/>
              </w:rPr>
              <w:t>的议案</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0" w:right="249"/>
              <w:jc w:val="left"/>
              <w:rPr>
                <w:rFonts w:ascii="宋体" w:hAnsi="宋体" w:cs="宋体" w:eastAsia="宋体" w:hint="default"/>
                <w:sz w:val="20"/>
                <w:szCs w:val="20"/>
              </w:rPr>
            </w:pPr>
            <w:r>
              <w:rPr>
                <w:rFonts w:ascii="宋体" w:hAnsi="宋体" w:cs="宋体" w:eastAsia="宋体" w:hint="default"/>
                <w:sz w:val="20"/>
                <w:szCs w:val="20"/>
              </w:rPr>
              <w:t>审议通过</w:t>
            </w:r>
            <w:r>
              <w:rPr>
                <w:rFonts w:ascii="宋体" w:hAnsi="宋体" w:cs="宋体" w:eastAsia="宋体" w:hint="default"/>
                <w:w w:val="100"/>
                <w:sz w:val="20"/>
                <w:szCs w:val="20"/>
              </w:rPr>
              <w:t> </w:t>
            </w:r>
            <w:r>
              <w:rPr>
                <w:rFonts w:ascii="宋体" w:hAnsi="宋体" w:cs="宋体" w:eastAsia="宋体" w:hint="default"/>
                <w:sz w:val="20"/>
                <w:szCs w:val="20"/>
              </w:rPr>
              <w:t>全部议案</w:t>
            </w:r>
          </w:p>
        </w:tc>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52" w:lineRule="auto"/>
              <w:ind w:left="100" w:right="98"/>
              <w:jc w:val="left"/>
              <w:rPr>
                <w:rFonts w:ascii="Arial" w:hAnsi="Arial" w:cs="Arial" w:eastAsia="Arial" w:hint="default"/>
                <w:sz w:val="20"/>
                <w:szCs w:val="20"/>
              </w:rPr>
            </w:pPr>
            <w:hyperlink r:id="rId13">
              <w:r>
                <w:rPr>
                  <w:rFonts w:ascii="Arial" w:hAnsi="Arial" w:cs="Arial" w:eastAsia="Arial" w:hint="default"/>
                  <w:sz w:val="20"/>
                  <w:szCs w:val="20"/>
                </w:rPr>
                <w:t>www.sse.com.cn</w:t>
              </w:r>
            </w:hyperlink>
            <w:r>
              <w:rPr>
                <w:rFonts w:ascii="宋体" w:hAnsi="宋体" w:cs="宋体" w:eastAsia="宋体" w:hint="default"/>
                <w:sz w:val="20"/>
                <w:szCs w:val="20"/>
              </w:rPr>
              <w:t>；</w:t>
            </w:r>
            <w:r>
              <w:rPr>
                <w:rFonts w:ascii="宋体" w:hAnsi="宋体" w:cs="宋体" w:eastAsia="宋体" w:hint="default"/>
                <w:w w:val="100"/>
                <w:sz w:val="20"/>
                <w:szCs w:val="20"/>
              </w:rPr>
              <w:t> </w:t>
            </w:r>
            <w:hyperlink r:id="rId11">
              <w:r>
                <w:rPr>
                  <w:rFonts w:ascii="Arial" w:hAnsi="Arial" w:cs="Arial" w:eastAsia="Arial" w:hint="default"/>
                  <w:sz w:val="20"/>
                  <w:szCs w:val="20"/>
                </w:rPr>
                <w:t>www.chinaunicom-a.com</w:t>
              </w:r>
            </w:hyperlink>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68" w:lineRule="exact"/>
              <w:ind w:left="100"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12</w:t>
            </w:r>
            <w:r>
              <w:rPr>
                <w:rFonts w:ascii="Arial" w:hAnsi="Arial" w:cs="Arial" w:eastAsia="Arial" w:hint="default"/>
                <w:spacing w:val="-7"/>
                <w:sz w:val="20"/>
                <w:szCs w:val="20"/>
              </w:rPr>
              <w:t> </w:t>
            </w:r>
            <w:r>
              <w:rPr>
                <w:rFonts w:ascii="宋体" w:hAnsi="宋体" w:cs="宋体" w:eastAsia="宋体" w:hint="default"/>
                <w:sz w:val="20"/>
                <w:szCs w:val="20"/>
              </w:rPr>
              <w:t>月</w:t>
            </w:r>
          </w:p>
          <w:p>
            <w:pPr>
              <w:pStyle w:val="TableParagraph"/>
              <w:spacing w:line="268" w:lineRule="exact"/>
              <w:ind w:left="100" w:right="0"/>
              <w:jc w:val="left"/>
              <w:rPr>
                <w:rFonts w:ascii="宋体" w:hAnsi="宋体" w:cs="宋体" w:eastAsia="宋体" w:hint="default"/>
                <w:sz w:val="20"/>
                <w:szCs w:val="20"/>
              </w:rPr>
            </w:pPr>
            <w:r>
              <w:rPr>
                <w:rFonts w:ascii="Arial" w:hAnsi="Arial" w:cs="Arial" w:eastAsia="Arial" w:hint="default"/>
                <w:sz w:val="20"/>
                <w:szCs w:val="20"/>
              </w:rPr>
              <w:t>22</w:t>
            </w:r>
            <w:r>
              <w:rPr>
                <w:rFonts w:ascii="Arial" w:hAnsi="Arial" w:cs="Arial" w:eastAsia="Arial" w:hint="default"/>
                <w:spacing w:val="-5"/>
                <w:sz w:val="20"/>
                <w:szCs w:val="20"/>
              </w:rPr>
              <w:t> </w:t>
            </w:r>
            <w:r>
              <w:rPr>
                <w:rFonts w:ascii="宋体" w:hAnsi="宋体" w:cs="宋体" w:eastAsia="宋体" w:hint="default"/>
                <w:sz w:val="20"/>
                <w:szCs w:val="20"/>
              </w:rPr>
              <w:t>日</w:t>
            </w:r>
          </w:p>
        </w:tc>
      </w:tr>
      <w:tr>
        <w:trPr>
          <w:trHeight w:val="1052" w:hRule="exact"/>
        </w:trPr>
        <w:tc>
          <w:tcPr>
            <w:tcW w:w="1097" w:type="dxa"/>
            <w:vMerge/>
            <w:tcBorders>
              <w:left w:val="single" w:sz="6" w:space="0" w:color="000000"/>
              <w:bottom w:val="single" w:sz="6" w:space="0" w:color="000000"/>
              <w:right w:val="single" w:sz="6" w:space="0" w:color="000000"/>
            </w:tcBorders>
          </w:tcPr>
          <w:p>
            <w:pPr/>
          </w:p>
        </w:tc>
        <w:tc>
          <w:tcPr>
            <w:tcW w:w="1036" w:type="dxa"/>
            <w:vMerge/>
            <w:tcBorders>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100" w:right="0"/>
              <w:jc w:val="both"/>
              <w:rPr>
                <w:rFonts w:ascii="宋体" w:hAnsi="宋体" w:cs="宋体" w:eastAsia="宋体" w:hint="default"/>
                <w:sz w:val="20"/>
                <w:szCs w:val="20"/>
              </w:rPr>
            </w:pPr>
            <w:r>
              <w:rPr>
                <w:rFonts w:ascii="宋体" w:hAnsi="宋体" w:cs="宋体" w:eastAsia="宋体" w:hint="default"/>
                <w:sz w:val="20"/>
                <w:szCs w:val="20"/>
              </w:rPr>
              <w:t>关于将收购的联</w:t>
            </w:r>
          </w:p>
          <w:p>
            <w:pPr>
              <w:pStyle w:val="TableParagraph"/>
              <w:spacing w:line="260" w:lineRule="exact" w:before="25"/>
              <w:ind w:left="100" w:right="169"/>
              <w:jc w:val="both"/>
              <w:rPr>
                <w:rFonts w:ascii="宋体" w:hAnsi="宋体" w:cs="宋体" w:eastAsia="宋体" w:hint="default"/>
                <w:sz w:val="20"/>
                <w:szCs w:val="20"/>
              </w:rPr>
            </w:pPr>
            <w:r>
              <w:rPr>
                <w:rFonts w:ascii="宋体" w:hAnsi="宋体" w:cs="宋体" w:eastAsia="宋体" w:hint="default"/>
                <w:sz w:val="20"/>
                <w:szCs w:val="20"/>
              </w:rPr>
              <w:t>通新时空通信有</w:t>
            </w:r>
            <w:r>
              <w:rPr>
                <w:rFonts w:ascii="宋体" w:hAnsi="宋体" w:cs="宋体" w:eastAsia="宋体" w:hint="default"/>
                <w:w w:val="100"/>
                <w:sz w:val="20"/>
                <w:szCs w:val="20"/>
              </w:rPr>
              <w:t> </w:t>
            </w:r>
            <w:r>
              <w:rPr>
                <w:rFonts w:ascii="宋体" w:hAnsi="宋体" w:cs="宋体" w:eastAsia="宋体" w:hint="default"/>
                <w:sz w:val="20"/>
                <w:szCs w:val="20"/>
              </w:rPr>
              <w:t>限公司的</w:t>
            </w:r>
            <w:r>
              <w:rPr>
                <w:rFonts w:ascii="宋体" w:hAnsi="宋体" w:cs="宋体" w:eastAsia="宋体" w:hint="default"/>
                <w:spacing w:val="-52"/>
                <w:sz w:val="20"/>
                <w:szCs w:val="20"/>
              </w:rPr>
              <w:t> </w:t>
            </w:r>
            <w:r>
              <w:rPr>
                <w:rFonts w:ascii="Arial" w:hAnsi="Arial" w:cs="Arial" w:eastAsia="Arial" w:hint="default"/>
                <w:sz w:val="20"/>
                <w:szCs w:val="20"/>
              </w:rPr>
              <w:t>100%</w:t>
            </w:r>
            <w:r>
              <w:rPr>
                <w:rFonts w:ascii="Arial" w:hAnsi="Arial" w:cs="Arial" w:eastAsia="Arial" w:hint="default"/>
                <w:w w:val="100"/>
                <w:sz w:val="20"/>
                <w:szCs w:val="20"/>
              </w:rPr>
              <w:t> </w:t>
            </w:r>
            <w:r>
              <w:rPr>
                <w:rFonts w:ascii="宋体" w:hAnsi="宋体" w:cs="宋体" w:eastAsia="宋体" w:hint="default"/>
                <w:sz w:val="20"/>
                <w:szCs w:val="20"/>
              </w:rPr>
              <w:t>股权转让的议案</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60" w:lineRule="exact"/>
              <w:ind w:left="100" w:right="249"/>
              <w:jc w:val="left"/>
              <w:rPr>
                <w:rFonts w:ascii="宋体" w:hAnsi="宋体" w:cs="宋体" w:eastAsia="宋体" w:hint="default"/>
                <w:sz w:val="20"/>
                <w:szCs w:val="20"/>
              </w:rPr>
            </w:pPr>
            <w:r>
              <w:rPr>
                <w:rFonts w:ascii="宋体" w:hAnsi="宋体" w:cs="宋体" w:eastAsia="宋体" w:hint="default"/>
                <w:sz w:val="20"/>
                <w:szCs w:val="20"/>
              </w:rPr>
              <w:t>审议通过</w:t>
            </w:r>
            <w:r>
              <w:rPr>
                <w:rFonts w:ascii="宋体" w:hAnsi="宋体" w:cs="宋体" w:eastAsia="宋体" w:hint="default"/>
                <w:w w:val="100"/>
                <w:sz w:val="20"/>
                <w:szCs w:val="20"/>
              </w:rPr>
              <w:t> </w:t>
            </w:r>
            <w:r>
              <w:rPr>
                <w:rFonts w:ascii="宋体" w:hAnsi="宋体" w:cs="宋体" w:eastAsia="宋体" w:hint="default"/>
                <w:sz w:val="20"/>
                <w:szCs w:val="20"/>
              </w:rPr>
              <w:t>全部议案</w:t>
            </w:r>
          </w:p>
        </w:tc>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52" w:lineRule="auto"/>
              <w:ind w:left="100" w:right="98"/>
              <w:jc w:val="left"/>
              <w:rPr>
                <w:rFonts w:ascii="Arial" w:hAnsi="Arial" w:cs="Arial" w:eastAsia="Arial" w:hint="default"/>
                <w:sz w:val="20"/>
                <w:szCs w:val="20"/>
              </w:rPr>
            </w:pPr>
            <w:hyperlink r:id="rId13">
              <w:r>
                <w:rPr>
                  <w:rFonts w:ascii="Arial" w:hAnsi="Arial" w:cs="Arial" w:eastAsia="Arial" w:hint="default"/>
                  <w:sz w:val="20"/>
                  <w:szCs w:val="20"/>
                </w:rPr>
                <w:t>www.sse.com.cn</w:t>
              </w:r>
            </w:hyperlink>
            <w:r>
              <w:rPr>
                <w:rFonts w:ascii="宋体" w:hAnsi="宋体" w:cs="宋体" w:eastAsia="宋体" w:hint="default"/>
                <w:sz w:val="20"/>
                <w:szCs w:val="20"/>
              </w:rPr>
              <w:t>；</w:t>
            </w:r>
            <w:r>
              <w:rPr>
                <w:rFonts w:ascii="宋体" w:hAnsi="宋体" w:cs="宋体" w:eastAsia="宋体" w:hint="default"/>
                <w:w w:val="100"/>
                <w:sz w:val="20"/>
                <w:szCs w:val="20"/>
              </w:rPr>
              <w:t> </w:t>
            </w:r>
            <w:hyperlink r:id="rId11">
              <w:r>
                <w:rPr>
                  <w:rFonts w:ascii="Arial" w:hAnsi="Arial" w:cs="Arial" w:eastAsia="Arial" w:hint="default"/>
                  <w:sz w:val="20"/>
                  <w:szCs w:val="20"/>
                </w:rPr>
                <w:t>www.chinaunicom-a.com</w:t>
              </w:r>
            </w:hyperlink>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68" w:lineRule="exact"/>
              <w:ind w:left="100"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12</w:t>
            </w:r>
            <w:r>
              <w:rPr>
                <w:rFonts w:ascii="Arial" w:hAnsi="Arial" w:cs="Arial" w:eastAsia="Arial" w:hint="default"/>
                <w:spacing w:val="-7"/>
                <w:sz w:val="20"/>
                <w:szCs w:val="20"/>
              </w:rPr>
              <w:t> </w:t>
            </w:r>
            <w:r>
              <w:rPr>
                <w:rFonts w:ascii="宋体" w:hAnsi="宋体" w:cs="宋体" w:eastAsia="宋体" w:hint="default"/>
                <w:sz w:val="20"/>
                <w:szCs w:val="20"/>
              </w:rPr>
              <w:t>月</w:t>
            </w:r>
          </w:p>
          <w:p>
            <w:pPr>
              <w:pStyle w:val="TableParagraph"/>
              <w:spacing w:line="268" w:lineRule="exact"/>
              <w:ind w:left="100" w:right="0"/>
              <w:jc w:val="left"/>
              <w:rPr>
                <w:rFonts w:ascii="宋体" w:hAnsi="宋体" w:cs="宋体" w:eastAsia="宋体" w:hint="default"/>
                <w:sz w:val="20"/>
                <w:szCs w:val="20"/>
              </w:rPr>
            </w:pPr>
            <w:r>
              <w:rPr>
                <w:rFonts w:ascii="Arial" w:hAnsi="Arial" w:cs="Arial" w:eastAsia="Arial" w:hint="default"/>
                <w:sz w:val="20"/>
                <w:szCs w:val="20"/>
              </w:rPr>
              <w:t>22</w:t>
            </w:r>
            <w:r>
              <w:rPr>
                <w:rFonts w:ascii="Arial" w:hAnsi="Arial" w:cs="Arial" w:eastAsia="Arial" w:hint="default"/>
                <w:spacing w:val="-5"/>
                <w:sz w:val="20"/>
                <w:szCs w:val="20"/>
              </w:rPr>
              <w:t> </w:t>
            </w:r>
            <w:r>
              <w:rPr>
                <w:rFonts w:ascii="宋体" w:hAnsi="宋体" w:cs="宋体" w:eastAsia="宋体" w:hint="default"/>
                <w:sz w:val="20"/>
                <w:szCs w:val="20"/>
              </w:rPr>
              <w:t>日</w:t>
            </w:r>
          </w:p>
        </w:tc>
      </w:tr>
    </w:tbl>
    <w:p>
      <w:pPr>
        <w:spacing w:after="0" w:line="268" w:lineRule="exact"/>
        <w:jc w:val="left"/>
        <w:rPr>
          <w:rFonts w:ascii="宋体" w:hAnsi="宋体" w:cs="宋体" w:eastAsia="宋体" w:hint="default"/>
          <w:sz w:val="20"/>
          <w:szCs w:val="20"/>
        </w:rPr>
        <w:sectPr>
          <w:pgSz w:w="11910" w:h="16840"/>
          <w:pgMar w:header="567" w:footer="745" w:top="800" w:bottom="940" w:left="1380" w:right="720"/>
        </w:sectPr>
      </w:pPr>
    </w:p>
    <w:p>
      <w:pPr>
        <w:spacing w:line="240" w:lineRule="auto" w:before="8"/>
        <w:rPr>
          <w:rFonts w:ascii="Times New Roman" w:hAnsi="Times New Roman" w:cs="Times New Roman" w:eastAsia="Times New Roman" w:hint="default"/>
          <w:sz w:val="25"/>
          <w:szCs w:val="25"/>
        </w:rPr>
      </w:pPr>
    </w:p>
    <w:p>
      <w:pPr>
        <w:pStyle w:val="BodyText"/>
        <w:spacing w:line="286" w:lineRule="exact" w:before="60"/>
        <w:ind w:left="748" w:right="211" w:hanging="603"/>
        <w:jc w:val="both"/>
      </w:pPr>
      <w:r>
        <w:rPr/>
        <w:t>（一）公司</w:t>
      </w:r>
      <w:r>
        <w:rPr>
          <w:spacing w:val="-57"/>
        </w:rPr>
        <w:t> </w:t>
      </w:r>
      <w:r>
        <w:rPr>
          <w:rFonts w:ascii="Arial" w:hAnsi="Arial" w:cs="Arial" w:eastAsia="Arial" w:hint="default"/>
        </w:rPr>
        <w:t>2011</w:t>
      </w:r>
      <w:r>
        <w:rPr>
          <w:rFonts w:ascii="Arial" w:hAnsi="Arial" w:cs="Arial" w:eastAsia="Arial" w:hint="default"/>
          <w:spacing w:val="-9"/>
        </w:rPr>
        <w:t> </w:t>
      </w:r>
      <w:r>
        <w:rPr/>
        <w:t>年度股东大会于</w:t>
      </w:r>
      <w:r>
        <w:rPr>
          <w:spacing w:val="-58"/>
        </w:rPr>
        <w:t> </w:t>
      </w:r>
      <w:r>
        <w:rPr>
          <w:rFonts w:ascii="Arial" w:hAnsi="Arial" w:cs="Arial" w:eastAsia="Arial" w:hint="default"/>
        </w:rPr>
        <w:t>2012</w:t>
      </w:r>
      <w:r>
        <w:rPr>
          <w:rFonts w:ascii="Arial" w:hAnsi="Arial" w:cs="Arial" w:eastAsia="Arial" w:hint="default"/>
          <w:spacing w:val="-9"/>
        </w:rPr>
        <w:t> </w:t>
      </w:r>
      <w:r>
        <w:rPr/>
        <w:t>年</w:t>
      </w:r>
      <w:r>
        <w:rPr>
          <w:spacing w:val="-58"/>
        </w:rPr>
        <w:t> </w:t>
      </w:r>
      <w:r>
        <w:rPr>
          <w:rFonts w:ascii="Arial" w:hAnsi="Arial" w:cs="Arial" w:eastAsia="Arial" w:hint="default"/>
        </w:rPr>
        <w:t>5</w:t>
      </w:r>
      <w:r>
        <w:rPr>
          <w:rFonts w:ascii="Arial" w:hAnsi="Arial" w:cs="Arial" w:eastAsia="Arial" w:hint="default"/>
          <w:spacing w:val="-9"/>
        </w:rPr>
        <w:t> </w:t>
      </w:r>
      <w:r>
        <w:rPr/>
        <w:t>月</w:t>
      </w:r>
      <w:r>
        <w:rPr>
          <w:spacing w:val="-58"/>
        </w:rPr>
        <w:t> </w:t>
      </w:r>
      <w:r>
        <w:rPr>
          <w:rFonts w:ascii="Arial" w:hAnsi="Arial" w:cs="Arial" w:eastAsia="Arial" w:hint="default"/>
        </w:rPr>
        <w:t>29</w:t>
      </w:r>
      <w:r>
        <w:rPr>
          <w:rFonts w:ascii="Arial" w:hAnsi="Arial" w:cs="Arial" w:eastAsia="Arial" w:hint="default"/>
          <w:spacing w:val="-9"/>
        </w:rPr>
        <w:t> </w:t>
      </w:r>
      <w:r>
        <w:rPr/>
        <w:t>日上午</w:t>
      </w:r>
      <w:r>
        <w:rPr>
          <w:spacing w:val="-58"/>
        </w:rPr>
        <w:t> </w:t>
      </w:r>
      <w:r>
        <w:rPr>
          <w:rFonts w:ascii="Arial" w:hAnsi="Arial" w:cs="Arial" w:eastAsia="Arial" w:hint="default"/>
        </w:rPr>
        <w:t>9</w:t>
      </w:r>
      <w:r>
        <w:rPr>
          <w:rFonts w:ascii="Arial" w:hAnsi="Arial" w:cs="Arial" w:eastAsia="Arial" w:hint="default"/>
          <w:spacing w:val="-9"/>
        </w:rPr>
        <w:t> </w:t>
      </w:r>
      <w:r>
        <w:rPr/>
        <w:t>时在深圳市香格里拉宾馆召开。出席会</w:t>
      </w:r>
      <w:r>
        <w:rPr>
          <w:w w:val="99"/>
        </w:rPr>
        <w:t> </w:t>
      </w:r>
      <w:r>
        <w:rPr>
          <w:spacing w:val="-4"/>
        </w:rPr>
        <w:t>议的人数为：</w:t>
      </w:r>
      <w:r>
        <w:rPr>
          <w:rFonts w:ascii="Arial" w:hAnsi="Arial" w:cs="Arial" w:eastAsia="Arial" w:hint="default"/>
          <w:spacing w:val="-4"/>
        </w:rPr>
        <w:t>11</w:t>
      </w:r>
      <w:r>
        <w:rPr>
          <w:rFonts w:ascii="Arial" w:hAnsi="Arial" w:cs="Arial" w:eastAsia="Arial" w:hint="default"/>
          <w:spacing w:val="-6"/>
        </w:rPr>
        <w:t> </w:t>
      </w:r>
      <w:r>
        <w:rPr/>
        <w:t>人</w:t>
      </w:r>
      <w:r>
        <w:rPr>
          <w:rFonts w:ascii="Arial" w:hAnsi="Arial" w:cs="Arial" w:eastAsia="Arial" w:hint="default"/>
        </w:rPr>
        <w:t>,</w:t>
      </w:r>
      <w:r>
        <w:rPr/>
        <w:t>代表股份</w:t>
      </w:r>
      <w:r>
        <w:rPr>
          <w:spacing w:val="-55"/>
        </w:rPr>
        <w:t> </w:t>
      </w:r>
      <w:r>
        <w:rPr>
          <w:rFonts w:ascii="Arial" w:hAnsi="Arial" w:cs="Arial" w:eastAsia="Arial" w:hint="default"/>
        </w:rPr>
        <w:t>13,496,444,280</w:t>
      </w:r>
      <w:r>
        <w:rPr>
          <w:rFonts w:ascii="Arial" w:hAnsi="Arial" w:cs="Arial" w:eastAsia="Arial" w:hint="default"/>
          <w:spacing w:val="-7"/>
        </w:rPr>
        <w:t> </w:t>
      </w:r>
      <w:r>
        <w:rPr>
          <w:spacing w:val="-3"/>
        </w:rPr>
        <w:t>股，占公司总股本的</w:t>
      </w:r>
      <w:r>
        <w:rPr>
          <w:spacing w:val="-54"/>
        </w:rPr>
        <w:t> </w:t>
      </w:r>
      <w:r>
        <w:rPr>
          <w:rFonts w:ascii="Arial" w:hAnsi="Arial" w:cs="Arial" w:eastAsia="Arial" w:hint="default"/>
          <w:spacing w:val="-4"/>
        </w:rPr>
        <w:t>63.6727%</w:t>
      </w:r>
      <w:r>
        <w:rPr>
          <w:spacing w:val="-4"/>
        </w:rPr>
        <w:t>，符合《中华人</w:t>
      </w:r>
      <w:r>
        <w:rPr>
          <w:w w:val="99"/>
        </w:rPr>
        <w:t> </w:t>
      </w:r>
      <w:r>
        <w:rPr/>
        <w:t>民共和国公司法》及公司章程的规定。</w:t>
      </w:r>
    </w:p>
    <w:p>
      <w:pPr>
        <w:spacing w:line="240" w:lineRule="auto" w:before="1"/>
        <w:rPr>
          <w:rFonts w:ascii="宋体" w:hAnsi="宋体" w:cs="宋体" w:eastAsia="宋体" w:hint="default"/>
          <w:sz w:val="17"/>
          <w:szCs w:val="17"/>
        </w:rPr>
      </w:pPr>
    </w:p>
    <w:p>
      <w:pPr>
        <w:pStyle w:val="BodyText"/>
        <w:spacing w:line="295" w:lineRule="exact"/>
        <w:ind w:left="768" w:right="0"/>
        <w:jc w:val="both"/>
        <w:rPr>
          <w:rFonts w:ascii="Arial" w:hAnsi="Arial" w:cs="Arial" w:eastAsia="Arial" w:hint="default"/>
        </w:rPr>
      </w:pPr>
      <w:r>
        <w:rPr>
          <w:w w:val="99"/>
        </w:rPr>
        <w:t>公司</w:t>
      </w:r>
      <w:r>
        <w:rPr>
          <w:spacing w:val="-55"/>
        </w:rPr>
        <w:t> </w:t>
      </w:r>
      <w:r>
        <w:rPr>
          <w:rFonts w:ascii="Arial" w:hAnsi="Arial" w:cs="Arial" w:eastAsia="Arial" w:hint="default"/>
          <w:w w:val="99"/>
        </w:rPr>
        <w:t>2011</w:t>
      </w:r>
      <w:r>
        <w:rPr>
          <w:rFonts w:ascii="Arial" w:hAnsi="Arial" w:cs="Arial" w:eastAsia="Arial" w:hint="default"/>
          <w:spacing w:val="-6"/>
        </w:rPr>
        <w:t> </w:t>
      </w:r>
      <w:r>
        <w:rPr>
          <w:w w:val="99"/>
        </w:rPr>
        <w:t>年度股东大会审议并表决通过</w:t>
      </w:r>
      <w:r>
        <w:rPr>
          <w:spacing w:val="-88"/>
          <w:w w:val="99"/>
        </w:rPr>
        <w:t>了</w:t>
      </w:r>
      <w:r>
        <w:rPr>
          <w:w w:val="99"/>
        </w:rPr>
        <w:t>《公司</w:t>
      </w:r>
      <w:r>
        <w:rPr>
          <w:spacing w:val="-54"/>
        </w:rPr>
        <w:t> </w:t>
      </w:r>
      <w:r>
        <w:rPr>
          <w:rFonts w:ascii="Arial" w:hAnsi="Arial" w:cs="Arial" w:eastAsia="Arial" w:hint="default"/>
          <w:w w:val="99"/>
        </w:rPr>
        <w:t>2011</w:t>
      </w:r>
      <w:r>
        <w:rPr>
          <w:rFonts w:ascii="Arial" w:hAnsi="Arial" w:cs="Arial" w:eastAsia="Arial" w:hint="default"/>
          <w:spacing w:val="-6"/>
        </w:rPr>
        <w:t> </w:t>
      </w:r>
      <w:r>
        <w:rPr>
          <w:w w:val="99"/>
        </w:rPr>
        <w:t>年度财务决算报告</w:t>
      </w:r>
      <w:r>
        <w:rPr>
          <w:spacing w:val="-89"/>
          <w:w w:val="99"/>
        </w:rPr>
        <w:t>》</w:t>
      </w:r>
      <w:r>
        <w:rPr>
          <w:spacing w:val="-177"/>
          <w:w w:val="99"/>
        </w:rPr>
        <w:t>、</w:t>
      </w:r>
      <w:r>
        <w:rPr>
          <w:w w:val="99"/>
        </w:rPr>
        <w:t>《关于公司</w:t>
      </w:r>
      <w:r>
        <w:rPr>
          <w:spacing w:val="-54"/>
        </w:rPr>
        <w:t> </w:t>
      </w:r>
      <w:r>
        <w:rPr>
          <w:rFonts w:ascii="Arial" w:hAnsi="Arial" w:cs="Arial" w:eastAsia="Arial" w:hint="default"/>
          <w:w w:val="99"/>
        </w:rPr>
        <w:t>2</w:t>
      </w:r>
      <w:r>
        <w:rPr>
          <w:rFonts w:ascii="Arial" w:hAnsi="Arial" w:cs="Arial" w:eastAsia="Arial" w:hint="default"/>
          <w:spacing w:val="1"/>
          <w:w w:val="99"/>
        </w:rPr>
        <w:t>0</w:t>
      </w:r>
      <w:r>
        <w:rPr>
          <w:rFonts w:ascii="Arial" w:hAnsi="Arial" w:cs="Arial" w:eastAsia="Arial" w:hint="default"/>
          <w:spacing w:val="-1"/>
          <w:w w:val="99"/>
        </w:rPr>
        <w:t>1</w:t>
      </w:r>
      <w:r>
        <w:rPr>
          <w:rFonts w:ascii="Arial" w:hAnsi="Arial" w:cs="Arial" w:eastAsia="Arial" w:hint="default"/>
          <w:w w:val="99"/>
        </w:rPr>
        <w:t>1</w:t>
      </w:r>
      <w:r>
        <w:rPr>
          <w:rFonts w:ascii="Arial" w:hAnsi="Arial" w:cs="Arial" w:eastAsia="Arial" w:hint="default"/>
        </w:rPr>
      </w:r>
    </w:p>
    <w:p>
      <w:pPr>
        <w:pStyle w:val="BodyText"/>
        <w:spacing w:line="286" w:lineRule="exact"/>
        <w:ind w:left="768" w:right="0"/>
        <w:jc w:val="both"/>
      </w:pPr>
      <w:r>
        <w:rPr>
          <w:spacing w:val="-6"/>
        </w:rPr>
        <w:t>年度利润分配的议案》、《关于聘请会计师事务所的议案》、《公司</w:t>
      </w:r>
      <w:r>
        <w:rPr>
          <w:spacing w:val="-53"/>
        </w:rPr>
        <w:t> </w:t>
      </w:r>
      <w:r>
        <w:rPr>
          <w:rFonts w:ascii="Arial" w:hAnsi="Arial" w:cs="Arial" w:eastAsia="Arial" w:hint="default"/>
        </w:rPr>
        <w:t>2011</w:t>
      </w:r>
      <w:r>
        <w:rPr>
          <w:rFonts w:ascii="Arial" w:hAnsi="Arial" w:cs="Arial" w:eastAsia="Arial" w:hint="default"/>
          <w:spacing w:val="-7"/>
        </w:rPr>
        <w:t> </w:t>
      </w:r>
      <w:r>
        <w:rPr>
          <w:spacing w:val="-4"/>
        </w:rPr>
        <w:t>年度董事会报告》、</w:t>
      </w:r>
    </w:p>
    <w:p>
      <w:pPr>
        <w:pStyle w:val="BodyText"/>
        <w:spacing w:line="286" w:lineRule="exact"/>
        <w:ind w:left="768" w:right="0"/>
        <w:jc w:val="both"/>
      </w:pPr>
      <w:r>
        <w:rPr/>
        <w:t>《公司</w:t>
      </w:r>
      <w:r>
        <w:rPr>
          <w:spacing w:val="-50"/>
        </w:rPr>
        <w:t> </w:t>
      </w:r>
      <w:r>
        <w:rPr>
          <w:rFonts w:ascii="Arial" w:hAnsi="Arial" w:cs="Arial" w:eastAsia="Arial" w:hint="default"/>
        </w:rPr>
        <w:t>2011</w:t>
      </w:r>
      <w:r>
        <w:rPr>
          <w:rFonts w:ascii="Arial" w:hAnsi="Arial" w:cs="Arial" w:eastAsia="Arial" w:hint="default"/>
          <w:spacing w:val="-1"/>
        </w:rPr>
        <w:t> </w:t>
      </w:r>
      <w:r>
        <w:rPr>
          <w:spacing w:val="-8"/>
        </w:rPr>
        <w:t>年度监事会报告》、《公司</w:t>
      </w:r>
      <w:r>
        <w:rPr>
          <w:spacing w:val="-50"/>
        </w:rPr>
        <w:t> </w:t>
      </w:r>
      <w:r>
        <w:rPr>
          <w:rFonts w:ascii="Arial" w:hAnsi="Arial" w:cs="Arial" w:eastAsia="Arial" w:hint="default"/>
        </w:rPr>
        <w:t>2011</w:t>
      </w:r>
      <w:r>
        <w:rPr>
          <w:rFonts w:ascii="Arial" w:hAnsi="Arial" w:cs="Arial" w:eastAsia="Arial" w:hint="default"/>
          <w:spacing w:val="-1"/>
        </w:rPr>
        <w:t> </w:t>
      </w:r>
      <w:r>
        <w:rPr>
          <w:spacing w:val="-9"/>
        </w:rPr>
        <w:t>年年度报告》、《关于更换监事的议案》、《关</w:t>
      </w:r>
    </w:p>
    <w:p>
      <w:pPr>
        <w:pStyle w:val="BodyText"/>
        <w:spacing w:line="285" w:lineRule="exact"/>
        <w:ind w:left="768" w:right="0"/>
        <w:jc w:val="both"/>
      </w:pPr>
      <w:r>
        <w:rPr/>
        <w:t>于联通红筹公司</w:t>
      </w:r>
      <w:r>
        <w:rPr>
          <w:spacing w:val="-61"/>
        </w:rPr>
        <w:t> </w:t>
      </w:r>
      <w:r>
        <w:rPr>
          <w:rFonts w:ascii="Arial" w:hAnsi="Arial" w:cs="Arial" w:eastAsia="Arial" w:hint="default"/>
        </w:rPr>
        <w:t>2011</w:t>
      </w:r>
      <w:r>
        <w:rPr>
          <w:rFonts w:ascii="Arial" w:hAnsi="Arial" w:cs="Arial" w:eastAsia="Arial" w:hint="default"/>
          <w:spacing w:val="-13"/>
        </w:rPr>
        <w:t> </w:t>
      </w:r>
      <w:r>
        <w:rPr>
          <w:spacing w:val="-3"/>
        </w:rPr>
        <w:t>年度利润分配的议案》、《关于联通红筹公司股东大会授权其董事会在</w:t>
      </w:r>
    </w:p>
    <w:p>
      <w:pPr>
        <w:pStyle w:val="BodyText"/>
        <w:spacing w:line="286" w:lineRule="exact" w:before="18"/>
        <w:ind w:left="768" w:right="210"/>
        <w:jc w:val="both"/>
      </w:pPr>
      <w:r>
        <w:rPr/>
        <w:t>一定期间内重选董事并授权董事会决定其截至</w:t>
      </w:r>
      <w:r>
        <w:rPr>
          <w:spacing w:val="-41"/>
        </w:rPr>
        <w:t> </w:t>
      </w:r>
      <w:r>
        <w:rPr>
          <w:rFonts w:ascii="Arial" w:hAnsi="Arial" w:cs="Arial" w:eastAsia="Arial" w:hint="default"/>
        </w:rPr>
        <w:t>2012</w:t>
      </w:r>
      <w:r>
        <w:rPr>
          <w:rFonts w:ascii="Arial" w:hAnsi="Arial" w:cs="Arial" w:eastAsia="Arial" w:hint="default"/>
          <w:spacing w:val="5"/>
        </w:rPr>
        <w:t> </w:t>
      </w:r>
      <w:r>
        <w:rPr/>
        <w:t>年</w:t>
      </w:r>
      <w:r>
        <w:rPr>
          <w:spacing w:val="-45"/>
        </w:rPr>
        <w:t> </w:t>
      </w:r>
      <w:r>
        <w:rPr>
          <w:rFonts w:ascii="Arial" w:hAnsi="Arial" w:cs="Arial" w:eastAsia="Arial" w:hint="default"/>
        </w:rPr>
        <w:t>12</w:t>
      </w:r>
      <w:r>
        <w:rPr>
          <w:rFonts w:ascii="Arial" w:hAnsi="Arial" w:cs="Arial" w:eastAsia="Arial" w:hint="default"/>
          <w:spacing w:val="4"/>
        </w:rPr>
        <w:t> </w:t>
      </w:r>
      <w:r>
        <w:rPr/>
        <w:t>月</w:t>
      </w:r>
      <w:r>
        <w:rPr>
          <w:spacing w:val="-45"/>
        </w:rPr>
        <w:t> </w:t>
      </w:r>
      <w:r>
        <w:rPr>
          <w:rFonts w:ascii="Arial" w:hAnsi="Arial" w:cs="Arial" w:eastAsia="Arial" w:hint="default"/>
        </w:rPr>
        <w:t>31</w:t>
      </w:r>
      <w:r>
        <w:rPr>
          <w:rFonts w:ascii="Arial" w:hAnsi="Arial" w:cs="Arial" w:eastAsia="Arial" w:hint="default"/>
          <w:spacing w:val="4"/>
        </w:rPr>
        <w:t> </w:t>
      </w:r>
      <w:r>
        <w:rPr/>
        <w:t>日止的袍金事项》、《关于</w:t>
      </w:r>
      <w:r>
        <w:rPr>
          <w:w w:val="99"/>
        </w:rPr>
        <w:t> </w:t>
      </w:r>
      <w:r>
        <w:rPr/>
        <w:t>联通红筹公司股东大会授权其董事会在规定的期间内，在香港联合交易所及指定的其他证券</w:t>
      </w:r>
      <w:r>
        <w:rPr>
          <w:spacing w:val="-65"/>
        </w:rPr>
        <w:t> </w:t>
      </w:r>
      <w:r>
        <w:rPr>
          <w:spacing w:val="-65"/>
        </w:rPr>
      </w:r>
      <w:r>
        <w:rPr/>
        <w:t>交易所，按适用的法律购买公司股份事项》、《关于联通红筹公司股东大会按惯例授权其董</w:t>
      </w:r>
      <w:r>
        <w:rPr>
          <w:spacing w:val="-65"/>
        </w:rPr>
        <w:t> </w:t>
      </w:r>
      <w:r>
        <w:rPr>
          <w:spacing w:val="-65"/>
        </w:rPr>
      </w:r>
      <w:r>
        <w:rPr/>
        <w:t>事会在规定的范围内决定股份发行计划事项》。</w:t>
      </w:r>
    </w:p>
    <w:p>
      <w:pPr>
        <w:spacing w:line="240" w:lineRule="auto" w:before="1"/>
        <w:rPr>
          <w:rFonts w:ascii="宋体" w:hAnsi="宋体" w:cs="宋体" w:eastAsia="宋体" w:hint="default"/>
          <w:sz w:val="17"/>
          <w:szCs w:val="17"/>
        </w:rPr>
      </w:pPr>
    </w:p>
    <w:p>
      <w:pPr>
        <w:pStyle w:val="BodyText"/>
        <w:spacing w:line="295" w:lineRule="exact"/>
        <w:ind w:left="146" w:right="89"/>
        <w:jc w:val="left"/>
      </w:pPr>
      <w:r>
        <w:rPr/>
        <w:t>（二）公司</w:t>
      </w:r>
      <w:r>
        <w:rPr>
          <w:spacing w:val="-47"/>
        </w:rPr>
        <w:t> </w:t>
      </w:r>
      <w:r>
        <w:rPr>
          <w:rFonts w:ascii="Arial" w:hAnsi="Arial" w:cs="Arial" w:eastAsia="Arial" w:hint="default"/>
        </w:rPr>
        <w:t>2012 </w:t>
      </w:r>
      <w:r>
        <w:rPr/>
        <w:t>年度第一次临时股东大会于</w:t>
      </w:r>
      <w:r>
        <w:rPr>
          <w:spacing w:val="-48"/>
        </w:rPr>
        <w:t> </w:t>
      </w:r>
      <w:r>
        <w:rPr>
          <w:rFonts w:ascii="Arial" w:hAnsi="Arial" w:cs="Arial" w:eastAsia="Arial" w:hint="default"/>
        </w:rPr>
        <w:t>2012</w:t>
      </w:r>
      <w:r>
        <w:rPr>
          <w:rFonts w:ascii="Arial" w:hAnsi="Arial" w:cs="Arial" w:eastAsia="Arial" w:hint="default"/>
          <w:spacing w:val="1"/>
        </w:rPr>
        <w:t> </w:t>
      </w:r>
      <w:r>
        <w:rPr/>
        <w:t>年</w:t>
      </w:r>
      <w:r>
        <w:rPr>
          <w:spacing w:val="-49"/>
        </w:rPr>
        <w:t> </w:t>
      </w:r>
      <w:r>
        <w:rPr>
          <w:rFonts w:ascii="Arial" w:hAnsi="Arial" w:cs="Arial" w:eastAsia="Arial" w:hint="default"/>
        </w:rPr>
        <w:t>12</w:t>
      </w:r>
      <w:r>
        <w:rPr>
          <w:rFonts w:ascii="Arial" w:hAnsi="Arial" w:cs="Arial" w:eastAsia="Arial" w:hint="default"/>
          <w:spacing w:val="2"/>
        </w:rPr>
        <w:t> </w:t>
      </w:r>
      <w:r>
        <w:rPr/>
        <w:t>月</w:t>
      </w:r>
      <w:r>
        <w:rPr>
          <w:spacing w:val="-48"/>
        </w:rPr>
        <w:t> </w:t>
      </w:r>
      <w:r>
        <w:rPr>
          <w:rFonts w:ascii="Arial" w:hAnsi="Arial" w:cs="Arial" w:eastAsia="Arial" w:hint="default"/>
        </w:rPr>
        <w:t>21 </w:t>
      </w:r>
      <w:r>
        <w:rPr/>
        <w:t>日上午</w:t>
      </w:r>
      <w:r>
        <w:rPr>
          <w:spacing w:val="-48"/>
        </w:rPr>
        <w:t> </w:t>
      </w:r>
      <w:r>
        <w:rPr>
          <w:rFonts w:ascii="Arial" w:hAnsi="Arial" w:cs="Arial" w:eastAsia="Arial" w:hint="default"/>
        </w:rPr>
        <w:t>9</w:t>
      </w:r>
      <w:r>
        <w:rPr>
          <w:rFonts w:ascii="Arial" w:hAnsi="Arial" w:cs="Arial" w:eastAsia="Arial" w:hint="default"/>
          <w:spacing w:val="1"/>
        </w:rPr>
        <w:t> </w:t>
      </w:r>
      <w:r>
        <w:rPr/>
        <w:t>时在深圳市香格里拉宾馆</w:t>
      </w:r>
    </w:p>
    <w:p>
      <w:pPr>
        <w:pStyle w:val="BodyText"/>
        <w:spacing w:line="286" w:lineRule="exact"/>
        <w:ind w:left="776" w:right="0"/>
        <w:jc w:val="both"/>
        <w:rPr>
          <w:rFonts w:ascii="Arial" w:hAnsi="Arial" w:cs="Arial" w:eastAsia="Arial" w:hint="default"/>
        </w:rPr>
      </w:pPr>
      <w:r>
        <w:rPr/>
        <w:t>召开。出席会议的股东和代理人人数：</w:t>
      </w:r>
      <w:r>
        <w:rPr>
          <w:rFonts w:ascii="Arial" w:hAnsi="Arial" w:cs="Arial" w:eastAsia="Arial" w:hint="default"/>
        </w:rPr>
        <w:t>39  </w:t>
      </w:r>
      <w:r>
        <w:rPr/>
        <w:t>人，所持有表决权的股份总数为</w:t>
      </w:r>
      <w:r>
        <w:rPr>
          <w:spacing w:val="15"/>
        </w:rPr>
        <w:t> </w:t>
      </w:r>
      <w:r>
        <w:rPr>
          <w:rFonts w:ascii="Arial" w:hAnsi="Arial" w:cs="Arial" w:eastAsia="Arial" w:hint="default"/>
        </w:rPr>
        <w:t>13,872,046,878</w:t>
      </w:r>
    </w:p>
    <w:p>
      <w:pPr>
        <w:pStyle w:val="BodyText"/>
        <w:spacing w:line="295" w:lineRule="exact"/>
        <w:ind w:left="776" w:right="0"/>
        <w:jc w:val="both"/>
      </w:pPr>
      <w:r>
        <w:rPr/>
        <w:t>股，占公司总股本的</w:t>
      </w:r>
      <w:r>
        <w:rPr>
          <w:spacing w:val="-68"/>
        </w:rPr>
        <w:t> </w:t>
      </w:r>
      <w:r>
        <w:rPr>
          <w:rFonts w:ascii="Arial" w:hAnsi="Arial" w:cs="Arial" w:eastAsia="Arial" w:hint="default"/>
        </w:rPr>
        <w:t>65.4447%</w:t>
      </w:r>
      <w:r>
        <w:rPr/>
        <w:t>，符合《中华人民共和国公司法》及公司章程的规定。</w:t>
      </w:r>
    </w:p>
    <w:p>
      <w:pPr>
        <w:spacing w:line="240" w:lineRule="auto" w:before="4"/>
        <w:rPr>
          <w:rFonts w:ascii="宋体" w:hAnsi="宋体" w:cs="宋体" w:eastAsia="宋体" w:hint="default"/>
          <w:sz w:val="18"/>
          <w:szCs w:val="18"/>
        </w:rPr>
      </w:pPr>
    </w:p>
    <w:p>
      <w:pPr>
        <w:pStyle w:val="BodyText"/>
        <w:spacing w:line="235" w:lineRule="auto"/>
        <w:ind w:left="768" w:right="211"/>
        <w:jc w:val="both"/>
      </w:pPr>
      <w:r>
        <w:rPr>
          <w:w w:val="99"/>
        </w:rPr>
        <w:t>公司</w:t>
      </w:r>
      <w:r>
        <w:rPr>
          <w:spacing w:val="-48"/>
          <w:w w:val="99"/>
        </w:rPr>
        <w:t> </w:t>
      </w:r>
      <w:r>
        <w:rPr>
          <w:rFonts w:ascii="Arial" w:hAnsi="Arial" w:cs="Arial" w:eastAsia="Arial" w:hint="default"/>
          <w:w w:val="99"/>
        </w:rPr>
        <w:t>2012</w:t>
      </w:r>
      <w:r>
        <w:rPr>
          <w:rFonts w:ascii="Arial" w:hAnsi="Arial" w:cs="Arial" w:eastAsia="Arial" w:hint="default"/>
          <w:spacing w:val="1"/>
          <w:w w:val="99"/>
        </w:rPr>
        <w:t> </w:t>
      </w:r>
      <w:r>
        <w:rPr>
          <w:spacing w:val="-3"/>
          <w:w w:val="99"/>
        </w:rPr>
        <w:t>年度第一次临时股东大会审议并表决通过了《关于选举常小兵先生为第四届董事会</w:t>
      </w:r>
      <w:r>
        <w:rPr>
          <w:spacing w:val="-108"/>
          <w:w w:val="99"/>
        </w:rPr>
        <w:t> </w:t>
      </w:r>
      <w:r>
        <w:rPr>
          <w:spacing w:val="-108"/>
          <w:w w:val="99"/>
        </w:rPr>
      </w:r>
      <w:r>
        <w:rPr/>
        <w:t>董事候选人的议案》、《关于选举陆益民先生为第四届董事会董事候选人的议案》、《关于</w:t>
      </w:r>
      <w:r>
        <w:rPr>
          <w:spacing w:val="-65"/>
        </w:rPr>
        <w:t> </w:t>
      </w:r>
      <w:r>
        <w:rPr>
          <w:spacing w:val="-65"/>
        </w:rPr>
      </w:r>
      <w:r>
        <w:rPr/>
        <w:t>选举佟吉禄先生为第四届董事会董事候选人的议案》、《关于选举李福申先生为第四届董事</w:t>
      </w:r>
      <w:r>
        <w:rPr>
          <w:spacing w:val="-65"/>
        </w:rPr>
        <w:t> </w:t>
      </w:r>
      <w:r>
        <w:rPr>
          <w:spacing w:val="-65"/>
        </w:rPr>
      </w:r>
      <w:r>
        <w:rPr>
          <w:spacing w:val="-4"/>
        </w:rPr>
        <w:t>会董事候选人的议案》、《关于选举刘彩先生为第四届董事会独立董事候选人的议案》、《关</w:t>
      </w:r>
      <w:r>
        <w:rPr>
          <w:w w:val="99"/>
        </w:rPr>
        <w:t> </w:t>
      </w:r>
      <w:r>
        <w:rPr/>
        <w:t>于选举赵纯均先生为第四届董事会独立董事候选人的议案》、《关于选举张英海先生为第四</w:t>
      </w:r>
      <w:r>
        <w:rPr>
          <w:spacing w:val="-59"/>
        </w:rPr>
        <w:t> </w:t>
      </w:r>
      <w:r>
        <w:rPr>
          <w:spacing w:val="-59"/>
        </w:rPr>
      </w:r>
      <w:r>
        <w:rPr/>
        <w:t>届董事会独立董事候选人的议案》、《关于选举夏大慰先生为第四届董事会独立董事候选人</w:t>
      </w:r>
      <w:r>
        <w:rPr>
          <w:spacing w:val="-62"/>
        </w:rPr>
        <w:t> </w:t>
      </w:r>
      <w:r>
        <w:rPr>
          <w:spacing w:val="-62"/>
        </w:rPr>
      </w:r>
      <w:r>
        <w:rPr/>
        <w:t>的议案》、《关于选举李建国女士为第四届监事会监事候选人的议案》、《关于选举郭小林</w:t>
      </w:r>
      <w:r>
        <w:rPr>
          <w:spacing w:val="-65"/>
        </w:rPr>
        <w:t> </w:t>
      </w:r>
      <w:r>
        <w:rPr>
          <w:spacing w:val="-65"/>
        </w:rPr>
      </w:r>
      <w:r>
        <w:rPr>
          <w:spacing w:val="-4"/>
        </w:rPr>
        <w:t>女士为第四届监事会监事候选人的议案》、《关于收购联通新时空通信有限公司的</w:t>
      </w:r>
      <w:r>
        <w:rPr>
          <w:spacing w:val="-39"/>
        </w:rPr>
        <w:t> </w:t>
      </w:r>
      <w:r>
        <w:rPr>
          <w:rFonts w:ascii="Arial" w:hAnsi="Arial" w:cs="Arial" w:eastAsia="Arial" w:hint="default"/>
        </w:rPr>
        <w:t>100%</w:t>
      </w:r>
      <w:r>
        <w:rPr/>
        <w:t>股权</w:t>
      </w:r>
      <w:r>
        <w:rPr>
          <w:spacing w:val="-107"/>
        </w:rPr>
        <w:t> </w:t>
      </w:r>
      <w:r>
        <w:rPr/>
        <w:t>的议案》、《关于将收购的联通新时空通信有限公司的</w:t>
      </w:r>
      <w:r>
        <w:rPr>
          <w:spacing w:val="-65"/>
        </w:rPr>
        <w:t> </w:t>
      </w:r>
      <w:r>
        <w:rPr>
          <w:rFonts w:ascii="Arial" w:hAnsi="Arial" w:cs="Arial" w:eastAsia="Arial" w:hint="default"/>
        </w:rPr>
        <w:t>100%</w:t>
      </w:r>
      <w:r>
        <w:rPr/>
        <w:t>股权转让的议案》。</w:t>
      </w:r>
    </w:p>
    <w:p>
      <w:pPr>
        <w:spacing w:line="240" w:lineRule="auto" w:before="12"/>
        <w:rPr>
          <w:rFonts w:ascii="宋体" w:hAnsi="宋体" w:cs="宋体" w:eastAsia="宋体" w:hint="default"/>
          <w:sz w:val="17"/>
          <w:szCs w:val="17"/>
        </w:rPr>
      </w:pPr>
    </w:p>
    <w:p>
      <w:pPr>
        <w:pStyle w:val="BodyText"/>
        <w:spacing w:line="240" w:lineRule="auto"/>
        <w:ind w:left="146" w:right="89"/>
        <w:jc w:val="left"/>
      </w:pPr>
      <w:r>
        <w:rPr/>
        <w:t>股东大会所通过的决议全部得到执行落实。</w:t>
      </w:r>
    </w:p>
    <w:p>
      <w:pPr>
        <w:spacing w:after="0" w:line="240" w:lineRule="auto"/>
        <w:jc w:val="left"/>
        <w:sectPr>
          <w:pgSz w:w="11910" w:h="16840"/>
          <w:pgMar w:header="567" w:footer="745" w:top="800" w:bottom="940" w:left="1380" w:right="680"/>
        </w:sectPr>
      </w:pP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t>三、董事履行职责情况</w:t>
      </w:r>
      <w:r>
        <w:rPr>
          <w:b w:val="0"/>
          <w:bCs w:val="0"/>
        </w:rPr>
      </w:r>
    </w:p>
    <w:p>
      <w:pPr>
        <w:spacing w:line="240" w:lineRule="auto" w:before="2"/>
        <w:rPr>
          <w:rFonts w:ascii="宋体" w:hAnsi="宋体" w:cs="宋体" w:eastAsia="宋体" w:hint="default"/>
          <w:b/>
          <w:bCs/>
          <w:sz w:val="19"/>
          <w:szCs w:val="19"/>
        </w:rPr>
      </w:pPr>
    </w:p>
    <w:p>
      <w:pPr>
        <w:pStyle w:val="BodyText"/>
        <w:spacing w:line="240" w:lineRule="auto"/>
        <w:ind w:left="146" w:right="0"/>
        <w:jc w:val="left"/>
      </w:pPr>
      <w:r>
        <w:rPr/>
        <w:t>（一）董事参加董事会和股东大会的情况</w:t>
      </w:r>
    </w:p>
    <w:p>
      <w:pPr>
        <w:spacing w:line="240" w:lineRule="auto" w:before="11"/>
        <w:rPr>
          <w:rFonts w:ascii="宋体" w:hAnsi="宋体" w:cs="宋体" w:eastAsia="宋体" w:hint="default"/>
          <w:sz w:val="21"/>
          <w:szCs w:val="21"/>
        </w:rPr>
      </w:pPr>
    </w:p>
    <w:tbl>
      <w:tblPr>
        <w:tblW w:w="0" w:type="auto"/>
        <w:jc w:val="left"/>
        <w:tblInd w:w="814" w:type="dxa"/>
        <w:tblLayout w:type="fixed"/>
        <w:tblCellMar>
          <w:top w:w="0" w:type="dxa"/>
          <w:left w:w="0" w:type="dxa"/>
          <w:bottom w:w="0" w:type="dxa"/>
          <w:right w:w="0" w:type="dxa"/>
        </w:tblCellMar>
        <w:tblLook w:val="01E0"/>
      </w:tblPr>
      <w:tblGrid>
        <w:gridCol w:w="1035"/>
        <w:gridCol w:w="886"/>
        <w:gridCol w:w="1172"/>
        <w:gridCol w:w="917"/>
        <w:gridCol w:w="988"/>
        <w:gridCol w:w="671"/>
        <w:gridCol w:w="720"/>
        <w:gridCol w:w="1366"/>
        <w:gridCol w:w="1093"/>
      </w:tblGrid>
      <w:tr>
        <w:trPr>
          <w:trHeight w:val="871" w:hRule="exact"/>
        </w:trPr>
        <w:tc>
          <w:tcPr>
            <w:tcW w:w="103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86" w:lineRule="exact"/>
              <w:ind w:left="288" w:right="290"/>
              <w:jc w:val="left"/>
              <w:rPr>
                <w:rFonts w:ascii="宋体" w:hAnsi="宋体" w:cs="宋体" w:eastAsia="宋体" w:hint="default"/>
                <w:sz w:val="22"/>
                <w:szCs w:val="22"/>
              </w:rPr>
            </w:pPr>
            <w:r>
              <w:rPr>
                <w:rFonts w:ascii="宋体" w:hAnsi="宋体" w:cs="宋体" w:eastAsia="宋体" w:hint="default"/>
                <w:sz w:val="22"/>
                <w:szCs w:val="22"/>
              </w:rPr>
              <w:t>董事</w:t>
            </w:r>
            <w:r>
              <w:rPr>
                <w:rFonts w:ascii="宋体" w:hAnsi="宋体" w:cs="宋体" w:eastAsia="宋体" w:hint="default"/>
                <w:w w:val="99"/>
                <w:sz w:val="22"/>
                <w:szCs w:val="22"/>
              </w:rPr>
              <w:t> </w:t>
            </w:r>
            <w:r>
              <w:rPr>
                <w:rFonts w:ascii="宋体" w:hAnsi="宋体" w:cs="宋体" w:eastAsia="宋体" w:hint="default"/>
                <w:sz w:val="22"/>
                <w:szCs w:val="22"/>
              </w:rPr>
              <w:t>姓名</w:t>
            </w:r>
          </w:p>
        </w:tc>
        <w:tc>
          <w:tcPr>
            <w:tcW w:w="8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86" w:lineRule="exact"/>
              <w:ind w:left="104" w:right="107"/>
              <w:jc w:val="left"/>
              <w:rPr>
                <w:rFonts w:ascii="宋体" w:hAnsi="宋体" w:cs="宋体" w:eastAsia="宋体" w:hint="default"/>
                <w:sz w:val="22"/>
                <w:szCs w:val="22"/>
              </w:rPr>
            </w:pPr>
            <w:r>
              <w:rPr>
                <w:rFonts w:ascii="宋体" w:hAnsi="宋体" w:cs="宋体" w:eastAsia="宋体" w:hint="default"/>
                <w:sz w:val="22"/>
                <w:szCs w:val="22"/>
              </w:rPr>
              <w:t>是否独</w:t>
            </w:r>
            <w:r>
              <w:rPr>
                <w:rFonts w:ascii="宋体" w:hAnsi="宋体" w:cs="宋体" w:eastAsia="宋体" w:hint="default"/>
                <w:w w:val="99"/>
                <w:sz w:val="22"/>
                <w:szCs w:val="22"/>
              </w:rPr>
              <w:t> </w:t>
            </w:r>
            <w:r>
              <w:rPr>
                <w:rFonts w:ascii="宋体" w:hAnsi="宋体" w:cs="宋体" w:eastAsia="宋体" w:hint="default"/>
                <w:sz w:val="22"/>
                <w:szCs w:val="22"/>
              </w:rPr>
              <w:t>立董事</w:t>
            </w:r>
          </w:p>
        </w:tc>
        <w:tc>
          <w:tcPr>
            <w:tcW w:w="5834"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2"/>
                <w:szCs w:val="22"/>
              </w:rPr>
            </w:pPr>
            <w:r>
              <w:rPr>
                <w:rFonts w:ascii="宋体" w:hAnsi="宋体" w:cs="宋体" w:eastAsia="宋体" w:hint="default"/>
                <w:sz w:val="22"/>
                <w:szCs w:val="22"/>
              </w:rPr>
              <w:t>参加董事会情况</w:t>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208" w:right="0"/>
              <w:jc w:val="left"/>
              <w:rPr>
                <w:rFonts w:ascii="宋体" w:hAnsi="宋体" w:cs="宋体" w:eastAsia="宋体" w:hint="default"/>
                <w:sz w:val="22"/>
                <w:szCs w:val="22"/>
              </w:rPr>
            </w:pPr>
            <w:r>
              <w:rPr>
                <w:rFonts w:ascii="宋体" w:hAnsi="宋体" w:cs="宋体" w:eastAsia="宋体" w:hint="default"/>
                <w:sz w:val="22"/>
                <w:szCs w:val="22"/>
              </w:rPr>
              <w:t>参加股</w:t>
            </w:r>
          </w:p>
          <w:p>
            <w:pPr>
              <w:pStyle w:val="TableParagraph"/>
              <w:spacing w:line="286" w:lineRule="exact" w:before="27"/>
              <w:ind w:left="319" w:right="209" w:hanging="111"/>
              <w:jc w:val="left"/>
              <w:rPr>
                <w:rFonts w:ascii="宋体" w:hAnsi="宋体" w:cs="宋体" w:eastAsia="宋体" w:hint="default"/>
                <w:sz w:val="22"/>
                <w:szCs w:val="22"/>
              </w:rPr>
            </w:pPr>
            <w:r>
              <w:rPr>
                <w:rFonts w:ascii="宋体" w:hAnsi="宋体" w:cs="宋体" w:eastAsia="宋体" w:hint="default"/>
                <w:sz w:val="22"/>
                <w:szCs w:val="22"/>
              </w:rPr>
              <w:t>东大会</w:t>
            </w:r>
            <w:r>
              <w:rPr>
                <w:rFonts w:ascii="宋体" w:hAnsi="宋体" w:cs="宋体" w:eastAsia="宋体" w:hint="default"/>
                <w:w w:val="99"/>
                <w:sz w:val="22"/>
                <w:szCs w:val="22"/>
              </w:rPr>
              <w:t> </w:t>
            </w:r>
            <w:r>
              <w:rPr>
                <w:rFonts w:ascii="宋体" w:hAnsi="宋体" w:cs="宋体" w:eastAsia="宋体" w:hint="default"/>
                <w:sz w:val="22"/>
                <w:szCs w:val="22"/>
              </w:rPr>
              <w:t>情况</w:t>
            </w:r>
          </w:p>
        </w:tc>
      </w:tr>
      <w:tr>
        <w:trPr>
          <w:trHeight w:val="872" w:hRule="exact"/>
        </w:trPr>
        <w:tc>
          <w:tcPr>
            <w:tcW w:w="1035" w:type="dxa"/>
            <w:vMerge/>
            <w:tcBorders>
              <w:left w:val="single" w:sz="6" w:space="0" w:color="000000"/>
              <w:bottom w:val="single" w:sz="6" w:space="0" w:color="000000"/>
              <w:right w:val="single" w:sz="6" w:space="0" w:color="000000"/>
            </w:tcBorders>
          </w:tcPr>
          <w:p>
            <w:pPr/>
          </w:p>
        </w:tc>
        <w:tc>
          <w:tcPr>
            <w:tcW w:w="886" w:type="dxa"/>
            <w:vMerge/>
            <w:tcBorders>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37" w:right="0"/>
              <w:jc w:val="left"/>
              <w:rPr>
                <w:rFonts w:ascii="宋体" w:hAnsi="宋体" w:cs="宋体" w:eastAsia="宋体" w:hint="default"/>
                <w:sz w:val="22"/>
                <w:szCs w:val="22"/>
              </w:rPr>
            </w:pPr>
            <w:r>
              <w:rPr>
                <w:rFonts w:ascii="宋体" w:hAnsi="宋体" w:cs="宋体" w:eastAsia="宋体" w:hint="default"/>
                <w:sz w:val="22"/>
                <w:szCs w:val="22"/>
              </w:rPr>
              <w:t>本年应参</w:t>
            </w:r>
          </w:p>
          <w:p>
            <w:pPr>
              <w:pStyle w:val="TableParagraph"/>
              <w:spacing w:line="284" w:lineRule="exact" w:before="29"/>
              <w:ind w:left="357" w:right="139" w:hanging="220"/>
              <w:jc w:val="left"/>
              <w:rPr>
                <w:rFonts w:ascii="宋体" w:hAnsi="宋体" w:cs="宋体" w:eastAsia="宋体" w:hint="default"/>
                <w:sz w:val="22"/>
                <w:szCs w:val="22"/>
              </w:rPr>
            </w:pPr>
            <w:r>
              <w:rPr>
                <w:rFonts w:ascii="宋体" w:hAnsi="宋体" w:cs="宋体" w:eastAsia="宋体" w:hint="default"/>
                <w:sz w:val="22"/>
                <w:szCs w:val="22"/>
              </w:rPr>
              <w:t>加董事会</w:t>
            </w:r>
            <w:r>
              <w:rPr>
                <w:rFonts w:ascii="宋体" w:hAnsi="宋体" w:cs="宋体" w:eastAsia="宋体" w:hint="default"/>
                <w:w w:val="99"/>
                <w:sz w:val="22"/>
                <w:szCs w:val="22"/>
              </w:rPr>
              <w:t> </w:t>
            </w:r>
            <w:r>
              <w:rPr>
                <w:rFonts w:ascii="宋体" w:hAnsi="宋体" w:cs="宋体" w:eastAsia="宋体" w:hint="default"/>
                <w:sz w:val="22"/>
                <w:szCs w:val="22"/>
              </w:rPr>
              <w:t>次数</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before="137"/>
              <w:ind w:left="121" w:right="120"/>
              <w:jc w:val="left"/>
              <w:rPr>
                <w:rFonts w:ascii="宋体" w:hAnsi="宋体" w:cs="宋体" w:eastAsia="宋体" w:hint="default"/>
                <w:sz w:val="22"/>
                <w:szCs w:val="22"/>
              </w:rPr>
            </w:pPr>
            <w:r>
              <w:rPr>
                <w:rFonts w:ascii="宋体" w:hAnsi="宋体" w:cs="宋体" w:eastAsia="宋体" w:hint="default"/>
                <w:sz w:val="22"/>
                <w:szCs w:val="22"/>
              </w:rPr>
              <w:t>亲自出</w:t>
            </w:r>
            <w:r>
              <w:rPr>
                <w:rFonts w:ascii="宋体" w:hAnsi="宋体" w:cs="宋体" w:eastAsia="宋体" w:hint="default"/>
                <w:w w:val="99"/>
                <w:sz w:val="22"/>
                <w:szCs w:val="22"/>
              </w:rPr>
              <w:t> </w:t>
            </w:r>
            <w:r>
              <w:rPr>
                <w:rFonts w:ascii="宋体" w:hAnsi="宋体" w:cs="宋体" w:eastAsia="宋体" w:hint="default"/>
                <w:sz w:val="22"/>
                <w:szCs w:val="22"/>
              </w:rPr>
              <w:t>席次数</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55" w:right="0"/>
              <w:jc w:val="left"/>
              <w:rPr>
                <w:rFonts w:ascii="宋体" w:hAnsi="宋体" w:cs="宋体" w:eastAsia="宋体" w:hint="default"/>
                <w:sz w:val="22"/>
                <w:szCs w:val="22"/>
              </w:rPr>
            </w:pPr>
            <w:r>
              <w:rPr>
                <w:rFonts w:ascii="宋体" w:hAnsi="宋体" w:cs="宋体" w:eastAsia="宋体" w:hint="default"/>
                <w:sz w:val="22"/>
                <w:szCs w:val="22"/>
              </w:rPr>
              <w:t>以通讯</w:t>
            </w:r>
          </w:p>
          <w:p>
            <w:pPr>
              <w:pStyle w:val="TableParagraph"/>
              <w:spacing w:line="284" w:lineRule="exact" w:before="29"/>
              <w:ind w:left="155" w:right="156"/>
              <w:jc w:val="left"/>
              <w:rPr>
                <w:rFonts w:ascii="宋体" w:hAnsi="宋体" w:cs="宋体" w:eastAsia="宋体" w:hint="default"/>
                <w:sz w:val="22"/>
                <w:szCs w:val="22"/>
              </w:rPr>
            </w:pPr>
            <w:r>
              <w:rPr>
                <w:rFonts w:ascii="宋体" w:hAnsi="宋体" w:cs="宋体" w:eastAsia="宋体" w:hint="default"/>
                <w:sz w:val="22"/>
                <w:szCs w:val="22"/>
              </w:rPr>
              <w:t>方式参</w:t>
            </w:r>
            <w:r>
              <w:rPr>
                <w:rFonts w:ascii="宋体" w:hAnsi="宋体" w:cs="宋体" w:eastAsia="宋体" w:hint="default"/>
                <w:w w:val="99"/>
                <w:sz w:val="22"/>
                <w:szCs w:val="22"/>
              </w:rPr>
              <w:t> </w:t>
            </w:r>
            <w:r>
              <w:rPr>
                <w:rFonts w:ascii="宋体" w:hAnsi="宋体" w:cs="宋体" w:eastAsia="宋体" w:hint="default"/>
                <w:sz w:val="22"/>
                <w:szCs w:val="22"/>
              </w:rPr>
              <w:t>加次数</w:t>
            </w:r>
          </w:p>
        </w:tc>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6" w:right="0"/>
              <w:jc w:val="left"/>
              <w:rPr>
                <w:rFonts w:ascii="宋体" w:hAnsi="宋体" w:cs="宋体" w:eastAsia="宋体" w:hint="default"/>
                <w:sz w:val="22"/>
                <w:szCs w:val="22"/>
              </w:rPr>
            </w:pPr>
            <w:r>
              <w:rPr>
                <w:rFonts w:ascii="宋体" w:hAnsi="宋体" w:cs="宋体" w:eastAsia="宋体" w:hint="default"/>
                <w:sz w:val="22"/>
                <w:szCs w:val="22"/>
              </w:rPr>
              <w:t>委托</w:t>
            </w:r>
          </w:p>
          <w:p>
            <w:pPr>
              <w:pStyle w:val="TableParagraph"/>
              <w:spacing w:line="284" w:lineRule="exact" w:before="29"/>
              <w:ind w:left="106" w:right="108"/>
              <w:jc w:val="left"/>
              <w:rPr>
                <w:rFonts w:ascii="宋体" w:hAnsi="宋体" w:cs="宋体" w:eastAsia="宋体" w:hint="default"/>
                <w:sz w:val="22"/>
                <w:szCs w:val="22"/>
              </w:rPr>
            </w:pPr>
            <w:r>
              <w:rPr>
                <w:rFonts w:ascii="宋体" w:hAnsi="宋体" w:cs="宋体" w:eastAsia="宋体" w:hint="default"/>
                <w:sz w:val="22"/>
                <w:szCs w:val="22"/>
              </w:rPr>
              <w:t>出席</w:t>
            </w:r>
            <w:r>
              <w:rPr>
                <w:rFonts w:ascii="宋体" w:hAnsi="宋体" w:cs="宋体" w:eastAsia="宋体" w:hint="default"/>
                <w:w w:val="99"/>
                <w:sz w:val="22"/>
                <w:szCs w:val="22"/>
              </w:rPr>
              <w:t> </w:t>
            </w:r>
            <w:r>
              <w:rPr>
                <w:rFonts w:ascii="宋体" w:hAnsi="宋体" w:cs="宋体" w:eastAsia="宋体" w:hint="default"/>
                <w:sz w:val="22"/>
                <w:szCs w:val="22"/>
              </w:rPr>
              <w:t>次数</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before="137"/>
              <w:ind w:left="131" w:right="132"/>
              <w:jc w:val="left"/>
              <w:rPr>
                <w:rFonts w:ascii="宋体" w:hAnsi="宋体" w:cs="宋体" w:eastAsia="宋体" w:hint="default"/>
                <w:sz w:val="22"/>
                <w:szCs w:val="22"/>
              </w:rPr>
            </w:pPr>
            <w:r>
              <w:rPr>
                <w:rFonts w:ascii="宋体" w:hAnsi="宋体" w:cs="宋体" w:eastAsia="宋体" w:hint="default"/>
                <w:sz w:val="22"/>
                <w:szCs w:val="22"/>
              </w:rPr>
              <w:t>缺席</w:t>
            </w:r>
            <w:r>
              <w:rPr>
                <w:rFonts w:ascii="宋体" w:hAnsi="宋体" w:cs="宋体" w:eastAsia="宋体" w:hint="default"/>
                <w:w w:val="99"/>
                <w:sz w:val="22"/>
                <w:szCs w:val="22"/>
              </w:rPr>
              <w:t> </w:t>
            </w:r>
            <w:r>
              <w:rPr>
                <w:rFonts w:ascii="宋体" w:hAnsi="宋体" w:cs="宋体" w:eastAsia="宋体" w:hint="default"/>
                <w:sz w:val="22"/>
                <w:szCs w:val="22"/>
              </w:rPr>
              <w:t>次数</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24" w:right="0"/>
              <w:jc w:val="left"/>
              <w:rPr>
                <w:rFonts w:ascii="宋体" w:hAnsi="宋体" w:cs="宋体" w:eastAsia="宋体" w:hint="default"/>
                <w:sz w:val="22"/>
                <w:szCs w:val="22"/>
              </w:rPr>
            </w:pPr>
            <w:r>
              <w:rPr>
                <w:rFonts w:ascii="宋体" w:hAnsi="宋体" w:cs="宋体" w:eastAsia="宋体" w:hint="default"/>
                <w:sz w:val="22"/>
                <w:szCs w:val="22"/>
              </w:rPr>
              <w:t>是否连续两</w:t>
            </w:r>
          </w:p>
          <w:p>
            <w:pPr>
              <w:pStyle w:val="TableParagraph"/>
              <w:spacing w:line="284" w:lineRule="exact" w:before="29"/>
              <w:ind w:left="345" w:right="125" w:hanging="221"/>
              <w:jc w:val="left"/>
              <w:rPr>
                <w:rFonts w:ascii="宋体" w:hAnsi="宋体" w:cs="宋体" w:eastAsia="宋体" w:hint="default"/>
                <w:sz w:val="22"/>
                <w:szCs w:val="22"/>
              </w:rPr>
            </w:pPr>
            <w:r>
              <w:rPr>
                <w:rFonts w:ascii="宋体" w:hAnsi="宋体" w:cs="宋体" w:eastAsia="宋体" w:hint="default"/>
                <w:sz w:val="22"/>
                <w:szCs w:val="22"/>
              </w:rPr>
              <w:t>次未亲自参</w:t>
            </w:r>
            <w:r>
              <w:rPr>
                <w:rFonts w:ascii="宋体" w:hAnsi="宋体" w:cs="宋体" w:eastAsia="宋体" w:hint="default"/>
                <w:w w:val="99"/>
                <w:sz w:val="22"/>
                <w:szCs w:val="22"/>
              </w:rPr>
              <w:t> </w:t>
            </w:r>
            <w:r>
              <w:rPr>
                <w:rFonts w:ascii="宋体" w:hAnsi="宋体" w:cs="宋体" w:eastAsia="宋体" w:hint="default"/>
                <w:sz w:val="22"/>
                <w:szCs w:val="22"/>
              </w:rPr>
              <w:t>加会议</w:t>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208" w:right="0"/>
              <w:jc w:val="left"/>
              <w:rPr>
                <w:rFonts w:ascii="宋体" w:hAnsi="宋体" w:cs="宋体" w:eastAsia="宋体" w:hint="default"/>
                <w:sz w:val="22"/>
                <w:szCs w:val="22"/>
              </w:rPr>
            </w:pPr>
            <w:r>
              <w:rPr>
                <w:rFonts w:ascii="宋体" w:hAnsi="宋体" w:cs="宋体" w:eastAsia="宋体" w:hint="default"/>
                <w:sz w:val="22"/>
                <w:szCs w:val="22"/>
              </w:rPr>
              <w:t>出席股</w:t>
            </w:r>
          </w:p>
          <w:p>
            <w:pPr>
              <w:pStyle w:val="TableParagraph"/>
              <w:spacing w:line="284" w:lineRule="exact" w:before="29"/>
              <w:ind w:left="208" w:right="209"/>
              <w:jc w:val="left"/>
              <w:rPr>
                <w:rFonts w:ascii="宋体" w:hAnsi="宋体" w:cs="宋体" w:eastAsia="宋体" w:hint="default"/>
                <w:sz w:val="22"/>
                <w:szCs w:val="22"/>
              </w:rPr>
            </w:pPr>
            <w:r>
              <w:rPr>
                <w:rFonts w:ascii="宋体" w:hAnsi="宋体" w:cs="宋体" w:eastAsia="宋体" w:hint="default"/>
                <w:sz w:val="22"/>
                <w:szCs w:val="22"/>
              </w:rPr>
              <w:t>东大会</w:t>
            </w:r>
            <w:r>
              <w:rPr>
                <w:rFonts w:ascii="宋体" w:hAnsi="宋体" w:cs="宋体" w:eastAsia="宋体" w:hint="default"/>
                <w:w w:val="99"/>
                <w:sz w:val="22"/>
                <w:szCs w:val="22"/>
              </w:rPr>
              <w:t> </w:t>
            </w:r>
            <w:r>
              <w:rPr>
                <w:rFonts w:ascii="宋体" w:hAnsi="宋体" w:cs="宋体" w:eastAsia="宋体" w:hint="default"/>
                <w:sz w:val="22"/>
                <w:szCs w:val="22"/>
              </w:rPr>
              <w:t>的次数</w:t>
            </w:r>
          </w:p>
        </w:tc>
      </w:tr>
      <w:tr>
        <w:trPr>
          <w:trHeight w:val="300" w:hRule="exact"/>
        </w:trPr>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常小兵</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6</w:t>
            </w:r>
            <w:r>
              <w:rPr>
                <w:rFonts w:ascii="Arial"/>
                <w:sz w:val="22"/>
              </w:rPr>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6</w:t>
            </w:r>
            <w:r>
              <w:rPr>
                <w:rFonts w:ascii="Arial"/>
                <w:sz w:val="22"/>
              </w:rPr>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2</w:t>
            </w:r>
            <w:r>
              <w:rPr>
                <w:rFonts w:ascii="Arial"/>
                <w:sz w:val="22"/>
              </w:rPr>
            </w:r>
          </w:p>
        </w:tc>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9"/>
                <w:sz w:val="22"/>
              </w:rPr>
              <w:t>-</w:t>
            </w:r>
            <w:r>
              <w:rPr>
                <w:rFonts w:ascii="Arial"/>
                <w:sz w:val="22"/>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9"/>
                <w:sz w:val="22"/>
              </w:rPr>
              <w:t>-</w:t>
            </w:r>
            <w:r>
              <w:rPr>
                <w:rFonts w:ascii="Arial"/>
                <w:sz w:val="22"/>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564"/>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2</w:t>
            </w:r>
            <w:r>
              <w:rPr>
                <w:rFonts w:ascii="Arial"/>
                <w:sz w:val="22"/>
              </w:rPr>
            </w:r>
          </w:p>
        </w:tc>
      </w:tr>
      <w:tr>
        <w:trPr>
          <w:trHeight w:val="301" w:hRule="exact"/>
        </w:trPr>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陆益民</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6</w:t>
            </w:r>
            <w:r>
              <w:rPr>
                <w:rFonts w:ascii="Arial"/>
                <w:sz w:val="22"/>
              </w:rPr>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6</w:t>
            </w:r>
            <w:r>
              <w:rPr>
                <w:rFonts w:ascii="Arial"/>
                <w:sz w:val="22"/>
              </w:rPr>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2</w:t>
            </w:r>
            <w:r>
              <w:rPr>
                <w:rFonts w:ascii="Arial"/>
                <w:sz w:val="22"/>
              </w:rPr>
            </w:r>
          </w:p>
        </w:tc>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9"/>
                <w:sz w:val="22"/>
              </w:rPr>
              <w:t>-</w:t>
            </w:r>
            <w:r>
              <w:rPr>
                <w:rFonts w:ascii="Arial"/>
                <w:sz w:val="22"/>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9"/>
                <w:sz w:val="22"/>
              </w:rPr>
              <w:t>-</w:t>
            </w:r>
            <w:r>
              <w:rPr>
                <w:rFonts w:ascii="Arial"/>
                <w:sz w:val="22"/>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564"/>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2</w:t>
            </w:r>
            <w:r>
              <w:rPr>
                <w:rFonts w:ascii="Arial"/>
                <w:sz w:val="22"/>
              </w:rPr>
            </w:r>
          </w:p>
        </w:tc>
      </w:tr>
      <w:tr>
        <w:trPr>
          <w:trHeight w:val="300" w:hRule="exact"/>
        </w:trPr>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佟吉禄</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6</w:t>
            </w:r>
            <w:r>
              <w:rPr>
                <w:rFonts w:ascii="Arial"/>
                <w:sz w:val="22"/>
              </w:rPr>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6</w:t>
            </w:r>
            <w:r>
              <w:rPr>
                <w:rFonts w:ascii="Arial"/>
                <w:sz w:val="22"/>
              </w:rPr>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2</w:t>
            </w:r>
            <w:r>
              <w:rPr>
                <w:rFonts w:ascii="Arial"/>
                <w:sz w:val="22"/>
              </w:rPr>
            </w:r>
          </w:p>
        </w:tc>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9"/>
                <w:sz w:val="22"/>
              </w:rPr>
              <w:t>-</w:t>
            </w:r>
            <w:r>
              <w:rPr>
                <w:rFonts w:ascii="Arial"/>
                <w:sz w:val="22"/>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9"/>
                <w:sz w:val="22"/>
              </w:rPr>
              <w:t>-</w:t>
            </w:r>
            <w:r>
              <w:rPr>
                <w:rFonts w:ascii="Arial"/>
                <w:sz w:val="22"/>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564"/>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2</w:t>
            </w:r>
            <w:r>
              <w:rPr>
                <w:rFonts w:ascii="Arial"/>
                <w:sz w:val="22"/>
              </w:rPr>
            </w:r>
          </w:p>
        </w:tc>
      </w:tr>
      <w:tr>
        <w:trPr>
          <w:trHeight w:val="300" w:hRule="exact"/>
        </w:trPr>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李福申</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6</w:t>
            </w:r>
            <w:r>
              <w:rPr>
                <w:rFonts w:ascii="Arial"/>
                <w:sz w:val="22"/>
              </w:rPr>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6</w:t>
            </w:r>
            <w:r>
              <w:rPr>
                <w:rFonts w:ascii="Arial"/>
                <w:sz w:val="22"/>
              </w:rPr>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2</w:t>
            </w:r>
            <w:r>
              <w:rPr>
                <w:rFonts w:ascii="Arial"/>
                <w:sz w:val="22"/>
              </w:rPr>
            </w:r>
          </w:p>
        </w:tc>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9"/>
                <w:sz w:val="22"/>
              </w:rPr>
              <w:t>-</w:t>
            </w:r>
            <w:r>
              <w:rPr>
                <w:rFonts w:ascii="Arial"/>
                <w:sz w:val="22"/>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9"/>
                <w:sz w:val="22"/>
              </w:rPr>
              <w:t>-</w:t>
            </w:r>
            <w:r>
              <w:rPr>
                <w:rFonts w:ascii="Arial"/>
                <w:sz w:val="22"/>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564"/>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2</w:t>
            </w:r>
            <w:r>
              <w:rPr>
                <w:rFonts w:ascii="Arial"/>
                <w:sz w:val="22"/>
              </w:rPr>
            </w:r>
          </w:p>
        </w:tc>
      </w:tr>
      <w:tr>
        <w:trPr>
          <w:trHeight w:val="300" w:hRule="exact"/>
        </w:trPr>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刘彩</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6</w:t>
            </w:r>
            <w:r>
              <w:rPr>
                <w:rFonts w:ascii="Arial"/>
                <w:sz w:val="22"/>
              </w:rPr>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6</w:t>
            </w:r>
            <w:r>
              <w:rPr>
                <w:rFonts w:ascii="Arial"/>
                <w:sz w:val="22"/>
              </w:rPr>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2</w:t>
            </w:r>
            <w:r>
              <w:rPr>
                <w:rFonts w:ascii="Arial"/>
                <w:sz w:val="22"/>
              </w:rPr>
            </w:r>
          </w:p>
        </w:tc>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9"/>
                <w:sz w:val="22"/>
              </w:rPr>
              <w:t>-</w:t>
            </w:r>
            <w:r>
              <w:rPr>
                <w:rFonts w:ascii="Arial"/>
                <w:sz w:val="22"/>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9"/>
                <w:sz w:val="22"/>
              </w:rPr>
              <w:t>-</w:t>
            </w:r>
            <w:r>
              <w:rPr>
                <w:rFonts w:ascii="Arial"/>
                <w:sz w:val="22"/>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564"/>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1</w:t>
            </w:r>
            <w:r>
              <w:rPr>
                <w:rFonts w:ascii="Arial"/>
                <w:sz w:val="22"/>
              </w:rPr>
            </w:r>
          </w:p>
        </w:tc>
      </w:tr>
      <w:tr>
        <w:trPr>
          <w:trHeight w:val="301" w:hRule="exact"/>
        </w:trPr>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赵纯均</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6</w:t>
            </w:r>
            <w:r>
              <w:rPr>
                <w:rFonts w:ascii="Arial"/>
                <w:sz w:val="22"/>
              </w:rPr>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5</w:t>
            </w:r>
            <w:r>
              <w:rPr>
                <w:rFonts w:ascii="Arial"/>
                <w:sz w:val="22"/>
              </w:rPr>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2</w:t>
            </w:r>
            <w:r>
              <w:rPr>
                <w:rFonts w:ascii="Arial"/>
                <w:sz w:val="22"/>
              </w:rPr>
            </w:r>
          </w:p>
        </w:tc>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9"/>
                <w:sz w:val="22"/>
              </w:rPr>
              <w:t>1</w:t>
            </w:r>
            <w:r>
              <w:rPr>
                <w:rFonts w:ascii="Arial"/>
                <w:sz w:val="22"/>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9"/>
                <w:sz w:val="22"/>
              </w:rPr>
              <w:t>-</w:t>
            </w:r>
            <w:r>
              <w:rPr>
                <w:rFonts w:ascii="Arial"/>
                <w:sz w:val="22"/>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564"/>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9"/>
                <w:sz w:val="22"/>
              </w:rPr>
              <w:t>-</w:t>
            </w:r>
            <w:r>
              <w:rPr>
                <w:rFonts w:ascii="Arial"/>
                <w:sz w:val="22"/>
              </w:rPr>
            </w:r>
          </w:p>
        </w:tc>
      </w:tr>
      <w:tr>
        <w:trPr>
          <w:trHeight w:val="300" w:hRule="exact"/>
        </w:trPr>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张英海</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6</w:t>
            </w:r>
            <w:r>
              <w:rPr>
                <w:rFonts w:ascii="Arial"/>
                <w:sz w:val="22"/>
              </w:rPr>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6</w:t>
            </w:r>
            <w:r>
              <w:rPr>
                <w:rFonts w:ascii="Arial"/>
                <w:sz w:val="22"/>
              </w:rPr>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2</w:t>
            </w:r>
            <w:r>
              <w:rPr>
                <w:rFonts w:ascii="Arial"/>
                <w:sz w:val="22"/>
              </w:rPr>
            </w:r>
          </w:p>
        </w:tc>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9"/>
                <w:sz w:val="22"/>
              </w:rPr>
              <w:t>-</w:t>
            </w:r>
            <w:r>
              <w:rPr>
                <w:rFonts w:ascii="Arial"/>
                <w:sz w:val="22"/>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9"/>
                <w:sz w:val="22"/>
              </w:rPr>
              <w:t>-</w:t>
            </w:r>
            <w:r>
              <w:rPr>
                <w:rFonts w:ascii="Arial"/>
                <w:sz w:val="22"/>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564"/>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2</w:t>
            </w:r>
            <w:r>
              <w:rPr>
                <w:rFonts w:ascii="Arial"/>
                <w:sz w:val="22"/>
              </w:rPr>
            </w:r>
          </w:p>
        </w:tc>
      </w:tr>
      <w:tr>
        <w:trPr>
          <w:trHeight w:val="301" w:hRule="exact"/>
        </w:trPr>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夏大慰</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6</w:t>
            </w:r>
            <w:r>
              <w:rPr>
                <w:rFonts w:ascii="Arial"/>
                <w:sz w:val="22"/>
              </w:rPr>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6</w:t>
            </w:r>
            <w:r>
              <w:rPr>
                <w:rFonts w:ascii="Arial"/>
                <w:sz w:val="22"/>
              </w:rPr>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2</w:t>
            </w:r>
            <w:r>
              <w:rPr>
                <w:rFonts w:ascii="Arial"/>
                <w:sz w:val="22"/>
              </w:rPr>
            </w:r>
          </w:p>
        </w:tc>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Arial" w:hAnsi="Arial" w:cs="Arial" w:eastAsia="Arial" w:hint="default"/>
                <w:sz w:val="22"/>
                <w:szCs w:val="22"/>
              </w:rPr>
            </w:pPr>
            <w:r>
              <w:rPr>
                <w:rFonts w:ascii="Arial"/>
                <w:w w:val="99"/>
                <w:sz w:val="22"/>
              </w:rPr>
              <w:t>-</w:t>
            </w:r>
            <w:r>
              <w:rPr>
                <w:rFonts w:ascii="Arial"/>
                <w:sz w:val="22"/>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9"/>
                <w:sz w:val="22"/>
              </w:rPr>
              <w:t>-</w:t>
            </w:r>
            <w:r>
              <w:rPr>
                <w:rFonts w:ascii="Arial"/>
                <w:sz w:val="22"/>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564"/>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9"/>
                <w:sz w:val="22"/>
              </w:rPr>
              <w:t>-</w:t>
            </w:r>
            <w:r>
              <w:rPr>
                <w:rFonts w:ascii="Arial"/>
                <w:sz w:val="22"/>
              </w:rPr>
            </w:r>
          </w:p>
        </w:tc>
      </w:tr>
    </w:tbl>
    <w:p>
      <w:pPr>
        <w:spacing w:line="240" w:lineRule="auto" w:before="3"/>
        <w:rPr>
          <w:rFonts w:ascii="宋体" w:hAnsi="宋体" w:cs="宋体" w:eastAsia="宋体" w:hint="default"/>
          <w:sz w:val="19"/>
          <w:szCs w:val="19"/>
        </w:rPr>
      </w:pPr>
    </w:p>
    <w:tbl>
      <w:tblPr>
        <w:tblW w:w="0" w:type="auto"/>
        <w:jc w:val="left"/>
        <w:tblInd w:w="814" w:type="dxa"/>
        <w:tblLayout w:type="fixed"/>
        <w:tblCellMar>
          <w:top w:w="0" w:type="dxa"/>
          <w:left w:w="0" w:type="dxa"/>
          <w:bottom w:w="0" w:type="dxa"/>
          <w:right w:w="0" w:type="dxa"/>
        </w:tblCellMar>
        <w:tblLook w:val="01E0"/>
      </w:tblPr>
      <w:tblGrid>
        <w:gridCol w:w="4833"/>
        <w:gridCol w:w="4032"/>
      </w:tblGrid>
      <w:tr>
        <w:trPr>
          <w:trHeight w:val="301" w:hRule="exact"/>
        </w:trPr>
        <w:tc>
          <w:tcPr>
            <w:tcW w:w="483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年内召开董事会会议次数</w:t>
            </w:r>
          </w:p>
        </w:tc>
        <w:tc>
          <w:tcPr>
            <w:tcW w:w="4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6</w:t>
            </w:r>
            <w:r>
              <w:rPr>
                <w:rFonts w:ascii="Arial"/>
                <w:sz w:val="22"/>
              </w:rPr>
            </w:r>
          </w:p>
        </w:tc>
      </w:tr>
      <w:tr>
        <w:trPr>
          <w:trHeight w:val="300" w:hRule="exact"/>
        </w:trPr>
        <w:tc>
          <w:tcPr>
            <w:tcW w:w="483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其中：现场会议次数</w:t>
            </w:r>
          </w:p>
        </w:tc>
        <w:tc>
          <w:tcPr>
            <w:tcW w:w="4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4</w:t>
            </w:r>
            <w:r>
              <w:rPr>
                <w:rFonts w:ascii="Arial"/>
                <w:sz w:val="22"/>
              </w:rPr>
            </w:r>
          </w:p>
        </w:tc>
      </w:tr>
      <w:tr>
        <w:trPr>
          <w:trHeight w:val="300" w:hRule="exact"/>
        </w:trPr>
        <w:tc>
          <w:tcPr>
            <w:tcW w:w="483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通讯方式召开会议次数</w:t>
            </w:r>
          </w:p>
        </w:tc>
        <w:tc>
          <w:tcPr>
            <w:tcW w:w="4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Arial" w:hAnsi="Arial" w:cs="Arial" w:eastAsia="Arial" w:hint="default"/>
                <w:sz w:val="22"/>
                <w:szCs w:val="22"/>
              </w:rPr>
            </w:pPr>
            <w:r>
              <w:rPr>
                <w:rFonts w:ascii="Arial"/>
                <w:w w:val="99"/>
                <w:sz w:val="22"/>
              </w:rPr>
              <w:t>2</w:t>
            </w:r>
            <w:r>
              <w:rPr>
                <w:rFonts w:ascii="Arial"/>
                <w:sz w:val="22"/>
              </w:rPr>
            </w:r>
          </w:p>
        </w:tc>
      </w:tr>
      <w:tr>
        <w:trPr>
          <w:trHeight w:val="301" w:hRule="exact"/>
        </w:trPr>
        <w:tc>
          <w:tcPr>
            <w:tcW w:w="483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2"/>
                <w:szCs w:val="22"/>
              </w:rPr>
            </w:pPr>
            <w:r>
              <w:rPr>
                <w:rFonts w:ascii="宋体" w:hAnsi="宋体" w:cs="宋体" w:eastAsia="宋体" w:hint="default"/>
                <w:sz w:val="22"/>
                <w:szCs w:val="22"/>
              </w:rPr>
              <w:t>现场结合通讯方式召开会议次数</w:t>
            </w:r>
          </w:p>
        </w:tc>
        <w:tc>
          <w:tcPr>
            <w:tcW w:w="4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Arial" w:hAnsi="Arial" w:cs="Arial" w:eastAsia="Arial" w:hint="default"/>
                <w:sz w:val="22"/>
                <w:szCs w:val="22"/>
              </w:rPr>
            </w:pPr>
            <w:r>
              <w:rPr>
                <w:rFonts w:ascii="Arial"/>
                <w:w w:val="99"/>
                <w:sz w:val="22"/>
              </w:rPr>
              <w:t>-</w:t>
            </w:r>
            <w:r>
              <w:rPr>
                <w:rFonts w:ascii="Arial"/>
                <w:sz w:val="22"/>
              </w:rPr>
            </w:r>
          </w:p>
        </w:tc>
      </w:tr>
    </w:tbl>
    <w:p>
      <w:pPr>
        <w:spacing w:line="240" w:lineRule="auto" w:before="2"/>
        <w:rPr>
          <w:rFonts w:ascii="宋体" w:hAnsi="宋体" w:cs="宋体" w:eastAsia="宋体" w:hint="default"/>
          <w:sz w:val="14"/>
          <w:szCs w:val="14"/>
        </w:rPr>
      </w:pPr>
    </w:p>
    <w:p>
      <w:pPr>
        <w:pStyle w:val="BodyText"/>
        <w:spacing w:line="240" w:lineRule="auto" w:before="31"/>
        <w:ind w:left="146" w:right="0"/>
        <w:jc w:val="left"/>
      </w:pPr>
      <w:r>
        <w:rPr/>
        <w:t>（二）独立董事对公司有关事项提出异议的情况</w:t>
      </w:r>
    </w:p>
    <w:p>
      <w:pPr>
        <w:spacing w:line="240" w:lineRule="auto" w:before="3"/>
        <w:rPr>
          <w:rFonts w:ascii="宋体" w:hAnsi="宋体" w:cs="宋体" w:eastAsia="宋体" w:hint="default"/>
          <w:sz w:val="21"/>
          <w:szCs w:val="21"/>
        </w:rPr>
      </w:pPr>
    </w:p>
    <w:p>
      <w:pPr>
        <w:pStyle w:val="BodyText"/>
        <w:spacing w:line="286" w:lineRule="exact"/>
        <w:ind w:left="821" w:right="170"/>
        <w:jc w:val="both"/>
      </w:pPr>
      <w:r>
        <w:rPr/>
        <w:t>报告期内，本公司共召开了五次独立董事会议。独立董事就对外担保、公司收购联通新时空</w:t>
      </w:r>
      <w:r>
        <w:rPr>
          <w:w w:val="99"/>
        </w:rPr>
        <w:t> </w:t>
      </w:r>
      <w:r>
        <w:rPr>
          <w:rFonts w:ascii="Arial" w:hAnsi="Arial" w:cs="Arial" w:eastAsia="Arial" w:hint="default"/>
          <w:spacing w:val="-3"/>
        </w:rPr>
        <w:t>100%</w:t>
      </w:r>
      <w:r>
        <w:rPr>
          <w:spacing w:val="-3"/>
        </w:rPr>
        <w:t>股权的事项发表了独立意见，很好地履行作为独立董事的职责。此外，本年度，独立董</w:t>
      </w:r>
      <w:r>
        <w:rPr>
          <w:spacing w:val="-104"/>
        </w:rPr>
        <w:t> </w:t>
      </w:r>
      <w:r>
        <w:rPr>
          <w:spacing w:val="-104"/>
        </w:rPr>
      </w:r>
      <w:r>
        <w:rPr/>
        <w:t>事保持了与管理层及外部审计师的充分沟通：</w:t>
      </w:r>
    </w:p>
    <w:p>
      <w:pPr>
        <w:spacing w:line="240" w:lineRule="auto" w:before="3"/>
        <w:rPr>
          <w:rFonts w:ascii="宋体" w:hAnsi="宋体" w:cs="宋体" w:eastAsia="宋体" w:hint="default"/>
          <w:sz w:val="19"/>
          <w:szCs w:val="19"/>
        </w:rPr>
      </w:pPr>
    </w:p>
    <w:p>
      <w:pPr>
        <w:pStyle w:val="BodyText"/>
        <w:spacing w:line="286" w:lineRule="exact"/>
        <w:ind w:left="1244" w:right="170" w:hanging="379"/>
        <w:jc w:val="both"/>
      </w:pPr>
      <w:r>
        <w:rPr>
          <w:rFonts w:ascii="Arial" w:hAnsi="Arial" w:cs="Arial" w:eastAsia="Arial" w:hint="default"/>
        </w:rPr>
        <w:t>1</w:t>
      </w:r>
      <w:r>
        <w:rPr/>
        <w:t>、</w:t>
      </w:r>
      <w:r>
        <w:rPr>
          <w:spacing w:val="-77"/>
        </w:rPr>
        <w:t> </w:t>
      </w:r>
      <w:r>
        <w:rPr/>
        <w:t>在</w:t>
      </w:r>
      <w:r>
        <w:rPr>
          <w:spacing w:val="-75"/>
        </w:rPr>
        <w:t> </w:t>
      </w:r>
      <w:r>
        <w:rPr>
          <w:rFonts w:ascii="Arial" w:hAnsi="Arial" w:cs="Arial" w:eastAsia="Arial" w:hint="default"/>
        </w:rPr>
        <w:t>2011</w:t>
      </w:r>
      <w:r>
        <w:rPr>
          <w:rFonts w:ascii="Arial" w:hAnsi="Arial" w:cs="Arial" w:eastAsia="Arial" w:hint="default"/>
          <w:spacing w:val="-26"/>
        </w:rPr>
        <w:t> </w:t>
      </w:r>
      <w:r>
        <w:rPr/>
        <w:t>年度财务报告及内部控制报告披露前听取了外部审计师有关</w:t>
      </w:r>
      <w:r>
        <w:rPr>
          <w:spacing w:val="-75"/>
        </w:rPr>
        <w:t> </w:t>
      </w:r>
      <w:r>
        <w:rPr>
          <w:rFonts w:ascii="Arial" w:hAnsi="Arial" w:cs="Arial" w:eastAsia="Arial" w:hint="default"/>
        </w:rPr>
        <w:t>2011</w:t>
      </w:r>
      <w:r>
        <w:rPr>
          <w:rFonts w:ascii="Arial" w:hAnsi="Arial" w:cs="Arial" w:eastAsia="Arial" w:hint="default"/>
          <w:spacing w:val="-25"/>
        </w:rPr>
        <w:t> </w:t>
      </w:r>
      <w:r>
        <w:rPr/>
        <w:t>年度财务报告</w:t>
      </w:r>
      <w:r>
        <w:rPr>
          <w:w w:val="99"/>
        </w:rPr>
        <w:t> </w:t>
      </w:r>
      <w:r>
        <w:rPr/>
        <w:t>及内部控制审计发现的汇报，还听取了本公司财务部代表公司做出的关于外部审计师工</w:t>
      </w:r>
      <w:r>
        <w:rPr>
          <w:w w:val="99"/>
        </w:rPr>
        <w:t> </w:t>
      </w:r>
      <w:r>
        <w:rPr/>
        <w:t>作发现及管理建议书的反馈或改进方面的汇报；</w:t>
      </w:r>
    </w:p>
    <w:p>
      <w:pPr>
        <w:pStyle w:val="BodyText"/>
        <w:spacing w:line="225" w:lineRule="auto"/>
        <w:ind w:left="1244" w:right="170" w:hanging="379"/>
        <w:jc w:val="both"/>
      </w:pPr>
      <w:r>
        <w:rPr>
          <w:rFonts w:ascii="Arial" w:hAnsi="Arial" w:cs="Arial" w:eastAsia="Arial" w:hint="default"/>
        </w:rPr>
        <w:t>2</w:t>
      </w:r>
      <w:r>
        <w:rPr/>
        <w:t>、</w:t>
      </w:r>
      <w:r>
        <w:rPr>
          <w:spacing w:val="-77"/>
        </w:rPr>
        <w:t> </w:t>
      </w:r>
      <w:r>
        <w:rPr/>
        <w:t>独立董事在</w:t>
      </w:r>
      <w:r>
        <w:rPr>
          <w:spacing w:val="-74"/>
        </w:rPr>
        <w:t> </w:t>
      </w:r>
      <w:r>
        <w:rPr>
          <w:rFonts w:ascii="Arial" w:hAnsi="Arial" w:cs="Arial" w:eastAsia="Arial" w:hint="default"/>
        </w:rPr>
        <w:t>2012</w:t>
      </w:r>
      <w:r>
        <w:rPr>
          <w:rFonts w:ascii="Arial" w:hAnsi="Arial" w:cs="Arial" w:eastAsia="Arial" w:hint="default"/>
          <w:spacing w:val="-26"/>
        </w:rPr>
        <w:t> </w:t>
      </w:r>
      <w:r>
        <w:rPr/>
        <w:t>年半年度报告披露前听取了外部审计师有关</w:t>
      </w:r>
      <w:r>
        <w:rPr>
          <w:spacing w:val="-75"/>
        </w:rPr>
        <w:t> </w:t>
      </w:r>
      <w:r>
        <w:rPr>
          <w:rFonts w:ascii="Arial" w:hAnsi="Arial" w:cs="Arial" w:eastAsia="Arial" w:hint="default"/>
        </w:rPr>
        <w:t>2012</w:t>
      </w:r>
      <w:r>
        <w:rPr>
          <w:rFonts w:ascii="Arial" w:hAnsi="Arial" w:cs="Arial" w:eastAsia="Arial" w:hint="default"/>
          <w:spacing w:val="-26"/>
        </w:rPr>
        <w:t> </w:t>
      </w:r>
      <w:r>
        <w:rPr/>
        <w:t>年中期审阅情况及发</w:t>
      </w:r>
      <w:r>
        <w:rPr>
          <w:w w:val="99"/>
        </w:rPr>
        <w:t> </w:t>
      </w:r>
      <w:r>
        <w:rPr>
          <w:spacing w:val="-7"/>
        </w:rPr>
        <w:t>现、</w:t>
      </w:r>
      <w:r>
        <w:rPr>
          <w:rFonts w:ascii="Arial" w:hAnsi="Arial" w:cs="Arial" w:eastAsia="Arial" w:hint="default"/>
          <w:spacing w:val="-7"/>
        </w:rPr>
        <w:t>2012</w:t>
      </w:r>
      <w:r>
        <w:rPr>
          <w:rFonts w:ascii="Arial" w:hAnsi="Arial" w:cs="Arial" w:eastAsia="Arial" w:hint="default"/>
          <w:spacing w:val="-39"/>
        </w:rPr>
        <w:t> </w:t>
      </w:r>
      <w:r>
        <w:rPr/>
        <w:t>年上半年内控评审的工作汇报，还听取了本公司财务部代表公司做出的关于外</w:t>
      </w:r>
      <w:r>
        <w:rPr>
          <w:w w:val="99"/>
        </w:rPr>
        <w:t> </w:t>
      </w:r>
      <w:r>
        <w:rPr/>
        <w:t>部审计师工作发现及管理建议书的反馈或改进方面的汇报。</w:t>
      </w:r>
    </w:p>
    <w:p>
      <w:pPr>
        <w:pStyle w:val="BodyText"/>
        <w:spacing w:line="424" w:lineRule="auto"/>
        <w:ind w:left="506" w:right="0" w:firstLine="360"/>
        <w:jc w:val="left"/>
      </w:pPr>
      <w:r>
        <w:rPr>
          <w:rFonts w:ascii="Arial" w:hAnsi="Arial" w:cs="Arial" w:eastAsia="Arial" w:hint="default"/>
        </w:rPr>
        <w:t>3</w:t>
      </w:r>
      <w:r>
        <w:rPr/>
        <w:t>、</w:t>
      </w:r>
      <w:r>
        <w:rPr>
          <w:spacing w:val="-75"/>
        </w:rPr>
        <w:t> </w:t>
      </w:r>
      <w:r>
        <w:rPr/>
        <w:t>独立董事听取了外部审计师对于</w:t>
      </w:r>
      <w:r>
        <w:rPr>
          <w:spacing w:val="-56"/>
        </w:rPr>
        <w:t> </w:t>
      </w:r>
      <w:r>
        <w:rPr>
          <w:rFonts w:ascii="Arial" w:hAnsi="Arial" w:cs="Arial" w:eastAsia="Arial" w:hint="default"/>
        </w:rPr>
        <w:t>2012</w:t>
      </w:r>
      <w:r>
        <w:rPr>
          <w:rFonts w:ascii="Arial" w:hAnsi="Arial" w:cs="Arial" w:eastAsia="Arial" w:hint="default"/>
          <w:spacing w:val="-7"/>
        </w:rPr>
        <w:t> </w:t>
      </w:r>
      <w:r>
        <w:rPr/>
        <w:t>年度整合审计计划的汇报。</w:t>
      </w:r>
      <w:r>
        <w:rPr>
          <w:w w:val="99"/>
        </w:rPr>
        <w:t> </w:t>
      </w:r>
      <w:r>
        <w:rPr>
          <w:w w:val="95"/>
        </w:rPr>
        <w:t>报告期内，公司独立董事未对公司本年度的董事会议案及其他非董事会议案事项提出异议。</w:t>
      </w:r>
      <w:r>
        <w:rPr/>
      </w:r>
    </w:p>
    <w:p>
      <w:pPr>
        <w:spacing w:after="0" w:line="424" w:lineRule="auto"/>
        <w:jc w:val="left"/>
        <w:sectPr>
          <w:pgSz w:w="11910" w:h="16840"/>
          <w:pgMar w:header="567" w:footer="745" w:top="800" w:bottom="940" w:left="1380" w:right="720"/>
        </w:sectPr>
      </w:pP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t>四、董事会下设专门委员会在报告期内履行职责时所提出的重要意见和建议</w:t>
      </w:r>
      <w:r>
        <w:rPr>
          <w:b w:val="0"/>
          <w:bCs w:val="0"/>
        </w:rPr>
      </w:r>
    </w:p>
    <w:p>
      <w:pPr>
        <w:spacing w:line="240" w:lineRule="auto" w:before="2"/>
        <w:rPr>
          <w:rFonts w:ascii="宋体" w:hAnsi="宋体" w:cs="宋体" w:eastAsia="宋体" w:hint="default"/>
          <w:b/>
          <w:bCs/>
          <w:sz w:val="19"/>
          <w:szCs w:val="19"/>
        </w:rPr>
      </w:pPr>
    </w:p>
    <w:p>
      <w:pPr>
        <w:pStyle w:val="BodyText"/>
        <w:spacing w:line="240" w:lineRule="auto"/>
        <w:ind w:left="632" w:right="0"/>
        <w:jc w:val="left"/>
      </w:pPr>
      <w:r>
        <w:rPr>
          <w:rFonts w:ascii="Arial" w:hAnsi="Arial" w:cs="Arial" w:eastAsia="Arial" w:hint="default"/>
        </w:rPr>
        <w:t>2012</w:t>
      </w:r>
      <w:r>
        <w:rPr>
          <w:rFonts w:ascii="Arial" w:hAnsi="Arial" w:cs="Arial" w:eastAsia="Arial" w:hint="default"/>
          <w:spacing w:val="-16"/>
        </w:rPr>
        <w:t> </w:t>
      </w:r>
      <w:r>
        <w:rPr/>
        <w:t>年董事会下设的审计委员会的履职情况汇总：</w:t>
      </w:r>
    </w:p>
    <w:p>
      <w:pPr>
        <w:spacing w:line="240" w:lineRule="auto" w:before="0"/>
        <w:rPr>
          <w:rFonts w:ascii="宋体" w:hAnsi="宋体" w:cs="宋体" w:eastAsia="宋体" w:hint="default"/>
          <w:sz w:val="20"/>
          <w:szCs w:val="20"/>
        </w:rPr>
      </w:pPr>
    </w:p>
    <w:p>
      <w:pPr>
        <w:pStyle w:val="BodyText"/>
        <w:spacing w:line="286" w:lineRule="exact"/>
        <w:ind w:left="1109" w:right="145" w:hanging="963"/>
        <w:jc w:val="left"/>
      </w:pPr>
      <w:r>
        <w:rPr/>
        <w:t>（一）第三届董事会审计委员会第九次会议于</w:t>
      </w:r>
      <w:r>
        <w:rPr>
          <w:spacing w:val="-65"/>
        </w:rPr>
        <w:t> </w:t>
      </w:r>
      <w:r>
        <w:rPr>
          <w:rFonts w:ascii="Arial" w:hAnsi="Arial" w:cs="Arial" w:eastAsia="Arial" w:hint="default"/>
        </w:rPr>
        <w:t>2012</w:t>
      </w:r>
      <w:r>
        <w:rPr>
          <w:rFonts w:ascii="Arial" w:hAnsi="Arial" w:cs="Arial" w:eastAsia="Arial" w:hint="default"/>
          <w:spacing w:val="-18"/>
        </w:rPr>
        <w:t> </w:t>
      </w:r>
      <w:r>
        <w:rPr/>
        <w:t>年</w:t>
      </w:r>
      <w:r>
        <w:rPr>
          <w:spacing w:val="-67"/>
        </w:rPr>
        <w:t> </w:t>
      </w:r>
      <w:r>
        <w:rPr>
          <w:rFonts w:ascii="Arial" w:hAnsi="Arial" w:cs="Arial" w:eastAsia="Arial" w:hint="default"/>
        </w:rPr>
        <w:t>3</w:t>
      </w:r>
      <w:r>
        <w:rPr>
          <w:rFonts w:ascii="Arial" w:hAnsi="Arial" w:cs="Arial" w:eastAsia="Arial" w:hint="default"/>
          <w:spacing w:val="-18"/>
        </w:rPr>
        <w:t> </w:t>
      </w:r>
      <w:r>
        <w:rPr/>
        <w:t>月</w:t>
      </w:r>
      <w:r>
        <w:rPr>
          <w:spacing w:val="-67"/>
        </w:rPr>
        <w:t> </w:t>
      </w:r>
      <w:r>
        <w:rPr>
          <w:rFonts w:ascii="Arial" w:hAnsi="Arial" w:cs="Arial" w:eastAsia="Arial" w:hint="default"/>
        </w:rPr>
        <w:t>21</w:t>
      </w:r>
      <w:r>
        <w:rPr>
          <w:rFonts w:ascii="Arial" w:hAnsi="Arial" w:cs="Arial" w:eastAsia="Arial" w:hint="default"/>
          <w:spacing w:val="-18"/>
        </w:rPr>
        <w:t> </w:t>
      </w:r>
      <w:r>
        <w:rPr/>
        <w:t>日在北京召开，审议并通过了以下事</w:t>
      </w:r>
      <w:r>
        <w:rPr>
          <w:w w:val="99"/>
        </w:rPr>
        <w:t> </w:t>
      </w:r>
      <w:r>
        <w:rPr/>
        <w:t>项：</w:t>
      </w:r>
    </w:p>
    <w:p>
      <w:pPr>
        <w:spacing w:line="240" w:lineRule="auto" w:before="2"/>
        <w:rPr>
          <w:rFonts w:ascii="宋体" w:hAnsi="宋体" w:cs="宋体" w:eastAsia="宋体" w:hint="default"/>
          <w:sz w:val="17"/>
          <w:szCs w:val="17"/>
        </w:rPr>
      </w:pPr>
    </w:p>
    <w:p>
      <w:pPr>
        <w:pStyle w:val="BodyText"/>
        <w:spacing w:line="295" w:lineRule="exact"/>
        <w:ind w:left="812" w:right="0"/>
        <w:jc w:val="both"/>
      </w:pPr>
      <w:r>
        <w:rPr>
          <w:rFonts w:ascii="Arial" w:hAnsi="Arial" w:cs="Arial" w:eastAsia="Arial" w:hint="default"/>
        </w:rPr>
        <w:t>1</w:t>
      </w:r>
      <w:r>
        <w:rPr/>
        <w:t>、公司</w:t>
      </w:r>
      <w:r>
        <w:rPr>
          <w:spacing w:val="-60"/>
        </w:rPr>
        <w:t> </w:t>
      </w:r>
      <w:r>
        <w:rPr>
          <w:rFonts w:ascii="Arial" w:hAnsi="Arial" w:cs="Arial" w:eastAsia="Arial" w:hint="default"/>
        </w:rPr>
        <w:t>2011</w:t>
      </w:r>
      <w:r>
        <w:rPr>
          <w:rFonts w:ascii="Arial" w:hAnsi="Arial" w:cs="Arial" w:eastAsia="Arial" w:hint="default"/>
          <w:spacing w:val="-11"/>
        </w:rPr>
        <w:t> </w:t>
      </w:r>
      <w:r>
        <w:rPr/>
        <w:t>年年度报告中的财务报告、财务决算报告</w:t>
      </w:r>
    </w:p>
    <w:p>
      <w:pPr>
        <w:pStyle w:val="BodyText"/>
        <w:spacing w:line="285" w:lineRule="exact"/>
        <w:ind w:left="812" w:right="0"/>
        <w:jc w:val="both"/>
      </w:pPr>
      <w:r>
        <w:rPr>
          <w:rFonts w:ascii="Arial" w:hAnsi="Arial" w:cs="Arial" w:eastAsia="Arial" w:hint="default"/>
        </w:rPr>
        <w:t>2</w:t>
      </w:r>
      <w:r>
        <w:rPr/>
        <w:t>、公司</w:t>
      </w:r>
      <w:r>
        <w:rPr>
          <w:spacing w:val="-60"/>
        </w:rPr>
        <w:t> </w:t>
      </w:r>
      <w:r>
        <w:rPr>
          <w:rFonts w:ascii="Arial" w:hAnsi="Arial" w:cs="Arial" w:eastAsia="Arial" w:hint="default"/>
        </w:rPr>
        <w:t>2011</w:t>
      </w:r>
      <w:r>
        <w:rPr>
          <w:rFonts w:ascii="Arial" w:hAnsi="Arial" w:cs="Arial" w:eastAsia="Arial" w:hint="default"/>
          <w:spacing w:val="-11"/>
        </w:rPr>
        <w:t> </w:t>
      </w:r>
      <w:r>
        <w:rPr/>
        <w:t>年度计提资产减值准备及核销资产损失的议案</w:t>
      </w:r>
    </w:p>
    <w:p>
      <w:pPr>
        <w:pStyle w:val="BodyText"/>
        <w:spacing w:line="285" w:lineRule="exact"/>
        <w:ind w:left="812" w:right="0"/>
        <w:jc w:val="both"/>
      </w:pPr>
      <w:r>
        <w:rPr>
          <w:rFonts w:ascii="Arial" w:hAnsi="Arial" w:cs="Arial" w:eastAsia="Arial" w:hint="default"/>
        </w:rPr>
        <w:t>3</w:t>
      </w:r>
      <w:r>
        <w:rPr/>
        <w:t>、关于公司</w:t>
      </w:r>
      <w:r>
        <w:rPr>
          <w:spacing w:val="-58"/>
        </w:rPr>
        <w:t> </w:t>
      </w:r>
      <w:r>
        <w:rPr>
          <w:rFonts w:ascii="Arial" w:hAnsi="Arial" w:cs="Arial" w:eastAsia="Arial" w:hint="default"/>
        </w:rPr>
        <w:t>2011</w:t>
      </w:r>
      <w:r>
        <w:rPr>
          <w:rFonts w:ascii="Arial" w:hAnsi="Arial" w:cs="Arial" w:eastAsia="Arial" w:hint="default"/>
          <w:spacing w:val="-9"/>
        </w:rPr>
        <w:t> </w:t>
      </w:r>
      <w:r>
        <w:rPr/>
        <w:t>年内控总体情况和</w:t>
      </w:r>
      <w:r>
        <w:rPr>
          <w:spacing w:val="-58"/>
        </w:rPr>
        <w:t> </w:t>
      </w:r>
      <w:r>
        <w:rPr>
          <w:rFonts w:ascii="Arial" w:hAnsi="Arial" w:cs="Arial" w:eastAsia="Arial" w:hint="default"/>
        </w:rPr>
        <w:t>2012</w:t>
      </w:r>
      <w:r>
        <w:rPr>
          <w:rFonts w:ascii="Arial" w:hAnsi="Arial" w:cs="Arial" w:eastAsia="Arial" w:hint="default"/>
          <w:spacing w:val="-9"/>
        </w:rPr>
        <w:t> </w:t>
      </w:r>
      <w:r>
        <w:rPr/>
        <w:t>年工作计划</w:t>
      </w:r>
    </w:p>
    <w:p>
      <w:pPr>
        <w:pStyle w:val="BodyText"/>
        <w:spacing w:line="286" w:lineRule="exact"/>
        <w:ind w:left="812" w:right="0"/>
        <w:jc w:val="both"/>
      </w:pPr>
      <w:r>
        <w:rPr>
          <w:rFonts w:ascii="Arial" w:hAnsi="Arial" w:cs="Arial" w:eastAsia="Arial" w:hint="default"/>
        </w:rPr>
        <w:t>4</w:t>
      </w:r>
      <w:r>
        <w:rPr/>
        <w:t>、公司</w:t>
      </w:r>
      <w:r>
        <w:rPr>
          <w:spacing w:val="-59"/>
        </w:rPr>
        <w:t> </w:t>
      </w:r>
      <w:r>
        <w:rPr>
          <w:rFonts w:ascii="Arial" w:hAnsi="Arial" w:cs="Arial" w:eastAsia="Arial" w:hint="default"/>
        </w:rPr>
        <w:t>2011</w:t>
      </w:r>
      <w:r>
        <w:rPr>
          <w:rFonts w:ascii="Arial" w:hAnsi="Arial" w:cs="Arial" w:eastAsia="Arial" w:hint="default"/>
          <w:spacing w:val="-10"/>
        </w:rPr>
        <w:t> </w:t>
      </w:r>
      <w:r>
        <w:rPr/>
        <w:t>年内控自我评估报告的议案</w:t>
      </w:r>
    </w:p>
    <w:p>
      <w:pPr>
        <w:pStyle w:val="BodyText"/>
        <w:spacing w:line="424" w:lineRule="auto"/>
        <w:ind w:left="812" w:right="1342"/>
        <w:jc w:val="left"/>
      </w:pPr>
      <w:r>
        <w:rPr>
          <w:rFonts w:ascii="Arial" w:hAnsi="Arial" w:cs="Arial" w:eastAsia="Arial" w:hint="default"/>
        </w:rPr>
        <w:t>5</w:t>
      </w:r>
      <w:r>
        <w:rPr/>
        <w:t>、关于聘请会计师事务所的议案</w:t>
      </w:r>
      <w:r>
        <w:rPr>
          <w:w w:val="99"/>
        </w:rPr>
        <w:t> </w:t>
      </w:r>
      <w:r>
        <w:rPr>
          <w:w w:val="95"/>
        </w:rPr>
        <w:t>会议经表决一致同意上述议案并提交董事会审议。</w:t>
      </w:r>
      <w:r>
        <w:rPr/>
      </w:r>
    </w:p>
    <w:p>
      <w:pPr>
        <w:pStyle w:val="BodyText"/>
        <w:spacing w:line="286" w:lineRule="exact" w:before="109"/>
        <w:ind w:left="812" w:right="145"/>
        <w:jc w:val="left"/>
      </w:pPr>
      <w:r>
        <w:rPr/>
        <w:t>会议还听取并讨论了外部审计师有关 </w:t>
      </w:r>
      <w:r>
        <w:rPr>
          <w:rFonts w:ascii="Arial" w:hAnsi="Arial" w:cs="Arial" w:eastAsia="Arial" w:hint="default"/>
        </w:rPr>
        <w:t>2011</w:t>
      </w:r>
      <w:r>
        <w:rPr>
          <w:rFonts w:ascii="Arial" w:hAnsi="Arial" w:cs="Arial" w:eastAsia="Arial" w:hint="default"/>
          <w:spacing w:val="11"/>
        </w:rPr>
        <w:t> </w:t>
      </w:r>
      <w:r>
        <w:rPr/>
        <w:t>年年报审计相关问题及审计意见的汇报及本公司</w:t>
      </w:r>
      <w:r>
        <w:rPr>
          <w:w w:val="99"/>
        </w:rPr>
        <w:t> </w:t>
      </w:r>
      <w:r>
        <w:rPr/>
        <w:t>财务部关于审计师所提问题的改进措施的汇报。</w:t>
      </w:r>
    </w:p>
    <w:p>
      <w:pPr>
        <w:spacing w:line="240" w:lineRule="auto" w:before="3"/>
        <w:rPr>
          <w:rFonts w:ascii="宋体" w:hAnsi="宋体" w:cs="宋体" w:eastAsia="宋体" w:hint="default"/>
          <w:sz w:val="19"/>
          <w:szCs w:val="19"/>
        </w:rPr>
      </w:pPr>
    </w:p>
    <w:p>
      <w:pPr>
        <w:pStyle w:val="BodyText"/>
        <w:spacing w:line="286" w:lineRule="exact"/>
        <w:ind w:left="812" w:right="151"/>
        <w:jc w:val="both"/>
      </w:pPr>
      <w:r>
        <w:rPr/>
        <w:t>会议认为公司管理层对内部控制和外部审计过程中所发现的问题及提出的审计建议给予了高</w:t>
      </w:r>
      <w:r>
        <w:rPr>
          <w:w w:val="99"/>
        </w:rPr>
        <w:t> </w:t>
      </w:r>
      <w:r>
        <w:rPr/>
        <w:t>度重视，制定的改进措施是可行的，希望公司在 </w:t>
      </w:r>
      <w:r>
        <w:rPr>
          <w:rFonts w:ascii="Arial" w:hAnsi="Arial" w:cs="Arial" w:eastAsia="Arial" w:hint="default"/>
        </w:rPr>
        <w:t>2012</w:t>
      </w:r>
      <w:r>
        <w:rPr>
          <w:rFonts w:ascii="Arial" w:hAnsi="Arial" w:cs="Arial" w:eastAsia="Arial" w:hint="default"/>
          <w:spacing w:val="9"/>
        </w:rPr>
        <w:t> </w:t>
      </w:r>
      <w:r>
        <w:rPr/>
        <w:t>年度对外部审计师所提问题在下一年</w:t>
      </w:r>
      <w:r>
        <w:rPr>
          <w:w w:val="99"/>
        </w:rPr>
        <w:t> </w:t>
      </w:r>
      <w:r>
        <w:rPr/>
        <w:t>度予以跟进，对改进措施切实加以落实，强化内控，不断提高公司的各项管理水平。</w:t>
      </w:r>
    </w:p>
    <w:p>
      <w:pPr>
        <w:spacing w:line="240" w:lineRule="auto" w:before="1"/>
        <w:rPr>
          <w:rFonts w:ascii="宋体" w:hAnsi="宋体" w:cs="宋体" w:eastAsia="宋体" w:hint="default"/>
          <w:sz w:val="17"/>
          <w:szCs w:val="17"/>
        </w:rPr>
      </w:pPr>
    </w:p>
    <w:p>
      <w:pPr>
        <w:pStyle w:val="BodyText"/>
        <w:spacing w:line="295" w:lineRule="exact"/>
        <w:ind w:left="146" w:right="0"/>
        <w:jc w:val="left"/>
      </w:pPr>
      <w:r>
        <w:rPr>
          <w:w w:val="99"/>
        </w:rPr>
        <w:t>（二</w:t>
      </w:r>
      <w:r>
        <w:rPr>
          <w:spacing w:val="-92"/>
          <w:w w:val="99"/>
        </w:rPr>
        <w:t>）</w:t>
      </w:r>
      <w:r>
        <w:rPr>
          <w:w w:val="99"/>
        </w:rPr>
        <w:t>第三届董事会审计委员会第十次会议于</w:t>
      </w:r>
      <w:r>
        <w:rPr>
          <w:spacing w:val="-53"/>
        </w:rPr>
        <w:t> </w:t>
      </w:r>
      <w:r>
        <w:rPr>
          <w:rFonts w:ascii="Arial" w:hAnsi="Arial" w:cs="Arial" w:eastAsia="Arial" w:hint="default"/>
          <w:w w:val="99"/>
        </w:rPr>
        <w:t>2</w:t>
      </w:r>
      <w:r>
        <w:rPr>
          <w:rFonts w:ascii="Arial" w:hAnsi="Arial" w:cs="Arial" w:eastAsia="Arial" w:hint="default"/>
          <w:spacing w:val="1"/>
          <w:w w:val="99"/>
        </w:rPr>
        <w:t>0</w:t>
      </w:r>
      <w:r>
        <w:rPr>
          <w:rFonts w:ascii="Arial" w:hAnsi="Arial" w:cs="Arial" w:eastAsia="Arial" w:hint="default"/>
          <w:w w:val="99"/>
        </w:rPr>
        <w:t>12</w:t>
      </w:r>
      <w:r>
        <w:rPr>
          <w:rFonts w:ascii="Arial" w:hAnsi="Arial" w:cs="Arial" w:eastAsia="Arial" w:hint="default"/>
          <w:spacing w:val="-6"/>
        </w:rPr>
        <w:t> </w:t>
      </w:r>
      <w:r>
        <w:rPr>
          <w:w w:val="99"/>
        </w:rPr>
        <w:t>年</w:t>
      </w:r>
      <w:r>
        <w:rPr>
          <w:spacing w:val="-55"/>
        </w:rPr>
        <w:t> </w:t>
      </w:r>
      <w:r>
        <w:rPr>
          <w:rFonts w:ascii="Arial" w:hAnsi="Arial" w:cs="Arial" w:eastAsia="Arial" w:hint="default"/>
          <w:w w:val="99"/>
        </w:rPr>
        <w:t>4</w:t>
      </w:r>
      <w:r>
        <w:rPr>
          <w:rFonts w:ascii="Arial" w:hAnsi="Arial" w:cs="Arial" w:eastAsia="Arial" w:hint="default"/>
          <w:spacing w:val="-6"/>
        </w:rPr>
        <w:t> </w:t>
      </w:r>
      <w:r>
        <w:rPr>
          <w:w w:val="99"/>
        </w:rPr>
        <w:t>月</w:t>
      </w:r>
      <w:r>
        <w:rPr>
          <w:spacing w:val="-55"/>
        </w:rPr>
        <w:t> </w:t>
      </w:r>
      <w:r>
        <w:rPr>
          <w:rFonts w:ascii="Arial" w:hAnsi="Arial" w:cs="Arial" w:eastAsia="Arial" w:hint="default"/>
          <w:w w:val="99"/>
        </w:rPr>
        <w:t>24</w:t>
      </w:r>
      <w:r>
        <w:rPr>
          <w:rFonts w:ascii="Arial" w:hAnsi="Arial" w:cs="Arial" w:eastAsia="Arial" w:hint="default"/>
          <w:spacing w:val="-6"/>
        </w:rPr>
        <w:t> </w:t>
      </w:r>
      <w:r>
        <w:rPr>
          <w:w w:val="99"/>
        </w:rPr>
        <w:t>日以通信方式召开</w:t>
      </w:r>
      <w:r>
        <w:rPr>
          <w:spacing w:val="-93"/>
          <w:w w:val="99"/>
        </w:rPr>
        <w:t>，</w:t>
      </w:r>
      <w:r>
        <w:rPr>
          <w:w w:val="99"/>
        </w:rPr>
        <w:t>审议并同意</w:t>
      </w:r>
      <w:r>
        <w:rPr>
          <w:spacing w:val="-93"/>
          <w:w w:val="99"/>
        </w:rPr>
        <w:t>将</w:t>
      </w:r>
      <w:r>
        <w:rPr>
          <w:w w:val="99"/>
        </w:rPr>
        <w:t>《公</w:t>
      </w:r>
      <w:r>
        <w:rPr/>
      </w:r>
    </w:p>
    <w:p>
      <w:pPr>
        <w:pStyle w:val="BodyText"/>
        <w:spacing w:line="295" w:lineRule="exact"/>
        <w:ind w:left="821" w:right="0"/>
        <w:jc w:val="both"/>
      </w:pPr>
      <w:r>
        <w:rPr/>
        <w:t>司</w:t>
      </w:r>
      <w:r>
        <w:rPr>
          <w:spacing w:val="-60"/>
        </w:rPr>
        <w:t> </w:t>
      </w:r>
      <w:r>
        <w:rPr>
          <w:rFonts w:ascii="Arial" w:hAnsi="Arial" w:cs="Arial" w:eastAsia="Arial" w:hint="default"/>
        </w:rPr>
        <w:t>2012</w:t>
      </w:r>
      <w:r>
        <w:rPr>
          <w:rFonts w:ascii="Arial" w:hAnsi="Arial" w:cs="Arial" w:eastAsia="Arial" w:hint="default"/>
          <w:spacing w:val="-11"/>
        </w:rPr>
        <w:t> </w:t>
      </w:r>
      <w:r>
        <w:rPr/>
        <w:t>年第一季度报告（草案）》提交董事会审议。</w:t>
      </w:r>
    </w:p>
    <w:p>
      <w:pPr>
        <w:spacing w:line="240" w:lineRule="auto" w:before="2"/>
        <w:rPr>
          <w:rFonts w:ascii="宋体" w:hAnsi="宋体" w:cs="宋体" w:eastAsia="宋体" w:hint="default"/>
          <w:sz w:val="20"/>
          <w:szCs w:val="20"/>
        </w:rPr>
      </w:pPr>
    </w:p>
    <w:p>
      <w:pPr>
        <w:pStyle w:val="BodyText"/>
        <w:spacing w:line="286" w:lineRule="exact"/>
        <w:ind w:left="821" w:right="146" w:hanging="676"/>
        <w:jc w:val="left"/>
      </w:pPr>
      <w:r>
        <w:rPr/>
        <w:t>（三）第三届董事会审计委员会第十一次会议于</w:t>
      </w:r>
      <w:r>
        <w:rPr>
          <w:spacing w:val="-65"/>
        </w:rPr>
        <w:t> </w:t>
      </w:r>
      <w:r>
        <w:rPr>
          <w:rFonts w:ascii="Arial" w:hAnsi="Arial" w:cs="Arial" w:eastAsia="Arial" w:hint="default"/>
        </w:rPr>
        <w:t>2012</w:t>
      </w:r>
      <w:r>
        <w:rPr>
          <w:rFonts w:ascii="Arial" w:hAnsi="Arial" w:cs="Arial" w:eastAsia="Arial" w:hint="default"/>
          <w:spacing w:val="-18"/>
        </w:rPr>
        <w:t> </w:t>
      </w:r>
      <w:r>
        <w:rPr/>
        <w:t>年</w:t>
      </w:r>
      <w:r>
        <w:rPr>
          <w:spacing w:val="-67"/>
        </w:rPr>
        <w:t> </w:t>
      </w:r>
      <w:r>
        <w:rPr>
          <w:rFonts w:ascii="Arial" w:hAnsi="Arial" w:cs="Arial" w:eastAsia="Arial" w:hint="default"/>
        </w:rPr>
        <w:t>8</w:t>
      </w:r>
      <w:r>
        <w:rPr>
          <w:rFonts w:ascii="Arial" w:hAnsi="Arial" w:cs="Arial" w:eastAsia="Arial" w:hint="default"/>
          <w:spacing w:val="-18"/>
        </w:rPr>
        <w:t> </w:t>
      </w:r>
      <w:r>
        <w:rPr/>
        <w:t>月</w:t>
      </w:r>
      <w:r>
        <w:rPr>
          <w:spacing w:val="-67"/>
        </w:rPr>
        <w:t> </w:t>
      </w:r>
      <w:r>
        <w:rPr>
          <w:rFonts w:ascii="Arial" w:hAnsi="Arial" w:cs="Arial" w:eastAsia="Arial" w:hint="default"/>
        </w:rPr>
        <w:t>22</w:t>
      </w:r>
      <w:r>
        <w:rPr>
          <w:rFonts w:ascii="Arial" w:hAnsi="Arial" w:cs="Arial" w:eastAsia="Arial" w:hint="default"/>
          <w:spacing w:val="-18"/>
        </w:rPr>
        <w:t> </w:t>
      </w:r>
      <w:r>
        <w:rPr/>
        <w:t>日在北京召开，审议并通过以下事</w:t>
      </w:r>
      <w:r>
        <w:rPr>
          <w:w w:val="99"/>
        </w:rPr>
        <w:t> </w:t>
      </w:r>
      <w:r>
        <w:rPr/>
        <w:t>项：</w:t>
      </w:r>
    </w:p>
    <w:p>
      <w:pPr>
        <w:spacing w:line="240" w:lineRule="auto" w:before="1"/>
        <w:rPr>
          <w:rFonts w:ascii="宋体" w:hAnsi="宋体" w:cs="宋体" w:eastAsia="宋体" w:hint="default"/>
          <w:sz w:val="17"/>
          <w:szCs w:val="17"/>
        </w:rPr>
      </w:pPr>
    </w:p>
    <w:p>
      <w:pPr>
        <w:pStyle w:val="BodyText"/>
        <w:spacing w:line="295" w:lineRule="exact"/>
        <w:ind w:left="794" w:right="0"/>
        <w:jc w:val="both"/>
      </w:pPr>
      <w:r>
        <w:rPr>
          <w:rFonts w:ascii="Arial" w:hAnsi="Arial" w:cs="Arial" w:eastAsia="Arial" w:hint="default"/>
        </w:rPr>
        <w:t>1</w:t>
      </w:r>
      <w:r>
        <w:rPr/>
        <w:t>、审议《公司</w:t>
      </w:r>
      <w:r>
        <w:rPr>
          <w:spacing w:val="-59"/>
        </w:rPr>
        <w:t> </w:t>
      </w:r>
      <w:r>
        <w:rPr>
          <w:rFonts w:ascii="Arial" w:hAnsi="Arial" w:cs="Arial" w:eastAsia="Arial" w:hint="default"/>
        </w:rPr>
        <w:t>2012</w:t>
      </w:r>
      <w:r>
        <w:rPr>
          <w:rFonts w:ascii="Arial" w:hAnsi="Arial" w:cs="Arial" w:eastAsia="Arial" w:hint="default"/>
          <w:spacing w:val="-10"/>
        </w:rPr>
        <w:t> </w:t>
      </w:r>
      <w:r>
        <w:rPr/>
        <w:t>年半年度报告》</w:t>
      </w:r>
    </w:p>
    <w:p>
      <w:pPr>
        <w:pStyle w:val="BodyText"/>
        <w:spacing w:line="295" w:lineRule="exact"/>
        <w:ind w:left="794" w:right="0"/>
        <w:jc w:val="both"/>
      </w:pPr>
      <w:r>
        <w:rPr>
          <w:rFonts w:ascii="Arial" w:hAnsi="Arial" w:cs="Arial" w:eastAsia="Arial" w:hint="default"/>
        </w:rPr>
        <w:t>2</w:t>
      </w:r>
      <w:r>
        <w:rPr/>
        <w:t>、</w:t>
      </w:r>
      <w:r>
        <w:rPr>
          <w:rFonts w:ascii="Arial" w:hAnsi="Arial" w:cs="Arial" w:eastAsia="Arial" w:hint="default"/>
        </w:rPr>
        <w:t>2012</w:t>
      </w:r>
      <w:r>
        <w:rPr>
          <w:rFonts w:ascii="Arial" w:hAnsi="Arial" w:cs="Arial" w:eastAsia="Arial" w:hint="default"/>
          <w:spacing w:val="-13"/>
        </w:rPr>
        <w:t> </w:t>
      </w:r>
      <w:r>
        <w:rPr/>
        <w:t>年上半年内控评审工作的汇报</w:t>
      </w:r>
    </w:p>
    <w:p>
      <w:pPr>
        <w:spacing w:line="240" w:lineRule="auto" w:before="12"/>
        <w:rPr>
          <w:rFonts w:ascii="宋体" w:hAnsi="宋体" w:cs="宋体" w:eastAsia="宋体" w:hint="default"/>
          <w:sz w:val="17"/>
          <w:szCs w:val="17"/>
        </w:rPr>
      </w:pPr>
    </w:p>
    <w:p>
      <w:pPr>
        <w:pStyle w:val="BodyText"/>
        <w:spacing w:line="240" w:lineRule="auto"/>
        <w:ind w:left="794" w:right="0"/>
        <w:jc w:val="both"/>
      </w:pPr>
      <w:r>
        <w:rPr/>
        <w:t>会议经表决一致同意《公司</w:t>
      </w:r>
      <w:r>
        <w:rPr>
          <w:spacing w:val="-61"/>
        </w:rPr>
        <w:t> </w:t>
      </w:r>
      <w:r>
        <w:rPr>
          <w:rFonts w:ascii="Arial" w:hAnsi="Arial" w:cs="Arial" w:eastAsia="Arial" w:hint="default"/>
        </w:rPr>
        <w:t>2012</w:t>
      </w:r>
      <w:r>
        <w:rPr>
          <w:rFonts w:ascii="Arial" w:hAnsi="Arial" w:cs="Arial" w:eastAsia="Arial" w:hint="default"/>
          <w:spacing w:val="-13"/>
        </w:rPr>
        <w:t> </w:t>
      </w:r>
      <w:r>
        <w:rPr/>
        <w:t>年半年度报告》并同意提交董事会审议。</w:t>
      </w:r>
    </w:p>
    <w:p>
      <w:pPr>
        <w:spacing w:line="240" w:lineRule="auto" w:before="13"/>
        <w:rPr>
          <w:rFonts w:ascii="宋体" w:hAnsi="宋体" w:cs="宋体" w:eastAsia="宋体" w:hint="default"/>
          <w:sz w:val="17"/>
          <w:szCs w:val="17"/>
        </w:rPr>
      </w:pPr>
    </w:p>
    <w:p>
      <w:pPr>
        <w:pStyle w:val="BodyText"/>
        <w:spacing w:line="295" w:lineRule="exact"/>
        <w:ind w:left="794" w:right="0"/>
        <w:jc w:val="both"/>
      </w:pPr>
      <w:r>
        <w:rPr>
          <w:spacing w:val="5"/>
        </w:rPr>
        <w:t>会议听取和讨论了外部审计师有关 </w:t>
      </w:r>
      <w:r>
        <w:rPr>
          <w:rFonts w:ascii="Arial" w:hAnsi="Arial" w:cs="Arial" w:eastAsia="Arial" w:hint="default"/>
        </w:rPr>
        <w:t>2012</w:t>
      </w:r>
      <w:r>
        <w:rPr>
          <w:rFonts w:ascii="Arial" w:hAnsi="Arial" w:cs="Arial" w:eastAsia="Arial" w:hint="default"/>
          <w:spacing w:val="47"/>
        </w:rPr>
        <w:t> </w:t>
      </w:r>
      <w:r>
        <w:rPr>
          <w:spacing w:val="5"/>
        </w:rPr>
        <w:t>年中期审阅情况及发现的问题、及财务部关于对</w:t>
      </w:r>
    </w:p>
    <w:p>
      <w:pPr>
        <w:pStyle w:val="BodyText"/>
        <w:spacing w:line="295" w:lineRule="exact"/>
        <w:ind w:left="794" w:right="0"/>
        <w:jc w:val="both"/>
      </w:pPr>
      <w:r>
        <w:rPr>
          <w:rFonts w:ascii="Arial" w:hAnsi="Arial" w:cs="Arial" w:eastAsia="Arial" w:hint="default"/>
        </w:rPr>
        <w:t>2012</w:t>
      </w:r>
      <w:r>
        <w:rPr>
          <w:rFonts w:ascii="Arial" w:hAnsi="Arial" w:cs="Arial" w:eastAsia="Arial" w:hint="default"/>
          <w:spacing w:val="-14"/>
        </w:rPr>
        <w:t> </w:t>
      </w:r>
      <w:r>
        <w:rPr/>
        <w:t>年中期审阅发现的问题整改落实汇报。</w:t>
      </w:r>
    </w:p>
    <w:p>
      <w:pPr>
        <w:spacing w:line="240" w:lineRule="auto" w:before="1"/>
        <w:rPr>
          <w:rFonts w:ascii="宋体" w:hAnsi="宋体" w:cs="宋体" w:eastAsia="宋体" w:hint="default"/>
          <w:sz w:val="20"/>
          <w:szCs w:val="20"/>
        </w:rPr>
      </w:pPr>
    </w:p>
    <w:p>
      <w:pPr>
        <w:pStyle w:val="BodyText"/>
        <w:spacing w:line="286" w:lineRule="exact"/>
        <w:ind w:left="794" w:right="164"/>
        <w:jc w:val="both"/>
      </w:pPr>
      <w:r>
        <w:rPr/>
        <w:t>会议认为公司管理层对内控评审和中期审阅过程中所发现的问题及提出的审计建议给予了高</w:t>
      </w:r>
      <w:r>
        <w:rPr>
          <w:w w:val="99"/>
        </w:rPr>
        <w:t> </w:t>
      </w:r>
      <w:r>
        <w:rPr/>
        <w:t>度重视，制定的改进措施是可行的，希望公司在下半年的工作中切实加以落实。同时对于改</w:t>
      </w:r>
      <w:r>
        <w:rPr>
          <w:w w:val="99"/>
        </w:rPr>
        <w:t> </w:t>
      </w:r>
      <w:r>
        <w:rPr/>
        <w:t>进意见希望公司能持续跟进，从而推动公司内控制度的持续优化和经营效率的有效提高。</w:t>
      </w:r>
    </w:p>
    <w:p>
      <w:pPr>
        <w:spacing w:line="240" w:lineRule="auto" w:before="1"/>
        <w:rPr>
          <w:rFonts w:ascii="宋体" w:hAnsi="宋体" w:cs="宋体" w:eastAsia="宋体" w:hint="default"/>
          <w:sz w:val="17"/>
          <w:szCs w:val="17"/>
        </w:rPr>
      </w:pPr>
    </w:p>
    <w:p>
      <w:pPr>
        <w:pStyle w:val="BodyText"/>
        <w:spacing w:line="295" w:lineRule="exact"/>
        <w:ind w:left="146" w:right="0"/>
        <w:jc w:val="left"/>
      </w:pPr>
      <w:r>
        <w:rPr>
          <w:spacing w:val="-3"/>
        </w:rPr>
        <w:t>（四）第三届董事会审计委员会第十二次会议于</w:t>
      </w:r>
      <w:r>
        <w:rPr>
          <w:spacing w:val="-53"/>
        </w:rPr>
        <w:t> </w:t>
      </w:r>
      <w:r>
        <w:rPr>
          <w:rFonts w:ascii="Arial" w:hAnsi="Arial" w:cs="Arial" w:eastAsia="Arial" w:hint="default"/>
        </w:rPr>
        <w:t>2012</w:t>
      </w:r>
      <w:r>
        <w:rPr>
          <w:rFonts w:ascii="Arial" w:hAnsi="Arial" w:cs="Arial" w:eastAsia="Arial" w:hint="default"/>
          <w:spacing w:val="-6"/>
        </w:rPr>
        <w:t> </w:t>
      </w:r>
      <w:r>
        <w:rPr/>
        <w:t>年</w:t>
      </w:r>
      <w:r>
        <w:rPr>
          <w:spacing w:val="-55"/>
        </w:rPr>
        <w:t> </w:t>
      </w:r>
      <w:r>
        <w:rPr>
          <w:rFonts w:ascii="Arial" w:hAnsi="Arial" w:cs="Arial" w:eastAsia="Arial" w:hint="default"/>
        </w:rPr>
        <w:t>10</w:t>
      </w:r>
      <w:r>
        <w:rPr>
          <w:rFonts w:ascii="Arial" w:hAnsi="Arial" w:cs="Arial" w:eastAsia="Arial" w:hint="default"/>
          <w:spacing w:val="-6"/>
        </w:rPr>
        <w:t> </w:t>
      </w:r>
      <w:r>
        <w:rPr/>
        <w:t>月</w:t>
      </w:r>
      <w:r>
        <w:rPr>
          <w:spacing w:val="-55"/>
        </w:rPr>
        <w:t> </w:t>
      </w:r>
      <w:r>
        <w:rPr>
          <w:rFonts w:ascii="Arial" w:hAnsi="Arial" w:cs="Arial" w:eastAsia="Arial" w:hint="default"/>
        </w:rPr>
        <w:t>24</w:t>
      </w:r>
      <w:r>
        <w:rPr>
          <w:rFonts w:ascii="Arial" w:hAnsi="Arial" w:cs="Arial" w:eastAsia="Arial" w:hint="default"/>
          <w:spacing w:val="-6"/>
        </w:rPr>
        <w:t> </w:t>
      </w:r>
      <w:r>
        <w:rPr>
          <w:spacing w:val="-9"/>
        </w:rPr>
        <w:t>日在北京召开，审议并同意将《公</w:t>
      </w:r>
    </w:p>
    <w:p>
      <w:pPr>
        <w:pStyle w:val="BodyText"/>
        <w:spacing w:line="286" w:lineRule="exact" w:before="19"/>
        <w:ind w:left="821" w:right="144"/>
        <w:jc w:val="left"/>
      </w:pPr>
      <w:r>
        <w:rPr/>
        <w:t>司</w:t>
      </w:r>
      <w:r>
        <w:rPr>
          <w:spacing w:val="-55"/>
        </w:rPr>
        <w:t> </w:t>
      </w:r>
      <w:r>
        <w:rPr>
          <w:rFonts w:ascii="Arial" w:hAnsi="Arial" w:cs="Arial" w:eastAsia="Arial" w:hint="default"/>
        </w:rPr>
        <w:t>2012</w:t>
      </w:r>
      <w:r>
        <w:rPr>
          <w:rFonts w:ascii="Arial" w:hAnsi="Arial" w:cs="Arial" w:eastAsia="Arial" w:hint="default"/>
          <w:spacing w:val="-6"/>
        </w:rPr>
        <w:t> </w:t>
      </w:r>
      <w:r>
        <w:rPr>
          <w:spacing w:val="-3"/>
        </w:rPr>
        <w:t>年第三季度报告（草案）》提交董事会审议，同时听取了外部审计师对于</w:t>
      </w:r>
      <w:r>
        <w:rPr>
          <w:spacing w:val="-55"/>
        </w:rPr>
        <w:t> </w:t>
      </w:r>
      <w:r>
        <w:rPr>
          <w:rFonts w:ascii="Arial" w:hAnsi="Arial" w:cs="Arial" w:eastAsia="Arial" w:hint="default"/>
        </w:rPr>
        <w:t>2012</w:t>
      </w:r>
      <w:r>
        <w:rPr>
          <w:rFonts w:ascii="Arial" w:hAnsi="Arial" w:cs="Arial" w:eastAsia="Arial" w:hint="default"/>
          <w:spacing w:val="-6"/>
        </w:rPr>
        <w:t> </w:t>
      </w:r>
      <w:r>
        <w:rPr/>
        <w:t>年度</w:t>
      </w:r>
      <w:r>
        <w:rPr>
          <w:w w:val="99"/>
        </w:rPr>
        <w:t> </w:t>
      </w:r>
      <w:r>
        <w:rPr/>
        <w:t>整合审计计划的汇报。</w:t>
      </w:r>
    </w:p>
    <w:p>
      <w:pPr>
        <w:spacing w:line="240" w:lineRule="auto" w:before="2"/>
        <w:rPr>
          <w:rFonts w:ascii="宋体" w:hAnsi="宋体" w:cs="宋体" w:eastAsia="宋体" w:hint="default"/>
          <w:sz w:val="17"/>
          <w:szCs w:val="17"/>
        </w:rPr>
      </w:pPr>
    </w:p>
    <w:p>
      <w:pPr>
        <w:pStyle w:val="BodyText"/>
        <w:spacing w:line="294" w:lineRule="exact"/>
        <w:ind w:left="146" w:right="0"/>
        <w:jc w:val="left"/>
      </w:pPr>
      <w:r>
        <w:rPr>
          <w:spacing w:val="-3"/>
        </w:rPr>
        <w:t>（五）第三届董事会审计委员会第十三次会议于</w:t>
      </w:r>
      <w:r>
        <w:rPr>
          <w:spacing w:val="-55"/>
        </w:rPr>
        <w:t> </w:t>
      </w:r>
      <w:r>
        <w:rPr>
          <w:rFonts w:ascii="Arial" w:hAnsi="Arial" w:cs="Arial" w:eastAsia="Arial" w:hint="default"/>
        </w:rPr>
        <w:t>2012</w:t>
      </w:r>
      <w:r>
        <w:rPr>
          <w:rFonts w:ascii="Arial" w:hAnsi="Arial" w:cs="Arial" w:eastAsia="Arial" w:hint="default"/>
          <w:spacing w:val="-8"/>
        </w:rPr>
        <w:t> </w:t>
      </w:r>
      <w:r>
        <w:rPr/>
        <w:t>年</w:t>
      </w:r>
      <w:r>
        <w:rPr>
          <w:spacing w:val="-57"/>
        </w:rPr>
        <w:t> </w:t>
      </w:r>
      <w:r>
        <w:rPr>
          <w:rFonts w:ascii="Arial" w:hAnsi="Arial" w:cs="Arial" w:eastAsia="Arial" w:hint="default"/>
        </w:rPr>
        <w:t>11</w:t>
      </w:r>
      <w:r>
        <w:rPr>
          <w:rFonts w:ascii="Arial" w:hAnsi="Arial" w:cs="Arial" w:eastAsia="Arial" w:hint="default"/>
          <w:spacing w:val="-8"/>
        </w:rPr>
        <w:t> </w:t>
      </w:r>
      <w:r>
        <w:rPr/>
        <w:t>月</w:t>
      </w:r>
      <w:r>
        <w:rPr>
          <w:spacing w:val="-57"/>
        </w:rPr>
        <w:t> </w:t>
      </w:r>
      <w:r>
        <w:rPr>
          <w:rFonts w:ascii="Arial" w:hAnsi="Arial" w:cs="Arial" w:eastAsia="Arial" w:hint="default"/>
        </w:rPr>
        <w:t>21</w:t>
      </w:r>
      <w:r>
        <w:rPr>
          <w:rFonts w:ascii="Arial" w:hAnsi="Arial" w:cs="Arial" w:eastAsia="Arial" w:hint="default"/>
          <w:spacing w:val="-8"/>
        </w:rPr>
        <w:t> </w:t>
      </w:r>
      <w:r>
        <w:rPr>
          <w:spacing w:val="-8"/>
        </w:rPr>
        <w:t>日在北京召开，审议并同意将《关</w:t>
      </w:r>
    </w:p>
    <w:p>
      <w:pPr>
        <w:pStyle w:val="BodyText"/>
        <w:spacing w:line="294" w:lineRule="exact"/>
        <w:ind w:left="821" w:right="0"/>
        <w:jc w:val="both"/>
      </w:pPr>
      <w:r>
        <w:rPr/>
        <w:t>于普华永道中天会计师事务所</w:t>
      </w:r>
      <w:r>
        <w:rPr>
          <w:spacing w:val="-61"/>
        </w:rPr>
        <w:t> </w:t>
      </w:r>
      <w:r>
        <w:rPr>
          <w:rFonts w:ascii="Arial" w:hAnsi="Arial" w:cs="Arial" w:eastAsia="Arial" w:hint="default"/>
        </w:rPr>
        <w:t>2012</w:t>
      </w:r>
      <w:r>
        <w:rPr>
          <w:rFonts w:ascii="Arial" w:hAnsi="Arial" w:cs="Arial" w:eastAsia="Arial" w:hint="default"/>
          <w:spacing w:val="-13"/>
        </w:rPr>
        <w:t> </w:t>
      </w:r>
      <w:r>
        <w:rPr/>
        <w:t>年度服务费用的议案》提交董事会审议。</w:t>
      </w:r>
    </w:p>
    <w:p>
      <w:pPr>
        <w:spacing w:after="0" w:line="294" w:lineRule="exact"/>
        <w:jc w:val="both"/>
        <w:sectPr>
          <w:pgSz w:w="11910" w:h="16840"/>
          <w:pgMar w:header="567" w:footer="745" w:top="800" w:bottom="940" w:left="1380" w:right="740"/>
        </w:sectPr>
      </w:pPr>
    </w:p>
    <w:p>
      <w:pPr>
        <w:spacing w:line="240" w:lineRule="auto" w:before="8"/>
        <w:rPr>
          <w:rFonts w:ascii="宋体" w:hAnsi="宋体" w:cs="宋体" w:eastAsia="宋体" w:hint="default"/>
          <w:sz w:val="22"/>
          <w:szCs w:val="22"/>
        </w:rPr>
      </w:pPr>
    </w:p>
    <w:p>
      <w:pPr>
        <w:pStyle w:val="BodyText"/>
        <w:spacing w:line="240" w:lineRule="auto" w:before="31"/>
        <w:ind w:left="821" w:right="89"/>
        <w:jc w:val="left"/>
      </w:pPr>
      <w:r>
        <w:rPr>
          <w:rFonts w:ascii="Arial" w:hAnsi="Arial" w:cs="Arial" w:eastAsia="Arial" w:hint="default"/>
        </w:rPr>
        <w:t>2012</w:t>
      </w:r>
      <w:r>
        <w:rPr>
          <w:rFonts w:ascii="Arial" w:hAnsi="Arial" w:cs="Arial" w:eastAsia="Arial" w:hint="default"/>
          <w:spacing w:val="-16"/>
        </w:rPr>
        <w:t> </w:t>
      </w:r>
      <w:r>
        <w:rPr/>
        <w:t>年董事会下设的薪酬与考核委员会的履职情况报告：</w:t>
      </w:r>
    </w:p>
    <w:p>
      <w:pPr>
        <w:spacing w:line="240" w:lineRule="auto" w:before="13"/>
        <w:rPr>
          <w:rFonts w:ascii="宋体" w:hAnsi="宋体" w:cs="宋体" w:eastAsia="宋体" w:hint="default"/>
          <w:sz w:val="17"/>
          <w:szCs w:val="17"/>
        </w:rPr>
      </w:pPr>
    </w:p>
    <w:p>
      <w:pPr>
        <w:pStyle w:val="BodyText"/>
        <w:spacing w:line="295" w:lineRule="exact"/>
        <w:ind w:left="821" w:right="89"/>
        <w:jc w:val="left"/>
      </w:pPr>
      <w:r>
        <w:rPr>
          <w:rFonts w:ascii="Arial" w:hAnsi="Arial" w:cs="Arial" w:eastAsia="Arial" w:hint="default"/>
        </w:rPr>
        <w:t>2012</w:t>
      </w:r>
      <w:r>
        <w:rPr>
          <w:rFonts w:ascii="Arial" w:hAnsi="Arial" w:cs="Arial" w:eastAsia="Arial" w:hint="default"/>
          <w:spacing w:val="-13"/>
        </w:rPr>
        <w:t> </w:t>
      </w:r>
      <w:r>
        <w:rPr/>
        <w:t>年</w:t>
      </w:r>
      <w:r>
        <w:rPr>
          <w:spacing w:val="-62"/>
        </w:rPr>
        <w:t> </w:t>
      </w:r>
      <w:r>
        <w:rPr>
          <w:rFonts w:ascii="Arial" w:hAnsi="Arial" w:cs="Arial" w:eastAsia="Arial" w:hint="default"/>
        </w:rPr>
        <w:t>3</w:t>
      </w:r>
      <w:r>
        <w:rPr>
          <w:rFonts w:ascii="Arial" w:hAnsi="Arial" w:cs="Arial" w:eastAsia="Arial" w:hint="default"/>
          <w:spacing w:val="-13"/>
        </w:rPr>
        <w:t> </w:t>
      </w:r>
      <w:r>
        <w:rPr/>
        <w:t>月</w:t>
      </w:r>
      <w:r>
        <w:rPr>
          <w:spacing w:val="-62"/>
        </w:rPr>
        <w:t> </w:t>
      </w:r>
      <w:r>
        <w:rPr>
          <w:rFonts w:ascii="Arial" w:hAnsi="Arial" w:cs="Arial" w:eastAsia="Arial" w:hint="default"/>
        </w:rPr>
        <w:t>21</w:t>
      </w:r>
      <w:r>
        <w:rPr>
          <w:rFonts w:ascii="Arial" w:hAnsi="Arial" w:cs="Arial" w:eastAsia="Arial" w:hint="default"/>
          <w:spacing w:val="-13"/>
        </w:rPr>
        <w:t> </w:t>
      </w:r>
      <w:r>
        <w:rPr/>
        <w:t>日公司在北京召开第三届董事会薪酬与考核委员会第三次会议，会议审议通</w:t>
      </w:r>
    </w:p>
    <w:p>
      <w:pPr>
        <w:pStyle w:val="BodyText"/>
        <w:spacing w:line="424" w:lineRule="auto"/>
        <w:ind w:left="821" w:right="89"/>
        <w:jc w:val="left"/>
      </w:pPr>
      <w:r>
        <w:rPr/>
        <w:t>过了《关于公司高级管理人员</w:t>
      </w:r>
      <w:r>
        <w:rPr>
          <w:spacing w:val="-56"/>
        </w:rPr>
        <w:t> </w:t>
      </w:r>
      <w:r>
        <w:rPr>
          <w:rFonts w:ascii="Arial" w:hAnsi="Arial" w:cs="Arial" w:eastAsia="Arial" w:hint="default"/>
        </w:rPr>
        <w:t>2011</w:t>
      </w:r>
      <w:r>
        <w:rPr>
          <w:rFonts w:ascii="Arial" w:hAnsi="Arial" w:cs="Arial" w:eastAsia="Arial" w:hint="default"/>
          <w:spacing w:val="-8"/>
        </w:rPr>
        <w:t> </w:t>
      </w:r>
      <w:r>
        <w:rPr/>
        <w:t>年度薪酬考核情况的议案》并同意提交董事会审议。</w:t>
      </w:r>
      <w:r>
        <w:rPr>
          <w:w w:val="99"/>
        </w:rPr>
        <w:t> </w:t>
      </w:r>
      <w:r>
        <w:rPr>
          <w:w w:val="95"/>
        </w:rPr>
        <w:t>董事会下设的审计委员会及薪酬与考核委员会员会在报告期内履行职责时未提出重要意见。</w:t>
      </w:r>
      <w:r>
        <w:rPr/>
      </w:r>
    </w:p>
    <w:p>
      <w:pPr>
        <w:pStyle w:val="Heading3"/>
        <w:spacing w:line="240" w:lineRule="auto" w:before="81"/>
        <w:ind w:right="89"/>
        <w:jc w:val="left"/>
        <w:rPr>
          <w:b w:val="0"/>
          <w:bCs w:val="0"/>
        </w:rPr>
      </w:pPr>
      <w:r>
        <w:rPr/>
        <w:t>五、监事会发现公司存在风险的说明</w:t>
      </w:r>
      <w:r>
        <w:rPr>
          <w:b w:val="0"/>
          <w:bCs w:val="0"/>
        </w:rPr>
      </w:r>
    </w:p>
    <w:p>
      <w:pPr>
        <w:spacing w:line="240" w:lineRule="auto" w:before="3"/>
        <w:rPr>
          <w:rFonts w:ascii="宋体" w:hAnsi="宋体" w:cs="宋体" w:eastAsia="宋体" w:hint="default"/>
          <w:b/>
          <w:bCs/>
          <w:sz w:val="21"/>
          <w:szCs w:val="21"/>
        </w:rPr>
      </w:pPr>
    </w:p>
    <w:p>
      <w:pPr>
        <w:pStyle w:val="BodyText"/>
        <w:spacing w:line="286" w:lineRule="exact"/>
        <w:ind w:left="641" w:right="102"/>
        <w:jc w:val="both"/>
      </w:pPr>
      <w:r>
        <w:rPr/>
        <w:t>公司监事会在报告期内共召开了五次会议，审议了公司的定期报告、公司内控自我评价报告、</w:t>
      </w:r>
      <w:r>
        <w:rPr>
          <w:w w:val="99"/>
        </w:rPr>
        <w:t> </w:t>
      </w:r>
      <w:r>
        <w:rPr/>
        <w:t>监事会换届的议案等。公司监事会列席了 </w:t>
      </w:r>
      <w:r>
        <w:rPr>
          <w:rFonts w:ascii="Arial" w:hAnsi="Arial" w:cs="Arial" w:eastAsia="Arial" w:hint="default"/>
        </w:rPr>
        <w:t>2012</w:t>
      </w:r>
      <w:r>
        <w:rPr>
          <w:rFonts w:ascii="Arial" w:hAnsi="Arial" w:cs="Arial" w:eastAsia="Arial" w:hint="default"/>
          <w:spacing w:val="-32"/>
        </w:rPr>
        <w:t> </w:t>
      </w:r>
      <w:r>
        <w:rPr/>
        <w:t>年度所有董事会现场会议。通过列席董事会会</w:t>
      </w:r>
      <w:r>
        <w:rPr>
          <w:w w:val="99"/>
        </w:rPr>
        <w:t> </w:t>
      </w:r>
      <w:r>
        <w:rPr/>
        <w:t>议，了解公司的经营情况、发展状况以及重大事项的决策等。</w:t>
      </w:r>
    </w:p>
    <w:p>
      <w:pPr>
        <w:spacing w:line="240" w:lineRule="auto" w:before="3"/>
        <w:rPr>
          <w:rFonts w:ascii="宋体" w:hAnsi="宋体" w:cs="宋体" w:eastAsia="宋体" w:hint="default"/>
          <w:sz w:val="19"/>
          <w:szCs w:val="19"/>
        </w:rPr>
      </w:pPr>
    </w:p>
    <w:p>
      <w:pPr>
        <w:pStyle w:val="BodyText"/>
        <w:spacing w:line="286" w:lineRule="exact"/>
        <w:ind w:left="641" w:right="89"/>
        <w:jc w:val="left"/>
      </w:pPr>
      <w:r>
        <w:rPr>
          <w:spacing w:val="-4"/>
        </w:rPr>
        <w:t>公司监事会在报告期内，按照《公司法》和《公司章程》所赋予的职权，重点从公司依法运作、</w:t>
      </w:r>
      <w:r>
        <w:rPr>
          <w:spacing w:val="-95"/>
        </w:rPr>
        <w:t> </w:t>
      </w:r>
      <w:r>
        <w:rPr>
          <w:spacing w:val="-95"/>
        </w:rPr>
      </w:r>
      <w:r>
        <w:rPr>
          <w:spacing w:val="-4"/>
        </w:rPr>
        <w:t>董事、高级管理人员执行公司职务、公司财务检查等方面进行了监督。并对公司依法运作情况、</w:t>
      </w:r>
      <w:r>
        <w:rPr>
          <w:spacing w:val="-96"/>
        </w:rPr>
        <w:t> </w:t>
      </w:r>
      <w:r>
        <w:rPr>
          <w:spacing w:val="-96"/>
        </w:rPr>
      </w:r>
      <w:r>
        <w:rPr/>
        <w:t>检查公司财务情况、关联交易情况、更换监事的情况、监事会换届选举情况、公司内部控制自</w:t>
      </w:r>
      <w:r>
        <w:rPr>
          <w:w w:val="99"/>
        </w:rPr>
        <w:t> </w:t>
      </w:r>
      <w:r>
        <w:rPr/>
        <w:t>我评价报告的审阅情况均发表了独立意见。</w:t>
      </w:r>
    </w:p>
    <w:p>
      <w:pPr>
        <w:spacing w:line="240" w:lineRule="auto" w:before="1"/>
        <w:rPr>
          <w:rFonts w:ascii="宋体" w:hAnsi="宋体" w:cs="宋体" w:eastAsia="宋体" w:hint="default"/>
          <w:sz w:val="17"/>
          <w:szCs w:val="17"/>
        </w:rPr>
      </w:pPr>
    </w:p>
    <w:p>
      <w:pPr>
        <w:pStyle w:val="BodyText"/>
        <w:spacing w:line="240" w:lineRule="auto"/>
        <w:ind w:left="641" w:right="0"/>
        <w:jc w:val="both"/>
      </w:pPr>
      <w:r>
        <w:rPr/>
        <w:t>公司监事会对报告期内的监督事项无异议。</w:t>
      </w:r>
    </w:p>
    <w:p>
      <w:pPr>
        <w:spacing w:line="240" w:lineRule="auto" w:before="4"/>
        <w:rPr>
          <w:rFonts w:ascii="宋体" w:hAnsi="宋体" w:cs="宋体" w:eastAsia="宋体" w:hint="default"/>
          <w:sz w:val="21"/>
          <w:szCs w:val="21"/>
        </w:rPr>
      </w:pPr>
    </w:p>
    <w:p>
      <w:pPr>
        <w:pStyle w:val="Heading3"/>
        <w:spacing w:line="286" w:lineRule="exact" w:before="0"/>
        <w:ind w:left="632" w:right="89" w:hanging="486"/>
        <w:jc w:val="left"/>
        <w:rPr>
          <w:b w:val="0"/>
          <w:bCs w:val="0"/>
        </w:rPr>
      </w:pPr>
      <w:r>
        <w:rPr>
          <w:w w:val="95"/>
        </w:rPr>
        <w:t>六、公司就其与控股股东在业务、人员、资产、机构、财务等方面存在的不能保证独立性、不能保</w:t>
      </w:r>
      <w:r>
        <w:rPr>
          <w:spacing w:val="36"/>
          <w:w w:val="95"/>
        </w:rPr>
        <w:t> </w:t>
      </w:r>
      <w:r>
        <w:rPr>
          <w:spacing w:val="36"/>
          <w:w w:val="95"/>
        </w:rPr>
      </w:r>
      <w:r>
        <w:rPr/>
        <w:t>持自主经营能力的情况说明</w:t>
      </w:r>
      <w:r>
        <w:rPr>
          <w:b w:val="0"/>
          <w:bCs w:val="0"/>
        </w:rPr>
      </w:r>
    </w:p>
    <w:p>
      <w:pPr>
        <w:spacing w:line="240" w:lineRule="auto" w:before="3"/>
        <w:rPr>
          <w:rFonts w:ascii="宋体" w:hAnsi="宋体" w:cs="宋体" w:eastAsia="宋体" w:hint="default"/>
          <w:b/>
          <w:bCs/>
          <w:sz w:val="19"/>
          <w:szCs w:val="19"/>
        </w:rPr>
      </w:pPr>
    </w:p>
    <w:p>
      <w:pPr>
        <w:pStyle w:val="BodyText"/>
        <w:spacing w:line="286" w:lineRule="exact"/>
        <w:ind w:left="641" w:right="211"/>
        <w:jc w:val="both"/>
      </w:pPr>
      <w:r>
        <w:rPr/>
        <w:t>由于本公司的经营范围仅限于通过联通</w:t>
      </w:r>
      <w:r>
        <w:rPr>
          <w:spacing w:val="-54"/>
        </w:rPr>
        <w:t> </w:t>
      </w:r>
      <w:r>
        <w:rPr>
          <w:rFonts w:ascii="Arial" w:hAnsi="Arial" w:cs="Arial" w:eastAsia="Arial" w:hint="default"/>
        </w:rPr>
        <w:t>BVI</w:t>
      </w:r>
      <w:r>
        <w:rPr>
          <w:rFonts w:ascii="Arial" w:hAnsi="Arial" w:cs="Arial" w:eastAsia="Arial" w:hint="default"/>
          <w:spacing w:val="-7"/>
        </w:rPr>
        <w:t> </w:t>
      </w:r>
      <w:r>
        <w:rPr>
          <w:spacing w:val="-3"/>
        </w:rPr>
        <w:t>公司持有联通红筹公司的股权，而不直接经营任何</w:t>
      </w:r>
      <w:r>
        <w:rPr>
          <w:w w:val="99"/>
        </w:rPr>
        <w:t> </w:t>
      </w:r>
      <w:r>
        <w:rPr/>
        <w:t>其它业务，因此业务界面完全独立于控股股东。</w:t>
      </w:r>
    </w:p>
    <w:p>
      <w:pPr>
        <w:spacing w:line="240" w:lineRule="auto" w:before="6"/>
        <w:rPr>
          <w:rFonts w:ascii="宋体" w:hAnsi="宋体" w:cs="宋体" w:eastAsia="宋体" w:hint="default"/>
          <w:sz w:val="19"/>
          <w:szCs w:val="19"/>
        </w:rPr>
      </w:pPr>
    </w:p>
    <w:p>
      <w:pPr>
        <w:pStyle w:val="BodyText"/>
        <w:spacing w:line="284" w:lineRule="exact"/>
        <w:ind w:left="641" w:right="213"/>
        <w:jc w:val="both"/>
      </w:pPr>
      <w:r>
        <w:rPr>
          <w:spacing w:val="-1"/>
        </w:rPr>
        <w:t>除公司总裁由联通集团总裁兼任外，公司副总裁、财务负责人、董事会秘书及所属其它工作人</w:t>
      </w:r>
      <w:r>
        <w:rPr>
          <w:w w:val="99"/>
        </w:rPr>
        <w:t> </w:t>
      </w:r>
      <w:r>
        <w:rPr/>
        <w:t>员均独立配置。</w:t>
      </w:r>
    </w:p>
    <w:p>
      <w:pPr>
        <w:spacing w:line="240" w:lineRule="auto" w:before="3"/>
        <w:rPr>
          <w:rFonts w:ascii="宋体" w:hAnsi="宋体" w:cs="宋体" w:eastAsia="宋体" w:hint="default"/>
          <w:sz w:val="17"/>
          <w:szCs w:val="17"/>
        </w:rPr>
      </w:pPr>
    </w:p>
    <w:p>
      <w:pPr>
        <w:pStyle w:val="BodyText"/>
        <w:spacing w:line="240" w:lineRule="auto"/>
        <w:ind w:left="641" w:right="0"/>
        <w:jc w:val="both"/>
      </w:pPr>
      <w:r>
        <w:rPr/>
        <w:t>本公司所拥有的资产具有完整的所有权和管理权。</w:t>
      </w:r>
    </w:p>
    <w:p>
      <w:pPr>
        <w:spacing w:line="240" w:lineRule="auto" w:before="5"/>
        <w:rPr>
          <w:rFonts w:ascii="宋体" w:hAnsi="宋体" w:cs="宋体" w:eastAsia="宋体" w:hint="default"/>
          <w:sz w:val="19"/>
          <w:szCs w:val="19"/>
        </w:rPr>
      </w:pPr>
    </w:p>
    <w:p>
      <w:pPr>
        <w:pStyle w:val="BodyText"/>
        <w:spacing w:line="237" w:lineRule="auto"/>
        <w:ind w:left="641" w:right="213"/>
        <w:jc w:val="both"/>
      </w:pPr>
      <w:r>
        <w:rPr>
          <w:spacing w:val="-1"/>
        </w:rPr>
        <w:t>本公司严格根据上市公司规范运作要求设立职能部门，依照独立运作原则制定各部门规章职责</w:t>
      </w:r>
      <w:r>
        <w:rPr>
          <w:w w:val="99"/>
        </w:rPr>
        <w:t> </w:t>
      </w:r>
      <w:r>
        <w:rPr>
          <w:spacing w:val="-1"/>
        </w:rPr>
        <w:t>制度。本公司有自己的办公场所，组织机构独立于控股股东，不存在混合经营，合署办公的情</w:t>
      </w:r>
      <w:r>
        <w:rPr>
          <w:spacing w:val="-108"/>
        </w:rPr>
        <w:t> </w:t>
      </w:r>
      <w:r>
        <w:rPr>
          <w:spacing w:val="-108"/>
        </w:rPr>
      </w:r>
      <w:r>
        <w:rPr/>
        <w:t>况。</w:t>
      </w:r>
    </w:p>
    <w:p>
      <w:pPr>
        <w:spacing w:line="240" w:lineRule="auto" w:before="3"/>
        <w:rPr>
          <w:rFonts w:ascii="宋体" w:hAnsi="宋体" w:cs="宋体" w:eastAsia="宋体" w:hint="default"/>
          <w:sz w:val="19"/>
          <w:szCs w:val="19"/>
        </w:rPr>
      </w:pPr>
    </w:p>
    <w:p>
      <w:pPr>
        <w:spacing w:line="448" w:lineRule="auto" w:before="0"/>
        <w:ind w:left="146" w:right="89" w:firstLine="495"/>
        <w:jc w:val="left"/>
        <w:rPr>
          <w:rFonts w:ascii="宋体" w:hAnsi="宋体" w:cs="宋体" w:eastAsia="宋体" w:hint="default"/>
          <w:sz w:val="22"/>
          <w:szCs w:val="22"/>
        </w:rPr>
      </w:pPr>
      <w:r>
        <w:rPr>
          <w:rFonts w:ascii="宋体" w:hAnsi="宋体" w:cs="宋体" w:eastAsia="宋体" w:hint="default"/>
          <w:w w:val="95"/>
          <w:sz w:val="22"/>
          <w:szCs w:val="22"/>
        </w:rPr>
        <w:t>本公司已设立独立的财务部门，严格按照相关法规要求独立进行会计核算和财务管理。</w:t>
      </w:r>
      <w:r>
        <w:rPr>
          <w:rFonts w:ascii="宋体" w:hAnsi="宋体" w:cs="宋体" w:eastAsia="宋体" w:hint="default"/>
          <w:w w:val="99"/>
          <w:sz w:val="22"/>
          <w:szCs w:val="22"/>
        </w:rPr>
        <w:t> </w:t>
      </w:r>
      <w:r>
        <w:rPr>
          <w:rFonts w:ascii="宋体" w:hAnsi="宋体" w:cs="宋体" w:eastAsia="宋体" w:hint="default"/>
          <w:b/>
          <w:bCs/>
          <w:sz w:val="22"/>
          <w:szCs w:val="22"/>
        </w:rPr>
        <w:t>七、报告期内对高级管理人员的考评机制，以及激励机制的建立、实施情况</w:t>
      </w:r>
      <w:r>
        <w:rPr>
          <w:rFonts w:ascii="宋体" w:hAnsi="宋体" w:cs="宋体" w:eastAsia="宋体" w:hint="default"/>
          <w:sz w:val="22"/>
          <w:szCs w:val="22"/>
        </w:rPr>
      </w:r>
    </w:p>
    <w:p>
      <w:pPr>
        <w:pStyle w:val="BodyText"/>
        <w:spacing w:line="237" w:lineRule="auto" w:before="62"/>
        <w:ind w:left="641" w:right="213"/>
        <w:jc w:val="both"/>
      </w:pPr>
      <w:r>
        <w:rPr>
          <w:spacing w:val="-1"/>
        </w:rPr>
        <w:t>根据公司高级管理人员绩效考核办法和董事会确定的年度目标，年终通过高管人员的述职、公</w:t>
      </w:r>
      <w:r>
        <w:rPr>
          <w:w w:val="99"/>
        </w:rPr>
        <w:t> </w:t>
      </w:r>
      <w:r>
        <w:rPr>
          <w:spacing w:val="-1"/>
        </w:rPr>
        <w:t>司各层面的综合评分，采用经营绩效等综合指标评价考核公司高管人员，并将高管人员的薪酬</w:t>
      </w:r>
      <w:r>
        <w:rPr>
          <w:w w:val="99"/>
        </w:rPr>
        <w:t> </w:t>
      </w:r>
      <w:r>
        <w:rPr/>
        <w:t>与考核业绩挂钩。</w:t>
      </w:r>
    </w:p>
    <w:p>
      <w:pPr>
        <w:spacing w:after="0" w:line="237" w:lineRule="auto"/>
        <w:jc w:val="both"/>
        <w:sectPr>
          <w:pgSz w:w="11910" w:h="16840"/>
          <w:pgMar w:header="567" w:footer="745" w:top="800" w:bottom="940" w:left="1380" w:right="680"/>
        </w:sectPr>
      </w:pPr>
    </w:p>
    <w:p>
      <w:pPr>
        <w:spacing w:line="240" w:lineRule="auto" w:before="3"/>
        <w:rPr>
          <w:rFonts w:ascii="宋体" w:hAnsi="宋体" w:cs="宋体" w:eastAsia="宋体" w:hint="default"/>
          <w:sz w:val="23"/>
          <w:szCs w:val="23"/>
        </w:rPr>
      </w:pPr>
    </w:p>
    <w:p>
      <w:pPr>
        <w:pStyle w:val="Heading1"/>
        <w:tabs>
          <w:tab w:pos="1253" w:val="left" w:leader="none"/>
        </w:tabs>
        <w:spacing w:line="240" w:lineRule="auto"/>
        <w:ind w:right="64"/>
        <w:jc w:val="center"/>
        <w:rPr>
          <w:b w:val="0"/>
          <w:bCs w:val="0"/>
        </w:rPr>
      </w:pPr>
      <w:bookmarkStart w:name="_TOC_250002" w:id="9"/>
      <w:r>
        <w:rPr>
          <w:w w:val="95"/>
        </w:rPr>
        <w:t>第九节</w:t>
        <w:tab/>
      </w:r>
      <w:r>
        <w:rPr/>
        <w:t>内部控制</w:t>
      </w:r>
      <w:bookmarkEnd w:id="9"/>
      <w:r>
        <w:rPr>
          <w:b w:val="0"/>
          <w:bCs w:val="0"/>
        </w:rPr>
      </w:r>
    </w:p>
    <w:p>
      <w:pPr>
        <w:pStyle w:val="Heading3"/>
        <w:spacing w:line="240" w:lineRule="auto" w:before="187"/>
        <w:ind w:right="89"/>
        <w:jc w:val="left"/>
        <w:rPr>
          <w:b w:val="0"/>
          <w:bCs w:val="0"/>
        </w:rPr>
      </w:pPr>
      <w:r>
        <w:rPr/>
        <w:t>一、内部控制责任声明及内部控制制度建设情况</w:t>
      </w:r>
      <w:r>
        <w:rPr>
          <w:b w:val="0"/>
          <w:bCs w:val="0"/>
        </w:rPr>
      </w:r>
    </w:p>
    <w:p>
      <w:pPr>
        <w:pStyle w:val="BodyText"/>
        <w:spacing w:line="240" w:lineRule="auto" w:before="177"/>
        <w:ind w:left="146" w:right="89"/>
        <w:jc w:val="left"/>
      </w:pPr>
      <w:r>
        <w:rPr/>
        <w:t>（一）内部控制责任声明</w:t>
      </w:r>
    </w:p>
    <w:p>
      <w:pPr>
        <w:spacing w:line="240" w:lineRule="auto" w:before="3"/>
        <w:rPr>
          <w:rFonts w:ascii="宋体" w:hAnsi="宋体" w:cs="宋体" w:eastAsia="宋体" w:hint="default"/>
          <w:sz w:val="21"/>
          <w:szCs w:val="21"/>
        </w:rPr>
      </w:pPr>
    </w:p>
    <w:p>
      <w:pPr>
        <w:pStyle w:val="BodyText"/>
        <w:spacing w:line="286" w:lineRule="exact"/>
        <w:ind w:left="821" w:right="207"/>
        <w:jc w:val="left"/>
      </w:pPr>
      <w:r>
        <w:rPr/>
        <w:t>董事会全体成员保证本报告内容真实、准确和完整，没有虚假记载、误导性陈述或者重大遗</w:t>
      </w:r>
      <w:r>
        <w:rPr>
          <w:w w:val="99"/>
        </w:rPr>
        <w:t> </w:t>
      </w:r>
      <w:r>
        <w:rPr/>
        <w:t>漏。</w:t>
      </w:r>
    </w:p>
    <w:p>
      <w:pPr>
        <w:spacing w:line="240" w:lineRule="auto" w:before="3"/>
        <w:rPr>
          <w:rFonts w:ascii="宋体" w:hAnsi="宋体" w:cs="宋体" w:eastAsia="宋体" w:hint="default"/>
          <w:sz w:val="17"/>
          <w:szCs w:val="17"/>
        </w:rPr>
      </w:pPr>
    </w:p>
    <w:p>
      <w:pPr>
        <w:pStyle w:val="BodyText"/>
        <w:spacing w:line="240" w:lineRule="auto"/>
        <w:ind w:left="821" w:right="89"/>
        <w:jc w:val="left"/>
      </w:pPr>
      <w:r>
        <w:rPr/>
        <w:t>公司董事会的责任：对建立和维护充分的财务报告相关内部控制制度负责。</w:t>
      </w:r>
    </w:p>
    <w:p>
      <w:pPr>
        <w:spacing w:line="240" w:lineRule="auto" w:before="3"/>
        <w:rPr>
          <w:rFonts w:ascii="宋体" w:hAnsi="宋体" w:cs="宋体" w:eastAsia="宋体" w:hint="default"/>
          <w:sz w:val="21"/>
          <w:szCs w:val="21"/>
        </w:rPr>
      </w:pPr>
    </w:p>
    <w:p>
      <w:pPr>
        <w:pStyle w:val="BodyText"/>
        <w:spacing w:line="286" w:lineRule="exact"/>
        <w:ind w:left="821" w:right="207"/>
        <w:jc w:val="left"/>
      </w:pPr>
      <w:r>
        <w:rPr/>
        <w:t>财务报告相关内部控制的目标是：保证财务报告信息真实完整和可靠、防范重大错报风险。</w:t>
      </w:r>
      <w:r>
        <w:rPr>
          <w:w w:val="99"/>
        </w:rPr>
        <w:t> </w:t>
      </w:r>
      <w:r>
        <w:rPr/>
        <w:t>由于内部控制存在固有局限性，因此仅能对上述目标提供合理保证。</w:t>
      </w:r>
    </w:p>
    <w:p>
      <w:pPr>
        <w:pStyle w:val="BodyText"/>
        <w:spacing w:line="240" w:lineRule="auto" w:before="151"/>
        <w:ind w:left="146" w:right="89"/>
        <w:jc w:val="left"/>
      </w:pPr>
      <w:r>
        <w:rPr/>
        <w:t>（二）内部控制制度建设情况</w:t>
      </w:r>
    </w:p>
    <w:p>
      <w:pPr>
        <w:spacing w:line="240" w:lineRule="auto" w:before="3"/>
        <w:rPr>
          <w:rFonts w:ascii="宋体" w:hAnsi="宋体" w:cs="宋体" w:eastAsia="宋体" w:hint="default"/>
          <w:sz w:val="21"/>
          <w:szCs w:val="21"/>
        </w:rPr>
      </w:pPr>
    </w:p>
    <w:p>
      <w:pPr>
        <w:pStyle w:val="BodyText"/>
        <w:spacing w:line="286" w:lineRule="exact"/>
        <w:ind w:left="821" w:right="89"/>
        <w:jc w:val="left"/>
      </w:pPr>
      <w:r>
        <w:rPr/>
        <w:t>本公司根据《公司法》、《证券法》、《上市公司内部控制指引》及《企业内部控制基本规</w:t>
      </w:r>
      <w:r>
        <w:rPr>
          <w:w w:val="99"/>
        </w:rPr>
        <w:t> </w:t>
      </w:r>
      <w:r>
        <w:rPr>
          <w:spacing w:val="-3"/>
        </w:rPr>
        <w:t>范》及配套指引等境内外资本市场监管相关要求，结合公司管理需要，构建了切合公司实际、</w:t>
      </w:r>
      <w:r>
        <w:rPr>
          <w:spacing w:val="-100"/>
        </w:rPr>
        <w:t> </w:t>
      </w:r>
      <w:r>
        <w:rPr>
          <w:spacing w:val="-100"/>
        </w:rPr>
      </w:r>
      <w:r>
        <w:rPr/>
        <w:t>具有中国联通特色的内控与风险管理体系。</w:t>
      </w:r>
    </w:p>
    <w:p>
      <w:pPr>
        <w:spacing w:line="240" w:lineRule="auto" w:before="1"/>
        <w:rPr>
          <w:rFonts w:ascii="宋体" w:hAnsi="宋体" w:cs="宋体" w:eastAsia="宋体" w:hint="default"/>
          <w:sz w:val="17"/>
          <w:szCs w:val="17"/>
        </w:rPr>
      </w:pPr>
    </w:p>
    <w:p>
      <w:pPr>
        <w:pStyle w:val="BodyText"/>
        <w:spacing w:line="240" w:lineRule="auto"/>
        <w:ind w:left="146" w:right="89"/>
        <w:jc w:val="left"/>
      </w:pPr>
      <w:r>
        <w:rPr>
          <w:rFonts w:ascii="Arial" w:hAnsi="Arial" w:cs="Arial" w:eastAsia="Arial" w:hint="default"/>
        </w:rPr>
        <w:t>1</w:t>
      </w:r>
      <w:r>
        <w:rPr/>
        <w:t>、建立健全内控与风险管理组织体系</w:t>
      </w:r>
    </w:p>
    <w:p>
      <w:pPr>
        <w:pStyle w:val="BodyText"/>
        <w:spacing w:line="286" w:lineRule="exact" w:before="190"/>
        <w:ind w:left="506" w:right="212"/>
        <w:jc w:val="both"/>
      </w:pPr>
      <w:r>
        <w:rPr>
          <w:spacing w:val="-3"/>
        </w:rPr>
        <w:t>为有效推进内控与风险管理工作，本公司采取集团总部统一领导，各分、子公司全员参与、分级</w:t>
      </w:r>
      <w:r>
        <w:rPr>
          <w:w w:val="99"/>
        </w:rPr>
        <w:t> </w:t>
      </w:r>
      <w:r>
        <w:rPr>
          <w:spacing w:val="-3"/>
        </w:rPr>
        <w:t>负责的管理模式，建立了由董事会、内控与风险管理委员会、内控与风险管理办公室以及各相关</w:t>
      </w:r>
      <w:r>
        <w:rPr>
          <w:w w:val="99"/>
        </w:rPr>
        <w:t> </w:t>
      </w:r>
      <w:r>
        <w:rPr/>
        <w:t>专业职能管理部门构成的涵盖全业务、覆盖全集团范围的内控与风险管理组织体系。</w:t>
      </w:r>
    </w:p>
    <w:p>
      <w:pPr>
        <w:pStyle w:val="BodyText"/>
        <w:spacing w:line="232" w:lineRule="auto" w:before="158"/>
        <w:ind w:left="506" w:right="89"/>
        <w:jc w:val="left"/>
      </w:pPr>
      <w:r>
        <w:rPr>
          <w:spacing w:val="-3"/>
        </w:rPr>
        <w:t>经过多年努力，本公司已经构建了适合公司实际情况、覆盖全集团的、相对完善，具有中国联通</w:t>
      </w:r>
      <w:r>
        <w:rPr>
          <w:w w:val="99"/>
        </w:rPr>
        <w:t> </w:t>
      </w:r>
      <w:r>
        <w:rPr>
          <w:spacing w:val="-6"/>
        </w:rPr>
        <w:t>特色的内部控制体系。该内控体系是根据财政部、审计署、证监会等五部委于</w:t>
      </w:r>
      <w:r>
        <w:rPr>
          <w:spacing w:val="-55"/>
        </w:rPr>
        <w:t> </w:t>
      </w:r>
      <w:r>
        <w:rPr>
          <w:rFonts w:ascii="Arial" w:hAnsi="Arial" w:cs="Arial" w:eastAsia="Arial" w:hint="default"/>
        </w:rPr>
        <w:t>2008</w:t>
      </w:r>
      <w:r>
        <w:rPr>
          <w:rFonts w:ascii="Arial" w:hAnsi="Arial" w:cs="Arial" w:eastAsia="Arial" w:hint="default"/>
          <w:spacing w:val="-8"/>
        </w:rPr>
        <w:t> </w:t>
      </w:r>
      <w:r>
        <w:rPr>
          <w:spacing w:val="-12"/>
        </w:rPr>
        <w:t>年下发的《企</w:t>
      </w:r>
      <w:r>
        <w:rPr>
          <w:w w:val="99"/>
        </w:rPr>
        <w:t> </w:t>
      </w:r>
      <w:r>
        <w:rPr/>
        <w:t>业内部控制基本规范》的规定并参考美国</w:t>
      </w:r>
      <w:r>
        <w:rPr>
          <w:spacing w:val="-53"/>
        </w:rPr>
        <w:t> </w:t>
      </w:r>
      <w:r>
        <w:rPr>
          <w:rFonts w:ascii="Arial" w:hAnsi="Arial" w:cs="Arial" w:eastAsia="Arial" w:hint="default"/>
        </w:rPr>
        <w:t>COSO</w:t>
      </w:r>
      <w:r>
        <w:rPr>
          <w:rFonts w:ascii="Arial" w:hAnsi="Arial" w:cs="Arial" w:eastAsia="Arial" w:hint="default"/>
          <w:spacing w:val="-4"/>
        </w:rPr>
        <w:t> </w:t>
      </w:r>
      <w:r>
        <w:rPr/>
        <w:t>内部控制框架制定，以风险评估为基础，包括</w:t>
      </w:r>
      <w:r>
        <w:rPr>
          <w:w w:val="99"/>
        </w:rPr>
        <w:t> </w:t>
      </w:r>
      <w:r>
        <w:rPr>
          <w:spacing w:val="-3"/>
        </w:rPr>
        <w:t>公司层面控制及流程层面控制。其中，公司层面控制通过制定、颁布及实施一系列规章制度而逐</w:t>
      </w:r>
      <w:r>
        <w:rPr>
          <w:w w:val="99"/>
        </w:rPr>
        <w:t> </w:t>
      </w:r>
      <w:r>
        <w:rPr>
          <w:spacing w:val="-6"/>
        </w:rPr>
        <w:t>步建立适当的内部控制环境。流程层面控制主要围绕资本性支出、收入、成本费用、资金及资产、</w:t>
      </w:r>
      <w:r>
        <w:rPr>
          <w:spacing w:val="-95"/>
        </w:rPr>
        <w:t> </w:t>
      </w:r>
      <w:r>
        <w:rPr>
          <w:spacing w:val="-95"/>
        </w:rPr>
      </w:r>
      <w:r>
        <w:rPr>
          <w:spacing w:val="-3"/>
        </w:rPr>
        <w:t>财务及信息披露、其他共性等六个业务循环建立控制措施和程序，覆盖公司全业务，并将信息系</w:t>
      </w:r>
      <w:r>
        <w:rPr>
          <w:w w:val="99"/>
        </w:rPr>
        <w:t> </w:t>
      </w:r>
      <w:r>
        <w:rPr/>
        <w:t>统应用控制内嵌到各个控制措施中。</w:t>
      </w:r>
    </w:p>
    <w:p>
      <w:pPr>
        <w:spacing w:line="240" w:lineRule="auto" w:before="11"/>
        <w:rPr>
          <w:rFonts w:ascii="宋体" w:hAnsi="宋体" w:cs="宋体" w:eastAsia="宋体" w:hint="default"/>
          <w:sz w:val="15"/>
          <w:szCs w:val="15"/>
        </w:rPr>
      </w:pPr>
    </w:p>
    <w:p>
      <w:pPr>
        <w:pStyle w:val="BodyText"/>
        <w:spacing w:line="286" w:lineRule="exact"/>
        <w:ind w:left="506" w:right="214"/>
        <w:jc w:val="both"/>
      </w:pPr>
      <w:r>
        <w:rPr>
          <w:spacing w:val="-3"/>
        </w:rPr>
        <w:t>本公司的内部控制体系，有力地保障和促进了公司各项业务持续健康发展，整体抗风险能力进一</w:t>
      </w:r>
      <w:r>
        <w:rPr>
          <w:w w:val="99"/>
        </w:rPr>
        <w:t> </w:t>
      </w:r>
      <w:r>
        <w:rPr/>
        <w:t>步增强，基础管理水平明显提升，公司自身价值不断提高，实现了国有资产保值增值。</w:t>
      </w:r>
    </w:p>
    <w:p>
      <w:pPr>
        <w:pStyle w:val="BodyText"/>
        <w:spacing w:line="240" w:lineRule="auto" w:before="150"/>
        <w:ind w:left="146" w:right="89"/>
        <w:jc w:val="left"/>
      </w:pPr>
      <w:r>
        <w:rPr>
          <w:rFonts w:ascii="Arial" w:hAnsi="Arial" w:cs="Arial" w:eastAsia="Arial" w:hint="default"/>
        </w:rPr>
        <w:t>2</w:t>
      </w:r>
      <w:r>
        <w:rPr/>
        <w:t>、</w:t>
      </w:r>
      <w:r>
        <w:rPr>
          <w:rFonts w:ascii="Arial" w:hAnsi="Arial" w:cs="Arial" w:eastAsia="Arial" w:hint="default"/>
        </w:rPr>
        <w:t>2012</w:t>
      </w:r>
      <w:r>
        <w:rPr>
          <w:rFonts w:ascii="Arial" w:hAnsi="Arial" w:cs="Arial" w:eastAsia="Arial" w:hint="default"/>
          <w:spacing w:val="-11"/>
        </w:rPr>
        <w:t> </w:t>
      </w:r>
      <w:r>
        <w:rPr/>
        <w:t>年度内控建设工作</w:t>
      </w:r>
    </w:p>
    <w:p>
      <w:pPr>
        <w:spacing w:line="240" w:lineRule="auto" w:before="2"/>
        <w:rPr>
          <w:rFonts w:ascii="宋体" w:hAnsi="宋体" w:cs="宋体" w:eastAsia="宋体" w:hint="default"/>
          <w:sz w:val="18"/>
          <w:szCs w:val="18"/>
        </w:rPr>
      </w:pPr>
    </w:p>
    <w:p>
      <w:pPr>
        <w:pStyle w:val="BodyText"/>
        <w:spacing w:line="237" w:lineRule="auto"/>
        <w:ind w:left="506" w:right="215"/>
        <w:jc w:val="both"/>
      </w:pPr>
      <w:r>
        <w:rPr>
          <w:spacing w:val="-3"/>
        </w:rPr>
        <w:t>为进一步完善内部控制和风险防范机制，公司内控与风险管理委员会办公室组织各专业组，重点</w:t>
      </w:r>
      <w:r>
        <w:rPr>
          <w:w w:val="99"/>
        </w:rPr>
        <w:t> </w:t>
      </w:r>
      <w:r>
        <w:rPr>
          <w:spacing w:val="-3"/>
        </w:rPr>
        <w:t>梳理与公司财务报告相关的业务流程，查找公司管理中存在的薄弱环节，收集整理公司内控规范</w:t>
      </w:r>
      <w:r>
        <w:rPr>
          <w:w w:val="99"/>
        </w:rPr>
        <w:t> </w:t>
      </w:r>
      <w:r>
        <w:rPr/>
        <w:t>风险控制矩阵中未涵盖的风险点，持续组织开展了内控规范更新优化及落地实施工作。</w:t>
      </w:r>
    </w:p>
    <w:p>
      <w:pPr>
        <w:pStyle w:val="BodyText"/>
        <w:spacing w:line="240" w:lineRule="auto" w:before="178"/>
        <w:ind w:left="506" w:right="0"/>
        <w:jc w:val="both"/>
      </w:pPr>
      <w:r>
        <w:rPr>
          <w:rFonts w:ascii="Arial" w:hAnsi="Arial" w:cs="Arial" w:eastAsia="Arial" w:hint="default"/>
        </w:rPr>
        <w:t>2.1</w:t>
      </w:r>
      <w:r>
        <w:rPr>
          <w:rFonts w:ascii="Arial" w:hAnsi="Arial" w:cs="Arial" w:eastAsia="Arial" w:hint="default"/>
          <w:spacing w:val="-13"/>
        </w:rPr>
        <w:t> </w:t>
      </w:r>
      <w:r>
        <w:rPr/>
        <w:t>组织完成内控规范更新优化工作</w:t>
      </w:r>
    </w:p>
    <w:p>
      <w:pPr>
        <w:spacing w:line="240" w:lineRule="auto" w:before="10"/>
        <w:rPr>
          <w:rFonts w:ascii="宋体" w:hAnsi="宋体" w:cs="宋体" w:eastAsia="宋体" w:hint="default"/>
          <w:sz w:val="18"/>
          <w:szCs w:val="18"/>
        </w:rPr>
      </w:pPr>
    </w:p>
    <w:p>
      <w:pPr>
        <w:pStyle w:val="BodyText"/>
        <w:spacing w:line="230" w:lineRule="auto"/>
        <w:ind w:left="866" w:right="93"/>
        <w:jc w:val="left"/>
      </w:pPr>
      <w:r>
        <w:rPr/>
        <w:t>公司内控与风险管理委员会办公室组织各专业组，对内控规范涉及的流程和控制措施进行了</w:t>
      </w:r>
      <w:r>
        <w:rPr>
          <w:w w:val="99"/>
        </w:rPr>
        <w:t> </w:t>
      </w:r>
      <w:r>
        <w:rPr>
          <w:spacing w:val="-7"/>
        </w:rPr>
        <w:t>集中梳理，在</w:t>
      </w:r>
      <w:r>
        <w:rPr>
          <w:spacing w:val="-79"/>
        </w:rPr>
        <w:t> </w:t>
      </w:r>
      <w:r>
        <w:rPr>
          <w:rFonts w:ascii="Arial" w:hAnsi="Arial" w:cs="Arial" w:eastAsia="Arial" w:hint="default"/>
        </w:rPr>
        <w:t>2011</w:t>
      </w:r>
      <w:r>
        <w:rPr>
          <w:rFonts w:ascii="Arial" w:hAnsi="Arial" w:cs="Arial" w:eastAsia="Arial" w:hint="default"/>
          <w:spacing w:val="-30"/>
        </w:rPr>
        <w:t> </w:t>
      </w:r>
      <w:r>
        <w:rPr/>
        <w:t>年内部控制规范的基础上，修改完善了与财务报告相关的内部控制规范，</w:t>
      </w:r>
      <w:r>
        <w:rPr>
          <w:w w:val="99"/>
        </w:rPr>
        <w:t> </w:t>
      </w:r>
      <w:r>
        <w:rPr/>
        <w:t>增加了相关末级流程控制措施。</w:t>
      </w:r>
      <w:r>
        <w:rPr>
          <w:rFonts w:ascii="Arial" w:hAnsi="Arial" w:cs="Arial" w:eastAsia="Arial" w:hint="default"/>
        </w:rPr>
        <w:t>6</w:t>
      </w:r>
      <w:r>
        <w:rPr>
          <w:rFonts w:ascii="Arial" w:hAnsi="Arial" w:cs="Arial" w:eastAsia="Arial" w:hint="default"/>
          <w:spacing w:val="1"/>
        </w:rPr>
        <w:t> </w:t>
      </w:r>
      <w:r>
        <w:rPr/>
        <w:t>月份，经公司管理层审批通过后正式印发《中国联通内部</w:t>
      </w:r>
      <w:r>
        <w:rPr>
          <w:w w:val="99"/>
        </w:rPr>
        <w:t> </w:t>
      </w:r>
      <w:r>
        <w:rPr/>
        <w:t>控制规范（</w:t>
      </w:r>
      <w:r>
        <w:rPr>
          <w:rFonts w:ascii="Arial" w:hAnsi="Arial" w:cs="Arial" w:eastAsia="Arial" w:hint="default"/>
        </w:rPr>
        <w:t>2012</w:t>
      </w:r>
      <w:r>
        <w:rPr>
          <w:rFonts w:ascii="Arial" w:hAnsi="Arial" w:cs="Arial" w:eastAsia="Arial" w:hint="default"/>
          <w:spacing w:val="-9"/>
        </w:rPr>
        <w:t> </w:t>
      </w:r>
      <w:r>
        <w:rPr/>
        <w:t>版）》。</w:t>
      </w:r>
    </w:p>
    <w:p>
      <w:pPr>
        <w:spacing w:after="0" w:line="230" w:lineRule="auto"/>
        <w:jc w:val="left"/>
        <w:sectPr>
          <w:pgSz w:w="11910" w:h="16840"/>
          <w:pgMar w:header="567" w:footer="745" w:top="800" w:bottom="940" w:left="1380" w:right="680"/>
        </w:sectPr>
      </w:pPr>
    </w:p>
    <w:p>
      <w:pPr>
        <w:spacing w:line="240" w:lineRule="auto" w:before="8"/>
        <w:rPr>
          <w:rFonts w:ascii="宋体" w:hAnsi="宋体" w:cs="宋体" w:eastAsia="宋体" w:hint="default"/>
          <w:sz w:val="22"/>
          <w:szCs w:val="22"/>
        </w:rPr>
      </w:pPr>
    </w:p>
    <w:p>
      <w:pPr>
        <w:pStyle w:val="BodyText"/>
        <w:spacing w:line="240" w:lineRule="auto" w:before="31"/>
        <w:ind w:left="506" w:right="89"/>
        <w:jc w:val="left"/>
      </w:pPr>
      <w:r>
        <w:rPr>
          <w:rFonts w:ascii="Arial" w:hAnsi="Arial" w:cs="Arial" w:eastAsia="Arial" w:hint="default"/>
        </w:rPr>
        <w:t>2.2</w:t>
      </w:r>
      <w:r>
        <w:rPr>
          <w:rFonts w:ascii="Arial" w:hAnsi="Arial" w:cs="Arial" w:eastAsia="Arial" w:hint="default"/>
          <w:spacing w:val="-14"/>
        </w:rPr>
        <w:t> </w:t>
      </w:r>
      <w:r>
        <w:rPr/>
        <w:t>组织各省分公司完成内控规范本地化工作</w:t>
      </w:r>
    </w:p>
    <w:p>
      <w:pPr>
        <w:spacing w:line="240" w:lineRule="auto" w:before="7"/>
        <w:rPr>
          <w:rFonts w:ascii="宋体" w:hAnsi="宋体" w:cs="宋体" w:eastAsia="宋体" w:hint="default"/>
          <w:sz w:val="18"/>
          <w:szCs w:val="18"/>
        </w:rPr>
      </w:pPr>
    </w:p>
    <w:p>
      <w:pPr>
        <w:pStyle w:val="BodyText"/>
        <w:spacing w:line="232" w:lineRule="auto"/>
        <w:ind w:left="866" w:right="89"/>
        <w:jc w:val="left"/>
      </w:pPr>
      <w:r>
        <w:rPr>
          <w:spacing w:val="-5"/>
          <w:w w:val="99"/>
        </w:rPr>
        <w:t>为确保各省落实内控规范标准版各项内控措施的要求，公司于</w:t>
      </w:r>
      <w:r>
        <w:rPr>
          <w:spacing w:val="-63"/>
          <w:w w:val="99"/>
        </w:rPr>
        <w:t> </w:t>
      </w:r>
      <w:r>
        <w:rPr>
          <w:rFonts w:ascii="Arial" w:hAnsi="Arial" w:cs="Arial" w:eastAsia="Arial" w:hint="default"/>
          <w:w w:val="99"/>
        </w:rPr>
        <w:t>6</w:t>
      </w:r>
      <w:r>
        <w:rPr>
          <w:rFonts w:ascii="Arial" w:hAnsi="Arial" w:cs="Arial" w:eastAsia="Arial" w:hint="default"/>
          <w:spacing w:val="-19"/>
          <w:w w:val="99"/>
        </w:rPr>
        <w:t> </w:t>
      </w:r>
      <w:r>
        <w:rPr>
          <w:w w:val="99"/>
        </w:rPr>
        <w:t>月份组织了集中讲解和培训，</w:t>
      </w:r>
      <w:r>
        <w:rPr>
          <w:spacing w:val="-105"/>
          <w:w w:val="99"/>
        </w:rPr>
        <w:t> </w:t>
      </w:r>
      <w:r>
        <w:rPr/>
        <w:t>并制定了《内控规范本地化指导意见》，指导各省分公司按照符合属地原则对本省内部控制</w:t>
      </w:r>
      <w:r>
        <w:rPr>
          <w:w w:val="99"/>
        </w:rPr>
        <w:t> </w:t>
      </w:r>
      <w:r>
        <w:rPr/>
        <w:t>规范进行更新优化。各省分公司根据公司统一部署，全部完成内控规范本地化工作，将风险</w:t>
      </w:r>
      <w:r>
        <w:rPr>
          <w:w w:val="99"/>
        </w:rPr>
        <w:t> </w:t>
      </w:r>
      <w:r>
        <w:rPr/>
        <w:t>点及对应的控制措施落实到岗、责任到人。</w:t>
      </w:r>
    </w:p>
    <w:p>
      <w:pPr>
        <w:spacing w:line="240" w:lineRule="auto" w:before="3"/>
        <w:rPr>
          <w:rFonts w:ascii="宋体" w:hAnsi="宋体" w:cs="宋体" w:eastAsia="宋体" w:hint="default"/>
          <w:sz w:val="19"/>
          <w:szCs w:val="19"/>
        </w:rPr>
      </w:pPr>
    </w:p>
    <w:p>
      <w:pPr>
        <w:pStyle w:val="BodyText"/>
        <w:spacing w:line="240" w:lineRule="auto"/>
        <w:ind w:left="506" w:right="89"/>
        <w:jc w:val="left"/>
      </w:pPr>
      <w:r>
        <w:rPr>
          <w:rFonts w:ascii="Arial" w:hAnsi="Arial" w:cs="Arial" w:eastAsia="Arial" w:hint="default"/>
        </w:rPr>
        <w:t>2.3</w:t>
      </w:r>
      <w:r>
        <w:rPr>
          <w:rFonts w:ascii="Arial" w:hAnsi="Arial" w:cs="Arial" w:eastAsia="Arial" w:hint="default"/>
          <w:spacing w:val="-14"/>
        </w:rPr>
        <w:t> </w:t>
      </w:r>
      <w:r>
        <w:rPr/>
        <w:t>组织子公司完成内控规范更新优化工作</w:t>
      </w:r>
    </w:p>
    <w:p>
      <w:pPr>
        <w:spacing w:line="240" w:lineRule="auto" w:before="1"/>
        <w:rPr>
          <w:rFonts w:ascii="宋体" w:hAnsi="宋体" w:cs="宋体" w:eastAsia="宋体" w:hint="default"/>
          <w:sz w:val="20"/>
          <w:szCs w:val="20"/>
        </w:rPr>
      </w:pPr>
    </w:p>
    <w:p>
      <w:pPr>
        <w:pStyle w:val="BodyText"/>
        <w:spacing w:line="286" w:lineRule="exact"/>
        <w:ind w:left="866" w:right="212"/>
        <w:jc w:val="both"/>
      </w:pPr>
      <w:r>
        <w:rPr>
          <w:spacing w:val="-1"/>
        </w:rPr>
        <w:t>按照内控工作整体部署，公司内控与风险管理委员会办公室组织各子公司开展了内控规范更</w:t>
      </w:r>
      <w:r>
        <w:rPr>
          <w:w w:val="99"/>
        </w:rPr>
        <w:t> </w:t>
      </w:r>
      <w:r>
        <w:rPr/>
        <w:t>新优化工作。各上市子公司在</w:t>
      </w:r>
      <w:r>
        <w:rPr>
          <w:spacing w:val="-46"/>
        </w:rPr>
        <w:t> </w:t>
      </w:r>
      <w:r>
        <w:rPr>
          <w:rFonts w:ascii="Arial" w:hAnsi="Arial" w:cs="Arial" w:eastAsia="Arial" w:hint="default"/>
        </w:rPr>
        <w:t>2011</w:t>
      </w:r>
      <w:r>
        <w:rPr>
          <w:rFonts w:ascii="Arial" w:hAnsi="Arial" w:cs="Arial" w:eastAsia="Arial" w:hint="default"/>
          <w:spacing w:val="2"/>
        </w:rPr>
        <w:t> </w:t>
      </w:r>
      <w:r>
        <w:rPr/>
        <w:t>年内部控制规范基础上，围绕本公司业务范围和业务模</w:t>
      </w:r>
      <w:r>
        <w:rPr>
          <w:w w:val="99"/>
        </w:rPr>
        <w:t> </w:t>
      </w:r>
      <w:r>
        <w:rPr>
          <w:spacing w:val="-1"/>
        </w:rPr>
        <w:t>式调整、经营管理要求变化、新业务系统上线等影响因素，进一步完善了内控规范并组织实</w:t>
      </w:r>
      <w:r>
        <w:rPr>
          <w:w w:val="99"/>
        </w:rPr>
        <w:t> </w:t>
      </w:r>
      <w:r>
        <w:rPr/>
        <w:t>施。</w:t>
      </w:r>
    </w:p>
    <w:p>
      <w:pPr>
        <w:spacing w:line="240" w:lineRule="auto" w:before="1"/>
        <w:rPr>
          <w:rFonts w:ascii="宋体" w:hAnsi="宋体" w:cs="宋体" w:eastAsia="宋体" w:hint="default"/>
          <w:sz w:val="17"/>
          <w:szCs w:val="17"/>
        </w:rPr>
      </w:pPr>
    </w:p>
    <w:p>
      <w:pPr>
        <w:pStyle w:val="BodyText"/>
        <w:spacing w:line="240" w:lineRule="auto"/>
        <w:ind w:left="506" w:right="89"/>
        <w:jc w:val="left"/>
      </w:pPr>
      <w:r>
        <w:rPr>
          <w:rFonts w:ascii="Arial" w:hAnsi="Arial" w:cs="Arial" w:eastAsia="Arial" w:hint="default"/>
        </w:rPr>
        <w:t>2.4</w:t>
      </w:r>
      <w:r>
        <w:rPr>
          <w:rFonts w:ascii="Arial" w:hAnsi="Arial" w:cs="Arial" w:eastAsia="Arial" w:hint="default"/>
          <w:spacing w:val="-12"/>
        </w:rPr>
        <w:t> </w:t>
      </w:r>
      <w:r>
        <w:rPr/>
        <w:t>组织完成内控规范落地实施</w:t>
      </w:r>
    </w:p>
    <w:p>
      <w:pPr>
        <w:spacing w:line="240" w:lineRule="auto" w:before="7"/>
        <w:rPr>
          <w:rFonts w:ascii="宋体" w:hAnsi="宋体" w:cs="宋体" w:eastAsia="宋体" w:hint="default"/>
          <w:sz w:val="18"/>
          <w:szCs w:val="18"/>
        </w:rPr>
      </w:pPr>
    </w:p>
    <w:p>
      <w:pPr>
        <w:pStyle w:val="BodyText"/>
        <w:spacing w:line="232" w:lineRule="auto"/>
        <w:ind w:left="866" w:right="89"/>
        <w:jc w:val="left"/>
      </w:pPr>
      <w:r>
        <w:rPr/>
        <w:t>各级分、子公司按照内控与风险管理委员会办公室统一部署，组织完成 </w:t>
      </w:r>
      <w:r>
        <w:rPr>
          <w:rFonts w:ascii="Arial" w:hAnsi="Arial" w:cs="Arial" w:eastAsia="Arial" w:hint="default"/>
        </w:rPr>
        <w:t>2012</w:t>
      </w:r>
      <w:r>
        <w:rPr>
          <w:rFonts w:ascii="Arial" w:hAnsi="Arial" w:cs="Arial" w:eastAsia="Arial" w:hint="default"/>
          <w:spacing w:val="-37"/>
        </w:rPr>
        <w:t> </w:t>
      </w:r>
      <w:r>
        <w:rPr/>
        <w:t>年内控规范推</w:t>
      </w:r>
      <w:r>
        <w:rPr>
          <w:w w:val="99"/>
        </w:rPr>
        <w:t> </w:t>
      </w:r>
      <w:r>
        <w:rPr>
          <w:spacing w:val="-4"/>
        </w:rPr>
        <w:t>广实施工作。公司聘请外部专家进行内部控制专业培训，推动各省分公司之间加强沟通交流，</w:t>
      </w:r>
      <w:r>
        <w:rPr>
          <w:spacing w:val="-102"/>
        </w:rPr>
        <w:t> </w:t>
      </w:r>
      <w:r>
        <w:rPr>
          <w:spacing w:val="-102"/>
        </w:rPr>
      </w:r>
      <w:r>
        <w:rPr/>
        <w:t>总结推广成熟的本地化实施经验；各级分、子公司通过视频、现场培训等多种方式，对内部</w:t>
      </w:r>
      <w:r>
        <w:rPr>
          <w:w w:val="99"/>
        </w:rPr>
        <w:t> </w:t>
      </w:r>
      <w:r>
        <w:rPr/>
        <w:t>控制规范进行系统培训，并分解落实各项风险点及对应的控制措施。</w:t>
      </w:r>
    </w:p>
    <w:p>
      <w:pPr>
        <w:spacing w:line="240" w:lineRule="auto" w:before="3"/>
        <w:rPr>
          <w:rFonts w:ascii="宋体" w:hAnsi="宋体" w:cs="宋体" w:eastAsia="宋体" w:hint="default"/>
          <w:sz w:val="19"/>
          <w:szCs w:val="19"/>
        </w:rPr>
      </w:pPr>
    </w:p>
    <w:p>
      <w:pPr>
        <w:pStyle w:val="BodyText"/>
        <w:spacing w:line="240" w:lineRule="auto"/>
        <w:ind w:left="506" w:right="89"/>
        <w:jc w:val="left"/>
      </w:pPr>
      <w:r>
        <w:rPr>
          <w:rFonts w:ascii="Arial" w:hAnsi="Arial" w:cs="Arial" w:eastAsia="Arial" w:hint="default"/>
        </w:rPr>
        <w:t>2.5</w:t>
      </w:r>
      <w:r>
        <w:rPr>
          <w:rFonts w:ascii="Arial" w:hAnsi="Arial" w:cs="Arial" w:eastAsia="Arial" w:hint="default"/>
          <w:spacing w:val="-11"/>
        </w:rPr>
        <w:t> </w:t>
      </w:r>
      <w:r>
        <w:rPr/>
        <w:t>组织开展专项风险评估</w:t>
      </w:r>
    </w:p>
    <w:p>
      <w:pPr>
        <w:spacing w:line="240" w:lineRule="auto" w:before="1"/>
        <w:rPr>
          <w:rFonts w:ascii="宋体" w:hAnsi="宋体" w:cs="宋体" w:eastAsia="宋体" w:hint="default"/>
          <w:sz w:val="18"/>
          <w:szCs w:val="18"/>
        </w:rPr>
      </w:pPr>
    </w:p>
    <w:p>
      <w:pPr>
        <w:pStyle w:val="BodyText"/>
        <w:spacing w:line="237" w:lineRule="auto"/>
        <w:ind w:left="866" w:right="212"/>
        <w:jc w:val="both"/>
      </w:pPr>
      <w:r>
        <w:rPr>
          <w:spacing w:val="-1"/>
        </w:rPr>
        <w:t>围绕公司中心工作，针对制约公司经营发展及规范运作的突出问题，聚焦公司经营管理的重</w:t>
      </w:r>
      <w:r>
        <w:rPr>
          <w:w w:val="99"/>
        </w:rPr>
        <w:t> </w:t>
      </w:r>
      <w:r>
        <w:rPr>
          <w:spacing w:val="-1"/>
        </w:rPr>
        <w:t>点领域和关键业务，公司内控与风险管理委员会办公室部署开展了专项风险评估工作。公司</w:t>
      </w:r>
      <w:r>
        <w:rPr>
          <w:w w:val="99"/>
        </w:rPr>
        <w:t> </w:t>
      </w:r>
      <w:r>
        <w:rPr>
          <w:spacing w:val="-1"/>
        </w:rPr>
        <w:t>设计了评估工作流程并下发专项风险评估方案；各省公司参照公司制定的方案进一步细化工</w:t>
      </w:r>
      <w:r>
        <w:rPr>
          <w:w w:val="99"/>
        </w:rPr>
        <w:t> </w:t>
      </w:r>
      <w:r>
        <w:rPr>
          <w:spacing w:val="-1"/>
        </w:rPr>
        <w:t>作方案，成立了专项风险评估工作小组，组织开展信息收集、访谈、现场验证、风险分析及</w:t>
      </w:r>
      <w:r>
        <w:rPr>
          <w:w w:val="99"/>
        </w:rPr>
        <w:t> </w:t>
      </w:r>
      <w:r>
        <w:rPr>
          <w:spacing w:val="-1"/>
        </w:rPr>
        <w:t>风险评价等工作，围绕专题关注的重点管理环节进行风险评估，分析了问题发生的原因，并</w:t>
      </w:r>
      <w:r>
        <w:rPr>
          <w:w w:val="99"/>
        </w:rPr>
        <w:t> </w:t>
      </w:r>
      <w:r>
        <w:rPr/>
        <w:t>提出了相应的风险管理改进建议，对公司进一步完善内部控制规范提供了必要的依据。</w:t>
      </w:r>
    </w:p>
    <w:p>
      <w:pPr>
        <w:spacing w:line="240" w:lineRule="auto" w:before="13"/>
        <w:rPr>
          <w:rFonts w:ascii="宋体" w:hAnsi="宋体" w:cs="宋体" w:eastAsia="宋体" w:hint="default"/>
          <w:sz w:val="19"/>
          <w:szCs w:val="19"/>
        </w:rPr>
      </w:pPr>
    </w:p>
    <w:p>
      <w:pPr>
        <w:pStyle w:val="BodyText"/>
        <w:spacing w:line="230" w:lineRule="auto"/>
        <w:ind w:left="866" w:right="213"/>
        <w:jc w:val="both"/>
      </w:pPr>
      <w:r>
        <w:rPr>
          <w:spacing w:val="-1"/>
        </w:rPr>
        <w:t>董事会已按照《企业内部控制基本规范》要求对财务报告相关内部控制进行了评价，并认为</w:t>
      </w:r>
      <w:r>
        <w:rPr>
          <w:w w:val="99"/>
        </w:rPr>
        <w:t> </w:t>
      </w:r>
      <w:r>
        <w:rPr/>
        <w:t>其在</w:t>
      </w:r>
      <w:r>
        <w:rPr>
          <w:spacing w:val="-61"/>
        </w:rPr>
        <w:t> </w:t>
      </w:r>
      <w:r>
        <w:rPr>
          <w:rFonts w:ascii="Arial" w:hAnsi="Arial" w:cs="Arial" w:eastAsia="Arial" w:hint="default"/>
        </w:rPr>
        <w:t>2012</w:t>
      </w:r>
      <w:r>
        <w:rPr>
          <w:rFonts w:ascii="Arial" w:hAnsi="Arial" w:cs="Arial" w:eastAsia="Arial" w:hint="default"/>
          <w:spacing w:val="-12"/>
        </w:rPr>
        <w:t> </w:t>
      </w:r>
      <w:r>
        <w:rPr/>
        <w:t>年</w:t>
      </w:r>
      <w:r>
        <w:rPr>
          <w:spacing w:val="-61"/>
        </w:rPr>
        <w:t> </w:t>
      </w:r>
      <w:r>
        <w:rPr>
          <w:rFonts w:ascii="Arial" w:hAnsi="Arial" w:cs="Arial" w:eastAsia="Arial" w:hint="default"/>
        </w:rPr>
        <w:t>12</w:t>
      </w:r>
      <w:r>
        <w:rPr>
          <w:rFonts w:ascii="Arial" w:hAnsi="Arial" w:cs="Arial" w:eastAsia="Arial" w:hint="default"/>
          <w:spacing w:val="-12"/>
        </w:rPr>
        <w:t> </w:t>
      </w:r>
      <w:r>
        <w:rPr/>
        <w:t>月</w:t>
      </w:r>
      <w:r>
        <w:rPr>
          <w:spacing w:val="-61"/>
        </w:rPr>
        <w:t> </w:t>
      </w:r>
      <w:r>
        <w:rPr>
          <w:rFonts w:ascii="Arial" w:hAnsi="Arial" w:cs="Arial" w:eastAsia="Arial" w:hint="default"/>
        </w:rPr>
        <w:t>31</w:t>
      </w:r>
      <w:r>
        <w:rPr>
          <w:rFonts w:ascii="Arial" w:hAnsi="Arial" w:cs="Arial" w:eastAsia="Arial" w:hint="default"/>
          <w:spacing w:val="-12"/>
        </w:rPr>
        <w:t> </w:t>
      </w:r>
      <w:r>
        <w:rPr/>
        <w:t>日（基准日）有效。公司在内部控制自我评价过程中未发现与非财务</w:t>
      </w:r>
      <w:r>
        <w:rPr>
          <w:w w:val="99"/>
        </w:rPr>
        <w:t> </w:t>
      </w:r>
      <w:r>
        <w:rPr/>
        <w:t>报告相关的内部控制缺陷。</w:t>
      </w:r>
    </w:p>
    <w:p>
      <w:pPr>
        <w:spacing w:line="240" w:lineRule="auto" w:before="7"/>
        <w:rPr>
          <w:rFonts w:ascii="宋体" w:hAnsi="宋体" w:cs="宋体" w:eastAsia="宋体" w:hint="default"/>
          <w:sz w:val="21"/>
          <w:szCs w:val="21"/>
        </w:rPr>
      </w:pPr>
    </w:p>
    <w:p>
      <w:pPr>
        <w:pStyle w:val="BodyText"/>
        <w:spacing w:line="284" w:lineRule="exact"/>
        <w:ind w:left="866" w:right="217"/>
        <w:jc w:val="both"/>
      </w:pPr>
      <w:r>
        <w:rPr>
          <w:spacing w:val="4"/>
        </w:rPr>
        <w:t>公司聘请的普华永道中天会计师事务所有限公司已对公司财务报告相关内部控制的有效性</w:t>
      </w:r>
      <w:r>
        <w:rPr>
          <w:spacing w:val="-108"/>
        </w:rPr>
        <w:t> </w:t>
      </w:r>
      <w:r>
        <w:rPr>
          <w:spacing w:val="-108"/>
        </w:rPr>
      </w:r>
      <w:r>
        <w:rPr/>
        <w:t>进行了审计，出具了标准无保留意见的内部控制审计报告。</w:t>
      </w:r>
    </w:p>
    <w:p>
      <w:pPr>
        <w:spacing w:line="240" w:lineRule="auto" w:before="3"/>
        <w:rPr>
          <w:rFonts w:ascii="宋体" w:hAnsi="宋体" w:cs="宋体" w:eastAsia="宋体" w:hint="default"/>
          <w:sz w:val="17"/>
          <w:szCs w:val="17"/>
        </w:rPr>
      </w:pPr>
    </w:p>
    <w:p>
      <w:pPr>
        <w:pStyle w:val="BodyText"/>
        <w:spacing w:line="295" w:lineRule="exact"/>
        <w:ind w:left="866" w:right="0"/>
        <w:jc w:val="both"/>
      </w:pPr>
      <w:r>
        <w:rPr/>
        <w:t>公司《</w:t>
      </w:r>
      <w:r>
        <w:rPr>
          <w:rFonts w:ascii="Arial" w:hAnsi="Arial" w:cs="Arial" w:eastAsia="Arial" w:hint="default"/>
        </w:rPr>
        <w:t>2012 </w:t>
      </w:r>
      <w:r>
        <w:rPr/>
        <w:t>年度内部控制自我评价报告》详见 </w:t>
      </w:r>
      <w:r>
        <w:rPr>
          <w:rFonts w:ascii="Arial" w:hAnsi="Arial" w:cs="Arial" w:eastAsia="Arial" w:hint="default"/>
        </w:rPr>
        <w:t>2013 </w:t>
      </w:r>
      <w:r>
        <w:rPr/>
        <w:t>年 </w:t>
      </w:r>
      <w:r>
        <w:rPr>
          <w:rFonts w:ascii="Arial" w:hAnsi="Arial" w:cs="Arial" w:eastAsia="Arial" w:hint="default"/>
        </w:rPr>
        <w:t>3 </w:t>
      </w:r>
      <w:r>
        <w:rPr/>
        <w:t>月 </w:t>
      </w:r>
      <w:r>
        <w:rPr>
          <w:rFonts w:ascii="Arial" w:hAnsi="Arial" w:cs="Arial" w:eastAsia="Arial" w:hint="default"/>
        </w:rPr>
        <w:t>22</w:t>
      </w:r>
      <w:r>
        <w:rPr>
          <w:rFonts w:ascii="Arial" w:hAnsi="Arial" w:cs="Arial" w:eastAsia="Arial" w:hint="default"/>
          <w:spacing w:val="16"/>
        </w:rPr>
        <w:t> </w:t>
      </w:r>
      <w:r>
        <w:rPr/>
        <w:t>日在上海证券交易所网站</w:t>
      </w:r>
    </w:p>
    <w:p>
      <w:pPr>
        <w:pStyle w:val="BodyText"/>
        <w:spacing w:line="295" w:lineRule="exact"/>
        <w:ind w:left="866" w:right="0"/>
        <w:jc w:val="both"/>
      </w:pPr>
      <w:hyperlink r:id="rId13">
        <w:r>
          <w:rPr>
            <w:rFonts w:ascii="Arial" w:hAnsi="Arial" w:cs="Arial" w:eastAsia="Arial" w:hint="default"/>
          </w:rPr>
          <w:t>(www.sse.com.cn</w:t>
        </w:r>
      </w:hyperlink>
      <w:r>
        <w:rPr>
          <w:rFonts w:ascii="Arial" w:hAnsi="Arial" w:cs="Arial" w:eastAsia="Arial" w:hint="default"/>
        </w:rPr>
        <w:t>)</w:t>
      </w:r>
      <w:r>
        <w:rPr/>
        <w:t>和公司网站</w:t>
      </w:r>
      <w:r>
        <w:rPr>
          <w:rFonts w:ascii="Arial" w:hAnsi="Arial" w:cs="Arial" w:eastAsia="Arial" w:hint="default"/>
        </w:rPr>
        <w:t>(</w:t>
      </w:r>
      <w:hyperlink r:id="rId11">
        <w:r>
          <w:rPr>
            <w:rFonts w:ascii="Arial" w:hAnsi="Arial" w:cs="Arial" w:eastAsia="Arial" w:hint="default"/>
          </w:rPr>
          <w:t>www.chinaunicom-a.com</w:t>
        </w:r>
      </w:hyperlink>
      <w:r>
        <w:rPr>
          <w:rFonts w:ascii="Arial" w:hAnsi="Arial" w:cs="Arial" w:eastAsia="Arial" w:hint="default"/>
        </w:rPr>
        <w:t>)</w:t>
      </w:r>
      <w:r>
        <w:rPr/>
        <w:t>相关公告。</w:t>
      </w:r>
    </w:p>
    <w:p>
      <w:pPr>
        <w:spacing w:after="0" w:line="295" w:lineRule="exact"/>
        <w:jc w:val="both"/>
        <w:sectPr>
          <w:pgSz w:w="11910" w:h="16840"/>
          <w:pgMar w:header="567" w:footer="745" w:top="800" w:bottom="940" w:left="1380" w:right="680"/>
        </w:sectPr>
      </w:pP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t>二、内部控制审计报告的相关情况说明</w:t>
      </w:r>
      <w:r>
        <w:rPr>
          <w:b w:val="0"/>
          <w:bCs w:val="0"/>
        </w:rPr>
      </w:r>
    </w:p>
    <w:p>
      <w:pPr>
        <w:spacing w:line="240" w:lineRule="auto" w:before="4"/>
        <w:rPr>
          <w:rFonts w:ascii="宋体" w:hAnsi="宋体" w:cs="宋体" w:eastAsia="宋体" w:hint="default"/>
          <w:b/>
          <w:bCs/>
          <w:sz w:val="21"/>
          <w:szCs w:val="21"/>
        </w:rPr>
      </w:pPr>
    </w:p>
    <w:p>
      <w:pPr>
        <w:pStyle w:val="BodyText"/>
        <w:spacing w:line="286" w:lineRule="exact"/>
        <w:ind w:left="641" w:right="146"/>
        <w:jc w:val="left"/>
        <w:rPr>
          <w:rFonts w:ascii="Arial" w:hAnsi="Arial" w:cs="Arial" w:eastAsia="Arial" w:hint="default"/>
        </w:rPr>
      </w:pPr>
      <w:r>
        <w:rPr>
          <w:spacing w:val="4"/>
        </w:rPr>
        <w:t>我公司聘请的普华永道中天会计师事务所有限公司已对公司财务报告相关内部控制的有效性</w:t>
      </w:r>
      <w:r>
        <w:rPr>
          <w:w w:val="99"/>
        </w:rPr>
        <w:t> </w:t>
      </w:r>
      <w:r>
        <w:rPr/>
        <w:t>进行了审计，出具了标准无保留意见的内部控制审计报告（普华永道中天特审字</w:t>
      </w:r>
      <w:r>
        <w:rPr>
          <w:rFonts w:ascii="Arial" w:hAnsi="Arial" w:cs="Arial" w:eastAsia="Arial" w:hint="default"/>
        </w:rPr>
        <w:t>(2013)</w:t>
      </w:r>
      <w:r>
        <w:rPr/>
        <w:t>第</w:t>
      </w:r>
      <w:r>
        <w:rPr>
          <w:spacing w:val="-52"/>
        </w:rPr>
        <w:t> </w:t>
      </w:r>
      <w:r>
        <w:rPr>
          <w:rFonts w:ascii="Arial" w:hAnsi="Arial" w:cs="Arial" w:eastAsia="Arial" w:hint="default"/>
        </w:rPr>
        <w:t>696</w:t>
      </w:r>
    </w:p>
    <w:p>
      <w:pPr>
        <w:pStyle w:val="BodyText"/>
        <w:spacing w:line="265" w:lineRule="exact"/>
        <w:ind w:left="641" w:right="0"/>
        <w:jc w:val="left"/>
        <w:rPr>
          <w:rFonts w:ascii="Arial" w:hAnsi="Arial" w:cs="Arial" w:eastAsia="Arial" w:hint="default"/>
        </w:rPr>
      </w:pPr>
      <w:r>
        <w:rPr>
          <w:spacing w:val="-11"/>
        </w:rPr>
        <w:t>号）。《内部控制审计报告》详见</w:t>
      </w:r>
      <w:r>
        <w:rPr>
          <w:spacing w:val="-54"/>
        </w:rPr>
        <w:t> </w:t>
      </w:r>
      <w:r>
        <w:rPr>
          <w:rFonts w:ascii="Arial" w:hAnsi="Arial" w:cs="Arial" w:eastAsia="Arial" w:hint="default"/>
        </w:rPr>
        <w:t>2013</w:t>
      </w:r>
      <w:r>
        <w:rPr>
          <w:rFonts w:ascii="Arial" w:hAnsi="Arial" w:cs="Arial" w:eastAsia="Arial" w:hint="default"/>
          <w:spacing w:val="-6"/>
        </w:rPr>
        <w:t> </w:t>
      </w:r>
      <w:r>
        <w:rPr/>
        <w:t>年</w:t>
      </w:r>
      <w:r>
        <w:rPr>
          <w:spacing w:val="-55"/>
        </w:rPr>
        <w:t> </w:t>
      </w:r>
      <w:r>
        <w:rPr>
          <w:rFonts w:ascii="Arial" w:hAnsi="Arial" w:cs="Arial" w:eastAsia="Arial" w:hint="default"/>
        </w:rPr>
        <w:t>3</w:t>
      </w:r>
      <w:r>
        <w:rPr>
          <w:rFonts w:ascii="Arial" w:hAnsi="Arial" w:cs="Arial" w:eastAsia="Arial" w:hint="default"/>
          <w:spacing w:val="-6"/>
        </w:rPr>
        <w:t> </w:t>
      </w:r>
      <w:r>
        <w:rPr/>
        <w:t>月</w:t>
      </w:r>
      <w:r>
        <w:rPr>
          <w:spacing w:val="-55"/>
        </w:rPr>
        <w:t> </w:t>
      </w:r>
      <w:r>
        <w:rPr>
          <w:rFonts w:ascii="Arial" w:hAnsi="Arial" w:cs="Arial" w:eastAsia="Arial" w:hint="default"/>
        </w:rPr>
        <w:t>22</w:t>
      </w:r>
      <w:r>
        <w:rPr>
          <w:rFonts w:ascii="Arial" w:hAnsi="Arial" w:cs="Arial" w:eastAsia="Arial" w:hint="default"/>
          <w:spacing w:val="-6"/>
        </w:rPr>
        <w:t> </w:t>
      </w:r>
      <w:r>
        <w:rPr/>
        <w:t>日在上海证券交易所网站</w:t>
      </w:r>
      <w:r>
        <w:rPr>
          <w:rFonts w:ascii="Arial" w:hAnsi="Arial" w:cs="Arial" w:eastAsia="Arial" w:hint="default"/>
        </w:rPr>
        <w:t>(</w:t>
      </w:r>
      <w:r>
        <w:rPr>
          <w:rFonts w:ascii="Arial" w:hAnsi="Arial" w:cs="Arial" w:eastAsia="Arial" w:hint="default"/>
          <w:color w:val="0000FF"/>
        </w:rPr>
      </w:r>
      <w:hyperlink r:id="rId13">
        <w:r>
          <w:rPr>
            <w:rFonts w:ascii="Arial" w:hAnsi="Arial" w:cs="Arial" w:eastAsia="Arial" w:hint="default"/>
            <w:color w:val="0000FF"/>
            <w:u w:val="single" w:color="0000FF"/>
          </w:rPr>
          <w:t>www.sse.com.cn</w:t>
        </w:r>
        <w:r>
          <w:rPr>
            <w:rFonts w:ascii="Arial" w:hAnsi="Arial" w:cs="Arial" w:eastAsia="Arial" w:hint="default"/>
            <w:color w:val="0000FF"/>
          </w:rPr>
        </w:r>
      </w:hyperlink>
      <w:r>
        <w:rPr>
          <w:rFonts w:ascii="Arial" w:hAnsi="Arial" w:cs="Arial" w:eastAsia="Arial" w:hint="default"/>
        </w:rPr>
        <w:t>)</w:t>
      </w:r>
    </w:p>
    <w:p>
      <w:pPr>
        <w:pStyle w:val="BodyText"/>
        <w:spacing w:line="295" w:lineRule="exact"/>
        <w:ind w:left="641" w:right="0"/>
        <w:jc w:val="left"/>
      </w:pPr>
      <w:r>
        <w:rPr/>
        <w:t>和公司网站</w:t>
      </w:r>
      <w:r>
        <w:rPr>
          <w:rFonts w:ascii="Arial" w:hAnsi="Arial" w:cs="Arial" w:eastAsia="Arial" w:hint="default"/>
        </w:rPr>
        <w:t>(</w:t>
      </w:r>
      <w:r>
        <w:rPr>
          <w:rFonts w:ascii="Arial" w:hAnsi="Arial" w:cs="Arial" w:eastAsia="Arial" w:hint="default"/>
          <w:color w:val="0000FF"/>
        </w:rPr>
      </w:r>
      <w:hyperlink r:id="rId11">
        <w:r>
          <w:rPr>
            <w:rFonts w:ascii="Arial" w:hAnsi="Arial" w:cs="Arial" w:eastAsia="Arial" w:hint="default"/>
            <w:color w:val="0000FF"/>
            <w:u w:val="single" w:color="0000FF"/>
          </w:rPr>
          <w:t>www.chinaunicom-a.com</w:t>
        </w:r>
        <w:r>
          <w:rPr>
            <w:rFonts w:ascii="Arial" w:hAnsi="Arial" w:cs="Arial" w:eastAsia="Arial" w:hint="default"/>
            <w:color w:val="0000FF"/>
          </w:rPr>
        </w:r>
      </w:hyperlink>
      <w:r>
        <w:rPr>
          <w:rFonts w:ascii="Arial" w:hAnsi="Arial" w:cs="Arial" w:eastAsia="Arial" w:hint="default"/>
        </w:rPr>
        <w:t>)</w:t>
      </w:r>
      <w:r>
        <w:rPr/>
        <w:t>的相关公告。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before="44"/>
        <w:ind w:left="550" w:right="4" w:firstLine="0"/>
        <w:jc w:val="center"/>
        <w:rPr>
          <w:rFonts w:ascii="黑体" w:hAnsi="黑体" w:cs="黑体" w:eastAsia="黑体" w:hint="default"/>
          <w:sz w:val="18"/>
          <w:szCs w:val="18"/>
        </w:rPr>
      </w:pPr>
      <w:r>
        <w:rPr/>
        <w:pict>
          <v:shape style="position:absolute;margin-left:110.25pt;margin-top:-86.33828pt;width:434.2pt;height:538.5pt;mso-position-horizontal-relative:page;mso-position-vertical-relative:paragraph;z-index:-853288" type="#_x0000_t202" filled="false" stroked="false">
            <v:textbox inset="0,0,0,0">
              <w:txbxContent>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7"/>
                      <w:szCs w:val="17"/>
                    </w:rPr>
                  </w:pPr>
                </w:p>
                <w:p>
                  <w:pPr>
                    <w:pStyle w:val="BodyText"/>
                    <w:spacing w:line="240" w:lineRule="auto"/>
                    <w:ind w:left="13" w:right="0"/>
                    <w:jc w:val="left"/>
                  </w:pPr>
                  <w:r>
                    <w:rPr/>
                    <w:t>内部控制审计报告详见附件</w:t>
                  </w:r>
                </w:p>
              </w:txbxContent>
            </v:textbox>
            <w10:wrap type="none"/>
          </v:shape>
        </w:pict>
      </w:r>
      <w:r>
        <w:rPr/>
        <w:pict>
          <v:group style="position:absolute;margin-left:109.875pt;margin-top:-86.71328pt;width:434.95pt;height:539.25pt;mso-position-horizontal-relative:page;mso-position-vertical-relative:paragraph;z-index:-853264" coordorigin="2198,-1734" coordsize="8699,10785">
            <v:group style="position:absolute;left:2205;top:-1727;width:8684;height:10770" coordorigin="2205,-1727" coordsize="8684,10770">
              <v:shape style="position:absolute;left:2205;top:-1727;width:8684;height:10770" coordorigin="2205,-1727" coordsize="8684,10770" path="m2205,9043l10889,9043,10889,-1727,2205,-1727,2205,9043xe" filled="true" fillcolor="#ffffff" stroked="false">
                <v:path arrowok="t"/>
                <v:fill type="solid"/>
              </v:shape>
            </v:group>
            <v:group style="position:absolute;left:2205;top:-1727;width:8684;height:10770" coordorigin="2205,-1727" coordsize="8684,10770">
              <v:shape style="position:absolute;left:2205;top:-1727;width:8684;height:10770" coordorigin="2205,-1727" coordsize="8684,10770" path="m2205,9043l10889,9043,10889,-1727,2205,-1727,2205,9043xe" filled="false" stroked="true" strokeweight=".75pt" strokecolor="#000000">
                <v:path arrowok="t"/>
              </v:shape>
              <v:shape style="position:absolute;left:2357;top:-1647;width:8475;height:1274" type="#_x0000_t75" stroked="false">
                <v:imagedata r:id="rId17" o:title=""/>
              </v:shape>
            </v:group>
            <w10:wrap type="none"/>
          </v:group>
        </w:pict>
      </w:r>
      <w:r>
        <w:rPr>
          <w:rFonts w:ascii="黑体" w:hAnsi="黑体" w:cs="黑体" w:eastAsia="黑体" w:hint="default"/>
          <w:sz w:val="18"/>
          <w:szCs w:val="18"/>
        </w:rPr>
        <w:t>内部控制审计报告</w:t>
      </w:r>
    </w:p>
    <w:p>
      <w:pPr>
        <w:spacing w:line="240" w:lineRule="auto" w:before="6"/>
        <w:rPr>
          <w:rFonts w:ascii="黑体" w:hAnsi="黑体" w:cs="黑体" w:eastAsia="黑体" w:hint="default"/>
          <w:sz w:val="22"/>
          <w:szCs w:val="22"/>
        </w:rPr>
      </w:pPr>
    </w:p>
    <w:p>
      <w:pPr>
        <w:spacing w:before="44"/>
        <w:ind w:left="6459" w:right="0" w:firstLine="0"/>
        <w:jc w:val="left"/>
        <w:rPr>
          <w:rFonts w:ascii="宋体" w:hAnsi="宋体" w:cs="宋体" w:eastAsia="宋体" w:hint="default"/>
          <w:sz w:val="18"/>
          <w:szCs w:val="18"/>
        </w:rPr>
      </w:pPr>
      <w:r>
        <w:rPr>
          <w:rFonts w:ascii="宋体" w:hAnsi="宋体" w:cs="宋体" w:eastAsia="宋体" w:hint="default"/>
          <w:sz w:val="18"/>
          <w:szCs w:val="18"/>
        </w:rPr>
        <w:t>普华永道中天特审字</w:t>
      </w:r>
      <w:r>
        <w:rPr>
          <w:rFonts w:ascii="Georgia" w:hAnsi="Georgia" w:cs="Georgia" w:eastAsia="Georgia" w:hint="default"/>
          <w:sz w:val="18"/>
          <w:szCs w:val="18"/>
        </w:rPr>
        <w:t>(2013)</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Georgia" w:hAnsi="Georgia" w:cs="Georgia" w:eastAsia="Georgia" w:hint="default"/>
          <w:sz w:val="18"/>
          <w:szCs w:val="18"/>
        </w:rPr>
        <w:t>696 </w:t>
      </w:r>
      <w:r>
        <w:rPr>
          <w:rFonts w:ascii="宋体" w:hAnsi="宋体" w:cs="宋体" w:eastAsia="宋体" w:hint="default"/>
          <w:sz w:val="18"/>
          <w:szCs w:val="18"/>
        </w:rPr>
        <w:t>号</w:t>
      </w:r>
    </w:p>
    <w:p>
      <w:pPr>
        <w:spacing w:line="240" w:lineRule="auto" w:before="2"/>
        <w:rPr>
          <w:rFonts w:ascii="宋体" w:hAnsi="宋体" w:cs="宋体" w:eastAsia="宋体" w:hint="default"/>
          <w:sz w:val="11"/>
          <w:szCs w:val="11"/>
        </w:rPr>
      </w:pPr>
    </w:p>
    <w:p>
      <w:pPr>
        <w:spacing w:before="44"/>
        <w:ind w:left="1148" w:right="0" w:firstLine="0"/>
        <w:jc w:val="both"/>
        <w:rPr>
          <w:rFonts w:ascii="宋体" w:hAnsi="宋体" w:cs="宋体" w:eastAsia="宋体" w:hint="default"/>
          <w:sz w:val="18"/>
          <w:szCs w:val="18"/>
        </w:rPr>
      </w:pPr>
      <w:r>
        <w:rPr>
          <w:rFonts w:ascii="宋体" w:hAnsi="宋体" w:cs="宋体" w:eastAsia="宋体" w:hint="default"/>
          <w:sz w:val="18"/>
          <w:szCs w:val="18"/>
        </w:rPr>
        <w:t>中国联合网络通信股份有限公司全体股东</w:t>
      </w:r>
      <w:r>
        <w:rPr>
          <w:rFonts w:ascii="宋体" w:hAnsi="宋体" w:cs="宋体" w:eastAsia="宋体" w:hint="default"/>
          <w:sz w:val="18"/>
          <w:szCs w:val="18"/>
        </w:rPr>
        <w:t>:</w:t>
      </w:r>
    </w:p>
    <w:p>
      <w:pPr>
        <w:spacing w:line="240" w:lineRule="auto" w:before="9"/>
        <w:rPr>
          <w:rFonts w:ascii="宋体" w:hAnsi="宋体" w:cs="宋体" w:eastAsia="宋体" w:hint="default"/>
          <w:sz w:val="17"/>
          <w:szCs w:val="17"/>
        </w:rPr>
      </w:pPr>
    </w:p>
    <w:p>
      <w:pPr>
        <w:spacing w:before="0"/>
        <w:ind w:left="1148" w:right="427" w:firstLine="0"/>
        <w:jc w:val="both"/>
        <w:rPr>
          <w:rFonts w:ascii="宋体" w:hAnsi="宋体" w:cs="宋体" w:eastAsia="宋体" w:hint="default"/>
          <w:sz w:val="18"/>
          <w:szCs w:val="18"/>
        </w:rPr>
      </w:pPr>
      <w:r>
        <w:rPr>
          <w:rFonts w:ascii="宋体" w:hAnsi="宋体" w:cs="宋体" w:eastAsia="宋体" w:hint="default"/>
          <w:spacing w:val="-2"/>
          <w:sz w:val="18"/>
          <w:szCs w:val="18"/>
        </w:rPr>
        <w:t>按照《企业内部控制审计指引》及中国注册会计师执业准则的相关要求，我们审计了中国联合网络通信股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份有限公司</w:t>
      </w:r>
      <w:r>
        <w:rPr>
          <w:rFonts w:ascii="宋体" w:hAnsi="宋体" w:cs="宋体" w:eastAsia="宋体" w:hint="default"/>
          <w:sz w:val="18"/>
          <w:szCs w:val="18"/>
        </w:rPr>
        <w:t>(</w:t>
      </w:r>
      <w:r>
        <w:rPr>
          <w:rFonts w:ascii="宋体" w:hAnsi="宋体" w:cs="宋体" w:eastAsia="宋体" w:hint="default"/>
          <w:sz w:val="18"/>
          <w:szCs w:val="18"/>
        </w:rPr>
        <w:t>以下简称“贵公司”) </w:t>
      </w:r>
      <w:r>
        <w:rPr>
          <w:rFonts w:ascii="Georgia" w:hAnsi="Georgia" w:cs="Georgia" w:eastAsia="Georgia" w:hint="default"/>
          <w:sz w:val="18"/>
          <w:szCs w:val="18"/>
        </w:rPr>
        <w:t>2012</w:t>
      </w:r>
      <w:r>
        <w:rPr>
          <w:rFonts w:ascii="Georgia" w:hAnsi="Georgia" w:cs="Georgia" w:eastAsia="Georgia"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Georgia" w:hAnsi="Georgia" w:cs="Georgia" w:eastAsia="Georgia" w:hint="default"/>
          <w:sz w:val="18"/>
          <w:szCs w:val="18"/>
        </w:rPr>
        <w:t>12</w:t>
      </w:r>
      <w:r>
        <w:rPr>
          <w:rFonts w:ascii="Georgia" w:hAnsi="Georgia" w:cs="Georgia" w:eastAsia="Georgia"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Georgia" w:hAnsi="Georgia" w:cs="Georgia" w:eastAsia="Georgia" w:hint="default"/>
          <w:sz w:val="18"/>
          <w:szCs w:val="18"/>
        </w:rPr>
        <w:t>31 </w:t>
      </w:r>
      <w:r>
        <w:rPr>
          <w:rFonts w:ascii="宋体" w:hAnsi="宋体" w:cs="宋体" w:eastAsia="宋体" w:hint="default"/>
          <w:sz w:val="18"/>
          <w:szCs w:val="18"/>
        </w:rPr>
        <w:t>日的财务报告内部控制的有效性。</w:t>
      </w:r>
    </w:p>
    <w:p>
      <w:pPr>
        <w:spacing w:line="240" w:lineRule="auto" w:before="8"/>
        <w:rPr>
          <w:rFonts w:ascii="宋体" w:hAnsi="宋体" w:cs="宋体" w:eastAsia="宋体" w:hint="default"/>
          <w:sz w:val="16"/>
          <w:szCs w:val="16"/>
        </w:rPr>
      </w:pPr>
    </w:p>
    <w:p>
      <w:pPr>
        <w:spacing w:before="0"/>
        <w:ind w:left="1148" w:right="0" w:firstLine="0"/>
        <w:jc w:val="both"/>
        <w:rPr>
          <w:rFonts w:ascii="宋体" w:hAnsi="宋体" w:cs="宋体" w:eastAsia="宋体" w:hint="default"/>
          <w:sz w:val="18"/>
          <w:szCs w:val="18"/>
        </w:rPr>
      </w:pPr>
      <w:r>
        <w:rPr>
          <w:rFonts w:ascii="宋体" w:hAnsi="宋体" w:cs="宋体" w:eastAsia="宋体" w:hint="default"/>
          <w:sz w:val="18"/>
          <w:szCs w:val="18"/>
        </w:rPr>
        <w:t>一、  </w:t>
      </w:r>
      <w:r>
        <w:rPr>
          <w:rFonts w:ascii="宋体" w:hAnsi="宋体" w:cs="宋体" w:eastAsia="宋体" w:hint="default"/>
          <w:spacing w:val="34"/>
          <w:sz w:val="18"/>
          <w:szCs w:val="18"/>
        </w:rPr>
        <w:t> </w:t>
      </w:r>
      <w:r>
        <w:rPr>
          <w:rFonts w:ascii="宋体" w:hAnsi="宋体" w:cs="宋体" w:eastAsia="宋体" w:hint="default"/>
          <w:sz w:val="18"/>
          <w:szCs w:val="18"/>
        </w:rPr>
        <w:t>企业对内部控制的责任</w:t>
      </w:r>
    </w:p>
    <w:p>
      <w:pPr>
        <w:spacing w:line="240" w:lineRule="auto" w:before="7"/>
        <w:rPr>
          <w:rFonts w:ascii="宋体" w:hAnsi="宋体" w:cs="宋体" w:eastAsia="宋体" w:hint="default"/>
          <w:sz w:val="19"/>
          <w:szCs w:val="19"/>
        </w:rPr>
      </w:pPr>
    </w:p>
    <w:p>
      <w:pPr>
        <w:spacing w:line="232" w:lineRule="exact" w:before="0"/>
        <w:ind w:left="1148" w:right="427" w:firstLine="0"/>
        <w:jc w:val="both"/>
        <w:rPr>
          <w:rFonts w:ascii="宋体" w:hAnsi="宋体" w:cs="宋体" w:eastAsia="宋体" w:hint="default"/>
          <w:sz w:val="18"/>
          <w:szCs w:val="18"/>
        </w:rPr>
      </w:pPr>
      <w:r>
        <w:rPr>
          <w:rFonts w:ascii="宋体" w:hAnsi="宋体" w:cs="宋体" w:eastAsia="宋体" w:hint="default"/>
          <w:spacing w:val="-2"/>
          <w:sz w:val="18"/>
          <w:szCs w:val="18"/>
        </w:rPr>
        <w:t>按照《企业内部控制基本规范》、《企业内部控制应用指引》、《企业内部控制评价指引》的规定，建立</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健全和有效实施内部控制，并评价其有效性是贵公司董事会的责任。</w:t>
      </w:r>
    </w:p>
    <w:p>
      <w:pPr>
        <w:spacing w:line="240" w:lineRule="auto" w:before="1"/>
        <w:rPr>
          <w:rFonts w:ascii="宋体" w:hAnsi="宋体" w:cs="宋体" w:eastAsia="宋体" w:hint="default"/>
          <w:sz w:val="16"/>
          <w:szCs w:val="16"/>
        </w:rPr>
      </w:pPr>
    </w:p>
    <w:p>
      <w:pPr>
        <w:spacing w:before="0"/>
        <w:ind w:left="1148" w:right="0" w:firstLine="0"/>
        <w:jc w:val="both"/>
        <w:rPr>
          <w:rFonts w:ascii="宋体" w:hAnsi="宋体" w:cs="宋体" w:eastAsia="宋体" w:hint="default"/>
          <w:sz w:val="18"/>
          <w:szCs w:val="18"/>
        </w:rPr>
      </w:pPr>
      <w:r>
        <w:rPr>
          <w:rFonts w:ascii="宋体" w:hAnsi="宋体" w:cs="宋体" w:eastAsia="宋体" w:hint="default"/>
          <w:sz w:val="18"/>
          <w:szCs w:val="18"/>
        </w:rPr>
        <w:t>二、  </w:t>
      </w:r>
      <w:r>
        <w:rPr>
          <w:rFonts w:ascii="宋体" w:hAnsi="宋体" w:cs="宋体" w:eastAsia="宋体" w:hint="default"/>
          <w:spacing w:val="34"/>
          <w:sz w:val="18"/>
          <w:szCs w:val="18"/>
        </w:rPr>
        <w:t> </w:t>
      </w:r>
      <w:r>
        <w:rPr>
          <w:rFonts w:ascii="宋体" w:hAnsi="宋体" w:cs="宋体" w:eastAsia="宋体" w:hint="default"/>
          <w:sz w:val="18"/>
          <w:szCs w:val="18"/>
        </w:rPr>
        <w:t>注册会计师的责任</w:t>
      </w:r>
    </w:p>
    <w:p>
      <w:pPr>
        <w:spacing w:line="240" w:lineRule="auto" w:before="8"/>
        <w:rPr>
          <w:rFonts w:ascii="宋体" w:hAnsi="宋体" w:cs="宋体" w:eastAsia="宋体" w:hint="default"/>
          <w:sz w:val="19"/>
          <w:szCs w:val="19"/>
        </w:rPr>
      </w:pPr>
    </w:p>
    <w:p>
      <w:pPr>
        <w:spacing w:line="232" w:lineRule="exact" w:before="0"/>
        <w:ind w:left="1148" w:right="427" w:firstLine="0"/>
        <w:jc w:val="both"/>
        <w:rPr>
          <w:rFonts w:ascii="宋体" w:hAnsi="宋体" w:cs="宋体" w:eastAsia="宋体" w:hint="default"/>
          <w:sz w:val="18"/>
          <w:szCs w:val="18"/>
        </w:rPr>
      </w:pPr>
      <w:r>
        <w:rPr>
          <w:rFonts w:ascii="宋体" w:hAnsi="宋体" w:cs="宋体" w:eastAsia="宋体" w:hint="default"/>
          <w:spacing w:val="-2"/>
          <w:sz w:val="18"/>
          <w:szCs w:val="18"/>
        </w:rPr>
        <w:t>我们的责任是在实施审计工作的基础上，对财务报告内部控制的有效性发表审计意见，并对注意到的非财</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务报告内部控制的重大缺陷进行披露。</w:t>
      </w:r>
    </w:p>
    <w:p>
      <w:pPr>
        <w:spacing w:line="240" w:lineRule="auto" w:before="1"/>
        <w:rPr>
          <w:rFonts w:ascii="宋体" w:hAnsi="宋体" w:cs="宋体" w:eastAsia="宋体" w:hint="default"/>
          <w:sz w:val="16"/>
          <w:szCs w:val="16"/>
        </w:rPr>
      </w:pPr>
    </w:p>
    <w:p>
      <w:pPr>
        <w:spacing w:before="0"/>
        <w:ind w:left="1148" w:right="0" w:firstLine="0"/>
        <w:jc w:val="both"/>
        <w:rPr>
          <w:rFonts w:ascii="宋体" w:hAnsi="宋体" w:cs="宋体" w:eastAsia="宋体" w:hint="default"/>
          <w:sz w:val="18"/>
          <w:szCs w:val="18"/>
        </w:rPr>
      </w:pPr>
      <w:r>
        <w:rPr>
          <w:rFonts w:ascii="宋体" w:hAnsi="宋体" w:cs="宋体" w:eastAsia="宋体" w:hint="default"/>
          <w:sz w:val="18"/>
          <w:szCs w:val="18"/>
        </w:rPr>
        <w:t>三、  </w:t>
      </w:r>
      <w:r>
        <w:rPr>
          <w:rFonts w:ascii="宋体" w:hAnsi="宋体" w:cs="宋体" w:eastAsia="宋体" w:hint="default"/>
          <w:spacing w:val="34"/>
          <w:sz w:val="18"/>
          <w:szCs w:val="18"/>
        </w:rPr>
        <w:t> </w:t>
      </w:r>
      <w:r>
        <w:rPr>
          <w:rFonts w:ascii="宋体" w:hAnsi="宋体" w:cs="宋体" w:eastAsia="宋体" w:hint="default"/>
          <w:sz w:val="18"/>
          <w:szCs w:val="18"/>
        </w:rPr>
        <w:t>内部控制的固有局限性</w:t>
      </w:r>
    </w:p>
    <w:p>
      <w:pPr>
        <w:spacing w:line="240" w:lineRule="auto" w:before="11"/>
        <w:rPr>
          <w:rFonts w:ascii="宋体" w:hAnsi="宋体" w:cs="宋体" w:eastAsia="宋体" w:hint="default"/>
          <w:sz w:val="17"/>
          <w:szCs w:val="17"/>
        </w:rPr>
      </w:pPr>
    </w:p>
    <w:p>
      <w:pPr>
        <w:spacing w:line="237" w:lineRule="auto" w:before="0"/>
        <w:ind w:left="1148" w:right="427" w:firstLine="0"/>
        <w:jc w:val="both"/>
        <w:rPr>
          <w:rFonts w:ascii="宋体" w:hAnsi="宋体" w:cs="宋体" w:eastAsia="宋体" w:hint="default"/>
          <w:sz w:val="18"/>
          <w:szCs w:val="18"/>
        </w:rPr>
      </w:pPr>
      <w:r>
        <w:rPr>
          <w:rFonts w:ascii="宋体" w:hAnsi="宋体" w:cs="宋体" w:eastAsia="宋体" w:hint="default"/>
          <w:spacing w:val="-2"/>
          <w:sz w:val="18"/>
          <w:szCs w:val="18"/>
        </w:rPr>
        <w:t>内部控制具有固有局限性，存在不能防止和发现错报的可能性。此外，由于情况的变化可能导致内部控制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变得不恰当，或对控制政策和程序遵循的程度降低，根据内部控制审计结果推测未来内部控制的有效性具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有一定风险。</w:t>
      </w:r>
    </w:p>
    <w:p>
      <w:pPr>
        <w:spacing w:line="240" w:lineRule="auto" w:before="9"/>
        <w:rPr>
          <w:rFonts w:ascii="宋体" w:hAnsi="宋体" w:cs="宋体" w:eastAsia="宋体" w:hint="default"/>
          <w:sz w:val="17"/>
          <w:szCs w:val="17"/>
        </w:rPr>
      </w:pPr>
    </w:p>
    <w:p>
      <w:pPr>
        <w:spacing w:before="0"/>
        <w:ind w:left="1121" w:right="0" w:firstLine="0"/>
        <w:jc w:val="both"/>
        <w:rPr>
          <w:rFonts w:ascii="宋体" w:hAnsi="宋体" w:cs="宋体" w:eastAsia="宋体" w:hint="default"/>
          <w:sz w:val="18"/>
          <w:szCs w:val="18"/>
        </w:rPr>
      </w:pPr>
      <w:r>
        <w:rPr>
          <w:rFonts w:ascii="宋体" w:hAnsi="宋体" w:cs="宋体" w:eastAsia="宋体" w:hint="default"/>
          <w:sz w:val="18"/>
          <w:szCs w:val="18"/>
        </w:rPr>
        <w:t>四、 </w:t>
      </w:r>
      <w:r>
        <w:rPr>
          <w:rFonts w:ascii="宋体" w:hAnsi="宋体" w:cs="宋体" w:eastAsia="宋体" w:hint="default"/>
          <w:spacing w:val="81"/>
          <w:sz w:val="18"/>
          <w:szCs w:val="18"/>
        </w:rPr>
        <w:t> </w:t>
      </w:r>
      <w:r>
        <w:rPr>
          <w:rFonts w:ascii="宋体" w:hAnsi="宋体" w:cs="宋体" w:eastAsia="宋体" w:hint="default"/>
          <w:sz w:val="18"/>
          <w:szCs w:val="18"/>
        </w:rPr>
        <w:t>财务报告内部控制审计意见</w:t>
      </w:r>
    </w:p>
    <w:p>
      <w:pPr>
        <w:spacing w:line="240" w:lineRule="auto" w:before="6"/>
        <w:rPr>
          <w:rFonts w:ascii="宋体" w:hAnsi="宋体" w:cs="宋体" w:eastAsia="宋体" w:hint="default"/>
          <w:sz w:val="19"/>
          <w:szCs w:val="19"/>
        </w:rPr>
      </w:pPr>
    </w:p>
    <w:p>
      <w:pPr>
        <w:spacing w:line="234" w:lineRule="exact" w:before="0"/>
        <w:ind w:left="1129" w:right="444" w:firstLine="0"/>
        <w:jc w:val="both"/>
        <w:rPr>
          <w:rFonts w:ascii="宋体" w:hAnsi="宋体" w:cs="宋体" w:eastAsia="宋体" w:hint="default"/>
          <w:sz w:val="18"/>
          <w:szCs w:val="18"/>
        </w:rPr>
      </w:pPr>
      <w:r>
        <w:rPr>
          <w:rFonts w:ascii="宋体" w:hAnsi="宋体" w:cs="宋体" w:eastAsia="宋体" w:hint="default"/>
          <w:sz w:val="18"/>
          <w:szCs w:val="18"/>
        </w:rPr>
        <w:t>我们认为，贵公司于</w:t>
      </w:r>
      <w:r>
        <w:rPr>
          <w:rFonts w:ascii="宋体" w:hAnsi="宋体" w:cs="宋体" w:eastAsia="宋体" w:hint="default"/>
          <w:spacing w:val="-47"/>
          <w:sz w:val="18"/>
          <w:szCs w:val="18"/>
        </w:rPr>
        <w:t> </w:t>
      </w:r>
      <w:r>
        <w:rPr>
          <w:rFonts w:ascii="Georgia" w:hAnsi="Georgia" w:cs="Georgia" w:eastAsia="Georgia" w:hint="default"/>
          <w:sz w:val="18"/>
          <w:szCs w:val="18"/>
        </w:rPr>
        <w:t>2012</w:t>
      </w:r>
      <w:r>
        <w:rPr>
          <w:rFonts w:ascii="Georgia" w:hAnsi="Georgia" w:cs="Georgia" w:eastAsia="Georgia"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Georgia" w:hAnsi="Georgia" w:cs="Georgia" w:eastAsia="Georgia" w:hint="default"/>
          <w:sz w:val="18"/>
          <w:szCs w:val="18"/>
        </w:rPr>
        <w:t>12</w:t>
      </w:r>
      <w:r>
        <w:rPr>
          <w:rFonts w:ascii="Georgia" w:hAnsi="Georgia" w:cs="Georgia" w:eastAsia="Georgia"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Georgia" w:hAnsi="Georgia" w:cs="Georgia" w:eastAsia="Georgia" w:hint="default"/>
          <w:sz w:val="18"/>
          <w:szCs w:val="18"/>
        </w:rPr>
        <w:t>31</w:t>
      </w:r>
      <w:r>
        <w:rPr>
          <w:rFonts w:ascii="Georgia" w:hAnsi="Georgia" w:cs="Georgia" w:eastAsia="Georgia" w:hint="default"/>
          <w:spacing w:val="-1"/>
          <w:sz w:val="18"/>
          <w:szCs w:val="18"/>
        </w:rPr>
        <w:t> </w:t>
      </w:r>
      <w:r>
        <w:rPr>
          <w:rFonts w:ascii="宋体" w:hAnsi="宋体" w:cs="宋体" w:eastAsia="宋体" w:hint="default"/>
          <w:sz w:val="18"/>
          <w:szCs w:val="18"/>
        </w:rPr>
        <w:t>日按照《企业内部控制基本规范》和相关规定在所有重大方面保持 了有效的财务报告内部控制。</w:t>
      </w:r>
    </w:p>
    <w:p>
      <w:pPr>
        <w:spacing w:line="240" w:lineRule="auto" w:before="6"/>
        <w:rPr>
          <w:rFonts w:ascii="宋体" w:hAnsi="宋体" w:cs="宋体" w:eastAsia="宋体" w:hint="default"/>
          <w:sz w:val="28"/>
          <w:szCs w:val="28"/>
        </w:rPr>
      </w:pPr>
    </w:p>
    <w:tbl>
      <w:tblPr>
        <w:tblW w:w="0" w:type="auto"/>
        <w:jc w:val="left"/>
        <w:tblInd w:w="957" w:type="dxa"/>
        <w:tblLayout w:type="fixed"/>
        <w:tblCellMar>
          <w:top w:w="0" w:type="dxa"/>
          <w:left w:w="0" w:type="dxa"/>
          <w:bottom w:w="0" w:type="dxa"/>
          <w:right w:w="0" w:type="dxa"/>
        </w:tblCellMar>
        <w:tblLook w:val="01E0"/>
      </w:tblPr>
      <w:tblGrid>
        <w:gridCol w:w="3375"/>
        <w:gridCol w:w="2706"/>
        <w:gridCol w:w="1261"/>
      </w:tblGrid>
      <w:tr>
        <w:trPr>
          <w:trHeight w:val="1549" w:hRule="exact"/>
        </w:trPr>
        <w:tc>
          <w:tcPr>
            <w:tcW w:w="3375"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普华永道中天</w:t>
            </w:r>
          </w:p>
          <w:p>
            <w:pPr>
              <w:pStyle w:val="TableParagraph"/>
              <w:spacing w:line="240" w:lineRule="auto" w:before="104"/>
              <w:ind w:left="200" w:right="0"/>
              <w:jc w:val="left"/>
              <w:rPr>
                <w:rFonts w:ascii="宋体" w:hAnsi="宋体" w:cs="宋体" w:eastAsia="宋体" w:hint="default"/>
                <w:sz w:val="18"/>
                <w:szCs w:val="18"/>
              </w:rPr>
            </w:pPr>
            <w:r>
              <w:rPr>
                <w:rFonts w:ascii="宋体" w:hAnsi="宋体" w:cs="宋体" w:eastAsia="宋体" w:hint="default"/>
                <w:sz w:val="18"/>
                <w:szCs w:val="18"/>
              </w:rPr>
              <w:t>会计师事务所有限公司</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Cambria" w:hAnsi="Cambria" w:cs="Cambria" w:eastAsia="Cambria" w:hint="default"/>
                <w:sz w:val="18"/>
                <w:szCs w:val="18"/>
              </w:rPr>
              <w:t>•</w:t>
            </w:r>
            <w:r>
              <w:rPr>
                <w:rFonts w:ascii="宋体" w:hAnsi="宋体" w:cs="宋体" w:eastAsia="宋体" w:hint="default"/>
                <w:sz w:val="18"/>
                <w:szCs w:val="18"/>
              </w:rPr>
              <w:t>上海市</w:t>
            </w:r>
          </w:p>
          <w:p>
            <w:pPr>
              <w:pStyle w:val="TableParagraph"/>
              <w:spacing w:line="240" w:lineRule="auto" w:before="89"/>
              <w:ind w:left="200" w:right="0"/>
              <w:jc w:val="left"/>
              <w:rPr>
                <w:rFonts w:ascii="宋体" w:hAnsi="宋体" w:cs="宋体" w:eastAsia="宋体" w:hint="default"/>
                <w:sz w:val="18"/>
                <w:szCs w:val="18"/>
              </w:rPr>
            </w:pPr>
            <w:r>
              <w:rPr>
                <w:rFonts w:ascii="Georgia" w:hAnsi="Georgia" w:cs="Georgia" w:eastAsia="Georgia" w:hint="default"/>
                <w:sz w:val="18"/>
                <w:szCs w:val="18"/>
              </w:rPr>
              <w:t>2013</w:t>
            </w:r>
            <w:r>
              <w:rPr>
                <w:rFonts w:ascii="Georgia" w:hAnsi="Georgia" w:cs="Georgia" w:eastAsia="Georgia"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Georgia" w:hAnsi="Georgia" w:cs="Georgia" w:eastAsia="Georgia" w:hint="default"/>
                <w:sz w:val="18"/>
                <w:szCs w:val="18"/>
              </w:rPr>
              <w:t>3</w:t>
            </w:r>
            <w:r>
              <w:rPr>
                <w:rFonts w:ascii="Georgia" w:hAnsi="Georgia" w:cs="Georgia" w:eastAsia="Georgia"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Georgia" w:hAnsi="Georgia" w:cs="Georgia" w:eastAsia="Georgia" w:hint="default"/>
                <w:sz w:val="18"/>
                <w:szCs w:val="18"/>
              </w:rPr>
              <w:t>21 </w:t>
            </w:r>
            <w:r>
              <w:rPr>
                <w:rFonts w:ascii="宋体" w:hAnsi="宋体" w:cs="宋体" w:eastAsia="宋体" w:hint="default"/>
                <w:sz w:val="18"/>
                <w:szCs w:val="18"/>
              </w:rPr>
              <w:t>日</w:t>
            </w:r>
          </w:p>
        </w:tc>
        <w:tc>
          <w:tcPr>
            <w:tcW w:w="2706" w:type="dxa"/>
            <w:tcBorders>
              <w:top w:val="nil" w:sz="6" w:space="0" w:color="auto"/>
              <w:left w:val="nil" w:sz="6" w:space="0" w:color="auto"/>
              <w:bottom w:val="nil" w:sz="6" w:space="0" w:color="auto"/>
              <w:right w:val="nil" w:sz="6" w:space="0" w:color="auto"/>
            </w:tcBorders>
          </w:tcPr>
          <w:p>
            <w:pPr>
              <w:pStyle w:val="TableParagraph"/>
              <w:spacing w:line="180" w:lineRule="exact"/>
              <w:ind w:left="1375" w:right="0"/>
              <w:jc w:val="left"/>
              <w:rPr>
                <w:rFonts w:ascii="宋体" w:hAnsi="宋体" w:cs="宋体" w:eastAsia="宋体" w:hint="default"/>
                <w:sz w:val="18"/>
                <w:szCs w:val="18"/>
              </w:rPr>
            </w:pPr>
            <w:r>
              <w:rPr>
                <w:rFonts w:ascii="宋体" w:hAnsi="宋体" w:cs="宋体" w:eastAsia="宋体" w:hint="default"/>
                <w:sz w:val="18"/>
                <w:szCs w:val="18"/>
              </w:rPr>
              <w:t>注册会计师</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375" w:right="0"/>
              <w:jc w:val="left"/>
              <w:rPr>
                <w:rFonts w:ascii="宋体" w:hAnsi="宋体" w:cs="宋体" w:eastAsia="宋体" w:hint="default"/>
                <w:sz w:val="18"/>
                <w:szCs w:val="18"/>
              </w:rPr>
            </w:pPr>
            <w:r>
              <w:rPr>
                <w:rFonts w:ascii="宋体" w:hAnsi="宋体" w:cs="宋体" w:eastAsia="宋体" w:hint="default"/>
                <w:sz w:val="18"/>
                <w:szCs w:val="18"/>
              </w:rPr>
              <w:t>注册会计师</w:t>
            </w:r>
          </w:p>
        </w:tc>
        <w:tc>
          <w:tcPr>
            <w:tcW w:w="1261" w:type="dxa"/>
            <w:tcBorders>
              <w:top w:val="nil" w:sz="6" w:space="0" w:color="auto"/>
              <w:left w:val="nil" w:sz="6" w:space="0" w:color="auto"/>
              <w:bottom w:val="nil" w:sz="6" w:space="0" w:color="auto"/>
              <w:right w:val="nil" w:sz="6" w:space="0" w:color="auto"/>
            </w:tcBorders>
          </w:tcPr>
          <w:p>
            <w:pPr>
              <w:pStyle w:val="TableParagraph"/>
              <w:tabs>
                <w:tab w:pos="880" w:val="left" w:leader="none"/>
              </w:tabs>
              <w:spacing w:line="180" w:lineRule="exact"/>
              <w:ind w:left="430" w:right="0"/>
              <w:jc w:val="left"/>
              <w:rPr>
                <w:rFonts w:ascii="宋体" w:hAnsi="宋体" w:cs="宋体" w:eastAsia="宋体" w:hint="default"/>
                <w:sz w:val="18"/>
                <w:szCs w:val="18"/>
              </w:rPr>
            </w:pPr>
            <w:r>
              <w:rPr>
                <w:rFonts w:ascii="宋体" w:hAnsi="宋体" w:cs="宋体" w:eastAsia="宋体" w:hint="default"/>
                <w:sz w:val="18"/>
                <w:szCs w:val="18"/>
              </w:rPr>
              <w:t>胡</w:t>
              <w:tab/>
              <w:t>杰</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tabs>
                <w:tab w:pos="880" w:val="left" w:leader="none"/>
              </w:tabs>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杨</w:t>
              <w:tab/>
              <w:t>桢</w:t>
            </w:r>
          </w:p>
        </w:tc>
      </w:tr>
    </w:tbl>
    <w:p>
      <w:pPr>
        <w:spacing w:after="0" w:line="240" w:lineRule="auto"/>
        <w:jc w:val="left"/>
        <w:rPr>
          <w:rFonts w:ascii="宋体" w:hAnsi="宋体" w:cs="宋体" w:eastAsia="宋体" w:hint="default"/>
          <w:sz w:val="18"/>
          <w:szCs w:val="18"/>
        </w:rPr>
        <w:sectPr>
          <w:pgSz w:w="11910" w:h="16840"/>
          <w:pgMar w:header="567" w:footer="745" w:top="800" w:bottom="940" w:left="1380" w:right="7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三、年度报告重大差错责任追究制度及相关执行情况说明</w:t>
      </w:r>
      <w:r>
        <w:rPr>
          <w:b w:val="0"/>
          <w:bCs w:val="0"/>
        </w:rPr>
      </w:r>
    </w:p>
    <w:p>
      <w:pPr>
        <w:spacing w:line="240" w:lineRule="auto" w:before="5"/>
        <w:rPr>
          <w:rFonts w:ascii="宋体" w:hAnsi="宋体" w:cs="宋体" w:eastAsia="宋体" w:hint="default"/>
          <w:b/>
          <w:bCs/>
          <w:sz w:val="19"/>
          <w:szCs w:val="19"/>
        </w:rPr>
      </w:pPr>
    </w:p>
    <w:p>
      <w:pPr>
        <w:pStyle w:val="BodyText"/>
        <w:spacing w:line="237" w:lineRule="auto"/>
        <w:ind w:left="632" w:right="153"/>
        <w:jc w:val="both"/>
      </w:pPr>
      <w:r>
        <w:rPr>
          <w:spacing w:val="-1"/>
        </w:rPr>
        <w:t>根据公司《信息披露管理办法》规定，由于工作失职或者在信息披露过程中不严格按照工作流</w:t>
      </w:r>
      <w:r>
        <w:rPr>
          <w:spacing w:val="-101"/>
        </w:rPr>
        <w:t> </w:t>
      </w:r>
      <w:r>
        <w:rPr>
          <w:spacing w:val="-101"/>
        </w:rPr>
      </w:r>
      <w:r>
        <w:rPr>
          <w:spacing w:val="-1"/>
        </w:rPr>
        <w:t>程操作，导致公司信息披露违规，给公司造成严重影响或损失的，公司将对该责任人给予内部</w:t>
      </w:r>
      <w:r>
        <w:rPr>
          <w:spacing w:val="-100"/>
        </w:rPr>
        <w:t> </w:t>
      </w:r>
      <w:r>
        <w:rPr>
          <w:spacing w:val="-100"/>
        </w:rPr>
      </w:r>
      <w:r>
        <w:rPr/>
        <w:t>批评、警告，甚至解除其职务等处分。</w:t>
      </w:r>
    </w:p>
    <w:p>
      <w:pPr>
        <w:spacing w:line="240" w:lineRule="auto" w:before="3"/>
        <w:rPr>
          <w:rFonts w:ascii="宋体" w:hAnsi="宋体" w:cs="宋体" w:eastAsia="宋体" w:hint="default"/>
          <w:sz w:val="19"/>
          <w:szCs w:val="19"/>
        </w:rPr>
      </w:pPr>
    </w:p>
    <w:p>
      <w:pPr>
        <w:pStyle w:val="BodyText"/>
        <w:spacing w:line="240" w:lineRule="auto"/>
        <w:ind w:left="632" w:right="0"/>
        <w:jc w:val="both"/>
      </w:pPr>
      <w:r>
        <w:rPr/>
        <w:t>报告期内，公司未出现年报信息披露重大差错。</w:t>
      </w:r>
    </w:p>
    <w:p>
      <w:pPr>
        <w:spacing w:line="240" w:lineRule="auto" w:before="4"/>
        <w:rPr>
          <w:rFonts w:ascii="宋体" w:hAnsi="宋体" w:cs="宋体" w:eastAsia="宋体" w:hint="default"/>
          <w:sz w:val="18"/>
          <w:szCs w:val="18"/>
        </w:rPr>
      </w:pPr>
    </w:p>
    <w:p>
      <w:pPr>
        <w:pStyle w:val="Heading1"/>
        <w:tabs>
          <w:tab w:pos="1253" w:val="left" w:leader="none"/>
        </w:tabs>
        <w:spacing w:line="240" w:lineRule="auto" w:before="0"/>
        <w:ind w:right="4"/>
        <w:jc w:val="center"/>
        <w:rPr>
          <w:b w:val="0"/>
          <w:bCs w:val="0"/>
        </w:rPr>
      </w:pPr>
      <w:bookmarkStart w:name="_TOC_250001" w:id="10"/>
      <w:r>
        <w:rPr>
          <w:w w:val="95"/>
        </w:rPr>
        <w:t>第十节</w:t>
        <w:tab/>
      </w:r>
      <w:r>
        <w:rPr/>
        <w:t>财务报告</w:t>
      </w:r>
      <w:bookmarkEnd w:id="10"/>
      <w:r>
        <w:rPr>
          <w:b w:val="0"/>
          <w:bCs w:val="0"/>
        </w:rPr>
      </w:r>
    </w:p>
    <w:p>
      <w:pPr>
        <w:spacing w:after="0" w:line="240" w:lineRule="auto"/>
        <w:jc w:val="center"/>
        <w:sectPr>
          <w:pgSz w:w="11910" w:h="16840"/>
          <w:pgMar w:header="567" w:footer="745" w:top="800" w:bottom="940" w:left="1380" w:right="7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7"/>
          <w:szCs w:val="27"/>
        </w:rPr>
      </w:pPr>
    </w:p>
    <w:p>
      <w:pPr>
        <w:pStyle w:val="Heading2"/>
        <w:spacing w:line="240" w:lineRule="auto" w:before="13"/>
        <w:ind w:right="0"/>
        <w:jc w:val="left"/>
      </w:pPr>
      <w:r>
        <w:rPr/>
        <w:t>中国联合网络通信股份有限公司</w:t>
      </w:r>
    </w:p>
    <w:p>
      <w:pPr>
        <w:spacing w:line="240" w:lineRule="auto" w:before="0"/>
        <w:rPr>
          <w:rFonts w:ascii="黑体" w:hAnsi="黑体" w:cs="黑体" w:eastAsia="黑体" w:hint="default"/>
          <w:sz w:val="28"/>
          <w:szCs w:val="28"/>
        </w:rPr>
      </w:pPr>
    </w:p>
    <w:p>
      <w:pPr>
        <w:spacing w:line="240" w:lineRule="auto" w:before="12"/>
        <w:rPr>
          <w:rFonts w:ascii="黑体" w:hAnsi="黑体" w:cs="黑体" w:eastAsia="黑体" w:hint="default"/>
          <w:sz w:val="20"/>
          <w:szCs w:val="20"/>
        </w:rPr>
      </w:pPr>
    </w:p>
    <w:p>
      <w:pPr>
        <w:spacing w:before="0"/>
        <w:ind w:left="453" w:right="0" w:firstLine="0"/>
        <w:jc w:val="left"/>
        <w:rPr>
          <w:rFonts w:ascii="黑体" w:hAnsi="黑体" w:cs="黑体" w:eastAsia="黑体" w:hint="default"/>
          <w:sz w:val="28"/>
          <w:szCs w:val="28"/>
        </w:rPr>
      </w:pPr>
      <w:r>
        <w:rPr>
          <w:rFonts w:ascii="Arial" w:hAnsi="Arial" w:cs="Arial" w:eastAsia="Arial" w:hint="default"/>
          <w:sz w:val="28"/>
          <w:szCs w:val="28"/>
        </w:rPr>
        <w:t>2012</w:t>
      </w:r>
      <w:r>
        <w:rPr>
          <w:rFonts w:ascii="Arial" w:hAnsi="Arial" w:cs="Arial" w:eastAsia="Arial" w:hint="default"/>
          <w:spacing w:val="-14"/>
          <w:sz w:val="28"/>
          <w:szCs w:val="28"/>
        </w:rPr>
        <w:t> </w:t>
      </w:r>
      <w:r>
        <w:rPr>
          <w:rFonts w:ascii="黑体" w:hAnsi="黑体" w:cs="黑体" w:eastAsia="黑体" w:hint="default"/>
          <w:sz w:val="28"/>
          <w:szCs w:val="28"/>
        </w:rPr>
        <w:t>年度财务报表及审计报告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29"/>
          <w:szCs w:val="29"/>
        </w:rPr>
      </w:pPr>
    </w:p>
    <w:p>
      <w:pPr>
        <w:pStyle w:val="BodyText"/>
        <w:spacing w:line="240" w:lineRule="auto" w:before="71"/>
        <w:ind w:left="4120" w:right="4143"/>
        <w:jc w:val="center"/>
        <w:rPr>
          <w:rFonts w:ascii="Arial" w:hAnsi="Arial" w:cs="Arial" w:eastAsia="Arial" w:hint="default"/>
        </w:rPr>
      </w:pPr>
      <w:r>
        <w:rPr>
          <w:rFonts w:ascii="Arial"/>
        </w:rPr>
        <w:t>52</w:t>
      </w:r>
    </w:p>
    <w:p>
      <w:pPr>
        <w:spacing w:after="0" w:line="240" w:lineRule="auto"/>
        <w:jc w:val="center"/>
        <w:rPr>
          <w:rFonts w:ascii="Arial" w:hAnsi="Arial" w:cs="Arial" w:eastAsia="Arial" w:hint="default"/>
        </w:rPr>
        <w:sectPr>
          <w:headerReference w:type="default" r:id="rId18"/>
          <w:footerReference w:type="default" r:id="rId19"/>
          <w:pgSz w:w="11910" w:h="16840"/>
          <w:pgMar w:header="0" w:footer="0" w:top="1580" w:bottom="280" w:left="1680" w:right="1680"/>
        </w:sectPr>
      </w:pPr>
    </w:p>
    <w:p>
      <w:pPr>
        <w:spacing w:line="240" w:lineRule="auto" w:before="2"/>
        <w:rPr>
          <w:rFonts w:ascii="Arial" w:hAnsi="Arial" w:cs="Arial" w:eastAsia="Arial" w:hint="default"/>
          <w:sz w:val="6"/>
          <w:szCs w:val="6"/>
        </w:rPr>
      </w:pPr>
    </w:p>
    <w:p>
      <w:pPr>
        <w:spacing w:line="1159" w:lineRule="exact"/>
        <w:ind w:left="100" w:right="0" w:firstLine="0"/>
        <w:rPr>
          <w:rFonts w:ascii="Arial" w:hAnsi="Arial" w:cs="Arial" w:eastAsia="Arial" w:hint="default"/>
          <w:sz w:val="20"/>
          <w:szCs w:val="20"/>
        </w:rPr>
      </w:pPr>
      <w:r>
        <w:rPr>
          <w:rFonts w:ascii="Arial" w:hAnsi="Arial" w:cs="Arial" w:eastAsia="Arial" w:hint="default"/>
          <w:position w:val="-22"/>
          <w:sz w:val="20"/>
          <w:szCs w:val="20"/>
        </w:rPr>
        <w:drawing>
          <wp:inline distT="0" distB="0" distL="0" distR="0">
            <wp:extent cx="6341715" cy="736092"/>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22" cstate="print"/>
                    <a:stretch>
                      <a:fillRect/>
                    </a:stretch>
                  </pic:blipFill>
                  <pic:spPr>
                    <a:xfrm>
                      <a:off x="0" y="0"/>
                      <a:ext cx="6341715" cy="736092"/>
                    </a:xfrm>
                    <a:prstGeom prst="rect">
                      <a:avLst/>
                    </a:prstGeom>
                  </pic:spPr>
                </pic:pic>
              </a:graphicData>
            </a:graphic>
          </wp:inline>
        </w:drawing>
      </w:r>
      <w:r>
        <w:rPr>
          <w:rFonts w:ascii="Arial" w:hAnsi="Arial" w:cs="Arial" w:eastAsia="Arial" w:hint="default"/>
          <w:position w:val="-22"/>
          <w:sz w:val="20"/>
          <w:szCs w:val="20"/>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26"/>
          <w:szCs w:val="26"/>
        </w:rPr>
      </w:pPr>
    </w:p>
    <w:tbl>
      <w:tblPr>
        <w:tblW w:w="0" w:type="auto"/>
        <w:jc w:val="left"/>
        <w:tblInd w:w="867" w:type="dxa"/>
        <w:tblLayout w:type="fixed"/>
        <w:tblCellMar>
          <w:top w:w="0" w:type="dxa"/>
          <w:left w:w="0" w:type="dxa"/>
          <w:bottom w:w="0" w:type="dxa"/>
          <w:right w:w="0" w:type="dxa"/>
        </w:tblCellMar>
        <w:tblLook w:val="01E0"/>
      </w:tblPr>
      <w:tblGrid>
        <w:gridCol w:w="9592"/>
      </w:tblGrid>
      <w:tr>
        <w:trPr>
          <w:trHeight w:val="595" w:hRule="exact"/>
        </w:trPr>
        <w:tc>
          <w:tcPr>
            <w:tcW w:w="9592" w:type="dxa"/>
            <w:tcBorders>
              <w:top w:val="nil" w:sz="6" w:space="0" w:color="auto"/>
              <w:left w:val="nil" w:sz="6" w:space="0" w:color="auto"/>
              <w:bottom w:val="nil" w:sz="6" w:space="0" w:color="auto"/>
              <w:right w:val="nil" w:sz="6" w:space="0" w:color="auto"/>
            </w:tcBorders>
          </w:tcPr>
          <w:p>
            <w:pPr>
              <w:pStyle w:val="TableParagraph"/>
              <w:spacing w:line="240" w:lineRule="exact"/>
              <w:ind w:right="117"/>
              <w:jc w:val="center"/>
              <w:rPr>
                <w:rFonts w:ascii="黑体" w:hAnsi="黑体" w:cs="黑体" w:eastAsia="黑体" w:hint="default"/>
                <w:sz w:val="24"/>
                <w:szCs w:val="24"/>
              </w:rPr>
            </w:pPr>
            <w:r>
              <w:rPr>
                <w:rFonts w:ascii="黑体" w:hAnsi="黑体" w:cs="黑体" w:eastAsia="黑体" w:hint="default"/>
                <w:sz w:val="24"/>
                <w:szCs w:val="24"/>
              </w:rPr>
              <w:t>审计报告</w:t>
            </w:r>
          </w:p>
        </w:tc>
      </w:tr>
      <w:tr>
        <w:trPr>
          <w:trHeight w:val="640" w:hRule="exact"/>
        </w:trPr>
        <w:tc>
          <w:tcPr>
            <w:tcW w:w="95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4"/>
                <w:szCs w:val="24"/>
              </w:rPr>
            </w:pPr>
          </w:p>
          <w:p>
            <w:pPr>
              <w:pStyle w:val="TableParagraph"/>
              <w:spacing w:line="240" w:lineRule="auto"/>
              <w:ind w:right="340"/>
              <w:jc w:val="right"/>
              <w:rPr>
                <w:rFonts w:ascii="宋体" w:hAnsi="宋体" w:cs="宋体" w:eastAsia="宋体" w:hint="default"/>
                <w:sz w:val="24"/>
                <w:szCs w:val="24"/>
              </w:rPr>
            </w:pPr>
            <w:r>
              <w:rPr>
                <w:rFonts w:ascii="宋体" w:hAnsi="宋体" w:cs="宋体" w:eastAsia="宋体" w:hint="default"/>
                <w:sz w:val="24"/>
                <w:szCs w:val="24"/>
              </w:rPr>
              <w:t>普华永道中天审字</w:t>
            </w:r>
            <w:r>
              <w:rPr>
                <w:rFonts w:ascii="Georgia" w:hAnsi="Georgia" w:cs="Georgia" w:eastAsia="Georgia" w:hint="default"/>
                <w:sz w:val="24"/>
                <w:szCs w:val="24"/>
              </w:rPr>
              <w:t>(2013)</w:t>
            </w:r>
            <w:r>
              <w:rPr>
                <w:rFonts w:ascii="宋体" w:hAnsi="宋体" w:cs="宋体" w:eastAsia="宋体" w:hint="default"/>
                <w:sz w:val="24"/>
                <w:szCs w:val="24"/>
              </w:rPr>
              <w:t>第</w:t>
            </w:r>
            <w:r>
              <w:rPr>
                <w:rFonts w:ascii="宋体" w:hAnsi="宋体" w:cs="宋体" w:eastAsia="宋体" w:hint="default"/>
                <w:spacing w:val="-61"/>
                <w:sz w:val="24"/>
                <w:szCs w:val="24"/>
              </w:rPr>
              <w:t> </w:t>
            </w:r>
            <w:r>
              <w:rPr>
                <w:rFonts w:ascii="Georgia" w:hAnsi="Georgia" w:cs="Georgia" w:eastAsia="Georgia" w:hint="default"/>
                <w:sz w:val="24"/>
                <w:szCs w:val="24"/>
              </w:rPr>
              <w:t>10075</w:t>
            </w:r>
            <w:r>
              <w:rPr>
                <w:rFonts w:ascii="Georgia" w:hAnsi="Georgia" w:cs="Georgia" w:eastAsia="Georgia" w:hint="default"/>
                <w:spacing w:val="1"/>
                <w:sz w:val="24"/>
                <w:szCs w:val="24"/>
              </w:rPr>
              <w:t> </w:t>
            </w:r>
            <w:r>
              <w:rPr>
                <w:rFonts w:ascii="宋体" w:hAnsi="宋体" w:cs="宋体" w:eastAsia="宋体" w:hint="default"/>
                <w:sz w:val="24"/>
                <w:szCs w:val="24"/>
              </w:rPr>
              <w:t>号</w:t>
            </w:r>
          </w:p>
        </w:tc>
      </w:tr>
      <w:tr>
        <w:trPr>
          <w:trHeight w:val="470" w:hRule="exact"/>
        </w:trPr>
        <w:tc>
          <w:tcPr>
            <w:tcW w:w="9592" w:type="dxa"/>
            <w:tcBorders>
              <w:top w:val="nil" w:sz="6" w:space="0" w:color="auto"/>
              <w:left w:val="nil" w:sz="6" w:space="0" w:color="auto"/>
              <w:bottom w:val="nil" w:sz="6" w:space="0" w:color="auto"/>
              <w:right w:val="nil" w:sz="6" w:space="0" w:color="auto"/>
            </w:tcBorders>
          </w:tcPr>
          <w:p>
            <w:pPr>
              <w:pStyle w:val="TableParagraph"/>
              <w:spacing w:line="272" w:lineRule="exact"/>
              <w:ind w:right="340"/>
              <w:jc w:val="right"/>
              <w:rPr>
                <w:rFonts w:ascii="宋体" w:hAnsi="宋体" w:cs="宋体" w:eastAsia="宋体" w:hint="default"/>
                <w:sz w:val="24"/>
                <w:szCs w:val="24"/>
              </w:rPr>
            </w:pPr>
            <w:r>
              <w:rPr>
                <w:rFonts w:ascii="宋体" w:hAnsi="宋体" w:cs="宋体" w:eastAsia="宋体" w:hint="default"/>
                <w:sz w:val="24"/>
                <w:szCs w:val="24"/>
              </w:rPr>
              <w:t>（第一页，共二页）</w:t>
            </w:r>
          </w:p>
        </w:tc>
      </w:tr>
      <w:tr>
        <w:trPr>
          <w:trHeight w:val="634" w:hRule="exact"/>
        </w:trPr>
        <w:tc>
          <w:tcPr>
            <w:tcW w:w="9592"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200" w:right="0"/>
              <w:jc w:val="left"/>
              <w:rPr>
                <w:rFonts w:ascii="宋体" w:hAnsi="宋体" w:cs="宋体" w:eastAsia="宋体" w:hint="default"/>
                <w:sz w:val="24"/>
                <w:szCs w:val="24"/>
              </w:rPr>
            </w:pPr>
            <w:r>
              <w:rPr>
                <w:rFonts w:ascii="宋体" w:hAnsi="宋体" w:cs="宋体" w:eastAsia="宋体" w:hint="default"/>
                <w:sz w:val="24"/>
                <w:szCs w:val="24"/>
              </w:rPr>
              <w:t>中国联合网络通信股份有限公司全体股东：</w:t>
            </w:r>
          </w:p>
        </w:tc>
      </w:tr>
      <w:tr>
        <w:trPr>
          <w:trHeight w:val="1276" w:hRule="exact"/>
        </w:trPr>
        <w:tc>
          <w:tcPr>
            <w:tcW w:w="9592" w:type="dxa"/>
            <w:tcBorders>
              <w:top w:val="nil" w:sz="6" w:space="0" w:color="auto"/>
              <w:left w:val="nil" w:sz="6" w:space="0" w:color="auto"/>
              <w:bottom w:val="nil" w:sz="6" w:space="0" w:color="auto"/>
              <w:right w:val="nil" w:sz="6" w:space="0" w:color="auto"/>
            </w:tcBorders>
          </w:tcPr>
          <w:p>
            <w:pPr>
              <w:pStyle w:val="TableParagraph"/>
              <w:spacing w:line="225" w:lineRule="auto" w:before="139"/>
              <w:ind w:left="200" w:right="312"/>
              <w:jc w:val="both"/>
              <w:rPr>
                <w:rFonts w:ascii="宋体" w:hAnsi="宋体" w:cs="宋体" w:eastAsia="宋体" w:hint="default"/>
                <w:sz w:val="24"/>
                <w:szCs w:val="24"/>
              </w:rPr>
            </w:pPr>
            <w:r>
              <w:rPr>
                <w:rFonts w:ascii="宋体" w:hAnsi="宋体" w:cs="宋体" w:eastAsia="宋体" w:hint="default"/>
                <w:sz w:val="24"/>
                <w:szCs w:val="24"/>
              </w:rPr>
              <w:t>我们审计了后附的中国联合网络通信股份有限公司（以下简称</w:t>
            </w:r>
            <w:r>
              <w:rPr>
                <w:rFonts w:ascii="Georgia" w:hAnsi="Georgia" w:cs="Georgia" w:eastAsia="Georgia" w:hint="default"/>
                <w:sz w:val="24"/>
                <w:szCs w:val="24"/>
              </w:rPr>
              <w:t>“</w:t>
            </w:r>
            <w:r>
              <w:rPr>
                <w:rFonts w:ascii="宋体" w:hAnsi="宋体" w:cs="宋体" w:eastAsia="宋体" w:hint="default"/>
                <w:sz w:val="24"/>
                <w:szCs w:val="24"/>
              </w:rPr>
              <w:t>贵公司</w:t>
            </w:r>
            <w:r>
              <w:rPr>
                <w:rFonts w:ascii="Georgia" w:hAnsi="Georgia" w:cs="Georgia" w:eastAsia="Georgia" w:hint="default"/>
                <w:sz w:val="24"/>
                <w:szCs w:val="24"/>
              </w:rPr>
              <w:t>”</w:t>
            </w:r>
            <w:r>
              <w:rPr>
                <w:rFonts w:ascii="宋体" w:hAnsi="宋体" w:cs="宋体" w:eastAsia="宋体" w:hint="default"/>
                <w:sz w:val="24"/>
                <w:szCs w:val="24"/>
              </w:rPr>
              <w:t>）的财务报表， 包括</w:t>
            </w:r>
            <w:r>
              <w:rPr>
                <w:rFonts w:ascii="宋体" w:hAnsi="宋体" w:cs="宋体" w:eastAsia="宋体" w:hint="default"/>
                <w:spacing w:val="-63"/>
                <w:sz w:val="24"/>
                <w:szCs w:val="24"/>
              </w:rPr>
              <w:t> </w:t>
            </w:r>
            <w:r>
              <w:rPr>
                <w:rFonts w:ascii="Georgia" w:hAnsi="Georgia" w:cs="Georgia" w:eastAsia="Georgia" w:hint="default"/>
                <w:sz w:val="24"/>
                <w:szCs w:val="24"/>
              </w:rPr>
              <w:t>2012</w:t>
            </w:r>
            <w:r>
              <w:rPr>
                <w:rFonts w:ascii="Georgia" w:hAnsi="Georgia" w:cs="Georgia" w:eastAsia="Georgia"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Georgia" w:hAnsi="Georgia" w:cs="Georgia" w:eastAsia="Georgia" w:hint="default"/>
                <w:sz w:val="24"/>
                <w:szCs w:val="24"/>
              </w:rPr>
              <w:t>12</w:t>
            </w:r>
            <w:r>
              <w:rPr>
                <w:rFonts w:ascii="Georgia" w:hAnsi="Georgia" w:cs="Georgia" w:eastAsia="Georgia"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Georgia" w:hAnsi="Georgia" w:cs="Georgia" w:eastAsia="Georgia" w:hint="default"/>
                <w:sz w:val="24"/>
                <w:szCs w:val="24"/>
              </w:rPr>
              <w:t>31</w:t>
            </w:r>
            <w:r>
              <w:rPr>
                <w:rFonts w:ascii="Georgia" w:hAnsi="Georgia" w:cs="Georgia" w:eastAsia="Georgia" w:hint="default"/>
                <w:spacing w:val="-1"/>
                <w:sz w:val="24"/>
                <w:szCs w:val="24"/>
              </w:rPr>
              <w:t> </w:t>
            </w:r>
            <w:r>
              <w:rPr>
                <w:rFonts w:ascii="宋体" w:hAnsi="宋体" w:cs="宋体" w:eastAsia="宋体" w:hint="default"/>
                <w:sz w:val="24"/>
                <w:szCs w:val="24"/>
              </w:rPr>
              <w:t>日的合并及公司资产负债表，</w:t>
            </w:r>
            <w:r>
              <w:rPr>
                <w:rFonts w:ascii="Georgia" w:hAnsi="Georgia" w:cs="Georgia" w:eastAsia="Georgia" w:hint="default"/>
                <w:sz w:val="24"/>
                <w:szCs w:val="24"/>
              </w:rPr>
              <w:t>2012</w:t>
            </w:r>
            <w:r>
              <w:rPr>
                <w:rFonts w:ascii="Georgia" w:hAnsi="Georgia" w:cs="Georgia" w:eastAsia="Georgia" w:hint="default"/>
                <w:spacing w:val="-1"/>
                <w:sz w:val="24"/>
                <w:szCs w:val="24"/>
              </w:rPr>
              <w:t> </w:t>
            </w:r>
            <w:r>
              <w:rPr>
                <w:rFonts w:ascii="宋体" w:hAnsi="宋体" w:cs="宋体" w:eastAsia="宋体" w:hint="default"/>
                <w:spacing w:val="-3"/>
                <w:sz w:val="24"/>
                <w:szCs w:val="24"/>
              </w:rPr>
              <w:t>年度的合并及公司利润表、合</w:t>
            </w:r>
            <w:r>
              <w:rPr>
                <w:rFonts w:ascii="宋体" w:hAnsi="宋体" w:cs="宋体" w:eastAsia="宋体" w:hint="default"/>
                <w:sz w:val="24"/>
                <w:szCs w:val="24"/>
              </w:rPr>
              <w:t> 并及公司股东权益变动表和合并及公司现金流量表以及财务报表附注。</w:t>
            </w:r>
          </w:p>
        </w:tc>
      </w:tr>
      <w:tr>
        <w:trPr>
          <w:trHeight w:val="653" w:hRule="exact"/>
        </w:trPr>
        <w:tc>
          <w:tcPr>
            <w:tcW w:w="959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00" w:right="0"/>
              <w:jc w:val="left"/>
              <w:rPr>
                <w:rFonts w:ascii="宋体" w:hAnsi="宋体" w:cs="宋体" w:eastAsia="宋体" w:hint="default"/>
                <w:sz w:val="24"/>
                <w:szCs w:val="24"/>
              </w:rPr>
            </w:pPr>
            <w:r>
              <w:rPr>
                <w:rFonts w:ascii="宋体" w:hAnsi="宋体" w:cs="宋体" w:eastAsia="宋体" w:hint="default"/>
                <w:sz w:val="24"/>
                <w:szCs w:val="24"/>
              </w:rPr>
              <w:t>一、管理层对财务报表的责任</w:t>
            </w:r>
          </w:p>
        </w:tc>
      </w:tr>
      <w:tr>
        <w:trPr>
          <w:trHeight w:val="475" w:hRule="exact"/>
        </w:trPr>
        <w:tc>
          <w:tcPr>
            <w:tcW w:w="9592"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200" w:right="0"/>
              <w:jc w:val="left"/>
              <w:rPr>
                <w:rFonts w:ascii="宋体" w:hAnsi="宋体" w:cs="宋体" w:eastAsia="宋体" w:hint="default"/>
                <w:sz w:val="24"/>
                <w:szCs w:val="24"/>
              </w:rPr>
            </w:pPr>
            <w:r>
              <w:rPr>
                <w:rFonts w:ascii="宋体" w:hAnsi="宋体" w:cs="宋体" w:eastAsia="宋体" w:hint="default"/>
                <w:sz w:val="24"/>
                <w:szCs w:val="24"/>
              </w:rPr>
              <w:t>编制和公允列报财务报表是贵公司管理层的责任。这种责任包括：</w:t>
            </w:r>
          </w:p>
        </w:tc>
      </w:tr>
      <w:tr>
        <w:trPr>
          <w:trHeight w:val="324" w:hRule="exact"/>
        </w:trPr>
        <w:tc>
          <w:tcPr>
            <w:tcW w:w="9592" w:type="dxa"/>
            <w:tcBorders>
              <w:top w:val="nil" w:sz="6" w:space="0" w:color="auto"/>
              <w:left w:val="nil" w:sz="6" w:space="0" w:color="auto"/>
              <w:bottom w:val="nil" w:sz="6" w:space="0" w:color="auto"/>
              <w:right w:val="nil" w:sz="6" w:space="0" w:color="auto"/>
            </w:tcBorders>
          </w:tcPr>
          <w:p>
            <w:pPr>
              <w:pStyle w:val="TableParagraph"/>
              <w:tabs>
                <w:tab w:pos="740" w:val="left" w:leader="none"/>
              </w:tabs>
              <w:spacing w:line="297" w:lineRule="exact"/>
              <w:ind w:left="200" w:right="0"/>
              <w:jc w:val="left"/>
              <w:rPr>
                <w:rFonts w:ascii="宋体" w:hAnsi="宋体" w:cs="宋体" w:eastAsia="宋体" w:hint="default"/>
                <w:sz w:val="24"/>
                <w:szCs w:val="24"/>
              </w:rPr>
            </w:pPr>
            <w:r>
              <w:rPr>
                <w:rFonts w:ascii="Georgia" w:hAnsi="Georgia" w:cs="Georgia" w:eastAsia="Georgia" w:hint="default"/>
                <w:sz w:val="24"/>
                <w:szCs w:val="24"/>
              </w:rPr>
              <w:t>(1)</w:t>
              <w:tab/>
            </w:r>
            <w:r>
              <w:rPr>
                <w:rFonts w:ascii="宋体" w:hAnsi="宋体" w:cs="宋体" w:eastAsia="宋体" w:hint="default"/>
                <w:sz w:val="24"/>
                <w:szCs w:val="24"/>
              </w:rPr>
              <w:t>按照企业会计准则的规定编制财务报表，并使其实现公允反映；</w:t>
            </w:r>
          </w:p>
        </w:tc>
      </w:tr>
      <w:tr>
        <w:trPr>
          <w:trHeight w:val="777" w:hRule="exact"/>
        </w:trPr>
        <w:tc>
          <w:tcPr>
            <w:tcW w:w="9592" w:type="dxa"/>
            <w:tcBorders>
              <w:top w:val="nil" w:sz="6" w:space="0" w:color="auto"/>
              <w:left w:val="nil" w:sz="6" w:space="0" w:color="auto"/>
              <w:bottom w:val="nil" w:sz="6" w:space="0" w:color="auto"/>
              <w:right w:val="nil" w:sz="6" w:space="0" w:color="auto"/>
            </w:tcBorders>
          </w:tcPr>
          <w:p>
            <w:pPr>
              <w:pStyle w:val="TableParagraph"/>
              <w:tabs>
                <w:tab w:pos="740" w:val="left" w:leader="none"/>
              </w:tabs>
              <w:spacing w:line="281" w:lineRule="exact"/>
              <w:ind w:left="200" w:right="0"/>
              <w:jc w:val="left"/>
              <w:rPr>
                <w:rFonts w:ascii="宋体" w:hAnsi="宋体" w:cs="宋体" w:eastAsia="宋体" w:hint="default"/>
                <w:sz w:val="24"/>
                <w:szCs w:val="24"/>
              </w:rPr>
            </w:pPr>
            <w:r>
              <w:rPr>
                <w:rFonts w:ascii="Georgia" w:hAnsi="Georgia" w:cs="Georgia" w:eastAsia="Georgia" w:hint="default"/>
                <w:sz w:val="24"/>
                <w:szCs w:val="24"/>
              </w:rPr>
              <w:t>(2)</w:t>
              <w:tab/>
            </w:r>
            <w:r>
              <w:rPr>
                <w:rFonts w:ascii="宋体" w:hAnsi="宋体" w:cs="宋体" w:eastAsia="宋体" w:hint="default"/>
                <w:spacing w:val="-3"/>
                <w:sz w:val="24"/>
                <w:szCs w:val="24"/>
              </w:rPr>
              <w:t>设计、执行和维护必要的内部控制，以使财务报表不存在由于舞弊或错误导致的重</w:t>
            </w:r>
          </w:p>
          <w:p>
            <w:pPr>
              <w:pStyle w:val="TableParagraph"/>
              <w:spacing w:line="303" w:lineRule="exact"/>
              <w:ind w:left="740" w:right="0"/>
              <w:jc w:val="left"/>
              <w:rPr>
                <w:rFonts w:ascii="宋体" w:hAnsi="宋体" w:cs="宋体" w:eastAsia="宋体" w:hint="default"/>
                <w:sz w:val="24"/>
                <w:szCs w:val="24"/>
              </w:rPr>
            </w:pPr>
            <w:r>
              <w:rPr>
                <w:rFonts w:ascii="宋体" w:hAnsi="宋体" w:cs="宋体" w:eastAsia="宋体" w:hint="default"/>
                <w:sz w:val="24"/>
                <w:szCs w:val="24"/>
              </w:rPr>
              <w:t>大错报。</w:t>
            </w:r>
          </w:p>
        </w:tc>
      </w:tr>
      <w:tr>
        <w:trPr>
          <w:trHeight w:val="2117" w:hRule="exact"/>
        </w:trPr>
        <w:tc>
          <w:tcPr>
            <w:tcW w:w="9592"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200" w:right="0"/>
              <w:jc w:val="both"/>
              <w:rPr>
                <w:rFonts w:ascii="宋体" w:hAnsi="宋体" w:cs="宋体" w:eastAsia="宋体" w:hint="default"/>
                <w:sz w:val="24"/>
                <w:szCs w:val="24"/>
              </w:rPr>
            </w:pPr>
            <w:r>
              <w:rPr>
                <w:rFonts w:ascii="宋体" w:hAnsi="宋体" w:cs="宋体" w:eastAsia="宋体" w:hint="default"/>
                <w:sz w:val="24"/>
                <w:szCs w:val="24"/>
              </w:rPr>
              <w:t>二、注册会计师的责任</w:t>
            </w:r>
          </w:p>
          <w:p>
            <w:pPr>
              <w:pStyle w:val="TableParagraph"/>
              <w:spacing w:line="240" w:lineRule="auto" w:before="9"/>
              <w:ind w:right="0"/>
              <w:jc w:val="left"/>
              <w:rPr>
                <w:rFonts w:ascii="Arial" w:hAnsi="Arial" w:cs="Arial" w:eastAsia="Arial" w:hint="default"/>
                <w:sz w:val="23"/>
                <w:szCs w:val="23"/>
              </w:rPr>
            </w:pPr>
          </w:p>
          <w:p>
            <w:pPr>
              <w:pStyle w:val="TableParagraph"/>
              <w:spacing w:line="237" w:lineRule="auto"/>
              <w:ind w:left="200" w:right="318"/>
              <w:jc w:val="both"/>
              <w:rPr>
                <w:rFonts w:ascii="宋体" w:hAnsi="宋体" w:cs="宋体" w:eastAsia="宋体" w:hint="default"/>
                <w:sz w:val="24"/>
                <w:szCs w:val="24"/>
              </w:rPr>
            </w:pPr>
            <w:r>
              <w:rPr>
                <w:rFonts w:ascii="宋体" w:hAnsi="宋体" w:cs="宋体" w:eastAsia="宋体" w:hint="default"/>
                <w:spacing w:val="-2"/>
                <w:sz w:val="24"/>
                <w:szCs w:val="24"/>
              </w:rPr>
              <w:t>我们的责任是在执行审计工作的基础上对财务报表发表审计意见。我们按照中国注册会</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pacing w:val="-2"/>
                <w:sz w:val="24"/>
                <w:szCs w:val="24"/>
              </w:rPr>
              <w:t>计师审计准则的规定执行了审计工作。中国注册会计师审计准则要求我们遵守中国注册</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pacing w:val="-2"/>
                <w:sz w:val="24"/>
                <w:szCs w:val="24"/>
              </w:rPr>
              <w:t>会计师职业道德守则，计划和执行审计工作以对财务报表是否不存在重大错报获取合理</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保证。</w:t>
            </w:r>
          </w:p>
        </w:tc>
      </w:tr>
      <w:tr>
        <w:trPr>
          <w:trHeight w:val="1823" w:hRule="exact"/>
        </w:trPr>
        <w:tc>
          <w:tcPr>
            <w:tcW w:w="9592" w:type="dxa"/>
            <w:tcBorders>
              <w:top w:val="nil" w:sz="6" w:space="0" w:color="auto"/>
              <w:left w:val="nil" w:sz="6" w:space="0" w:color="auto"/>
              <w:bottom w:val="nil" w:sz="6" w:space="0" w:color="auto"/>
              <w:right w:val="nil" w:sz="6" w:space="0" w:color="auto"/>
            </w:tcBorders>
          </w:tcPr>
          <w:p>
            <w:pPr>
              <w:pStyle w:val="TableParagraph"/>
              <w:spacing w:line="237" w:lineRule="auto" w:before="93"/>
              <w:ind w:left="200" w:right="198"/>
              <w:jc w:val="left"/>
              <w:rPr>
                <w:rFonts w:ascii="宋体" w:hAnsi="宋体" w:cs="宋体" w:eastAsia="宋体" w:hint="default"/>
                <w:sz w:val="24"/>
                <w:szCs w:val="24"/>
              </w:rPr>
            </w:pPr>
            <w:r>
              <w:rPr>
                <w:rFonts w:ascii="宋体" w:hAnsi="宋体" w:cs="宋体" w:eastAsia="宋体" w:hint="default"/>
                <w:sz w:val="24"/>
                <w:szCs w:val="24"/>
              </w:rPr>
              <w:t>审计工作涉及实施审计程序，以获取有关财务报表金额和披露的审计证据。选择的审计 程序取决于注册会计师的判断，包括对由于舞弊或错误导致的财务报表重大错报风险的 </w:t>
            </w:r>
            <w:r>
              <w:rPr>
                <w:rFonts w:ascii="宋体" w:hAnsi="宋体" w:cs="宋体" w:eastAsia="宋体" w:hint="default"/>
                <w:spacing w:val="-5"/>
                <w:sz w:val="24"/>
                <w:szCs w:val="24"/>
              </w:rPr>
              <w:t>评估。在进行风险评估时，注册会计师考虑与财务报表编制和公允列报相关的内部控制，</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以设计恰当的审计程序。审计工作还包括评价管理层选用会计政策的恰当性和作出会计</w:t>
            </w:r>
            <w:r>
              <w:rPr>
                <w:rFonts w:ascii="宋体" w:hAnsi="宋体" w:cs="宋体" w:eastAsia="宋体" w:hint="default"/>
                <w:sz w:val="24"/>
                <w:szCs w:val="24"/>
              </w:rPr>
              <w:t> 估计的合理性，以及评价财务报表的总体列报。</w:t>
            </w:r>
          </w:p>
        </w:tc>
      </w:tr>
      <w:tr>
        <w:trPr>
          <w:trHeight w:val="412" w:hRule="exact"/>
        </w:trPr>
        <w:tc>
          <w:tcPr>
            <w:tcW w:w="959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00" w:right="0"/>
              <w:jc w:val="left"/>
              <w:rPr>
                <w:rFonts w:ascii="宋体" w:hAnsi="宋体" w:cs="宋体" w:eastAsia="宋体" w:hint="default"/>
                <w:sz w:val="24"/>
                <w:szCs w:val="24"/>
              </w:rPr>
            </w:pPr>
            <w:r>
              <w:rPr>
                <w:rFonts w:ascii="宋体" w:hAnsi="宋体" w:cs="宋体" w:eastAsia="宋体" w:hint="default"/>
                <w:sz w:val="24"/>
                <w:szCs w:val="24"/>
              </w:rPr>
              <w:t>我们相信，我们获取的审计证据是充分、适当的，为发表审计意见提供了基础。</w:t>
            </w:r>
          </w:p>
        </w:tc>
      </w:tr>
    </w:tbl>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18"/>
          <w:szCs w:val="18"/>
        </w:rPr>
      </w:pPr>
    </w:p>
    <w:p>
      <w:pPr>
        <w:spacing w:line="247" w:lineRule="exact"/>
        <w:ind w:left="872" w:right="0" w:firstLine="0"/>
        <w:rPr>
          <w:rFonts w:ascii="Arial" w:hAnsi="Arial" w:cs="Arial" w:eastAsia="Arial" w:hint="default"/>
          <w:sz w:val="20"/>
          <w:szCs w:val="20"/>
        </w:rPr>
      </w:pPr>
      <w:r>
        <w:rPr>
          <w:rFonts w:ascii="Arial" w:hAnsi="Arial" w:cs="Arial" w:eastAsia="Arial" w:hint="default"/>
          <w:position w:val="-4"/>
          <w:sz w:val="20"/>
          <w:szCs w:val="20"/>
        </w:rPr>
        <w:pict>
          <v:group style="width:465.9pt;height:12.35pt;mso-position-horizontal-relative:char;mso-position-vertical-relative:line" coordorigin="0,0" coordsize="9318,247">
            <v:group style="position:absolute;left:10;top:10;width:9298;height:227" coordorigin="10,10" coordsize="9298,227">
              <v:shape style="position:absolute;left:10;top:10;width:9298;height:227" coordorigin="10,10" coordsize="9298,227" path="m10,237l10,10,9308,10e" filled="false" stroked="true" strokeweight="1pt" strokecolor="#000000">
                <v:path arrowok="t"/>
                <v:stroke dashstyle="dash"/>
              </v:shape>
            </v:group>
          </v:group>
        </w:pict>
      </w:r>
      <w:r>
        <w:rPr>
          <w:rFonts w:ascii="Arial" w:hAnsi="Arial" w:cs="Arial" w:eastAsia="Arial" w:hint="default"/>
          <w:position w:val="-4"/>
          <w:sz w:val="20"/>
          <w:szCs w:val="20"/>
        </w:rPr>
      </w:r>
    </w:p>
    <w:p>
      <w:pPr>
        <w:spacing w:line="241" w:lineRule="exact" w:before="50"/>
        <w:ind w:left="1044" w:right="0" w:firstLine="0"/>
        <w:jc w:val="left"/>
        <w:rPr>
          <w:rFonts w:ascii="宋体" w:hAnsi="宋体" w:cs="宋体" w:eastAsia="宋体" w:hint="default"/>
          <w:sz w:val="19"/>
          <w:szCs w:val="19"/>
        </w:rPr>
      </w:pPr>
      <w:r>
        <w:rPr>
          <w:rFonts w:ascii="宋体" w:hAnsi="宋体" w:cs="宋体" w:eastAsia="宋体" w:hint="default"/>
          <w:i/>
          <w:sz w:val="19"/>
          <w:szCs w:val="19"/>
        </w:rPr>
        <w:t>普华永道中天会计师事务所有限公司</w:t>
      </w:r>
      <w:r>
        <w:rPr>
          <w:rFonts w:ascii="宋体" w:hAnsi="宋体" w:cs="宋体" w:eastAsia="宋体" w:hint="default"/>
          <w:sz w:val="19"/>
          <w:szCs w:val="19"/>
        </w:rPr>
      </w:r>
    </w:p>
    <w:p>
      <w:pPr>
        <w:spacing w:line="240" w:lineRule="exact" w:before="0"/>
        <w:ind w:left="1044" w:right="0" w:firstLine="0"/>
        <w:jc w:val="left"/>
        <w:rPr>
          <w:rFonts w:ascii="Georgia" w:hAnsi="Georgia" w:cs="Georgia" w:eastAsia="Georgia" w:hint="default"/>
          <w:sz w:val="18"/>
          <w:szCs w:val="18"/>
        </w:rPr>
      </w:pPr>
      <w:r>
        <w:rPr>
          <w:rFonts w:ascii="宋体" w:hAnsi="宋体" w:cs="宋体" w:eastAsia="宋体" w:hint="default"/>
          <w:i/>
          <w:w w:val="95"/>
          <w:sz w:val="19"/>
          <w:szCs w:val="19"/>
        </w:rPr>
        <w:t>中国上海市黄浦区湖滨路</w:t>
      </w:r>
      <w:r>
        <w:rPr>
          <w:rFonts w:ascii="宋体" w:hAnsi="宋体" w:cs="宋体" w:eastAsia="宋体" w:hint="default"/>
          <w:i/>
          <w:spacing w:val="-42"/>
          <w:w w:val="95"/>
          <w:sz w:val="19"/>
          <w:szCs w:val="19"/>
        </w:rPr>
        <w:t> </w:t>
      </w:r>
      <w:r>
        <w:rPr>
          <w:rFonts w:ascii="Georgia" w:hAnsi="Georgia" w:cs="Georgia" w:eastAsia="Georgia" w:hint="default"/>
          <w:i/>
          <w:w w:val="95"/>
          <w:sz w:val="18"/>
          <w:szCs w:val="18"/>
        </w:rPr>
        <w:t>202</w:t>
      </w:r>
      <w:r>
        <w:rPr>
          <w:rFonts w:ascii="Georgia" w:hAnsi="Georgia" w:cs="Georgia" w:eastAsia="Georgia" w:hint="default"/>
          <w:i/>
          <w:spacing w:val="8"/>
          <w:w w:val="95"/>
          <w:sz w:val="18"/>
          <w:szCs w:val="18"/>
        </w:rPr>
        <w:t> </w:t>
      </w:r>
      <w:r>
        <w:rPr>
          <w:rFonts w:ascii="宋体" w:hAnsi="宋体" w:cs="宋体" w:eastAsia="宋体" w:hint="default"/>
          <w:i/>
          <w:w w:val="95"/>
          <w:sz w:val="19"/>
          <w:szCs w:val="19"/>
        </w:rPr>
        <w:t>号企业天地</w:t>
      </w:r>
      <w:r>
        <w:rPr>
          <w:rFonts w:ascii="宋体" w:hAnsi="宋体" w:cs="宋体" w:eastAsia="宋体" w:hint="default"/>
          <w:i/>
          <w:spacing w:val="-41"/>
          <w:w w:val="95"/>
          <w:sz w:val="19"/>
          <w:szCs w:val="19"/>
        </w:rPr>
        <w:t> </w:t>
      </w:r>
      <w:r>
        <w:rPr>
          <w:rFonts w:ascii="Georgia" w:hAnsi="Georgia" w:cs="Georgia" w:eastAsia="Georgia" w:hint="default"/>
          <w:i/>
          <w:w w:val="95"/>
          <w:sz w:val="18"/>
          <w:szCs w:val="18"/>
        </w:rPr>
        <w:t>2</w:t>
      </w:r>
      <w:r>
        <w:rPr>
          <w:rFonts w:ascii="Georgia" w:hAnsi="Georgia" w:cs="Georgia" w:eastAsia="Georgia" w:hint="default"/>
          <w:i/>
          <w:spacing w:val="8"/>
          <w:w w:val="95"/>
          <w:sz w:val="18"/>
          <w:szCs w:val="18"/>
        </w:rPr>
        <w:t> </w:t>
      </w:r>
      <w:r>
        <w:rPr>
          <w:rFonts w:ascii="宋体" w:hAnsi="宋体" w:cs="宋体" w:eastAsia="宋体" w:hint="default"/>
          <w:i/>
          <w:w w:val="95"/>
          <w:sz w:val="19"/>
          <w:szCs w:val="19"/>
        </w:rPr>
        <w:t>号楼普华永道中心</w:t>
      </w:r>
      <w:r>
        <w:rPr>
          <w:rFonts w:ascii="宋体" w:hAnsi="宋体" w:cs="宋体" w:eastAsia="宋体" w:hint="default"/>
          <w:i/>
          <w:spacing w:val="-42"/>
          <w:w w:val="95"/>
          <w:sz w:val="19"/>
          <w:szCs w:val="19"/>
        </w:rPr>
        <w:t> </w:t>
      </w:r>
      <w:r>
        <w:rPr>
          <w:rFonts w:ascii="Georgia" w:hAnsi="Georgia" w:cs="Georgia" w:eastAsia="Georgia" w:hint="default"/>
          <w:i/>
          <w:w w:val="95"/>
          <w:sz w:val="18"/>
          <w:szCs w:val="18"/>
        </w:rPr>
        <w:t>11</w:t>
      </w:r>
      <w:r>
        <w:rPr>
          <w:rFonts w:ascii="Georgia" w:hAnsi="Georgia" w:cs="Georgia" w:eastAsia="Georgia" w:hint="default"/>
          <w:i/>
          <w:spacing w:val="7"/>
          <w:w w:val="95"/>
          <w:sz w:val="18"/>
          <w:szCs w:val="18"/>
        </w:rPr>
        <w:t> </w:t>
      </w:r>
      <w:r>
        <w:rPr>
          <w:rFonts w:ascii="宋体" w:hAnsi="宋体" w:cs="宋体" w:eastAsia="宋体" w:hint="default"/>
          <w:i/>
          <w:w w:val="95"/>
          <w:sz w:val="19"/>
          <w:szCs w:val="19"/>
        </w:rPr>
        <w:t>楼</w:t>
      </w:r>
      <w:r>
        <w:rPr>
          <w:rFonts w:ascii="宋体" w:hAnsi="宋体" w:cs="宋体" w:eastAsia="宋体" w:hint="default"/>
          <w:i/>
          <w:spacing w:val="10"/>
          <w:w w:val="95"/>
          <w:sz w:val="19"/>
          <w:szCs w:val="19"/>
        </w:rPr>
        <w:t> </w:t>
      </w:r>
      <w:r>
        <w:rPr>
          <w:rFonts w:ascii="宋体" w:hAnsi="宋体" w:cs="宋体" w:eastAsia="宋体" w:hint="default"/>
          <w:i/>
          <w:w w:val="95"/>
          <w:sz w:val="19"/>
          <w:szCs w:val="19"/>
        </w:rPr>
        <w:t>邮编</w:t>
      </w:r>
      <w:r>
        <w:rPr>
          <w:rFonts w:ascii="宋体" w:hAnsi="宋体" w:cs="宋体" w:eastAsia="宋体" w:hint="default"/>
          <w:i/>
          <w:spacing w:val="-42"/>
          <w:w w:val="95"/>
          <w:sz w:val="19"/>
          <w:szCs w:val="19"/>
        </w:rPr>
        <w:t> </w:t>
      </w:r>
      <w:r>
        <w:rPr>
          <w:rFonts w:ascii="Georgia" w:hAnsi="Georgia" w:cs="Georgia" w:eastAsia="Georgia" w:hint="default"/>
          <w:i/>
          <w:w w:val="95"/>
          <w:sz w:val="18"/>
          <w:szCs w:val="18"/>
        </w:rPr>
        <w:t>200021</w:t>
      </w:r>
      <w:r>
        <w:rPr>
          <w:rFonts w:ascii="Georgia" w:hAnsi="Georgia" w:cs="Georgia" w:eastAsia="Georgia" w:hint="default"/>
          <w:w w:val="95"/>
          <w:sz w:val="18"/>
          <w:szCs w:val="18"/>
        </w:rPr>
      </w:r>
    </w:p>
    <w:p>
      <w:pPr>
        <w:spacing w:line="248" w:lineRule="exact" w:before="0"/>
        <w:ind w:left="1044" w:right="0" w:firstLine="0"/>
        <w:jc w:val="left"/>
        <w:rPr>
          <w:rFonts w:ascii="Georgia" w:hAnsi="Georgia" w:cs="Georgia" w:eastAsia="Georgia" w:hint="default"/>
          <w:sz w:val="18"/>
          <w:szCs w:val="18"/>
        </w:rPr>
      </w:pPr>
      <w:r>
        <w:rPr>
          <w:rFonts w:ascii="宋体" w:hAnsi="宋体" w:cs="宋体" w:eastAsia="宋体" w:hint="default"/>
          <w:i/>
          <w:sz w:val="19"/>
          <w:szCs w:val="19"/>
        </w:rPr>
        <w:t>总机</w:t>
      </w:r>
      <w:r>
        <w:rPr>
          <w:rFonts w:ascii="Georgia" w:hAnsi="Georgia" w:cs="Georgia" w:eastAsia="Georgia" w:hint="default"/>
          <w:i/>
          <w:sz w:val="18"/>
          <w:szCs w:val="18"/>
        </w:rPr>
        <w:t>: +86 (21) 2323 8888, </w:t>
      </w:r>
      <w:r>
        <w:rPr>
          <w:rFonts w:ascii="宋体" w:hAnsi="宋体" w:cs="宋体" w:eastAsia="宋体" w:hint="default"/>
          <w:i/>
          <w:sz w:val="19"/>
          <w:szCs w:val="19"/>
        </w:rPr>
        <w:t>传真</w:t>
      </w:r>
      <w:r>
        <w:rPr>
          <w:rFonts w:ascii="Georgia" w:hAnsi="Georgia" w:cs="Georgia" w:eastAsia="Georgia" w:hint="default"/>
          <w:i/>
          <w:sz w:val="18"/>
          <w:szCs w:val="18"/>
        </w:rPr>
        <w:t>: +86 (21) 2323 8800,</w:t>
      </w:r>
      <w:r>
        <w:rPr>
          <w:rFonts w:ascii="Georgia" w:hAnsi="Georgia" w:cs="Georgia" w:eastAsia="Georgia" w:hint="default"/>
          <w:i/>
          <w:spacing w:val="-14"/>
          <w:sz w:val="18"/>
          <w:szCs w:val="18"/>
        </w:rPr>
        <w:t> </w:t>
      </w:r>
      <w:hyperlink r:id="rId23">
        <w:r>
          <w:rPr>
            <w:rFonts w:ascii="Georgia" w:hAnsi="Georgia" w:cs="Georgia" w:eastAsia="Georgia" w:hint="default"/>
            <w:i/>
            <w:sz w:val="18"/>
            <w:szCs w:val="18"/>
          </w:rPr>
          <w:t>www.pwccn.com</w:t>
        </w:r>
        <w:r>
          <w:rPr>
            <w:rFonts w:ascii="Georgia" w:hAnsi="Georgia" w:cs="Georgia" w:eastAsia="Georgia" w:hint="default"/>
            <w:sz w:val="18"/>
            <w:szCs w:val="18"/>
          </w:rPr>
        </w:r>
      </w:hyperlink>
    </w:p>
    <w:p>
      <w:pPr>
        <w:pStyle w:val="BodyText"/>
        <w:spacing w:line="240" w:lineRule="auto" w:before="30"/>
        <w:ind w:left="5461" w:right="4823"/>
        <w:jc w:val="center"/>
        <w:rPr>
          <w:rFonts w:ascii="Arial" w:hAnsi="Arial" w:cs="Arial" w:eastAsia="Arial" w:hint="default"/>
        </w:rPr>
      </w:pPr>
      <w:r>
        <w:rPr>
          <w:rFonts w:ascii="Arial"/>
        </w:rPr>
        <w:t>53</w:t>
      </w:r>
    </w:p>
    <w:p>
      <w:pPr>
        <w:spacing w:after="0" w:line="240" w:lineRule="auto"/>
        <w:jc w:val="center"/>
        <w:rPr>
          <w:rFonts w:ascii="Arial" w:hAnsi="Arial" w:cs="Arial" w:eastAsia="Arial" w:hint="default"/>
        </w:rPr>
        <w:sectPr>
          <w:headerReference w:type="default" r:id="rId20"/>
          <w:footerReference w:type="default" r:id="rId21"/>
          <w:pgSz w:w="11910" w:h="16840"/>
          <w:pgMar w:header="0" w:footer="0" w:top="1100" w:bottom="280" w:left="920" w:right="420"/>
        </w:sectPr>
      </w:pPr>
    </w:p>
    <w:p>
      <w:pPr>
        <w:spacing w:line="240" w:lineRule="auto" w:before="2"/>
        <w:rPr>
          <w:rFonts w:ascii="Arial" w:hAnsi="Arial" w:cs="Arial" w:eastAsia="Arial" w:hint="default"/>
          <w:sz w:val="6"/>
          <w:szCs w:val="6"/>
        </w:rPr>
      </w:pPr>
    </w:p>
    <w:p>
      <w:pPr>
        <w:spacing w:line="1159" w:lineRule="exact"/>
        <w:ind w:left="100" w:right="0" w:firstLine="0"/>
        <w:rPr>
          <w:rFonts w:ascii="Arial" w:hAnsi="Arial" w:cs="Arial" w:eastAsia="Arial" w:hint="default"/>
          <w:sz w:val="20"/>
          <w:szCs w:val="20"/>
        </w:rPr>
      </w:pPr>
      <w:r>
        <w:rPr>
          <w:rFonts w:ascii="Arial" w:hAnsi="Arial" w:cs="Arial" w:eastAsia="Arial" w:hint="default"/>
          <w:position w:val="-22"/>
          <w:sz w:val="20"/>
          <w:szCs w:val="20"/>
        </w:rPr>
        <w:drawing>
          <wp:inline distT="0" distB="0" distL="0" distR="0">
            <wp:extent cx="6341715" cy="736092"/>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22" cstate="print"/>
                    <a:stretch>
                      <a:fillRect/>
                    </a:stretch>
                  </pic:blipFill>
                  <pic:spPr>
                    <a:xfrm>
                      <a:off x="0" y="0"/>
                      <a:ext cx="6341715" cy="736092"/>
                    </a:xfrm>
                    <a:prstGeom prst="rect">
                      <a:avLst/>
                    </a:prstGeom>
                  </pic:spPr>
                </pic:pic>
              </a:graphicData>
            </a:graphic>
          </wp:inline>
        </w:drawing>
      </w:r>
      <w:r>
        <w:rPr>
          <w:rFonts w:ascii="Arial" w:hAnsi="Arial" w:cs="Arial" w:eastAsia="Arial" w:hint="default"/>
          <w:position w:val="-22"/>
          <w:sz w:val="20"/>
          <w:szCs w:val="20"/>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26"/>
          <w:szCs w:val="26"/>
        </w:rPr>
      </w:pPr>
    </w:p>
    <w:tbl>
      <w:tblPr>
        <w:tblW w:w="0" w:type="auto"/>
        <w:jc w:val="left"/>
        <w:tblInd w:w="867" w:type="dxa"/>
        <w:tblLayout w:type="fixed"/>
        <w:tblCellMar>
          <w:top w:w="0" w:type="dxa"/>
          <w:left w:w="0" w:type="dxa"/>
          <w:bottom w:w="0" w:type="dxa"/>
          <w:right w:w="0" w:type="dxa"/>
        </w:tblCellMar>
        <w:tblLook w:val="01E0"/>
      </w:tblPr>
      <w:tblGrid>
        <w:gridCol w:w="3564"/>
        <w:gridCol w:w="2568"/>
        <w:gridCol w:w="3344"/>
      </w:tblGrid>
      <w:tr>
        <w:trPr>
          <w:trHeight w:val="285" w:hRule="exact"/>
        </w:trPr>
        <w:tc>
          <w:tcPr>
            <w:tcW w:w="9476" w:type="dxa"/>
            <w:gridSpan w:val="3"/>
            <w:tcBorders>
              <w:top w:val="nil" w:sz="6" w:space="0" w:color="auto"/>
              <w:left w:val="nil" w:sz="6" w:space="0" w:color="auto"/>
              <w:bottom w:val="nil" w:sz="6" w:space="0" w:color="auto"/>
              <w:right w:val="nil" w:sz="6" w:space="0" w:color="auto"/>
            </w:tcBorders>
          </w:tcPr>
          <w:p>
            <w:pPr>
              <w:pStyle w:val="TableParagraph"/>
              <w:spacing w:line="259" w:lineRule="exact"/>
              <w:ind w:left="5374" w:right="0"/>
              <w:jc w:val="left"/>
              <w:rPr>
                <w:rFonts w:ascii="宋体" w:hAnsi="宋体" w:cs="宋体" w:eastAsia="宋体" w:hint="default"/>
                <w:sz w:val="24"/>
                <w:szCs w:val="24"/>
              </w:rPr>
            </w:pPr>
            <w:r>
              <w:rPr>
                <w:rFonts w:ascii="宋体" w:hAnsi="宋体" w:cs="宋体" w:eastAsia="宋体" w:hint="default"/>
                <w:sz w:val="24"/>
                <w:szCs w:val="24"/>
              </w:rPr>
              <w:t>普华永道中天审字</w:t>
            </w:r>
            <w:r>
              <w:rPr>
                <w:rFonts w:ascii="Georgia" w:hAnsi="Georgia" w:cs="Georgia" w:eastAsia="Georgia" w:hint="default"/>
                <w:sz w:val="24"/>
                <w:szCs w:val="24"/>
              </w:rPr>
              <w:t>(2013)</w:t>
            </w:r>
            <w:r>
              <w:rPr>
                <w:rFonts w:ascii="宋体" w:hAnsi="宋体" w:cs="宋体" w:eastAsia="宋体" w:hint="default"/>
                <w:sz w:val="24"/>
                <w:szCs w:val="24"/>
              </w:rPr>
              <w:t>第</w:t>
            </w:r>
            <w:r>
              <w:rPr>
                <w:rFonts w:ascii="宋体" w:hAnsi="宋体" w:cs="宋体" w:eastAsia="宋体" w:hint="default"/>
                <w:spacing w:val="-61"/>
                <w:sz w:val="24"/>
                <w:szCs w:val="24"/>
              </w:rPr>
              <w:t> </w:t>
            </w:r>
            <w:r>
              <w:rPr>
                <w:rFonts w:ascii="Georgia" w:hAnsi="Georgia" w:cs="Georgia" w:eastAsia="Georgia" w:hint="default"/>
                <w:sz w:val="24"/>
                <w:szCs w:val="24"/>
              </w:rPr>
              <w:t>10075</w:t>
            </w:r>
            <w:r>
              <w:rPr>
                <w:rFonts w:ascii="Georgia" w:hAnsi="Georgia" w:cs="Georgia" w:eastAsia="Georgia" w:hint="default"/>
                <w:spacing w:val="1"/>
                <w:sz w:val="24"/>
                <w:szCs w:val="24"/>
              </w:rPr>
              <w:t> </w:t>
            </w:r>
            <w:r>
              <w:rPr>
                <w:rFonts w:ascii="宋体" w:hAnsi="宋体" w:cs="宋体" w:eastAsia="宋体" w:hint="default"/>
                <w:sz w:val="24"/>
                <w:szCs w:val="24"/>
              </w:rPr>
              <w:t>号</w:t>
            </w:r>
          </w:p>
        </w:tc>
      </w:tr>
      <w:tr>
        <w:trPr>
          <w:trHeight w:val="625" w:hRule="exact"/>
        </w:trPr>
        <w:tc>
          <w:tcPr>
            <w:tcW w:w="3564" w:type="dxa"/>
            <w:tcBorders>
              <w:top w:val="nil" w:sz="6" w:space="0" w:color="auto"/>
              <w:left w:val="nil" w:sz="6" w:space="0" w:color="auto"/>
              <w:bottom w:val="nil" w:sz="6" w:space="0" w:color="auto"/>
              <w:right w:val="nil" w:sz="6" w:space="0" w:color="auto"/>
            </w:tcBorders>
          </w:tcPr>
          <w:p>
            <w:pPr/>
          </w:p>
        </w:tc>
        <w:tc>
          <w:tcPr>
            <w:tcW w:w="2568" w:type="dxa"/>
            <w:tcBorders>
              <w:top w:val="nil" w:sz="6" w:space="0" w:color="auto"/>
              <w:left w:val="nil" w:sz="6" w:space="0" w:color="auto"/>
              <w:bottom w:val="nil" w:sz="6" w:space="0" w:color="auto"/>
              <w:right w:val="nil" w:sz="6" w:space="0" w:color="auto"/>
            </w:tcBorders>
          </w:tcPr>
          <w:p>
            <w:pPr/>
          </w:p>
        </w:tc>
        <w:tc>
          <w:tcPr>
            <w:tcW w:w="3344" w:type="dxa"/>
            <w:tcBorders>
              <w:top w:val="nil" w:sz="6" w:space="0" w:color="auto"/>
              <w:left w:val="nil" w:sz="6" w:space="0" w:color="auto"/>
              <w:bottom w:val="nil" w:sz="6" w:space="0" w:color="auto"/>
              <w:right w:val="nil" w:sz="6" w:space="0" w:color="auto"/>
            </w:tcBorders>
          </w:tcPr>
          <w:p>
            <w:pPr>
              <w:pStyle w:val="TableParagraph"/>
              <w:spacing w:line="272" w:lineRule="exact"/>
              <w:ind w:left="957" w:right="0"/>
              <w:jc w:val="left"/>
              <w:rPr>
                <w:rFonts w:ascii="宋体" w:hAnsi="宋体" w:cs="宋体" w:eastAsia="宋体" w:hint="default"/>
                <w:sz w:val="24"/>
                <w:szCs w:val="24"/>
              </w:rPr>
            </w:pPr>
            <w:r>
              <w:rPr>
                <w:rFonts w:ascii="宋体" w:hAnsi="宋体" w:cs="宋体" w:eastAsia="宋体" w:hint="default"/>
                <w:sz w:val="24"/>
                <w:szCs w:val="24"/>
              </w:rPr>
              <w:t>（第二页，共二页）</w:t>
            </w:r>
          </w:p>
        </w:tc>
      </w:tr>
      <w:tr>
        <w:trPr>
          <w:trHeight w:val="2628" w:hRule="exact"/>
        </w:trPr>
        <w:tc>
          <w:tcPr>
            <w:tcW w:w="94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sz w:val="24"/>
                <w:szCs w:val="24"/>
              </w:rPr>
            </w:pPr>
          </w:p>
          <w:p>
            <w:pPr>
              <w:pStyle w:val="TableParagraph"/>
              <w:spacing w:line="240" w:lineRule="auto"/>
              <w:ind w:left="200" w:right="0"/>
              <w:jc w:val="both"/>
              <w:rPr>
                <w:rFonts w:ascii="宋体" w:hAnsi="宋体" w:cs="宋体" w:eastAsia="宋体" w:hint="default"/>
                <w:sz w:val="24"/>
                <w:szCs w:val="24"/>
              </w:rPr>
            </w:pPr>
            <w:r>
              <w:rPr>
                <w:rFonts w:ascii="宋体" w:hAnsi="宋体" w:cs="宋体" w:eastAsia="宋体" w:hint="default"/>
                <w:sz w:val="24"/>
                <w:szCs w:val="24"/>
              </w:rPr>
              <w:t>三、审计意见</w:t>
            </w:r>
          </w:p>
          <w:p>
            <w:pPr>
              <w:pStyle w:val="TableParagraph"/>
              <w:spacing w:line="240" w:lineRule="auto" w:before="6"/>
              <w:ind w:right="0"/>
              <w:jc w:val="left"/>
              <w:rPr>
                <w:rFonts w:ascii="Arial" w:hAnsi="Arial" w:cs="Arial" w:eastAsia="Arial" w:hint="default"/>
                <w:sz w:val="24"/>
                <w:szCs w:val="24"/>
              </w:rPr>
            </w:pPr>
          </w:p>
          <w:p>
            <w:pPr>
              <w:pStyle w:val="TableParagraph"/>
              <w:spacing w:line="230" w:lineRule="auto"/>
              <w:ind w:left="200" w:right="198"/>
              <w:jc w:val="both"/>
              <w:rPr>
                <w:rFonts w:ascii="宋体" w:hAnsi="宋体" w:cs="宋体" w:eastAsia="宋体" w:hint="default"/>
                <w:sz w:val="24"/>
                <w:szCs w:val="24"/>
              </w:rPr>
            </w:pPr>
            <w:r>
              <w:rPr>
                <w:rFonts w:ascii="宋体" w:hAnsi="宋体" w:cs="宋体" w:eastAsia="宋体" w:hint="default"/>
                <w:spacing w:val="-2"/>
                <w:sz w:val="24"/>
                <w:szCs w:val="24"/>
              </w:rPr>
              <w:t>我们认为，上述贵公司的财务报表在所有重大方面按照企业会计准则的规定编制，公允</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pacing w:val="2"/>
                <w:sz w:val="24"/>
                <w:szCs w:val="24"/>
              </w:rPr>
              <w:t>反映了贵公司</w:t>
            </w:r>
            <w:r>
              <w:rPr>
                <w:rFonts w:ascii="Georgia" w:hAnsi="Georgia" w:cs="Georgia" w:eastAsia="Georgia" w:hint="default"/>
                <w:spacing w:val="2"/>
                <w:sz w:val="24"/>
                <w:szCs w:val="24"/>
              </w:rPr>
              <w:t>2012</w:t>
            </w:r>
            <w:r>
              <w:rPr>
                <w:rFonts w:ascii="宋体" w:hAnsi="宋体" w:cs="宋体" w:eastAsia="宋体" w:hint="default"/>
                <w:spacing w:val="2"/>
                <w:sz w:val="24"/>
                <w:szCs w:val="24"/>
              </w:rPr>
              <w:t>年</w:t>
            </w:r>
            <w:r>
              <w:rPr>
                <w:rFonts w:ascii="Georgia" w:hAnsi="Georgia" w:cs="Georgia" w:eastAsia="Georgia" w:hint="default"/>
                <w:spacing w:val="2"/>
                <w:sz w:val="24"/>
                <w:szCs w:val="24"/>
              </w:rPr>
              <w:t>12</w:t>
            </w:r>
            <w:r>
              <w:rPr>
                <w:rFonts w:ascii="宋体" w:hAnsi="宋体" w:cs="宋体" w:eastAsia="宋体" w:hint="default"/>
                <w:spacing w:val="2"/>
                <w:sz w:val="24"/>
                <w:szCs w:val="24"/>
              </w:rPr>
              <w:t>月</w:t>
            </w:r>
            <w:r>
              <w:rPr>
                <w:rFonts w:ascii="Georgia" w:hAnsi="Georgia" w:cs="Georgia" w:eastAsia="Georgia" w:hint="default"/>
                <w:spacing w:val="2"/>
                <w:sz w:val="24"/>
                <w:szCs w:val="24"/>
              </w:rPr>
              <w:t>31</w:t>
            </w:r>
            <w:r>
              <w:rPr>
                <w:rFonts w:ascii="宋体" w:hAnsi="宋体" w:cs="宋体" w:eastAsia="宋体" w:hint="default"/>
                <w:spacing w:val="2"/>
                <w:sz w:val="24"/>
                <w:szCs w:val="24"/>
              </w:rPr>
              <w:t>日的合并及公司财务状况以及</w:t>
            </w:r>
            <w:r>
              <w:rPr>
                <w:rFonts w:ascii="Georgia" w:hAnsi="Georgia" w:cs="Georgia" w:eastAsia="Georgia" w:hint="default"/>
                <w:spacing w:val="2"/>
                <w:sz w:val="24"/>
                <w:szCs w:val="24"/>
              </w:rPr>
              <w:t>2012</w:t>
            </w:r>
            <w:r>
              <w:rPr>
                <w:rFonts w:ascii="宋体" w:hAnsi="宋体" w:cs="宋体" w:eastAsia="宋体" w:hint="default"/>
                <w:spacing w:val="2"/>
                <w:sz w:val="24"/>
                <w:szCs w:val="24"/>
              </w:rPr>
              <w:t>年度的合并及公司经营</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成果和现金流量。</w:t>
            </w:r>
          </w:p>
        </w:tc>
      </w:tr>
      <w:tr>
        <w:trPr>
          <w:trHeight w:val="2833" w:hRule="exact"/>
        </w:trPr>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4"/>
                <w:szCs w:val="24"/>
              </w:rPr>
            </w:pPr>
          </w:p>
          <w:p>
            <w:pPr>
              <w:pStyle w:val="TableParagraph"/>
              <w:spacing w:line="240" w:lineRule="auto"/>
              <w:ind w:right="0"/>
              <w:jc w:val="left"/>
              <w:rPr>
                <w:rFonts w:ascii="Arial" w:hAnsi="Arial" w:cs="Arial" w:eastAsia="Arial" w:hint="default"/>
                <w:sz w:val="24"/>
                <w:szCs w:val="24"/>
              </w:rPr>
            </w:pPr>
          </w:p>
          <w:p>
            <w:pPr>
              <w:pStyle w:val="TableParagraph"/>
              <w:spacing w:line="240" w:lineRule="auto" w:before="4"/>
              <w:ind w:right="0"/>
              <w:jc w:val="left"/>
              <w:rPr>
                <w:rFonts w:ascii="Arial" w:hAnsi="Arial" w:cs="Arial" w:eastAsia="Arial" w:hint="default"/>
                <w:sz w:val="20"/>
                <w:szCs w:val="20"/>
              </w:rPr>
            </w:pPr>
          </w:p>
          <w:p>
            <w:pPr>
              <w:pStyle w:val="TableParagraph"/>
              <w:spacing w:line="310" w:lineRule="exact"/>
              <w:ind w:left="209" w:right="952"/>
              <w:jc w:val="left"/>
              <w:rPr>
                <w:rFonts w:ascii="宋体" w:hAnsi="宋体" w:cs="宋体" w:eastAsia="宋体" w:hint="default"/>
                <w:sz w:val="24"/>
                <w:szCs w:val="24"/>
              </w:rPr>
            </w:pPr>
            <w:r>
              <w:rPr>
                <w:rFonts w:ascii="宋体" w:hAnsi="宋体" w:cs="宋体" w:eastAsia="宋体" w:hint="default"/>
                <w:sz w:val="24"/>
                <w:szCs w:val="24"/>
              </w:rPr>
              <w:t>普华永道中天 会计师事务所有限公司</w:t>
            </w:r>
          </w:p>
          <w:p>
            <w:pPr>
              <w:pStyle w:val="TableParagraph"/>
              <w:spacing w:line="240" w:lineRule="auto"/>
              <w:ind w:right="0"/>
              <w:jc w:val="left"/>
              <w:rPr>
                <w:rFonts w:ascii="Arial" w:hAnsi="Arial" w:cs="Arial" w:eastAsia="Arial" w:hint="default"/>
                <w:sz w:val="24"/>
                <w:szCs w:val="24"/>
              </w:rPr>
            </w:pPr>
          </w:p>
          <w:p>
            <w:pPr>
              <w:pStyle w:val="TableParagraph"/>
              <w:spacing w:line="240" w:lineRule="auto"/>
              <w:ind w:right="0"/>
              <w:jc w:val="left"/>
              <w:rPr>
                <w:rFonts w:ascii="Arial" w:hAnsi="Arial" w:cs="Arial" w:eastAsia="Arial" w:hint="default"/>
                <w:sz w:val="24"/>
                <w:szCs w:val="24"/>
              </w:rPr>
            </w:pPr>
          </w:p>
          <w:p>
            <w:pPr>
              <w:pStyle w:val="TableParagraph"/>
              <w:spacing w:line="240" w:lineRule="auto" w:before="5"/>
              <w:ind w:right="0"/>
              <w:jc w:val="left"/>
              <w:rPr>
                <w:rFonts w:ascii="Arial" w:hAnsi="Arial" w:cs="Arial" w:eastAsia="Arial" w:hint="default"/>
                <w:sz w:val="20"/>
                <w:szCs w:val="20"/>
              </w:rPr>
            </w:pPr>
          </w:p>
          <w:p>
            <w:pPr>
              <w:pStyle w:val="TableParagraph"/>
              <w:spacing w:line="322" w:lineRule="exact"/>
              <w:ind w:left="209" w:right="0"/>
              <w:jc w:val="left"/>
              <w:rPr>
                <w:rFonts w:ascii="宋体" w:hAnsi="宋体" w:cs="宋体" w:eastAsia="宋体" w:hint="default"/>
                <w:sz w:val="24"/>
                <w:szCs w:val="24"/>
              </w:rPr>
            </w:pPr>
            <w:r>
              <w:rPr>
                <w:rFonts w:ascii="宋体" w:hAnsi="宋体" w:cs="宋体" w:eastAsia="宋体" w:hint="default"/>
                <w:sz w:val="24"/>
                <w:szCs w:val="24"/>
              </w:rPr>
              <w:t>中国</w:t>
            </w:r>
            <w:r>
              <w:rPr>
                <w:rFonts w:ascii="Georgia" w:hAnsi="Georgia" w:cs="Georgia" w:eastAsia="Georgia" w:hint="default"/>
                <w:sz w:val="24"/>
                <w:szCs w:val="24"/>
              </w:rPr>
              <w:t>•</w:t>
            </w:r>
            <w:r>
              <w:rPr>
                <w:rFonts w:ascii="宋体" w:hAnsi="宋体" w:cs="宋体" w:eastAsia="宋体" w:hint="default"/>
                <w:sz w:val="24"/>
                <w:szCs w:val="24"/>
              </w:rPr>
              <w:t>上海市</w:t>
            </w:r>
          </w:p>
          <w:p>
            <w:pPr>
              <w:pStyle w:val="TableParagraph"/>
              <w:spacing w:line="322" w:lineRule="exact"/>
              <w:ind w:left="209" w:right="0"/>
              <w:jc w:val="left"/>
              <w:rPr>
                <w:rFonts w:ascii="宋体" w:hAnsi="宋体" w:cs="宋体" w:eastAsia="宋体" w:hint="default"/>
                <w:sz w:val="24"/>
                <w:szCs w:val="24"/>
              </w:rPr>
            </w:pPr>
            <w:r>
              <w:rPr>
                <w:rFonts w:ascii="Georgia" w:hAnsi="Georgia" w:cs="Georgia" w:eastAsia="Georgia" w:hint="default"/>
                <w:sz w:val="24"/>
                <w:szCs w:val="24"/>
              </w:rPr>
              <w:t>2013</w:t>
            </w:r>
            <w:r>
              <w:rPr>
                <w:rFonts w:ascii="Georgia" w:hAnsi="Georgia" w:cs="Georgia" w:eastAsia="Georgia"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Georgia" w:hAnsi="Georgia" w:cs="Georgia" w:eastAsia="Georgia" w:hint="default"/>
                <w:sz w:val="24"/>
                <w:szCs w:val="24"/>
              </w:rPr>
              <w:t>3</w:t>
            </w:r>
            <w:r>
              <w:rPr>
                <w:rFonts w:ascii="Georgia" w:hAnsi="Georgia" w:cs="Georgia" w:eastAsia="Georgia"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Georgia" w:hAnsi="Georgia" w:cs="Georgia" w:eastAsia="Georgia" w:hint="default"/>
                <w:sz w:val="24"/>
                <w:szCs w:val="24"/>
              </w:rPr>
              <w:t>21</w:t>
            </w:r>
            <w:r>
              <w:rPr>
                <w:rFonts w:ascii="Georgia" w:hAnsi="Georgia" w:cs="Georgia" w:eastAsia="Georgia" w:hint="default"/>
                <w:spacing w:val="2"/>
                <w:sz w:val="24"/>
                <w:szCs w:val="24"/>
              </w:rPr>
              <w:t> </w:t>
            </w:r>
            <w:r>
              <w:rPr>
                <w:rFonts w:ascii="宋体" w:hAnsi="宋体" w:cs="宋体" w:eastAsia="宋体" w:hint="default"/>
                <w:sz w:val="24"/>
                <w:szCs w:val="24"/>
              </w:rPr>
              <w:t>日</w:t>
            </w:r>
          </w:p>
        </w:tc>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4"/>
                <w:szCs w:val="24"/>
              </w:rPr>
            </w:pPr>
          </w:p>
          <w:p>
            <w:pPr>
              <w:pStyle w:val="TableParagraph"/>
              <w:spacing w:line="240" w:lineRule="auto"/>
              <w:ind w:right="0"/>
              <w:jc w:val="left"/>
              <w:rPr>
                <w:rFonts w:ascii="Arial" w:hAnsi="Arial" w:cs="Arial" w:eastAsia="Arial" w:hint="default"/>
                <w:sz w:val="24"/>
                <w:szCs w:val="24"/>
              </w:rPr>
            </w:pPr>
          </w:p>
          <w:p>
            <w:pPr>
              <w:pStyle w:val="TableParagraph"/>
              <w:spacing w:line="240" w:lineRule="auto" w:before="202"/>
              <w:ind w:left="954" w:right="0"/>
              <w:jc w:val="left"/>
              <w:rPr>
                <w:rFonts w:ascii="宋体" w:hAnsi="宋体" w:cs="宋体" w:eastAsia="宋体" w:hint="default"/>
                <w:sz w:val="24"/>
                <w:szCs w:val="24"/>
              </w:rPr>
            </w:pPr>
            <w:r>
              <w:rPr>
                <w:rFonts w:ascii="宋体" w:hAnsi="宋体" w:cs="宋体" w:eastAsia="宋体" w:hint="default"/>
                <w:sz w:val="24"/>
                <w:szCs w:val="24"/>
              </w:rPr>
              <w:t>注册会计师</w:t>
            </w:r>
          </w:p>
          <w:p>
            <w:pPr>
              <w:pStyle w:val="TableParagraph"/>
              <w:spacing w:line="240" w:lineRule="auto"/>
              <w:ind w:right="0"/>
              <w:jc w:val="left"/>
              <w:rPr>
                <w:rFonts w:ascii="Arial" w:hAnsi="Arial" w:cs="Arial" w:eastAsia="Arial" w:hint="default"/>
                <w:sz w:val="24"/>
                <w:szCs w:val="24"/>
              </w:rPr>
            </w:pPr>
          </w:p>
          <w:p>
            <w:pPr>
              <w:pStyle w:val="TableParagraph"/>
              <w:spacing w:line="240" w:lineRule="auto"/>
              <w:ind w:right="0"/>
              <w:jc w:val="left"/>
              <w:rPr>
                <w:rFonts w:ascii="Arial" w:hAnsi="Arial" w:cs="Arial" w:eastAsia="Arial" w:hint="default"/>
                <w:sz w:val="24"/>
                <w:szCs w:val="24"/>
              </w:rPr>
            </w:pPr>
          </w:p>
          <w:p>
            <w:pPr>
              <w:pStyle w:val="TableParagraph"/>
              <w:spacing w:line="240" w:lineRule="auto"/>
              <w:ind w:right="0"/>
              <w:jc w:val="left"/>
              <w:rPr>
                <w:rFonts w:ascii="Arial" w:hAnsi="Arial" w:cs="Arial" w:eastAsia="Arial" w:hint="default"/>
                <w:sz w:val="24"/>
                <w:szCs w:val="24"/>
              </w:rPr>
            </w:pPr>
          </w:p>
          <w:p>
            <w:pPr>
              <w:pStyle w:val="TableParagraph"/>
              <w:spacing w:line="240" w:lineRule="auto" w:before="7"/>
              <w:ind w:right="0"/>
              <w:jc w:val="left"/>
              <w:rPr>
                <w:rFonts w:ascii="Arial" w:hAnsi="Arial" w:cs="Arial" w:eastAsia="Arial" w:hint="default"/>
                <w:sz w:val="22"/>
                <w:szCs w:val="22"/>
              </w:rPr>
            </w:pPr>
          </w:p>
          <w:p>
            <w:pPr>
              <w:pStyle w:val="TableParagraph"/>
              <w:spacing w:line="240" w:lineRule="auto"/>
              <w:ind w:left="954" w:right="0"/>
              <w:jc w:val="left"/>
              <w:rPr>
                <w:rFonts w:ascii="宋体" w:hAnsi="宋体" w:cs="宋体" w:eastAsia="宋体" w:hint="default"/>
                <w:sz w:val="24"/>
                <w:szCs w:val="24"/>
              </w:rPr>
            </w:pPr>
            <w:r>
              <w:rPr>
                <w:rFonts w:ascii="宋体" w:hAnsi="宋体" w:cs="宋体" w:eastAsia="宋体" w:hint="default"/>
                <w:sz w:val="24"/>
                <w:szCs w:val="24"/>
              </w:rPr>
              <w:t>注册会计师</w:t>
            </w:r>
          </w:p>
        </w:tc>
        <w:tc>
          <w:tcPr>
            <w:tcW w:w="33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4"/>
                <w:szCs w:val="24"/>
              </w:rPr>
            </w:pPr>
          </w:p>
          <w:p>
            <w:pPr>
              <w:pStyle w:val="TableParagraph"/>
              <w:spacing w:line="240" w:lineRule="auto"/>
              <w:ind w:right="0"/>
              <w:jc w:val="left"/>
              <w:rPr>
                <w:rFonts w:ascii="Arial" w:hAnsi="Arial" w:cs="Arial" w:eastAsia="Arial" w:hint="default"/>
                <w:sz w:val="24"/>
                <w:szCs w:val="24"/>
              </w:rPr>
            </w:pPr>
          </w:p>
          <w:p>
            <w:pPr>
              <w:pStyle w:val="TableParagraph"/>
              <w:tabs>
                <w:tab w:pos="1012" w:val="left" w:leader="none"/>
              </w:tabs>
              <w:spacing w:line="240" w:lineRule="auto" w:before="202"/>
              <w:ind w:left="412" w:right="0"/>
              <w:jc w:val="left"/>
              <w:rPr>
                <w:rFonts w:ascii="宋体" w:hAnsi="宋体" w:cs="宋体" w:eastAsia="宋体" w:hint="default"/>
                <w:sz w:val="24"/>
                <w:szCs w:val="24"/>
              </w:rPr>
            </w:pPr>
            <w:r>
              <w:rPr>
                <w:rFonts w:ascii="宋体" w:hAnsi="宋体" w:cs="宋体" w:eastAsia="宋体" w:hint="default"/>
                <w:sz w:val="24"/>
                <w:szCs w:val="24"/>
              </w:rPr>
              <w:t>胡</w:t>
              <w:tab/>
              <w:t>杰</w:t>
            </w:r>
          </w:p>
          <w:p>
            <w:pPr>
              <w:pStyle w:val="TableParagraph"/>
              <w:spacing w:line="240" w:lineRule="auto"/>
              <w:ind w:right="0"/>
              <w:jc w:val="left"/>
              <w:rPr>
                <w:rFonts w:ascii="Arial" w:hAnsi="Arial" w:cs="Arial" w:eastAsia="Arial" w:hint="default"/>
                <w:sz w:val="24"/>
                <w:szCs w:val="24"/>
              </w:rPr>
            </w:pPr>
          </w:p>
          <w:p>
            <w:pPr>
              <w:pStyle w:val="TableParagraph"/>
              <w:spacing w:line="240" w:lineRule="auto"/>
              <w:ind w:right="0"/>
              <w:jc w:val="left"/>
              <w:rPr>
                <w:rFonts w:ascii="Arial" w:hAnsi="Arial" w:cs="Arial" w:eastAsia="Arial" w:hint="default"/>
                <w:sz w:val="24"/>
                <w:szCs w:val="24"/>
              </w:rPr>
            </w:pPr>
          </w:p>
          <w:p>
            <w:pPr>
              <w:pStyle w:val="TableParagraph"/>
              <w:spacing w:line="240" w:lineRule="auto"/>
              <w:ind w:right="0"/>
              <w:jc w:val="left"/>
              <w:rPr>
                <w:rFonts w:ascii="Arial" w:hAnsi="Arial" w:cs="Arial" w:eastAsia="Arial" w:hint="default"/>
                <w:sz w:val="24"/>
                <w:szCs w:val="24"/>
              </w:rPr>
            </w:pPr>
          </w:p>
          <w:p>
            <w:pPr>
              <w:pStyle w:val="TableParagraph"/>
              <w:spacing w:line="240" w:lineRule="auto" w:before="7"/>
              <w:ind w:right="0"/>
              <w:jc w:val="left"/>
              <w:rPr>
                <w:rFonts w:ascii="Arial" w:hAnsi="Arial" w:cs="Arial" w:eastAsia="Arial" w:hint="default"/>
                <w:sz w:val="22"/>
                <w:szCs w:val="22"/>
              </w:rPr>
            </w:pPr>
          </w:p>
          <w:p>
            <w:pPr>
              <w:pStyle w:val="TableParagraph"/>
              <w:tabs>
                <w:tab w:pos="1012" w:val="left" w:leader="none"/>
              </w:tabs>
              <w:spacing w:line="240" w:lineRule="auto"/>
              <w:ind w:left="412" w:right="0"/>
              <w:jc w:val="left"/>
              <w:rPr>
                <w:rFonts w:ascii="宋体" w:hAnsi="宋体" w:cs="宋体" w:eastAsia="宋体" w:hint="default"/>
                <w:sz w:val="24"/>
                <w:szCs w:val="24"/>
              </w:rPr>
            </w:pPr>
            <w:r>
              <w:rPr>
                <w:rFonts w:ascii="宋体" w:hAnsi="宋体" w:cs="宋体" w:eastAsia="宋体" w:hint="default"/>
                <w:sz w:val="24"/>
                <w:szCs w:val="24"/>
              </w:rPr>
              <w:t>杨</w:t>
              <w:tab/>
              <w:t>桢</w:t>
            </w:r>
          </w:p>
        </w:tc>
      </w:tr>
    </w:tbl>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18"/>
          <w:szCs w:val="18"/>
        </w:rPr>
      </w:pPr>
    </w:p>
    <w:p>
      <w:pPr>
        <w:pStyle w:val="BodyText"/>
        <w:spacing w:line="240" w:lineRule="auto" w:before="71"/>
        <w:ind w:left="5461" w:right="4703"/>
        <w:jc w:val="center"/>
        <w:rPr>
          <w:rFonts w:ascii="Arial" w:hAnsi="Arial" w:cs="Arial" w:eastAsia="Arial" w:hint="default"/>
        </w:rPr>
      </w:pPr>
      <w:r>
        <w:rPr>
          <w:rFonts w:ascii="Arial"/>
        </w:rPr>
        <w:t>54</w:t>
      </w:r>
    </w:p>
    <w:p>
      <w:pPr>
        <w:spacing w:after="0" w:line="240" w:lineRule="auto"/>
        <w:jc w:val="center"/>
        <w:rPr>
          <w:rFonts w:ascii="Arial" w:hAnsi="Arial" w:cs="Arial" w:eastAsia="Arial" w:hint="default"/>
        </w:rPr>
        <w:sectPr>
          <w:headerReference w:type="default" r:id="rId24"/>
          <w:footerReference w:type="default" r:id="rId25"/>
          <w:pgSz w:w="11910" w:h="16840"/>
          <w:pgMar w:header="0" w:footer="0" w:top="1100" w:bottom="280" w:left="920" w:right="540"/>
        </w:sectPr>
      </w:pPr>
    </w:p>
    <w:p>
      <w:pPr>
        <w:pStyle w:val="BodyText"/>
        <w:spacing w:line="240" w:lineRule="auto" w:before="8"/>
        <w:ind w:left="109" w:right="0"/>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1"/>
        <w:rPr>
          <w:rFonts w:ascii="黑体" w:hAnsi="黑体" w:cs="黑体" w:eastAsia="黑体" w:hint="default"/>
          <w:sz w:val="19"/>
          <w:szCs w:val="19"/>
        </w:rPr>
      </w:pPr>
    </w:p>
    <w:p>
      <w:pPr>
        <w:pStyle w:val="BodyText"/>
        <w:spacing w:line="295" w:lineRule="exact"/>
        <w:ind w:left="109"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w:t>
      </w:r>
      <w:r>
        <w:rPr>
          <w:rFonts w:ascii="黑体" w:hAnsi="黑体" w:cs="黑体" w:eastAsia="黑体" w:hint="default"/>
          <w:spacing w:val="-57"/>
        </w:rPr>
        <w:t> </w:t>
      </w:r>
      <w:r>
        <w:rPr>
          <w:rFonts w:ascii="Arial" w:hAnsi="Arial" w:cs="Arial" w:eastAsia="Arial" w:hint="default"/>
        </w:rPr>
        <w:t>12</w:t>
      </w:r>
      <w:r>
        <w:rPr>
          <w:rFonts w:ascii="Arial" w:hAnsi="Arial" w:cs="Arial" w:eastAsia="Arial" w:hint="default"/>
          <w:spacing w:val="-8"/>
        </w:rPr>
        <w:t> </w:t>
      </w:r>
      <w:r>
        <w:rPr>
          <w:rFonts w:ascii="黑体" w:hAnsi="黑体" w:cs="黑体" w:eastAsia="黑体" w:hint="default"/>
        </w:rPr>
        <w:t>月</w:t>
      </w:r>
      <w:r>
        <w:rPr>
          <w:rFonts w:ascii="黑体" w:hAnsi="黑体" w:cs="黑体" w:eastAsia="黑体" w:hint="default"/>
          <w:spacing w:val="-57"/>
        </w:rPr>
        <w:t> </w:t>
      </w:r>
      <w:r>
        <w:rPr>
          <w:rFonts w:ascii="Arial" w:hAnsi="Arial" w:cs="Arial" w:eastAsia="Arial" w:hint="default"/>
        </w:rPr>
        <w:t>31</w:t>
      </w:r>
      <w:r>
        <w:rPr>
          <w:rFonts w:ascii="Arial" w:hAnsi="Arial" w:cs="Arial" w:eastAsia="Arial" w:hint="default"/>
          <w:spacing w:val="-8"/>
        </w:rPr>
        <w:t> </w:t>
      </w:r>
      <w:r>
        <w:rPr>
          <w:rFonts w:ascii="黑体" w:hAnsi="黑体" w:cs="黑体" w:eastAsia="黑体" w:hint="default"/>
        </w:rPr>
        <w:t>日合并及公司资产负债表</w:t>
      </w:r>
    </w:p>
    <w:p>
      <w:pPr>
        <w:pStyle w:val="BodyText"/>
        <w:spacing w:line="279" w:lineRule="exact"/>
        <w:ind w:left="109" w:right="0"/>
        <w:jc w:val="left"/>
        <w:rPr>
          <w:rFonts w:ascii="黑体" w:hAnsi="黑体" w:cs="黑体" w:eastAsia="黑体" w:hint="default"/>
        </w:rPr>
      </w:pPr>
      <w:r>
        <w:rPr>
          <w:rFonts w:ascii="黑体" w:hAnsi="黑体" w:cs="黑体" w:eastAsia="黑体" w:hint="default"/>
        </w:rPr>
        <w:t>（除特别注明外，金额单位为人民币元）</w:t>
      </w:r>
    </w:p>
    <w:p>
      <w:pPr>
        <w:spacing w:line="240" w:lineRule="auto" w:before="12"/>
        <w:rPr>
          <w:rFonts w:ascii="黑体" w:hAnsi="黑体" w:cs="黑体" w:eastAsia="黑体" w:hint="default"/>
          <w:sz w:val="21"/>
          <w:szCs w:val="21"/>
        </w:rPr>
      </w:pPr>
    </w:p>
    <w:tbl>
      <w:tblPr>
        <w:tblW w:w="0" w:type="auto"/>
        <w:jc w:val="left"/>
        <w:tblInd w:w="102" w:type="dxa"/>
        <w:tblLayout w:type="fixed"/>
        <w:tblCellMar>
          <w:top w:w="0" w:type="dxa"/>
          <w:left w:w="0" w:type="dxa"/>
          <w:bottom w:w="0" w:type="dxa"/>
          <w:right w:w="0" w:type="dxa"/>
        </w:tblCellMar>
        <w:tblLook w:val="01E0"/>
      </w:tblPr>
      <w:tblGrid>
        <w:gridCol w:w="2570"/>
        <w:gridCol w:w="1170"/>
        <w:gridCol w:w="1728"/>
        <w:gridCol w:w="1734"/>
        <w:gridCol w:w="1708"/>
        <w:gridCol w:w="1705"/>
      </w:tblGrid>
      <w:tr>
        <w:trPr>
          <w:trHeight w:val="594" w:hRule="exact"/>
        </w:trPr>
        <w:tc>
          <w:tcPr>
            <w:tcW w:w="2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24"/>
              <w:jc w:val="center"/>
              <w:rPr>
                <w:rFonts w:ascii="黑体" w:hAnsi="黑体" w:cs="黑体" w:eastAsia="黑体" w:hint="default"/>
                <w:sz w:val="18"/>
                <w:szCs w:val="18"/>
              </w:rPr>
            </w:pPr>
            <w:r>
              <w:rPr>
                <w:rFonts w:ascii="黑体" w:hAnsi="黑体" w:cs="黑体" w:eastAsia="黑体" w:hint="default"/>
                <w:sz w:val="18"/>
                <w:szCs w:val="18"/>
              </w:rPr>
              <w:t>资产</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32" w:right="0"/>
              <w:jc w:val="center"/>
              <w:rPr>
                <w:rFonts w:ascii="黑体" w:hAnsi="黑体" w:cs="黑体" w:eastAsia="黑体" w:hint="default"/>
                <w:sz w:val="18"/>
                <w:szCs w:val="18"/>
              </w:rPr>
            </w:pPr>
            <w:r>
              <w:rPr>
                <w:rFonts w:ascii="黑体" w:hAnsi="黑体" w:cs="黑体" w:eastAsia="黑体" w:hint="default"/>
                <w:sz w:val="18"/>
                <w:szCs w:val="18"/>
              </w:rPr>
              <w:t>附注</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6"/>
              <w:ind w:left="22" w:right="0"/>
              <w:jc w:val="center"/>
              <w:rPr>
                <w:rFonts w:ascii="黑体" w:hAnsi="黑体" w:cs="黑体" w:eastAsia="黑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w:t>
            </w:r>
          </w:p>
          <w:p>
            <w:pPr>
              <w:pStyle w:val="TableParagraph"/>
              <w:spacing w:line="228" w:lineRule="exact"/>
              <w:ind w:right="72"/>
              <w:jc w:val="center"/>
              <w:rPr>
                <w:rFonts w:ascii="黑体" w:hAnsi="黑体" w:cs="黑体" w:eastAsia="黑体" w:hint="default"/>
                <w:sz w:val="18"/>
                <w:szCs w:val="18"/>
              </w:rPr>
            </w:pPr>
            <w:r>
              <w:rPr>
                <w:rFonts w:ascii="黑体" w:hAnsi="黑体" w:cs="黑体" w:eastAsia="黑体" w:hint="default"/>
                <w:sz w:val="18"/>
                <w:szCs w:val="18"/>
              </w:rPr>
              <w:t>合并</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6"/>
              <w:ind w:left="24" w:right="0"/>
              <w:jc w:val="center"/>
              <w:rPr>
                <w:rFonts w:ascii="黑体" w:hAnsi="黑体" w:cs="黑体" w:eastAsia="黑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w:t>
            </w:r>
          </w:p>
          <w:p>
            <w:pPr>
              <w:pStyle w:val="TableParagraph"/>
              <w:spacing w:line="228" w:lineRule="exact"/>
              <w:ind w:left="25" w:right="0"/>
              <w:jc w:val="center"/>
              <w:rPr>
                <w:rFonts w:ascii="黑体" w:hAnsi="黑体" w:cs="黑体" w:eastAsia="黑体" w:hint="default"/>
                <w:sz w:val="18"/>
                <w:szCs w:val="18"/>
              </w:rPr>
            </w:pPr>
            <w:r>
              <w:rPr>
                <w:rFonts w:ascii="黑体" w:hAnsi="黑体" w:cs="黑体" w:eastAsia="黑体" w:hint="default"/>
                <w:sz w:val="18"/>
                <w:szCs w:val="18"/>
              </w:rPr>
              <w:t>合并</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6"/>
              <w:ind w:right="12"/>
              <w:jc w:val="center"/>
              <w:rPr>
                <w:rFonts w:ascii="黑体" w:hAnsi="黑体" w:cs="黑体" w:eastAsia="黑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w:t>
            </w:r>
          </w:p>
          <w:p>
            <w:pPr>
              <w:pStyle w:val="TableParagraph"/>
              <w:spacing w:line="228" w:lineRule="exact"/>
              <w:ind w:left="25" w:right="0"/>
              <w:jc w:val="center"/>
              <w:rPr>
                <w:rFonts w:ascii="黑体" w:hAnsi="黑体" w:cs="黑体" w:eastAsia="黑体" w:hint="default"/>
                <w:sz w:val="18"/>
                <w:szCs w:val="18"/>
              </w:rPr>
            </w:pPr>
            <w:r>
              <w:rPr>
                <w:rFonts w:ascii="黑体" w:hAnsi="黑体" w:cs="黑体" w:eastAsia="黑体" w:hint="default"/>
                <w:sz w:val="18"/>
                <w:szCs w:val="18"/>
              </w:rPr>
              <w:t>公司</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6"/>
              <w:ind w:left="24" w:right="0"/>
              <w:jc w:val="center"/>
              <w:rPr>
                <w:rFonts w:ascii="黑体" w:hAnsi="黑体" w:cs="黑体" w:eastAsia="黑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w:t>
            </w:r>
          </w:p>
          <w:p>
            <w:pPr>
              <w:pStyle w:val="TableParagraph"/>
              <w:spacing w:line="228" w:lineRule="exact"/>
              <w:ind w:left="25" w:right="0"/>
              <w:jc w:val="center"/>
              <w:rPr>
                <w:rFonts w:ascii="黑体" w:hAnsi="黑体" w:cs="黑体" w:eastAsia="黑体" w:hint="default"/>
                <w:sz w:val="18"/>
                <w:szCs w:val="18"/>
              </w:rPr>
            </w:pPr>
            <w:r>
              <w:rPr>
                <w:rFonts w:ascii="黑体" w:hAnsi="黑体" w:cs="黑体" w:eastAsia="黑体" w:hint="default"/>
                <w:sz w:val="18"/>
                <w:szCs w:val="18"/>
              </w:rPr>
              <w:t>公司</w:t>
            </w:r>
          </w:p>
        </w:tc>
      </w:tr>
      <w:tr>
        <w:trPr>
          <w:trHeight w:val="258" w:hRule="exact"/>
        </w:trPr>
        <w:tc>
          <w:tcPr>
            <w:tcW w:w="257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91" w:right="0"/>
              <w:jc w:val="left"/>
              <w:rPr>
                <w:rFonts w:ascii="黑体" w:hAnsi="黑体" w:cs="黑体" w:eastAsia="黑体" w:hint="default"/>
                <w:sz w:val="18"/>
                <w:szCs w:val="18"/>
              </w:rPr>
            </w:pPr>
            <w:r>
              <w:rPr>
                <w:rFonts w:ascii="黑体" w:hAnsi="黑体" w:cs="黑体" w:eastAsia="黑体" w:hint="default"/>
                <w:sz w:val="18"/>
                <w:szCs w:val="18"/>
              </w:rPr>
              <w:t>流动资产</w:t>
            </w:r>
          </w:p>
        </w:tc>
        <w:tc>
          <w:tcPr>
            <w:tcW w:w="1170"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
        </w:tc>
        <w:tc>
          <w:tcPr>
            <w:tcW w:w="1708"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
        </w:tc>
      </w:tr>
      <w:tr>
        <w:trPr>
          <w:trHeight w:val="260" w:hRule="exact"/>
        </w:trPr>
        <w:tc>
          <w:tcPr>
            <w:tcW w:w="2570"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2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w:t>
            </w:r>
            <w:r>
              <w:rPr>
                <w:rFonts w:ascii="宋体" w:hAnsi="宋体" w:cs="宋体" w:eastAsia="宋体" w:hint="default"/>
                <w:sz w:val="18"/>
                <w:szCs w:val="18"/>
              </w:rPr>
              <w:t>十六</w:t>
            </w:r>
            <w:r>
              <w:rPr>
                <w:rFonts w:ascii="Arial" w:hAnsi="Arial" w:cs="Arial" w:eastAsia="Arial" w:hint="default"/>
                <w:sz w:val="18"/>
                <w:szCs w:val="18"/>
              </w:rPr>
              <w:t>(1)</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49"/>
              <w:jc w:val="right"/>
              <w:rPr>
                <w:rFonts w:ascii="Arial" w:hAnsi="Arial" w:cs="Arial" w:eastAsia="Arial" w:hint="default"/>
                <w:sz w:val="18"/>
                <w:szCs w:val="18"/>
              </w:rPr>
            </w:pPr>
            <w:r>
              <w:rPr>
                <w:rFonts w:ascii="Arial"/>
                <w:spacing w:val="-1"/>
                <w:sz w:val="18"/>
              </w:rPr>
              <w:t>18,320,075,382</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42"/>
              <w:jc w:val="right"/>
              <w:rPr>
                <w:rFonts w:ascii="Arial" w:hAnsi="Arial" w:cs="Arial" w:eastAsia="Arial" w:hint="default"/>
                <w:sz w:val="18"/>
                <w:szCs w:val="18"/>
              </w:rPr>
            </w:pPr>
            <w:r>
              <w:rPr>
                <w:rFonts w:ascii="Arial"/>
                <w:spacing w:val="-1"/>
                <w:sz w:val="18"/>
              </w:rPr>
              <w:t>15,439,016,285</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33"/>
              <w:jc w:val="right"/>
              <w:rPr>
                <w:rFonts w:ascii="Arial" w:hAnsi="Arial" w:cs="Arial" w:eastAsia="Arial" w:hint="default"/>
                <w:sz w:val="18"/>
                <w:szCs w:val="18"/>
              </w:rPr>
            </w:pPr>
            <w:r>
              <w:rPr>
                <w:rFonts w:ascii="Arial"/>
                <w:spacing w:val="-1"/>
                <w:sz w:val="18"/>
              </w:rPr>
              <w:t>38,308,031</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44"/>
              <w:jc w:val="right"/>
              <w:rPr>
                <w:rFonts w:ascii="Arial" w:hAnsi="Arial" w:cs="Arial" w:eastAsia="Arial" w:hint="default"/>
                <w:sz w:val="18"/>
                <w:szCs w:val="18"/>
              </w:rPr>
            </w:pPr>
            <w:r>
              <w:rPr>
                <w:rFonts w:ascii="Arial"/>
                <w:spacing w:val="-1"/>
                <w:sz w:val="18"/>
              </w:rPr>
              <w:t>28,383,556</w:t>
            </w:r>
          </w:p>
        </w:tc>
      </w:tr>
      <w:tr>
        <w:trPr>
          <w:trHeight w:val="259" w:hRule="exact"/>
        </w:trPr>
        <w:tc>
          <w:tcPr>
            <w:tcW w:w="2570"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3"/>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50"/>
              <w:jc w:val="right"/>
              <w:rPr>
                <w:rFonts w:ascii="Arial" w:hAnsi="Arial" w:cs="Arial" w:eastAsia="Arial" w:hint="default"/>
                <w:sz w:val="18"/>
                <w:szCs w:val="18"/>
              </w:rPr>
            </w:pPr>
            <w:r>
              <w:rPr>
                <w:rFonts w:ascii="Arial"/>
                <w:spacing w:val="-1"/>
                <w:sz w:val="18"/>
              </w:rPr>
              <w:t>73,892,565</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43"/>
              <w:jc w:val="right"/>
              <w:rPr>
                <w:rFonts w:ascii="Arial" w:hAnsi="Arial" w:cs="Arial" w:eastAsia="Arial" w:hint="default"/>
                <w:sz w:val="18"/>
                <w:szCs w:val="18"/>
              </w:rPr>
            </w:pPr>
            <w:r>
              <w:rPr>
                <w:rFonts w:ascii="Arial"/>
                <w:spacing w:val="-1"/>
                <w:sz w:val="18"/>
              </w:rPr>
              <w:t>31,490,161</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32"/>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43"/>
              <w:jc w:val="right"/>
              <w:rPr>
                <w:rFonts w:ascii="Arial" w:hAnsi="Arial" w:cs="Arial" w:eastAsia="Arial" w:hint="default"/>
                <w:sz w:val="18"/>
                <w:szCs w:val="18"/>
              </w:rPr>
            </w:pPr>
            <w:r>
              <w:rPr>
                <w:rFonts w:ascii="Arial"/>
                <w:w w:val="99"/>
                <w:sz w:val="18"/>
              </w:rPr>
              <w:t>-</w:t>
            </w:r>
            <w:r>
              <w:rPr>
                <w:rFonts w:ascii="Arial"/>
                <w:sz w:val="18"/>
              </w:rPr>
            </w:r>
          </w:p>
        </w:tc>
      </w:tr>
      <w:tr>
        <w:trPr>
          <w:trHeight w:val="259" w:hRule="exact"/>
        </w:trPr>
        <w:tc>
          <w:tcPr>
            <w:tcW w:w="257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2"/>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49"/>
              <w:jc w:val="right"/>
              <w:rPr>
                <w:rFonts w:ascii="Arial" w:hAnsi="Arial" w:cs="Arial" w:eastAsia="Arial" w:hint="default"/>
                <w:sz w:val="18"/>
                <w:szCs w:val="18"/>
              </w:rPr>
            </w:pPr>
            <w:r>
              <w:rPr>
                <w:rFonts w:ascii="Arial"/>
                <w:spacing w:val="-1"/>
                <w:sz w:val="18"/>
              </w:rPr>
              <w:t>14,299,836,695</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41"/>
              <w:jc w:val="right"/>
              <w:rPr>
                <w:rFonts w:ascii="Arial" w:hAnsi="Arial" w:cs="Arial" w:eastAsia="Arial" w:hint="default"/>
                <w:sz w:val="18"/>
                <w:szCs w:val="18"/>
              </w:rPr>
            </w:pPr>
            <w:r>
              <w:rPr>
                <w:rFonts w:ascii="Arial"/>
                <w:spacing w:val="-1"/>
                <w:sz w:val="18"/>
              </w:rPr>
              <w:t>12,439,244,269</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32"/>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43"/>
              <w:jc w:val="right"/>
              <w:rPr>
                <w:rFonts w:ascii="Arial" w:hAnsi="Arial" w:cs="Arial" w:eastAsia="Arial" w:hint="default"/>
                <w:sz w:val="18"/>
                <w:szCs w:val="18"/>
              </w:rPr>
            </w:pPr>
            <w:r>
              <w:rPr>
                <w:rFonts w:ascii="Arial"/>
                <w:w w:val="99"/>
                <w:sz w:val="18"/>
              </w:rPr>
              <w:t>-</w:t>
            </w:r>
            <w:r>
              <w:rPr>
                <w:rFonts w:ascii="Arial"/>
                <w:sz w:val="18"/>
              </w:rPr>
            </w:r>
          </w:p>
        </w:tc>
      </w:tr>
      <w:tr>
        <w:trPr>
          <w:trHeight w:val="259" w:hRule="exact"/>
        </w:trPr>
        <w:tc>
          <w:tcPr>
            <w:tcW w:w="257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2"/>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(5)</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49"/>
              <w:jc w:val="right"/>
              <w:rPr>
                <w:rFonts w:ascii="Arial" w:hAnsi="Arial" w:cs="Arial" w:eastAsia="Arial" w:hint="default"/>
                <w:sz w:val="18"/>
                <w:szCs w:val="18"/>
              </w:rPr>
            </w:pPr>
            <w:r>
              <w:rPr>
                <w:rFonts w:ascii="Arial"/>
                <w:spacing w:val="-1"/>
                <w:sz w:val="18"/>
              </w:rPr>
              <w:t>4,169,984,192</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42"/>
              <w:jc w:val="right"/>
              <w:rPr>
                <w:rFonts w:ascii="Arial" w:hAnsi="Arial" w:cs="Arial" w:eastAsia="Arial" w:hint="default"/>
                <w:sz w:val="18"/>
                <w:szCs w:val="18"/>
              </w:rPr>
            </w:pPr>
            <w:r>
              <w:rPr>
                <w:rFonts w:ascii="Arial"/>
                <w:spacing w:val="-1"/>
                <w:sz w:val="18"/>
              </w:rPr>
              <w:t>3,689,114,396</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32"/>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43"/>
              <w:jc w:val="right"/>
              <w:rPr>
                <w:rFonts w:ascii="Arial" w:hAnsi="Arial" w:cs="Arial" w:eastAsia="Arial" w:hint="default"/>
                <w:sz w:val="18"/>
                <w:szCs w:val="18"/>
              </w:rPr>
            </w:pPr>
            <w:r>
              <w:rPr>
                <w:rFonts w:ascii="Arial"/>
                <w:w w:val="99"/>
                <w:sz w:val="18"/>
              </w:rPr>
              <w:t>-</w:t>
            </w:r>
            <w:r>
              <w:rPr>
                <w:rFonts w:ascii="Arial"/>
                <w:sz w:val="18"/>
              </w:rPr>
            </w:r>
          </w:p>
        </w:tc>
      </w:tr>
      <w:tr>
        <w:trPr>
          <w:trHeight w:val="259" w:hRule="exact"/>
        </w:trPr>
        <w:tc>
          <w:tcPr>
            <w:tcW w:w="257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4"/>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(40)</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50"/>
              <w:jc w:val="right"/>
              <w:rPr>
                <w:rFonts w:ascii="Arial" w:hAnsi="Arial" w:cs="Arial" w:eastAsia="Arial" w:hint="default"/>
                <w:sz w:val="18"/>
                <w:szCs w:val="18"/>
              </w:rPr>
            </w:pPr>
            <w:r>
              <w:rPr>
                <w:rFonts w:ascii="Arial"/>
                <w:spacing w:val="-1"/>
                <w:sz w:val="18"/>
              </w:rPr>
              <w:t>53,941</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42"/>
              <w:jc w:val="right"/>
              <w:rPr>
                <w:rFonts w:ascii="Arial" w:hAnsi="Arial" w:cs="Arial" w:eastAsia="Arial" w:hint="default"/>
                <w:sz w:val="18"/>
                <w:szCs w:val="18"/>
              </w:rPr>
            </w:pPr>
            <w:r>
              <w:rPr>
                <w:rFonts w:ascii="Arial"/>
                <w:spacing w:val="-1"/>
                <w:sz w:val="18"/>
              </w:rPr>
              <w:t>1,583,338</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32"/>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43"/>
              <w:jc w:val="right"/>
              <w:rPr>
                <w:rFonts w:ascii="Arial" w:hAnsi="Arial" w:cs="Arial" w:eastAsia="Arial" w:hint="default"/>
                <w:sz w:val="18"/>
                <w:szCs w:val="18"/>
              </w:rPr>
            </w:pPr>
            <w:r>
              <w:rPr>
                <w:rFonts w:ascii="Arial"/>
                <w:w w:val="99"/>
                <w:sz w:val="18"/>
              </w:rPr>
              <w:t>-</w:t>
            </w:r>
            <w:r>
              <w:rPr>
                <w:rFonts w:ascii="Arial"/>
                <w:sz w:val="18"/>
              </w:rPr>
            </w:r>
          </w:p>
        </w:tc>
      </w:tr>
      <w:tr>
        <w:trPr>
          <w:trHeight w:val="258" w:hRule="exact"/>
        </w:trPr>
        <w:tc>
          <w:tcPr>
            <w:tcW w:w="257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2"/>
              <w:jc w:val="center"/>
              <w:rPr>
                <w:rFonts w:ascii="Arial" w:hAnsi="Arial" w:cs="Arial" w:eastAsia="Arial" w:hint="default"/>
                <w:sz w:val="18"/>
                <w:szCs w:val="18"/>
              </w:rPr>
            </w:pPr>
            <w:r>
              <w:rPr>
                <w:rFonts w:ascii="宋体" w:hAnsi="宋体" w:cs="宋体" w:eastAsia="宋体" w:hint="default"/>
                <w:sz w:val="18"/>
                <w:szCs w:val="18"/>
              </w:rPr>
              <w:t>十六</w:t>
            </w:r>
            <w:r>
              <w:rPr>
                <w:rFonts w:ascii="Arial" w:hAnsi="Arial" w:cs="Arial" w:eastAsia="Arial" w:hint="default"/>
                <w:sz w:val="18"/>
                <w:szCs w:val="18"/>
              </w:rPr>
              <w:t>(2)</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49"/>
              <w:jc w:val="right"/>
              <w:rPr>
                <w:rFonts w:ascii="Arial" w:hAnsi="Arial" w:cs="Arial" w:eastAsia="Arial" w:hint="default"/>
                <w:sz w:val="18"/>
                <w:szCs w:val="18"/>
              </w:rPr>
            </w:pPr>
            <w:r>
              <w:rPr>
                <w:rFonts w:ascii="Arial"/>
                <w:w w:val="99"/>
                <w:sz w:val="18"/>
              </w:rPr>
              <w:t>-</w:t>
            </w:r>
            <w:r>
              <w:rPr>
                <w:rFonts w:ascii="Arial"/>
                <w:sz w:val="18"/>
              </w:rPr>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42"/>
              <w:jc w:val="right"/>
              <w:rPr>
                <w:rFonts w:ascii="Arial" w:hAnsi="Arial" w:cs="Arial" w:eastAsia="Arial" w:hint="default"/>
                <w:sz w:val="18"/>
                <w:szCs w:val="18"/>
              </w:rPr>
            </w:pPr>
            <w:r>
              <w:rPr>
                <w:rFonts w:ascii="Arial"/>
                <w:w w:val="99"/>
                <w:sz w:val="18"/>
              </w:rPr>
              <w:t>-</w:t>
            </w:r>
            <w:r>
              <w:rPr>
                <w:rFonts w:ascii="Arial"/>
                <w:sz w:val="18"/>
              </w:rPr>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32"/>
              <w:jc w:val="right"/>
              <w:rPr>
                <w:rFonts w:ascii="Arial" w:hAnsi="Arial" w:cs="Arial" w:eastAsia="Arial" w:hint="default"/>
                <w:sz w:val="18"/>
                <w:szCs w:val="18"/>
              </w:rPr>
            </w:pPr>
            <w:r>
              <w:rPr>
                <w:rFonts w:ascii="Arial"/>
                <w:spacing w:val="-1"/>
                <w:sz w:val="18"/>
              </w:rPr>
              <w:t>551,400,293</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43"/>
              <w:jc w:val="right"/>
              <w:rPr>
                <w:rFonts w:ascii="Arial" w:hAnsi="Arial" w:cs="Arial" w:eastAsia="Arial" w:hint="default"/>
                <w:sz w:val="18"/>
                <w:szCs w:val="18"/>
              </w:rPr>
            </w:pPr>
            <w:r>
              <w:rPr>
                <w:rFonts w:ascii="Arial"/>
                <w:spacing w:val="-1"/>
                <w:sz w:val="18"/>
              </w:rPr>
              <w:t>479,119,262</w:t>
            </w:r>
          </w:p>
        </w:tc>
      </w:tr>
      <w:tr>
        <w:trPr>
          <w:trHeight w:val="259" w:hRule="exact"/>
        </w:trPr>
        <w:tc>
          <w:tcPr>
            <w:tcW w:w="2570"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2"/>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49"/>
              <w:jc w:val="right"/>
              <w:rPr>
                <w:rFonts w:ascii="Arial" w:hAnsi="Arial" w:cs="Arial" w:eastAsia="Arial" w:hint="default"/>
                <w:sz w:val="18"/>
                <w:szCs w:val="18"/>
              </w:rPr>
            </w:pPr>
            <w:r>
              <w:rPr>
                <w:rFonts w:ascii="Arial"/>
                <w:spacing w:val="-1"/>
                <w:sz w:val="18"/>
              </w:rPr>
              <w:t>5,418,707,908</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42"/>
              <w:jc w:val="right"/>
              <w:rPr>
                <w:rFonts w:ascii="Arial" w:hAnsi="Arial" w:cs="Arial" w:eastAsia="Arial" w:hint="default"/>
                <w:sz w:val="18"/>
                <w:szCs w:val="18"/>
              </w:rPr>
            </w:pPr>
            <w:r>
              <w:rPr>
                <w:rFonts w:ascii="Arial"/>
                <w:spacing w:val="-1"/>
                <w:sz w:val="18"/>
              </w:rPr>
              <w:t>1,924,610,778</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32"/>
              <w:jc w:val="right"/>
              <w:rPr>
                <w:rFonts w:ascii="Arial" w:hAnsi="Arial" w:cs="Arial" w:eastAsia="Arial" w:hint="default"/>
                <w:sz w:val="18"/>
                <w:szCs w:val="18"/>
              </w:rPr>
            </w:pPr>
            <w:r>
              <w:rPr>
                <w:rFonts w:ascii="Arial"/>
                <w:spacing w:val="-1"/>
                <w:sz w:val="18"/>
              </w:rPr>
              <w:t>1,523,411</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43"/>
              <w:jc w:val="right"/>
              <w:rPr>
                <w:rFonts w:ascii="Arial" w:hAnsi="Arial" w:cs="Arial" w:eastAsia="Arial" w:hint="default"/>
                <w:sz w:val="18"/>
                <w:szCs w:val="18"/>
              </w:rPr>
            </w:pPr>
            <w:r>
              <w:rPr>
                <w:rFonts w:ascii="Arial"/>
                <w:spacing w:val="-1"/>
                <w:sz w:val="18"/>
              </w:rPr>
              <w:t>1,835,991</w:t>
            </w:r>
          </w:p>
        </w:tc>
      </w:tr>
      <w:tr>
        <w:trPr>
          <w:trHeight w:val="259" w:hRule="exact"/>
        </w:trPr>
        <w:tc>
          <w:tcPr>
            <w:tcW w:w="2570"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3"/>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(6)</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49"/>
              <w:jc w:val="right"/>
              <w:rPr>
                <w:rFonts w:ascii="Arial" w:hAnsi="Arial" w:cs="Arial" w:eastAsia="Arial" w:hint="default"/>
                <w:sz w:val="18"/>
                <w:szCs w:val="18"/>
              </w:rPr>
            </w:pPr>
            <w:r>
              <w:rPr>
                <w:rFonts w:ascii="Arial"/>
                <w:spacing w:val="-1"/>
                <w:sz w:val="18"/>
              </w:rPr>
              <w:t>5,803,260,310</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42"/>
              <w:jc w:val="right"/>
              <w:rPr>
                <w:rFonts w:ascii="Arial" w:hAnsi="Arial" w:cs="Arial" w:eastAsia="Arial" w:hint="default"/>
                <w:sz w:val="18"/>
                <w:szCs w:val="18"/>
              </w:rPr>
            </w:pPr>
            <w:r>
              <w:rPr>
                <w:rFonts w:ascii="Arial"/>
                <w:spacing w:val="-1"/>
                <w:sz w:val="18"/>
              </w:rPr>
              <w:t>4,651,374,730</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32"/>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43"/>
              <w:jc w:val="right"/>
              <w:rPr>
                <w:rFonts w:ascii="Arial" w:hAnsi="Arial" w:cs="Arial" w:eastAsia="Arial" w:hint="default"/>
                <w:sz w:val="18"/>
                <w:szCs w:val="18"/>
              </w:rPr>
            </w:pPr>
            <w:r>
              <w:rPr>
                <w:rFonts w:ascii="Arial"/>
                <w:w w:val="99"/>
                <w:sz w:val="18"/>
              </w:rPr>
              <w:t>-</w:t>
            </w:r>
            <w:r>
              <w:rPr>
                <w:rFonts w:ascii="Arial"/>
                <w:sz w:val="18"/>
              </w:rPr>
            </w:r>
          </w:p>
        </w:tc>
      </w:tr>
      <w:tr>
        <w:trPr>
          <w:trHeight w:val="259" w:hRule="exact"/>
        </w:trPr>
        <w:tc>
          <w:tcPr>
            <w:tcW w:w="257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2"/>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(7)</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49"/>
              <w:jc w:val="right"/>
              <w:rPr>
                <w:rFonts w:ascii="Arial" w:hAnsi="Arial" w:cs="Arial" w:eastAsia="Arial" w:hint="default"/>
                <w:sz w:val="18"/>
                <w:szCs w:val="18"/>
              </w:rPr>
            </w:pPr>
            <w:r>
              <w:rPr>
                <w:rFonts w:ascii="Arial"/>
                <w:spacing w:val="-1"/>
                <w:sz w:val="18"/>
              </w:rPr>
              <w:t>154,280,444</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42"/>
              <w:jc w:val="right"/>
              <w:rPr>
                <w:rFonts w:ascii="Arial" w:hAnsi="Arial" w:cs="Arial" w:eastAsia="Arial" w:hint="default"/>
                <w:sz w:val="18"/>
                <w:szCs w:val="18"/>
              </w:rPr>
            </w:pPr>
            <w:r>
              <w:rPr>
                <w:rFonts w:ascii="Arial"/>
                <w:spacing w:val="-1"/>
                <w:sz w:val="18"/>
              </w:rPr>
              <w:t>696,047,622</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32"/>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43"/>
              <w:jc w:val="right"/>
              <w:rPr>
                <w:rFonts w:ascii="Arial" w:hAnsi="Arial" w:cs="Arial" w:eastAsia="Arial" w:hint="default"/>
                <w:sz w:val="18"/>
                <w:szCs w:val="18"/>
              </w:rPr>
            </w:pPr>
            <w:r>
              <w:rPr>
                <w:rFonts w:ascii="Arial"/>
                <w:w w:val="99"/>
                <w:sz w:val="18"/>
              </w:rPr>
              <w:t>-</w:t>
            </w:r>
            <w:r>
              <w:rPr>
                <w:rFonts w:ascii="Arial"/>
                <w:sz w:val="18"/>
              </w:rPr>
            </w:r>
          </w:p>
        </w:tc>
      </w:tr>
      <w:tr>
        <w:trPr>
          <w:trHeight w:val="259" w:hRule="exact"/>
        </w:trPr>
        <w:tc>
          <w:tcPr>
            <w:tcW w:w="257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91" w:right="0"/>
              <w:jc w:val="left"/>
              <w:rPr>
                <w:rFonts w:ascii="黑体" w:hAnsi="黑体" w:cs="黑体" w:eastAsia="黑体" w:hint="default"/>
                <w:sz w:val="18"/>
                <w:szCs w:val="18"/>
              </w:rPr>
            </w:pPr>
            <w:r>
              <w:rPr>
                <w:rFonts w:ascii="黑体" w:hAnsi="黑体" w:cs="黑体" w:eastAsia="黑体" w:hint="default"/>
                <w:sz w:val="18"/>
                <w:szCs w:val="18"/>
              </w:rPr>
              <w:t>流动资产合计</w:t>
            </w:r>
          </w:p>
        </w:tc>
        <w:tc>
          <w:tcPr>
            <w:tcW w:w="1170"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49"/>
              <w:jc w:val="right"/>
              <w:rPr>
                <w:rFonts w:ascii="Arial" w:hAnsi="Arial" w:cs="Arial" w:eastAsia="Arial" w:hint="default"/>
                <w:sz w:val="18"/>
                <w:szCs w:val="18"/>
              </w:rPr>
            </w:pPr>
            <w:r>
              <w:rPr>
                <w:rFonts w:ascii="Arial"/>
                <w:spacing w:val="-1"/>
                <w:sz w:val="18"/>
              </w:rPr>
              <w:t>48,240,091,437</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41"/>
              <w:jc w:val="right"/>
              <w:rPr>
                <w:rFonts w:ascii="Arial" w:hAnsi="Arial" w:cs="Arial" w:eastAsia="Arial" w:hint="default"/>
                <w:sz w:val="18"/>
                <w:szCs w:val="18"/>
              </w:rPr>
            </w:pPr>
            <w:r>
              <w:rPr>
                <w:rFonts w:ascii="Arial"/>
                <w:spacing w:val="-1"/>
                <w:sz w:val="18"/>
              </w:rPr>
              <w:t>38,872,481,579</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32"/>
              <w:jc w:val="right"/>
              <w:rPr>
                <w:rFonts w:ascii="Arial" w:hAnsi="Arial" w:cs="Arial" w:eastAsia="Arial" w:hint="default"/>
                <w:sz w:val="18"/>
                <w:szCs w:val="18"/>
              </w:rPr>
            </w:pPr>
            <w:r>
              <w:rPr>
                <w:rFonts w:ascii="Arial"/>
                <w:spacing w:val="-1"/>
                <w:sz w:val="18"/>
              </w:rPr>
              <w:t>591,231,735</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43"/>
              <w:jc w:val="right"/>
              <w:rPr>
                <w:rFonts w:ascii="Arial" w:hAnsi="Arial" w:cs="Arial" w:eastAsia="Arial" w:hint="default"/>
                <w:sz w:val="18"/>
                <w:szCs w:val="18"/>
              </w:rPr>
            </w:pPr>
            <w:r>
              <w:rPr>
                <w:rFonts w:ascii="Arial"/>
                <w:spacing w:val="-1"/>
                <w:sz w:val="18"/>
              </w:rPr>
              <w:t>509,338,809</w:t>
            </w:r>
          </w:p>
        </w:tc>
      </w:tr>
      <w:tr>
        <w:trPr>
          <w:trHeight w:val="259" w:hRule="exact"/>
        </w:trPr>
        <w:tc>
          <w:tcPr>
            <w:tcW w:w="257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
        </w:tc>
        <w:tc>
          <w:tcPr>
            <w:tcW w:w="1708"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
        </w:tc>
      </w:tr>
      <w:tr>
        <w:trPr>
          <w:trHeight w:val="258" w:hRule="exact"/>
        </w:trPr>
        <w:tc>
          <w:tcPr>
            <w:tcW w:w="257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91" w:right="0"/>
              <w:jc w:val="left"/>
              <w:rPr>
                <w:rFonts w:ascii="黑体" w:hAnsi="黑体" w:cs="黑体" w:eastAsia="黑体" w:hint="default"/>
                <w:sz w:val="18"/>
                <w:szCs w:val="18"/>
              </w:rPr>
            </w:pPr>
            <w:r>
              <w:rPr>
                <w:rFonts w:ascii="黑体" w:hAnsi="黑体" w:cs="黑体" w:eastAsia="黑体" w:hint="default"/>
                <w:sz w:val="18"/>
                <w:szCs w:val="18"/>
              </w:rPr>
              <w:t>非流动资产</w:t>
            </w:r>
          </w:p>
        </w:tc>
        <w:tc>
          <w:tcPr>
            <w:tcW w:w="1170"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
        </w:tc>
        <w:tc>
          <w:tcPr>
            <w:tcW w:w="1708"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
        </w:tc>
      </w:tr>
      <w:tr>
        <w:trPr>
          <w:trHeight w:val="259" w:hRule="exact"/>
        </w:trPr>
        <w:tc>
          <w:tcPr>
            <w:tcW w:w="2570"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2"/>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(8)</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49"/>
              <w:jc w:val="right"/>
              <w:rPr>
                <w:rFonts w:ascii="Arial" w:hAnsi="Arial" w:cs="Arial" w:eastAsia="Arial" w:hint="default"/>
                <w:sz w:val="18"/>
                <w:szCs w:val="18"/>
              </w:rPr>
            </w:pPr>
            <w:r>
              <w:rPr>
                <w:rFonts w:ascii="Arial"/>
                <w:spacing w:val="-1"/>
                <w:sz w:val="18"/>
              </w:rPr>
              <w:t>5,567,113,651</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42"/>
              <w:jc w:val="right"/>
              <w:rPr>
                <w:rFonts w:ascii="Arial" w:hAnsi="Arial" w:cs="Arial" w:eastAsia="Arial" w:hint="default"/>
                <w:sz w:val="18"/>
                <w:szCs w:val="18"/>
              </w:rPr>
            </w:pPr>
            <w:r>
              <w:rPr>
                <w:rFonts w:ascii="Arial"/>
                <w:spacing w:val="-1"/>
                <w:sz w:val="18"/>
              </w:rPr>
              <w:t>6,951,106,326</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32"/>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43"/>
              <w:jc w:val="right"/>
              <w:rPr>
                <w:rFonts w:ascii="Arial" w:hAnsi="Arial" w:cs="Arial" w:eastAsia="Arial" w:hint="default"/>
                <w:sz w:val="18"/>
                <w:szCs w:val="18"/>
              </w:rPr>
            </w:pPr>
            <w:r>
              <w:rPr>
                <w:rFonts w:ascii="Arial"/>
                <w:w w:val="99"/>
                <w:sz w:val="18"/>
              </w:rPr>
              <w:t>-</w:t>
            </w:r>
            <w:r>
              <w:rPr>
                <w:rFonts w:ascii="Arial"/>
                <w:sz w:val="18"/>
              </w:rPr>
            </w:r>
          </w:p>
        </w:tc>
      </w:tr>
      <w:tr>
        <w:trPr>
          <w:trHeight w:val="259" w:hRule="exact"/>
        </w:trPr>
        <w:tc>
          <w:tcPr>
            <w:tcW w:w="2570"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(9),</w:t>
            </w:r>
            <w:r>
              <w:rPr>
                <w:rFonts w:ascii="宋体" w:hAnsi="宋体" w:cs="宋体" w:eastAsia="宋体" w:hint="default"/>
                <w:sz w:val="18"/>
                <w:szCs w:val="18"/>
              </w:rPr>
              <w:t>十六</w:t>
            </w:r>
            <w:r>
              <w:rPr>
                <w:rFonts w:ascii="Arial" w:hAnsi="Arial" w:cs="Arial" w:eastAsia="Arial" w:hint="default"/>
                <w:sz w:val="18"/>
                <w:szCs w:val="18"/>
              </w:rPr>
              <w:t>(3)</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49"/>
              <w:jc w:val="right"/>
              <w:rPr>
                <w:rFonts w:ascii="Arial" w:hAnsi="Arial" w:cs="Arial" w:eastAsia="Arial" w:hint="default"/>
                <w:sz w:val="18"/>
                <w:szCs w:val="18"/>
              </w:rPr>
            </w:pPr>
            <w:r>
              <w:rPr>
                <w:rFonts w:ascii="Arial"/>
                <w:spacing w:val="-1"/>
                <w:sz w:val="18"/>
              </w:rPr>
              <w:t>49,964,427</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43"/>
              <w:jc w:val="right"/>
              <w:rPr>
                <w:rFonts w:ascii="Arial" w:hAnsi="Arial" w:cs="Arial" w:eastAsia="Arial" w:hint="default"/>
                <w:sz w:val="18"/>
                <w:szCs w:val="18"/>
              </w:rPr>
            </w:pPr>
            <w:r>
              <w:rPr>
                <w:rFonts w:ascii="Arial"/>
                <w:spacing w:val="-1"/>
                <w:sz w:val="18"/>
              </w:rPr>
              <w:t>47,465,488</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32"/>
              <w:jc w:val="right"/>
              <w:rPr>
                <w:rFonts w:ascii="Arial" w:hAnsi="Arial" w:cs="Arial" w:eastAsia="Arial" w:hint="default"/>
                <w:sz w:val="18"/>
                <w:szCs w:val="18"/>
              </w:rPr>
            </w:pPr>
            <w:r>
              <w:rPr>
                <w:rFonts w:ascii="Arial"/>
                <w:spacing w:val="-1"/>
                <w:sz w:val="18"/>
              </w:rPr>
              <w:t>38,538,133,791</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43"/>
              <w:jc w:val="right"/>
              <w:rPr>
                <w:rFonts w:ascii="Arial" w:hAnsi="Arial" w:cs="Arial" w:eastAsia="Arial" w:hint="default"/>
                <w:sz w:val="18"/>
                <w:szCs w:val="18"/>
              </w:rPr>
            </w:pPr>
            <w:r>
              <w:rPr>
                <w:rFonts w:ascii="Arial"/>
                <w:spacing w:val="-1"/>
                <w:sz w:val="18"/>
              </w:rPr>
              <w:t>38,538,133,791</w:t>
            </w:r>
          </w:p>
        </w:tc>
      </w:tr>
      <w:tr>
        <w:trPr>
          <w:trHeight w:val="259" w:hRule="exact"/>
        </w:trPr>
        <w:tc>
          <w:tcPr>
            <w:tcW w:w="257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4"/>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(10)</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49"/>
              <w:jc w:val="right"/>
              <w:rPr>
                <w:rFonts w:ascii="Arial" w:hAnsi="Arial" w:cs="Arial" w:eastAsia="Arial" w:hint="default"/>
                <w:sz w:val="18"/>
                <w:szCs w:val="18"/>
              </w:rPr>
            </w:pPr>
            <w:r>
              <w:rPr>
                <w:rFonts w:ascii="Arial"/>
                <w:spacing w:val="-1"/>
                <w:sz w:val="18"/>
              </w:rPr>
              <w:t>367,280,968,600</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43"/>
              <w:jc w:val="right"/>
              <w:rPr>
                <w:rFonts w:ascii="Arial" w:hAnsi="Arial" w:cs="Arial" w:eastAsia="Arial" w:hint="default"/>
                <w:sz w:val="18"/>
                <w:szCs w:val="18"/>
              </w:rPr>
            </w:pPr>
            <w:r>
              <w:rPr>
                <w:rFonts w:ascii="Arial"/>
                <w:spacing w:val="-1"/>
                <w:sz w:val="18"/>
              </w:rPr>
              <w:t>325,436,125,614</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32"/>
              <w:jc w:val="right"/>
              <w:rPr>
                <w:rFonts w:ascii="Arial" w:hAnsi="Arial" w:cs="Arial" w:eastAsia="Arial" w:hint="default"/>
                <w:sz w:val="18"/>
                <w:szCs w:val="18"/>
              </w:rPr>
            </w:pPr>
            <w:r>
              <w:rPr>
                <w:rFonts w:ascii="Arial"/>
                <w:spacing w:val="-1"/>
                <w:sz w:val="18"/>
              </w:rPr>
              <w:t>5,587,415</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43"/>
              <w:jc w:val="right"/>
              <w:rPr>
                <w:rFonts w:ascii="Arial" w:hAnsi="Arial" w:cs="Arial" w:eastAsia="Arial" w:hint="default"/>
                <w:sz w:val="18"/>
                <w:szCs w:val="18"/>
              </w:rPr>
            </w:pPr>
            <w:r>
              <w:rPr>
                <w:rFonts w:ascii="Arial"/>
                <w:spacing w:val="-1"/>
                <w:sz w:val="18"/>
              </w:rPr>
              <w:t>5,960,958</w:t>
            </w:r>
          </w:p>
        </w:tc>
      </w:tr>
      <w:tr>
        <w:trPr>
          <w:trHeight w:val="259" w:hRule="exact"/>
        </w:trPr>
        <w:tc>
          <w:tcPr>
            <w:tcW w:w="257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4"/>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(11)</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49"/>
              <w:jc w:val="right"/>
              <w:rPr>
                <w:rFonts w:ascii="Arial" w:hAnsi="Arial" w:cs="Arial" w:eastAsia="Arial" w:hint="default"/>
                <w:sz w:val="18"/>
                <w:szCs w:val="18"/>
              </w:rPr>
            </w:pPr>
            <w:r>
              <w:rPr>
                <w:rFonts w:ascii="Arial"/>
                <w:spacing w:val="-1"/>
                <w:sz w:val="18"/>
              </w:rPr>
              <w:t>59,934,754,887</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42"/>
              <w:jc w:val="right"/>
              <w:rPr>
                <w:rFonts w:ascii="Arial" w:hAnsi="Arial" w:cs="Arial" w:eastAsia="Arial" w:hint="default"/>
                <w:sz w:val="18"/>
                <w:szCs w:val="18"/>
              </w:rPr>
            </w:pPr>
            <w:r>
              <w:rPr>
                <w:rFonts w:ascii="Arial"/>
                <w:spacing w:val="-1"/>
                <w:sz w:val="18"/>
              </w:rPr>
              <w:t>52,328,892,232</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32"/>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43"/>
              <w:jc w:val="right"/>
              <w:rPr>
                <w:rFonts w:ascii="Arial" w:hAnsi="Arial" w:cs="Arial" w:eastAsia="Arial" w:hint="default"/>
                <w:sz w:val="18"/>
                <w:szCs w:val="18"/>
              </w:rPr>
            </w:pPr>
            <w:r>
              <w:rPr>
                <w:rFonts w:ascii="Arial"/>
                <w:w w:val="99"/>
                <w:sz w:val="18"/>
              </w:rPr>
              <w:t>-</w:t>
            </w:r>
            <w:r>
              <w:rPr>
                <w:rFonts w:ascii="Arial"/>
                <w:sz w:val="18"/>
              </w:rPr>
            </w:r>
          </w:p>
        </w:tc>
      </w:tr>
      <w:tr>
        <w:trPr>
          <w:trHeight w:val="259" w:hRule="exact"/>
        </w:trPr>
        <w:tc>
          <w:tcPr>
            <w:tcW w:w="257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4"/>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(12)</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49"/>
              <w:jc w:val="right"/>
              <w:rPr>
                <w:rFonts w:ascii="Arial" w:hAnsi="Arial" w:cs="Arial" w:eastAsia="Arial" w:hint="default"/>
                <w:sz w:val="18"/>
                <w:szCs w:val="18"/>
              </w:rPr>
            </w:pPr>
            <w:r>
              <w:rPr>
                <w:rFonts w:ascii="Arial"/>
                <w:spacing w:val="-1"/>
                <w:sz w:val="18"/>
              </w:rPr>
              <w:t>1,965,004,362</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42"/>
              <w:jc w:val="right"/>
              <w:rPr>
                <w:rFonts w:ascii="Arial" w:hAnsi="Arial" w:cs="Arial" w:eastAsia="Arial" w:hint="default"/>
                <w:sz w:val="18"/>
                <w:szCs w:val="18"/>
              </w:rPr>
            </w:pPr>
            <w:r>
              <w:rPr>
                <w:rFonts w:ascii="Arial"/>
                <w:spacing w:val="-1"/>
                <w:sz w:val="18"/>
              </w:rPr>
              <w:t>2,337,301,169</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32"/>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43"/>
              <w:jc w:val="right"/>
              <w:rPr>
                <w:rFonts w:ascii="Arial" w:hAnsi="Arial" w:cs="Arial" w:eastAsia="Arial" w:hint="default"/>
                <w:sz w:val="18"/>
                <w:szCs w:val="18"/>
              </w:rPr>
            </w:pPr>
            <w:r>
              <w:rPr>
                <w:rFonts w:ascii="Arial"/>
                <w:w w:val="99"/>
                <w:sz w:val="18"/>
              </w:rPr>
              <w:t>-</w:t>
            </w:r>
            <w:r>
              <w:rPr>
                <w:rFonts w:ascii="Arial"/>
                <w:sz w:val="18"/>
              </w:rPr>
            </w:r>
          </w:p>
        </w:tc>
      </w:tr>
      <w:tr>
        <w:trPr>
          <w:trHeight w:val="258" w:hRule="exact"/>
        </w:trPr>
        <w:tc>
          <w:tcPr>
            <w:tcW w:w="257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4"/>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(13)</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49"/>
              <w:jc w:val="right"/>
              <w:rPr>
                <w:rFonts w:ascii="Arial" w:hAnsi="Arial" w:cs="Arial" w:eastAsia="Arial" w:hint="default"/>
                <w:sz w:val="18"/>
                <w:szCs w:val="18"/>
              </w:rPr>
            </w:pPr>
            <w:r>
              <w:rPr>
                <w:rFonts w:ascii="Arial"/>
                <w:spacing w:val="-1"/>
                <w:sz w:val="18"/>
              </w:rPr>
              <w:t>21,362,042,730</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42"/>
              <w:jc w:val="right"/>
              <w:rPr>
                <w:rFonts w:ascii="Arial" w:hAnsi="Arial" w:cs="Arial" w:eastAsia="Arial" w:hint="default"/>
                <w:sz w:val="18"/>
                <w:szCs w:val="18"/>
              </w:rPr>
            </w:pPr>
            <w:r>
              <w:rPr>
                <w:rFonts w:ascii="Arial"/>
                <w:spacing w:val="-1"/>
                <w:sz w:val="18"/>
              </w:rPr>
              <w:t>20,739,627,902</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33"/>
              <w:jc w:val="right"/>
              <w:rPr>
                <w:rFonts w:ascii="Arial" w:hAnsi="Arial" w:cs="Arial" w:eastAsia="Arial" w:hint="default"/>
                <w:sz w:val="18"/>
                <w:szCs w:val="18"/>
              </w:rPr>
            </w:pPr>
            <w:r>
              <w:rPr>
                <w:rFonts w:ascii="Arial"/>
                <w:spacing w:val="-1"/>
                <w:sz w:val="18"/>
              </w:rPr>
              <w:t>10,503,341</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44"/>
              <w:jc w:val="right"/>
              <w:rPr>
                <w:rFonts w:ascii="Arial" w:hAnsi="Arial" w:cs="Arial" w:eastAsia="Arial" w:hint="default"/>
                <w:sz w:val="18"/>
                <w:szCs w:val="18"/>
              </w:rPr>
            </w:pPr>
            <w:r>
              <w:rPr>
                <w:rFonts w:ascii="Arial"/>
                <w:spacing w:val="-1"/>
                <w:sz w:val="18"/>
              </w:rPr>
              <w:t>10,751,448</w:t>
            </w:r>
          </w:p>
        </w:tc>
      </w:tr>
      <w:tr>
        <w:trPr>
          <w:trHeight w:val="259" w:hRule="exact"/>
        </w:trPr>
        <w:tc>
          <w:tcPr>
            <w:tcW w:w="2570"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4"/>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(14)</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49"/>
              <w:jc w:val="right"/>
              <w:rPr>
                <w:rFonts w:ascii="Arial" w:hAnsi="Arial" w:cs="Arial" w:eastAsia="Arial" w:hint="default"/>
                <w:sz w:val="18"/>
                <w:szCs w:val="18"/>
              </w:rPr>
            </w:pPr>
            <w:r>
              <w:rPr>
                <w:rFonts w:ascii="Arial"/>
                <w:spacing w:val="-1"/>
                <w:sz w:val="18"/>
              </w:rPr>
              <w:t>8,898,958,739</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42"/>
              <w:jc w:val="right"/>
              <w:rPr>
                <w:rFonts w:ascii="Arial" w:hAnsi="Arial" w:cs="Arial" w:eastAsia="Arial" w:hint="default"/>
                <w:sz w:val="18"/>
                <w:szCs w:val="18"/>
              </w:rPr>
            </w:pPr>
            <w:r>
              <w:rPr>
                <w:rFonts w:ascii="Arial"/>
                <w:spacing w:val="-1"/>
                <w:sz w:val="18"/>
              </w:rPr>
              <w:t>8,100,299,374</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32"/>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43"/>
              <w:jc w:val="right"/>
              <w:rPr>
                <w:rFonts w:ascii="Arial" w:hAnsi="Arial" w:cs="Arial" w:eastAsia="Arial" w:hint="default"/>
                <w:sz w:val="18"/>
                <w:szCs w:val="18"/>
              </w:rPr>
            </w:pPr>
            <w:r>
              <w:rPr>
                <w:rFonts w:ascii="Arial"/>
                <w:w w:val="99"/>
                <w:sz w:val="18"/>
              </w:rPr>
              <w:t>-</w:t>
            </w:r>
            <w:r>
              <w:rPr>
                <w:rFonts w:ascii="Arial"/>
                <w:sz w:val="18"/>
              </w:rPr>
            </w:r>
          </w:p>
        </w:tc>
      </w:tr>
      <w:tr>
        <w:trPr>
          <w:trHeight w:val="270" w:hRule="exact"/>
        </w:trPr>
        <w:tc>
          <w:tcPr>
            <w:tcW w:w="2570"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2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(45)</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49"/>
              <w:jc w:val="right"/>
              <w:rPr>
                <w:rFonts w:ascii="Arial" w:hAnsi="Arial" w:cs="Arial" w:eastAsia="Arial" w:hint="default"/>
                <w:sz w:val="18"/>
                <w:szCs w:val="18"/>
              </w:rPr>
            </w:pPr>
            <w:r>
              <w:rPr>
                <w:rFonts w:ascii="Arial"/>
                <w:spacing w:val="-1"/>
                <w:sz w:val="18"/>
              </w:rPr>
              <w:t>5,058,391,277</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42"/>
              <w:jc w:val="right"/>
              <w:rPr>
                <w:rFonts w:ascii="Arial" w:hAnsi="Arial" w:cs="Arial" w:eastAsia="Arial" w:hint="default"/>
                <w:sz w:val="18"/>
                <w:szCs w:val="18"/>
              </w:rPr>
            </w:pPr>
            <w:r>
              <w:rPr>
                <w:rFonts w:ascii="Arial"/>
                <w:spacing w:val="-1"/>
                <w:sz w:val="18"/>
              </w:rPr>
              <w:t>3,710,544,195</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32"/>
              <w:jc w:val="right"/>
              <w:rPr>
                <w:rFonts w:ascii="Arial" w:hAnsi="Arial" w:cs="Arial" w:eastAsia="Arial" w:hint="default"/>
                <w:sz w:val="18"/>
                <w:szCs w:val="18"/>
              </w:rPr>
            </w:pPr>
            <w:r>
              <w:rPr>
                <w:rFonts w:ascii="Arial"/>
                <w:w w:val="99"/>
                <w:sz w:val="18"/>
              </w:rPr>
              <w:t>-</w:t>
            </w:r>
            <w:r>
              <w:rPr>
                <w:rFonts w:ascii="Arial"/>
                <w:sz w:val="18"/>
              </w:rPr>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43"/>
              <w:jc w:val="right"/>
              <w:rPr>
                <w:rFonts w:ascii="Arial" w:hAnsi="Arial" w:cs="Arial" w:eastAsia="Arial" w:hint="default"/>
                <w:sz w:val="18"/>
                <w:szCs w:val="18"/>
              </w:rPr>
            </w:pPr>
            <w:r>
              <w:rPr>
                <w:rFonts w:ascii="Arial"/>
                <w:w w:val="99"/>
                <w:sz w:val="18"/>
              </w:rPr>
              <w:t>-</w:t>
            </w:r>
            <w:r>
              <w:rPr>
                <w:rFonts w:ascii="Arial"/>
                <w:sz w:val="18"/>
              </w:rPr>
            </w:r>
          </w:p>
        </w:tc>
      </w:tr>
      <w:tr>
        <w:trPr>
          <w:trHeight w:val="259" w:hRule="exact"/>
        </w:trPr>
        <w:tc>
          <w:tcPr>
            <w:tcW w:w="2570"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91" w:right="0"/>
              <w:jc w:val="left"/>
              <w:rPr>
                <w:rFonts w:ascii="黑体" w:hAnsi="黑体" w:cs="黑体" w:eastAsia="黑体" w:hint="default"/>
                <w:sz w:val="18"/>
                <w:szCs w:val="18"/>
              </w:rPr>
            </w:pPr>
            <w:r>
              <w:rPr>
                <w:rFonts w:ascii="黑体" w:hAnsi="黑体" w:cs="黑体" w:eastAsia="黑体" w:hint="default"/>
                <w:sz w:val="18"/>
                <w:szCs w:val="18"/>
              </w:rPr>
              <w:t>非流动资产合计</w:t>
            </w:r>
          </w:p>
        </w:tc>
        <w:tc>
          <w:tcPr>
            <w:tcW w:w="1170"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49"/>
              <w:jc w:val="right"/>
              <w:rPr>
                <w:rFonts w:ascii="Arial" w:hAnsi="Arial" w:cs="Arial" w:eastAsia="Arial" w:hint="default"/>
                <w:sz w:val="18"/>
                <w:szCs w:val="18"/>
              </w:rPr>
            </w:pPr>
            <w:r>
              <w:rPr>
                <w:rFonts w:ascii="Arial"/>
                <w:spacing w:val="-1"/>
                <w:sz w:val="18"/>
              </w:rPr>
              <w:t>470,117,198,673</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43"/>
              <w:jc w:val="right"/>
              <w:rPr>
                <w:rFonts w:ascii="Arial" w:hAnsi="Arial" w:cs="Arial" w:eastAsia="Arial" w:hint="default"/>
                <w:sz w:val="18"/>
                <w:szCs w:val="18"/>
              </w:rPr>
            </w:pPr>
            <w:r>
              <w:rPr>
                <w:rFonts w:ascii="Arial"/>
                <w:spacing w:val="-1"/>
                <w:sz w:val="18"/>
              </w:rPr>
              <w:t>419,651,362,300</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32"/>
              <w:jc w:val="right"/>
              <w:rPr>
                <w:rFonts w:ascii="Arial" w:hAnsi="Arial" w:cs="Arial" w:eastAsia="Arial" w:hint="default"/>
                <w:sz w:val="18"/>
                <w:szCs w:val="18"/>
              </w:rPr>
            </w:pPr>
            <w:r>
              <w:rPr>
                <w:rFonts w:ascii="Arial"/>
                <w:spacing w:val="-1"/>
                <w:sz w:val="18"/>
              </w:rPr>
              <w:t>38,554,224,547</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43"/>
              <w:jc w:val="right"/>
              <w:rPr>
                <w:rFonts w:ascii="Arial" w:hAnsi="Arial" w:cs="Arial" w:eastAsia="Arial" w:hint="default"/>
                <w:sz w:val="18"/>
                <w:szCs w:val="18"/>
              </w:rPr>
            </w:pPr>
            <w:r>
              <w:rPr>
                <w:rFonts w:ascii="Arial"/>
                <w:spacing w:val="-1"/>
                <w:sz w:val="18"/>
              </w:rPr>
              <w:t>38,554,846,197</w:t>
            </w:r>
          </w:p>
        </w:tc>
      </w:tr>
      <w:tr>
        <w:trPr>
          <w:trHeight w:val="259" w:hRule="exact"/>
        </w:trPr>
        <w:tc>
          <w:tcPr>
            <w:tcW w:w="257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
        </w:tc>
        <w:tc>
          <w:tcPr>
            <w:tcW w:w="1708"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
        </w:tc>
      </w:tr>
      <w:tr>
        <w:trPr>
          <w:trHeight w:val="258" w:hRule="exact"/>
        </w:trPr>
        <w:tc>
          <w:tcPr>
            <w:tcW w:w="257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91" w:right="0"/>
              <w:jc w:val="left"/>
              <w:rPr>
                <w:rFonts w:ascii="黑体" w:hAnsi="黑体" w:cs="黑体" w:eastAsia="黑体" w:hint="default"/>
                <w:sz w:val="18"/>
                <w:szCs w:val="18"/>
              </w:rPr>
            </w:pPr>
            <w:r>
              <w:rPr>
                <w:rFonts w:ascii="黑体" w:hAnsi="黑体" w:cs="黑体" w:eastAsia="黑体" w:hint="default"/>
                <w:sz w:val="18"/>
                <w:szCs w:val="18"/>
              </w:rPr>
              <w:t>资产总计</w:t>
            </w:r>
          </w:p>
        </w:tc>
        <w:tc>
          <w:tcPr>
            <w:tcW w:w="1170"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49"/>
              <w:jc w:val="right"/>
              <w:rPr>
                <w:rFonts w:ascii="Arial" w:hAnsi="Arial" w:cs="Arial" w:eastAsia="Arial" w:hint="default"/>
                <w:sz w:val="18"/>
                <w:szCs w:val="18"/>
              </w:rPr>
            </w:pPr>
            <w:r>
              <w:rPr>
                <w:rFonts w:ascii="Arial"/>
                <w:spacing w:val="-1"/>
                <w:sz w:val="18"/>
              </w:rPr>
              <w:t>518,357,290,110</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43"/>
              <w:jc w:val="right"/>
              <w:rPr>
                <w:rFonts w:ascii="Arial" w:hAnsi="Arial" w:cs="Arial" w:eastAsia="Arial" w:hint="default"/>
                <w:sz w:val="18"/>
                <w:szCs w:val="18"/>
              </w:rPr>
            </w:pPr>
            <w:r>
              <w:rPr>
                <w:rFonts w:ascii="Arial"/>
                <w:spacing w:val="-1"/>
                <w:sz w:val="18"/>
              </w:rPr>
              <w:t>458,523,843,879</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32"/>
              <w:jc w:val="right"/>
              <w:rPr>
                <w:rFonts w:ascii="Arial" w:hAnsi="Arial" w:cs="Arial" w:eastAsia="Arial" w:hint="default"/>
                <w:sz w:val="18"/>
                <w:szCs w:val="18"/>
              </w:rPr>
            </w:pPr>
            <w:r>
              <w:rPr>
                <w:rFonts w:ascii="Arial"/>
                <w:spacing w:val="-1"/>
                <w:sz w:val="18"/>
              </w:rPr>
              <w:t>39,145,456,282</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43"/>
              <w:jc w:val="right"/>
              <w:rPr>
                <w:rFonts w:ascii="Arial" w:hAnsi="Arial" w:cs="Arial" w:eastAsia="Arial" w:hint="default"/>
                <w:sz w:val="18"/>
                <w:szCs w:val="18"/>
              </w:rPr>
            </w:pPr>
            <w:r>
              <w:rPr>
                <w:rFonts w:ascii="Arial"/>
                <w:spacing w:val="-1"/>
                <w:sz w:val="18"/>
              </w:rPr>
              <w:t>39,064,185,006</w:t>
            </w:r>
          </w:p>
        </w:tc>
      </w:tr>
    </w:tbl>
    <w:p>
      <w:pPr>
        <w:spacing w:after="0" w:line="240" w:lineRule="auto"/>
        <w:jc w:val="right"/>
        <w:rPr>
          <w:rFonts w:ascii="Arial" w:hAnsi="Arial" w:cs="Arial" w:eastAsia="Arial" w:hint="default"/>
          <w:sz w:val="18"/>
          <w:szCs w:val="18"/>
        </w:rPr>
        <w:sectPr>
          <w:headerReference w:type="default" r:id="rId26"/>
          <w:footerReference w:type="default" r:id="rId27"/>
          <w:pgSz w:w="11910" w:h="16840"/>
          <w:pgMar w:header="0" w:footer="745" w:top="1240" w:bottom="940" w:left="800" w:right="260"/>
        </w:sectPr>
      </w:pPr>
    </w:p>
    <w:p>
      <w:pPr>
        <w:pStyle w:val="BodyText"/>
        <w:spacing w:line="240" w:lineRule="auto" w:before="8"/>
        <w:ind w:left="129" w:right="0"/>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1"/>
        <w:rPr>
          <w:rFonts w:ascii="黑体" w:hAnsi="黑体" w:cs="黑体" w:eastAsia="黑体" w:hint="default"/>
          <w:sz w:val="19"/>
          <w:szCs w:val="19"/>
        </w:rPr>
      </w:pPr>
    </w:p>
    <w:p>
      <w:pPr>
        <w:pStyle w:val="BodyText"/>
        <w:spacing w:line="295" w:lineRule="exact"/>
        <w:ind w:left="129"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w:t>
      </w:r>
      <w:r>
        <w:rPr>
          <w:rFonts w:ascii="黑体" w:hAnsi="黑体" w:cs="黑体" w:eastAsia="黑体" w:hint="default"/>
          <w:spacing w:val="-57"/>
        </w:rPr>
        <w:t> </w:t>
      </w:r>
      <w:r>
        <w:rPr>
          <w:rFonts w:ascii="Arial" w:hAnsi="Arial" w:cs="Arial" w:eastAsia="Arial" w:hint="default"/>
        </w:rPr>
        <w:t>12</w:t>
      </w:r>
      <w:r>
        <w:rPr>
          <w:rFonts w:ascii="Arial" w:hAnsi="Arial" w:cs="Arial" w:eastAsia="Arial" w:hint="default"/>
          <w:spacing w:val="-8"/>
        </w:rPr>
        <w:t> </w:t>
      </w:r>
      <w:r>
        <w:rPr>
          <w:rFonts w:ascii="黑体" w:hAnsi="黑体" w:cs="黑体" w:eastAsia="黑体" w:hint="default"/>
        </w:rPr>
        <w:t>月</w:t>
      </w:r>
      <w:r>
        <w:rPr>
          <w:rFonts w:ascii="黑体" w:hAnsi="黑体" w:cs="黑体" w:eastAsia="黑体" w:hint="default"/>
          <w:spacing w:val="-57"/>
        </w:rPr>
        <w:t> </w:t>
      </w:r>
      <w:r>
        <w:rPr>
          <w:rFonts w:ascii="Arial" w:hAnsi="Arial" w:cs="Arial" w:eastAsia="Arial" w:hint="default"/>
        </w:rPr>
        <w:t>31</w:t>
      </w:r>
      <w:r>
        <w:rPr>
          <w:rFonts w:ascii="Arial" w:hAnsi="Arial" w:cs="Arial" w:eastAsia="Arial" w:hint="default"/>
          <w:spacing w:val="-8"/>
        </w:rPr>
        <w:t> </w:t>
      </w:r>
      <w:r>
        <w:rPr>
          <w:rFonts w:ascii="黑体" w:hAnsi="黑体" w:cs="黑体" w:eastAsia="黑体" w:hint="default"/>
        </w:rPr>
        <w:t>日合并及公司资产负债表（续）</w:t>
      </w:r>
    </w:p>
    <w:p>
      <w:pPr>
        <w:pStyle w:val="BodyText"/>
        <w:spacing w:line="279" w:lineRule="exact"/>
        <w:ind w:left="115" w:right="0"/>
        <w:jc w:val="left"/>
        <w:rPr>
          <w:rFonts w:ascii="黑体" w:hAnsi="黑体" w:cs="黑体" w:eastAsia="黑体" w:hint="default"/>
        </w:rPr>
      </w:pPr>
      <w:r>
        <w:rPr>
          <w:rFonts w:ascii="黑体" w:hAnsi="黑体" w:cs="黑体" w:eastAsia="黑体" w:hint="default"/>
        </w:rPr>
        <w:t>（除特别注明外，金额单位为人民币元）</w:t>
      </w:r>
    </w:p>
    <w:p>
      <w:pPr>
        <w:spacing w:line="240" w:lineRule="auto" w:before="12"/>
        <w:rPr>
          <w:rFonts w:ascii="黑体" w:hAnsi="黑体" w:cs="黑体" w:eastAsia="黑体" w:hint="default"/>
          <w:sz w:val="21"/>
          <w:szCs w:val="21"/>
        </w:rPr>
      </w:pPr>
    </w:p>
    <w:tbl>
      <w:tblPr>
        <w:tblW w:w="0" w:type="auto"/>
        <w:jc w:val="left"/>
        <w:tblInd w:w="108" w:type="dxa"/>
        <w:tblLayout w:type="fixed"/>
        <w:tblCellMar>
          <w:top w:w="0" w:type="dxa"/>
          <w:left w:w="0" w:type="dxa"/>
          <w:bottom w:w="0" w:type="dxa"/>
          <w:right w:w="0" w:type="dxa"/>
        </w:tblCellMar>
        <w:tblLook w:val="01E0"/>
      </w:tblPr>
      <w:tblGrid>
        <w:gridCol w:w="2590"/>
        <w:gridCol w:w="1225"/>
        <w:gridCol w:w="1667"/>
        <w:gridCol w:w="1665"/>
        <w:gridCol w:w="1656"/>
        <w:gridCol w:w="1720"/>
      </w:tblGrid>
      <w:tr>
        <w:trPr>
          <w:trHeight w:val="584"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656" w:right="0"/>
              <w:jc w:val="left"/>
              <w:rPr>
                <w:rFonts w:ascii="黑体" w:hAnsi="黑体" w:cs="黑体" w:eastAsia="黑体" w:hint="default"/>
                <w:sz w:val="18"/>
                <w:szCs w:val="18"/>
              </w:rPr>
            </w:pPr>
            <w:r>
              <w:rPr>
                <w:rFonts w:ascii="黑体" w:hAnsi="黑体" w:cs="黑体" w:eastAsia="黑体" w:hint="default"/>
                <w:sz w:val="18"/>
                <w:szCs w:val="18"/>
              </w:rPr>
              <w:t>负债和股东权益</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1" w:right="0"/>
              <w:jc w:val="center"/>
              <w:rPr>
                <w:rFonts w:ascii="黑体" w:hAnsi="黑体" w:cs="黑体" w:eastAsia="黑体" w:hint="default"/>
                <w:sz w:val="18"/>
                <w:szCs w:val="18"/>
              </w:rPr>
            </w:pPr>
            <w:r>
              <w:rPr>
                <w:rFonts w:ascii="黑体" w:hAnsi="黑体" w:cs="黑体" w:eastAsia="黑体" w:hint="default"/>
                <w:sz w:val="18"/>
                <w:szCs w:val="18"/>
              </w:rPr>
              <w:t>附注</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1"/>
              <w:ind w:left="24" w:right="0"/>
              <w:jc w:val="center"/>
              <w:rPr>
                <w:rFonts w:ascii="黑体" w:hAnsi="黑体" w:cs="黑体" w:eastAsia="黑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w:t>
            </w:r>
          </w:p>
          <w:p>
            <w:pPr>
              <w:pStyle w:val="TableParagraph"/>
              <w:spacing w:line="228" w:lineRule="exact"/>
              <w:ind w:right="68"/>
              <w:jc w:val="center"/>
              <w:rPr>
                <w:rFonts w:ascii="黑体" w:hAnsi="黑体" w:cs="黑体" w:eastAsia="黑体" w:hint="default"/>
                <w:sz w:val="18"/>
                <w:szCs w:val="18"/>
              </w:rPr>
            </w:pPr>
            <w:r>
              <w:rPr>
                <w:rFonts w:ascii="黑体" w:hAnsi="黑体" w:cs="黑体" w:eastAsia="黑体" w:hint="default"/>
                <w:sz w:val="18"/>
                <w:szCs w:val="18"/>
              </w:rPr>
              <w:t>合并</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1"/>
              <w:ind w:left="24" w:right="0"/>
              <w:jc w:val="center"/>
              <w:rPr>
                <w:rFonts w:ascii="黑体" w:hAnsi="黑体" w:cs="黑体" w:eastAsia="黑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w:t>
            </w:r>
          </w:p>
          <w:p>
            <w:pPr>
              <w:pStyle w:val="TableParagraph"/>
              <w:spacing w:line="228" w:lineRule="exact"/>
              <w:ind w:left="25" w:right="0"/>
              <w:jc w:val="center"/>
              <w:rPr>
                <w:rFonts w:ascii="黑体" w:hAnsi="黑体" w:cs="黑体" w:eastAsia="黑体" w:hint="default"/>
                <w:sz w:val="18"/>
                <w:szCs w:val="18"/>
              </w:rPr>
            </w:pPr>
            <w:r>
              <w:rPr>
                <w:rFonts w:ascii="黑体" w:hAnsi="黑体" w:cs="黑体" w:eastAsia="黑体" w:hint="default"/>
                <w:sz w:val="18"/>
                <w:szCs w:val="18"/>
              </w:rPr>
              <w:t>合并</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1"/>
              <w:ind w:right="11"/>
              <w:jc w:val="center"/>
              <w:rPr>
                <w:rFonts w:ascii="黑体" w:hAnsi="黑体" w:cs="黑体" w:eastAsia="黑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w:t>
            </w:r>
          </w:p>
          <w:p>
            <w:pPr>
              <w:pStyle w:val="TableParagraph"/>
              <w:spacing w:line="228" w:lineRule="exact"/>
              <w:ind w:left="26" w:right="0"/>
              <w:jc w:val="center"/>
              <w:rPr>
                <w:rFonts w:ascii="黑体" w:hAnsi="黑体" w:cs="黑体" w:eastAsia="黑体" w:hint="default"/>
                <w:sz w:val="18"/>
                <w:szCs w:val="18"/>
              </w:rPr>
            </w:pPr>
            <w:r>
              <w:rPr>
                <w:rFonts w:ascii="黑体" w:hAnsi="黑体" w:cs="黑体" w:eastAsia="黑体" w:hint="default"/>
                <w:sz w:val="18"/>
                <w:szCs w:val="18"/>
              </w:rPr>
              <w:t>公司</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1"/>
              <w:ind w:left="24" w:right="0"/>
              <w:jc w:val="center"/>
              <w:rPr>
                <w:rFonts w:ascii="黑体" w:hAnsi="黑体" w:cs="黑体" w:eastAsia="黑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w:t>
            </w:r>
          </w:p>
          <w:p>
            <w:pPr>
              <w:pStyle w:val="TableParagraph"/>
              <w:spacing w:line="228" w:lineRule="exact"/>
              <w:ind w:left="25" w:right="0"/>
              <w:jc w:val="center"/>
              <w:rPr>
                <w:rFonts w:ascii="黑体" w:hAnsi="黑体" w:cs="黑体" w:eastAsia="黑体" w:hint="default"/>
                <w:sz w:val="18"/>
                <w:szCs w:val="18"/>
              </w:rPr>
            </w:pPr>
            <w:r>
              <w:rPr>
                <w:rFonts w:ascii="黑体" w:hAnsi="黑体" w:cs="黑体" w:eastAsia="黑体" w:hint="default"/>
                <w:sz w:val="18"/>
                <w:szCs w:val="18"/>
              </w:rPr>
              <w:t>公司</w:t>
            </w:r>
          </w:p>
        </w:tc>
      </w:tr>
      <w:tr>
        <w:trPr>
          <w:trHeight w:val="256"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1" w:right="0"/>
              <w:jc w:val="left"/>
              <w:rPr>
                <w:rFonts w:ascii="黑体" w:hAnsi="黑体" w:cs="黑体" w:eastAsia="黑体" w:hint="default"/>
                <w:sz w:val="18"/>
                <w:szCs w:val="18"/>
              </w:rPr>
            </w:pPr>
            <w:r>
              <w:rPr>
                <w:rFonts w:ascii="黑体" w:hAnsi="黑体" w:cs="黑体" w:eastAsia="黑体" w:hint="default"/>
                <w:sz w:val="18"/>
                <w:szCs w:val="18"/>
              </w:rPr>
              <w:t>流动负债</w:t>
            </w:r>
          </w:p>
        </w:tc>
        <w:tc>
          <w:tcPr>
            <w:tcW w:w="1225" w:type="dxa"/>
            <w:tcBorders>
              <w:top w:val="single" w:sz="6" w:space="0" w:color="000000"/>
              <w:left w:val="single" w:sz="6" w:space="0" w:color="000000"/>
              <w:bottom w:val="single" w:sz="6" w:space="0" w:color="000000"/>
              <w:right w:val="single" w:sz="6" w:space="0" w:color="000000"/>
            </w:tcBorders>
          </w:tcPr>
          <w:p>
            <w:pPr/>
          </w:p>
        </w:tc>
        <w:tc>
          <w:tcPr>
            <w:tcW w:w="1667" w:type="dxa"/>
            <w:tcBorders>
              <w:top w:val="single" w:sz="6" w:space="0" w:color="000000"/>
              <w:left w:val="single" w:sz="6" w:space="0" w:color="000000"/>
              <w:bottom w:val="single" w:sz="6" w:space="0" w:color="000000"/>
              <w:right w:val="single" w:sz="6" w:space="0" w:color="000000"/>
            </w:tcBorders>
          </w:tcPr>
          <w:p>
            <w:pPr/>
          </w:p>
        </w:tc>
        <w:tc>
          <w:tcPr>
            <w:tcW w:w="1665"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720" w:type="dxa"/>
            <w:tcBorders>
              <w:top w:val="single" w:sz="6" w:space="0" w:color="000000"/>
              <w:left w:val="single" w:sz="6" w:space="0" w:color="000000"/>
              <w:bottom w:val="single" w:sz="6" w:space="0" w:color="000000"/>
              <w:right w:val="single" w:sz="6" w:space="0" w:color="000000"/>
            </w:tcBorders>
          </w:tcPr>
          <w:p>
            <w:pPr/>
          </w:p>
        </w:tc>
      </w:tr>
      <w:tr>
        <w:trPr>
          <w:trHeight w:val="255"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29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(16)</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339" w:right="0"/>
              <w:jc w:val="left"/>
              <w:rPr>
                <w:rFonts w:ascii="Arial" w:hAnsi="Arial" w:cs="Arial" w:eastAsia="Arial" w:hint="default"/>
                <w:sz w:val="18"/>
                <w:szCs w:val="18"/>
              </w:rPr>
            </w:pPr>
            <w:r>
              <w:rPr>
                <w:rFonts w:ascii="Arial"/>
                <w:sz w:val="18"/>
              </w:rPr>
              <w:t>69,175,125,170</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325" w:right="0"/>
              <w:jc w:val="left"/>
              <w:rPr>
                <w:rFonts w:ascii="Arial" w:hAnsi="Arial" w:cs="Arial" w:eastAsia="Arial" w:hint="default"/>
                <w:sz w:val="18"/>
                <w:szCs w:val="18"/>
              </w:rPr>
            </w:pPr>
            <w:r>
              <w:rPr>
                <w:rFonts w:ascii="Arial"/>
                <w:sz w:val="18"/>
              </w:rPr>
              <w:t>32,321,530,000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80"/>
              <w:jc w:val="right"/>
              <w:rPr>
                <w:rFonts w:ascii="Arial" w:hAnsi="Arial" w:cs="Arial" w:eastAsia="Arial" w:hint="default"/>
                <w:sz w:val="18"/>
                <w:szCs w:val="18"/>
              </w:rPr>
            </w:pPr>
            <w:r>
              <w:rPr>
                <w:rFonts w:ascii="Arial"/>
                <w:w w:val="99"/>
                <w:sz w:val="18"/>
              </w:rPr>
              <w:t>-</w:t>
            </w:r>
            <w:r>
              <w:rPr>
                <w:rFonts w:ascii="Arial"/>
                <w:sz w:val="18"/>
              </w:rPr>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108"/>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应付短期债券</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9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(17)</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39" w:right="0"/>
              <w:jc w:val="left"/>
              <w:rPr>
                <w:rFonts w:ascii="Arial" w:hAnsi="Arial" w:cs="Arial" w:eastAsia="Arial" w:hint="default"/>
                <w:sz w:val="18"/>
                <w:szCs w:val="18"/>
              </w:rPr>
            </w:pPr>
            <w:r>
              <w:rPr>
                <w:rFonts w:ascii="Arial"/>
                <w:sz w:val="18"/>
              </w:rPr>
              <w:t>38,000,000,000</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25" w:right="0"/>
              <w:jc w:val="left"/>
              <w:rPr>
                <w:rFonts w:ascii="Arial" w:hAnsi="Arial" w:cs="Arial" w:eastAsia="Arial" w:hint="default"/>
                <w:sz w:val="18"/>
                <w:szCs w:val="18"/>
              </w:rPr>
            </w:pPr>
            <w:r>
              <w:rPr>
                <w:rFonts w:ascii="Arial"/>
                <w:sz w:val="18"/>
              </w:rPr>
              <w:t>38,000,000,000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0"/>
              <w:jc w:val="right"/>
              <w:rPr>
                <w:rFonts w:ascii="Arial" w:hAnsi="Arial" w:cs="Arial" w:eastAsia="Arial" w:hint="default"/>
                <w:sz w:val="18"/>
                <w:szCs w:val="18"/>
              </w:rPr>
            </w:pPr>
            <w:r>
              <w:rPr>
                <w:rFonts w:ascii="Arial"/>
                <w:w w:val="99"/>
                <w:sz w:val="18"/>
              </w:rPr>
              <w:t>-</w:t>
            </w:r>
            <w:r>
              <w:rPr>
                <w:rFonts w:ascii="Arial"/>
                <w:sz w:val="18"/>
              </w:rPr>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9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(18)</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60"/>
              <w:jc w:val="right"/>
              <w:rPr>
                <w:rFonts w:ascii="Arial" w:hAnsi="Arial" w:cs="Arial" w:eastAsia="Arial" w:hint="default"/>
                <w:sz w:val="18"/>
                <w:szCs w:val="18"/>
              </w:rPr>
            </w:pPr>
            <w:r>
              <w:rPr>
                <w:rFonts w:ascii="Arial"/>
                <w:spacing w:val="-1"/>
                <w:sz w:val="18"/>
              </w:rPr>
              <w:t>285,077,142</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424" w:right="0"/>
              <w:jc w:val="left"/>
              <w:rPr>
                <w:rFonts w:ascii="Arial" w:hAnsi="Arial" w:cs="Arial" w:eastAsia="Arial" w:hint="default"/>
                <w:sz w:val="18"/>
                <w:szCs w:val="18"/>
              </w:rPr>
            </w:pPr>
            <w:r>
              <w:rPr>
                <w:rFonts w:ascii="Arial"/>
                <w:sz w:val="18"/>
              </w:rPr>
              <w:t>1,046,319,417</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0"/>
              <w:jc w:val="right"/>
              <w:rPr>
                <w:rFonts w:ascii="Arial" w:hAnsi="Arial" w:cs="Arial" w:eastAsia="Arial" w:hint="default"/>
                <w:sz w:val="18"/>
                <w:szCs w:val="18"/>
              </w:rPr>
            </w:pPr>
            <w:r>
              <w:rPr>
                <w:rFonts w:ascii="Arial"/>
                <w:w w:val="99"/>
                <w:sz w:val="18"/>
              </w:rPr>
              <w:t>-</w:t>
            </w:r>
            <w:r>
              <w:rPr>
                <w:rFonts w:ascii="Arial"/>
                <w:sz w:val="18"/>
              </w:rPr>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9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(19)</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38" w:right="0"/>
              <w:jc w:val="left"/>
              <w:rPr>
                <w:rFonts w:ascii="Arial" w:hAnsi="Arial" w:cs="Arial" w:eastAsia="Arial" w:hint="default"/>
                <w:sz w:val="18"/>
                <w:szCs w:val="18"/>
              </w:rPr>
            </w:pPr>
            <w:r>
              <w:rPr>
                <w:rFonts w:ascii="Arial"/>
                <w:sz w:val="18"/>
              </w:rPr>
              <w:t>103,512,018,697</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25" w:right="0"/>
              <w:jc w:val="left"/>
              <w:rPr>
                <w:rFonts w:ascii="Arial" w:hAnsi="Arial" w:cs="Arial" w:eastAsia="Arial" w:hint="default"/>
                <w:sz w:val="18"/>
                <w:szCs w:val="18"/>
              </w:rPr>
            </w:pPr>
            <w:r>
              <w:rPr>
                <w:rFonts w:ascii="Arial"/>
                <w:sz w:val="18"/>
              </w:rPr>
              <w:t>91,138,684,831</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0"/>
              <w:jc w:val="right"/>
              <w:rPr>
                <w:rFonts w:ascii="Arial" w:hAnsi="Arial" w:cs="Arial" w:eastAsia="Arial" w:hint="default"/>
                <w:sz w:val="18"/>
                <w:szCs w:val="18"/>
              </w:rPr>
            </w:pPr>
            <w:r>
              <w:rPr>
                <w:rFonts w:ascii="Arial"/>
                <w:w w:val="99"/>
                <w:sz w:val="18"/>
              </w:rPr>
              <w:t>-</w:t>
            </w:r>
            <w:r>
              <w:rPr>
                <w:rFonts w:ascii="Arial"/>
                <w:sz w:val="18"/>
              </w:rPr>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9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(20)</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39" w:right="0"/>
              <w:jc w:val="left"/>
              <w:rPr>
                <w:rFonts w:ascii="Arial" w:hAnsi="Arial" w:cs="Arial" w:eastAsia="Arial" w:hint="default"/>
                <w:sz w:val="18"/>
                <w:szCs w:val="18"/>
              </w:rPr>
            </w:pPr>
            <w:r>
              <w:rPr>
                <w:rFonts w:ascii="Arial"/>
                <w:sz w:val="18"/>
              </w:rPr>
              <w:t>43,083,175,709</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25" w:right="0"/>
              <w:jc w:val="left"/>
              <w:rPr>
                <w:rFonts w:ascii="Arial" w:hAnsi="Arial" w:cs="Arial" w:eastAsia="Arial" w:hint="default"/>
                <w:sz w:val="18"/>
                <w:szCs w:val="18"/>
              </w:rPr>
            </w:pPr>
            <w:r>
              <w:rPr>
                <w:rFonts w:ascii="Arial"/>
                <w:sz w:val="18"/>
              </w:rPr>
              <w:t>36,620,704,885</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0"/>
              <w:jc w:val="right"/>
              <w:rPr>
                <w:rFonts w:ascii="Arial" w:hAnsi="Arial" w:cs="Arial" w:eastAsia="Arial" w:hint="default"/>
                <w:sz w:val="18"/>
                <w:szCs w:val="18"/>
              </w:rPr>
            </w:pPr>
            <w:r>
              <w:rPr>
                <w:rFonts w:ascii="Arial"/>
                <w:w w:val="99"/>
                <w:sz w:val="18"/>
              </w:rPr>
              <w:t>-</w:t>
            </w:r>
            <w:r>
              <w:rPr>
                <w:rFonts w:ascii="Arial"/>
                <w:sz w:val="18"/>
              </w:rPr>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9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(21)</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60"/>
              <w:jc w:val="right"/>
              <w:rPr>
                <w:rFonts w:ascii="Arial" w:hAnsi="Arial" w:cs="Arial" w:eastAsia="Arial" w:hint="default"/>
                <w:sz w:val="18"/>
                <w:szCs w:val="18"/>
              </w:rPr>
            </w:pPr>
            <w:r>
              <w:rPr>
                <w:rFonts w:ascii="Arial"/>
                <w:spacing w:val="-1"/>
                <w:sz w:val="18"/>
              </w:rPr>
              <w:t>3,916,948,966</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424" w:right="0"/>
              <w:jc w:val="left"/>
              <w:rPr>
                <w:rFonts w:ascii="Arial" w:hAnsi="Arial" w:cs="Arial" w:eastAsia="Arial" w:hint="default"/>
                <w:sz w:val="18"/>
                <w:szCs w:val="18"/>
              </w:rPr>
            </w:pPr>
            <w:r>
              <w:rPr>
                <w:rFonts w:ascii="Arial"/>
                <w:sz w:val="18"/>
              </w:rPr>
              <w:t>3,550,320,691</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0"/>
              <w:jc w:val="right"/>
              <w:rPr>
                <w:rFonts w:ascii="Arial" w:hAnsi="Arial" w:cs="Arial" w:eastAsia="Arial" w:hint="default"/>
                <w:sz w:val="18"/>
                <w:szCs w:val="18"/>
              </w:rPr>
            </w:pPr>
            <w:r>
              <w:rPr>
                <w:rFonts w:ascii="Arial"/>
                <w:w w:val="99"/>
                <w:sz w:val="18"/>
              </w:rPr>
              <w:t>-</w:t>
            </w:r>
            <w:r>
              <w:rPr>
                <w:rFonts w:ascii="Arial"/>
                <w:sz w:val="18"/>
              </w:rPr>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9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(22)</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60"/>
              <w:jc w:val="right"/>
              <w:rPr>
                <w:rFonts w:ascii="Arial" w:hAnsi="Arial" w:cs="Arial" w:eastAsia="Arial" w:hint="default"/>
                <w:sz w:val="18"/>
                <w:szCs w:val="18"/>
              </w:rPr>
            </w:pPr>
            <w:r>
              <w:rPr>
                <w:rFonts w:ascii="Arial"/>
                <w:spacing w:val="-1"/>
                <w:sz w:val="18"/>
              </w:rPr>
              <w:t>1,832,111,706</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424" w:right="0"/>
              <w:jc w:val="left"/>
              <w:rPr>
                <w:rFonts w:ascii="Arial" w:hAnsi="Arial" w:cs="Arial" w:eastAsia="Arial" w:hint="default"/>
                <w:sz w:val="18"/>
                <w:szCs w:val="18"/>
              </w:rPr>
            </w:pPr>
            <w:r>
              <w:rPr>
                <w:rFonts w:ascii="Arial"/>
                <w:sz w:val="18"/>
              </w:rPr>
              <w:t>1,233,433,789</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1"/>
              <w:jc w:val="right"/>
              <w:rPr>
                <w:rFonts w:ascii="Arial" w:hAnsi="Arial" w:cs="Arial" w:eastAsia="Arial" w:hint="default"/>
                <w:sz w:val="18"/>
                <w:szCs w:val="18"/>
              </w:rPr>
            </w:pPr>
            <w:r>
              <w:rPr>
                <w:rFonts w:ascii="Arial"/>
                <w:spacing w:val="-1"/>
                <w:sz w:val="18"/>
              </w:rPr>
              <w:t>12,181,648</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9"/>
              <w:jc w:val="right"/>
              <w:rPr>
                <w:rFonts w:ascii="Arial" w:hAnsi="Arial" w:cs="Arial" w:eastAsia="Arial" w:hint="default"/>
                <w:sz w:val="18"/>
                <w:szCs w:val="18"/>
              </w:rPr>
            </w:pPr>
            <w:r>
              <w:rPr>
                <w:rFonts w:ascii="Arial"/>
                <w:spacing w:val="-1"/>
                <w:sz w:val="18"/>
              </w:rPr>
              <w:t>71,267</w:t>
            </w:r>
          </w:p>
        </w:tc>
      </w:tr>
      <w:tr>
        <w:trPr>
          <w:trHeight w:val="256"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9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(23)</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60"/>
              <w:jc w:val="right"/>
              <w:rPr>
                <w:rFonts w:ascii="Arial" w:hAnsi="Arial" w:cs="Arial" w:eastAsia="Arial" w:hint="default"/>
                <w:sz w:val="18"/>
                <w:szCs w:val="18"/>
              </w:rPr>
            </w:pPr>
            <w:r>
              <w:rPr>
                <w:rFonts w:ascii="Arial"/>
                <w:spacing w:val="-1"/>
                <w:sz w:val="18"/>
              </w:rPr>
              <w:t>845,799,827</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72"/>
              <w:jc w:val="right"/>
              <w:rPr>
                <w:rFonts w:ascii="Arial" w:hAnsi="Arial" w:cs="Arial" w:eastAsia="Arial" w:hint="default"/>
                <w:sz w:val="18"/>
                <w:szCs w:val="18"/>
              </w:rPr>
            </w:pPr>
            <w:r>
              <w:rPr>
                <w:rFonts w:ascii="Arial"/>
                <w:spacing w:val="-1"/>
                <w:sz w:val="18"/>
              </w:rPr>
              <w:t>834,595,861</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0"/>
              <w:jc w:val="right"/>
              <w:rPr>
                <w:rFonts w:ascii="Arial" w:hAnsi="Arial" w:cs="Arial" w:eastAsia="Arial" w:hint="default"/>
                <w:sz w:val="18"/>
                <w:szCs w:val="18"/>
              </w:rPr>
            </w:pPr>
            <w:r>
              <w:rPr>
                <w:rFonts w:ascii="Arial"/>
                <w:w w:val="99"/>
                <w:sz w:val="18"/>
              </w:rPr>
              <w:t>-</w:t>
            </w:r>
            <w:r>
              <w:rPr>
                <w:rFonts w:ascii="Arial"/>
                <w:sz w:val="18"/>
              </w:rPr>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9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(24)</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60"/>
              <w:jc w:val="right"/>
              <w:rPr>
                <w:rFonts w:ascii="Arial" w:hAnsi="Arial" w:cs="Arial" w:eastAsia="Arial" w:hint="default"/>
                <w:sz w:val="18"/>
                <w:szCs w:val="18"/>
              </w:rPr>
            </w:pPr>
            <w:r>
              <w:rPr>
                <w:rFonts w:ascii="Arial"/>
                <w:spacing w:val="-1"/>
                <w:sz w:val="18"/>
              </w:rPr>
              <w:t>8,940,742</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72"/>
              <w:jc w:val="right"/>
              <w:rPr>
                <w:rFonts w:ascii="Arial" w:hAnsi="Arial" w:cs="Arial" w:eastAsia="Arial" w:hint="default"/>
                <w:sz w:val="18"/>
                <w:szCs w:val="18"/>
              </w:rPr>
            </w:pPr>
            <w:r>
              <w:rPr>
                <w:rFonts w:ascii="Arial"/>
                <w:spacing w:val="-1"/>
                <w:sz w:val="18"/>
              </w:rPr>
              <w:t>8,940,742</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0"/>
              <w:jc w:val="right"/>
              <w:rPr>
                <w:rFonts w:ascii="Arial" w:hAnsi="Arial" w:cs="Arial" w:eastAsia="Arial" w:hint="default"/>
                <w:sz w:val="18"/>
                <w:szCs w:val="18"/>
              </w:rPr>
            </w:pPr>
            <w:r>
              <w:rPr>
                <w:rFonts w:ascii="Arial"/>
                <w:w w:val="99"/>
                <w:sz w:val="18"/>
              </w:rPr>
              <w:t>-</w:t>
            </w:r>
            <w:r>
              <w:rPr>
                <w:rFonts w:ascii="Arial"/>
                <w:sz w:val="18"/>
              </w:rPr>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9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(25)</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60"/>
              <w:jc w:val="right"/>
              <w:rPr>
                <w:rFonts w:ascii="Arial" w:hAnsi="Arial" w:cs="Arial" w:eastAsia="Arial" w:hint="default"/>
                <w:sz w:val="18"/>
                <w:szCs w:val="18"/>
              </w:rPr>
            </w:pPr>
            <w:r>
              <w:rPr>
                <w:rFonts w:ascii="Arial"/>
                <w:spacing w:val="-1"/>
                <w:sz w:val="18"/>
              </w:rPr>
              <w:t>8,959,530,980</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424" w:right="0"/>
              <w:jc w:val="left"/>
              <w:rPr>
                <w:rFonts w:ascii="Arial" w:hAnsi="Arial" w:cs="Arial" w:eastAsia="Arial" w:hint="default"/>
                <w:sz w:val="18"/>
                <w:szCs w:val="18"/>
              </w:rPr>
            </w:pPr>
            <w:r>
              <w:rPr>
                <w:rFonts w:ascii="Arial"/>
                <w:sz w:val="18"/>
              </w:rPr>
              <w:t>8,607,473,651</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1"/>
              <w:jc w:val="right"/>
              <w:rPr>
                <w:rFonts w:ascii="Arial" w:hAnsi="Arial" w:cs="Arial" w:eastAsia="Arial" w:hint="default"/>
                <w:sz w:val="18"/>
                <w:szCs w:val="18"/>
              </w:rPr>
            </w:pPr>
            <w:r>
              <w:rPr>
                <w:rFonts w:ascii="Arial"/>
                <w:spacing w:val="-1"/>
                <w:sz w:val="18"/>
              </w:rPr>
              <w:t>2,859,636</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spacing w:val="-1"/>
                <w:sz w:val="18"/>
              </w:rPr>
              <w:t>2,816,515</w:t>
            </w:r>
          </w:p>
        </w:tc>
      </w:tr>
      <w:tr>
        <w:trPr>
          <w:trHeight w:val="254"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9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(26)</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39" w:right="0"/>
              <w:jc w:val="left"/>
              <w:rPr>
                <w:rFonts w:ascii="Arial" w:hAnsi="Arial" w:cs="Arial" w:eastAsia="Arial" w:hint="default"/>
                <w:sz w:val="18"/>
                <w:szCs w:val="18"/>
              </w:rPr>
            </w:pPr>
            <w:r>
              <w:rPr>
                <w:rFonts w:ascii="Arial"/>
                <w:sz w:val="18"/>
              </w:rPr>
              <w:t>32,193,020,545</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72"/>
              <w:jc w:val="right"/>
              <w:rPr>
                <w:rFonts w:ascii="Arial" w:hAnsi="Arial" w:cs="Arial" w:eastAsia="Arial" w:hint="default"/>
                <w:sz w:val="18"/>
                <w:szCs w:val="18"/>
              </w:rPr>
            </w:pPr>
            <w:r>
              <w:rPr>
                <w:rFonts w:ascii="Arial"/>
                <w:spacing w:val="-1"/>
                <w:sz w:val="18"/>
              </w:rPr>
              <w:t>127,919,616</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0"/>
              <w:jc w:val="right"/>
              <w:rPr>
                <w:rFonts w:ascii="Arial" w:hAnsi="Arial" w:cs="Arial" w:eastAsia="Arial" w:hint="default"/>
                <w:sz w:val="18"/>
                <w:szCs w:val="18"/>
              </w:rPr>
            </w:pPr>
            <w:r>
              <w:rPr>
                <w:rFonts w:ascii="Arial"/>
                <w:w w:val="99"/>
                <w:sz w:val="18"/>
              </w:rPr>
              <w:t>-</w:t>
            </w:r>
            <w:r>
              <w:rPr>
                <w:rFonts w:ascii="Arial"/>
                <w:sz w:val="18"/>
              </w:rPr>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1" w:right="0"/>
              <w:jc w:val="left"/>
              <w:rPr>
                <w:rFonts w:ascii="黑体" w:hAnsi="黑体" w:cs="黑体" w:eastAsia="黑体" w:hint="default"/>
                <w:sz w:val="18"/>
                <w:szCs w:val="18"/>
              </w:rPr>
            </w:pPr>
            <w:r>
              <w:rPr>
                <w:rFonts w:ascii="黑体" w:hAnsi="黑体" w:cs="黑体" w:eastAsia="黑体" w:hint="default"/>
                <w:sz w:val="18"/>
                <w:szCs w:val="18"/>
              </w:rPr>
              <w:t>流动负债合计</w:t>
            </w:r>
          </w:p>
        </w:tc>
        <w:tc>
          <w:tcPr>
            <w:tcW w:w="1225" w:type="dxa"/>
            <w:tcBorders>
              <w:top w:val="single" w:sz="6" w:space="0" w:color="000000"/>
              <w:left w:val="single" w:sz="6" w:space="0" w:color="000000"/>
              <w:bottom w:val="single" w:sz="6" w:space="0" w:color="000000"/>
              <w:right w:val="single" w:sz="6" w:space="0" w:color="000000"/>
            </w:tcBorders>
          </w:tcPr>
          <w:p>
            <w:pP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38" w:right="0"/>
              <w:jc w:val="left"/>
              <w:rPr>
                <w:rFonts w:ascii="Arial" w:hAnsi="Arial" w:cs="Arial" w:eastAsia="Arial" w:hint="default"/>
                <w:sz w:val="18"/>
                <w:szCs w:val="18"/>
              </w:rPr>
            </w:pPr>
            <w:r>
              <w:rPr>
                <w:rFonts w:ascii="Arial"/>
                <w:sz w:val="18"/>
              </w:rPr>
              <w:t>301,811,749,484</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24" w:right="0"/>
              <w:jc w:val="left"/>
              <w:rPr>
                <w:rFonts w:ascii="Arial" w:hAnsi="Arial" w:cs="Arial" w:eastAsia="Arial" w:hint="default"/>
                <w:sz w:val="18"/>
                <w:szCs w:val="18"/>
              </w:rPr>
            </w:pPr>
            <w:r>
              <w:rPr>
                <w:rFonts w:ascii="Arial"/>
                <w:sz w:val="18"/>
              </w:rPr>
              <w:t>213,489,923,483</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1"/>
              <w:jc w:val="right"/>
              <w:rPr>
                <w:rFonts w:ascii="Arial" w:hAnsi="Arial" w:cs="Arial" w:eastAsia="Arial" w:hint="default"/>
                <w:sz w:val="18"/>
                <w:szCs w:val="18"/>
              </w:rPr>
            </w:pPr>
            <w:r>
              <w:rPr>
                <w:rFonts w:ascii="Arial"/>
                <w:spacing w:val="-1"/>
                <w:sz w:val="18"/>
              </w:rPr>
              <w:t>15,041,284</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spacing w:val="-1"/>
                <w:sz w:val="18"/>
              </w:rPr>
              <w:t>2,887,782</w:t>
            </w:r>
          </w:p>
        </w:tc>
      </w:tr>
      <w:tr>
        <w:trPr>
          <w:trHeight w:val="254" w:hRule="exact"/>
        </w:trPr>
        <w:tc>
          <w:tcPr>
            <w:tcW w:w="2590" w:type="dxa"/>
            <w:tcBorders>
              <w:top w:val="single" w:sz="6" w:space="0" w:color="000000"/>
              <w:left w:val="single" w:sz="6" w:space="0" w:color="000000"/>
              <w:bottom w:val="single" w:sz="6" w:space="0" w:color="000000"/>
              <w:right w:val="single" w:sz="6" w:space="0" w:color="000000"/>
            </w:tcBorders>
          </w:tcPr>
          <w:p>
            <w:pPr/>
          </w:p>
        </w:tc>
        <w:tc>
          <w:tcPr>
            <w:tcW w:w="1225" w:type="dxa"/>
            <w:tcBorders>
              <w:top w:val="single" w:sz="6" w:space="0" w:color="000000"/>
              <w:left w:val="single" w:sz="6" w:space="0" w:color="000000"/>
              <w:bottom w:val="single" w:sz="6" w:space="0" w:color="000000"/>
              <w:right w:val="single" w:sz="6" w:space="0" w:color="000000"/>
            </w:tcBorders>
          </w:tcPr>
          <w:p>
            <w:pPr/>
          </w:p>
        </w:tc>
        <w:tc>
          <w:tcPr>
            <w:tcW w:w="1667" w:type="dxa"/>
            <w:tcBorders>
              <w:top w:val="single" w:sz="6" w:space="0" w:color="000000"/>
              <w:left w:val="single" w:sz="6" w:space="0" w:color="000000"/>
              <w:bottom w:val="single" w:sz="6" w:space="0" w:color="000000"/>
              <w:right w:val="single" w:sz="6" w:space="0" w:color="000000"/>
            </w:tcBorders>
          </w:tcPr>
          <w:p>
            <w:pPr/>
          </w:p>
        </w:tc>
        <w:tc>
          <w:tcPr>
            <w:tcW w:w="1665"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720"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1" w:right="0"/>
              <w:jc w:val="left"/>
              <w:rPr>
                <w:rFonts w:ascii="黑体" w:hAnsi="黑体" w:cs="黑体" w:eastAsia="黑体" w:hint="default"/>
                <w:sz w:val="18"/>
                <w:szCs w:val="18"/>
              </w:rPr>
            </w:pPr>
            <w:r>
              <w:rPr>
                <w:rFonts w:ascii="黑体" w:hAnsi="黑体" w:cs="黑体" w:eastAsia="黑体" w:hint="default"/>
                <w:sz w:val="18"/>
                <w:szCs w:val="18"/>
              </w:rPr>
              <w:t>非流动负债</w:t>
            </w:r>
          </w:p>
        </w:tc>
        <w:tc>
          <w:tcPr>
            <w:tcW w:w="1225" w:type="dxa"/>
            <w:tcBorders>
              <w:top w:val="single" w:sz="6" w:space="0" w:color="000000"/>
              <w:left w:val="single" w:sz="6" w:space="0" w:color="000000"/>
              <w:bottom w:val="single" w:sz="6" w:space="0" w:color="000000"/>
              <w:right w:val="single" w:sz="6" w:space="0" w:color="000000"/>
            </w:tcBorders>
          </w:tcPr>
          <w:p>
            <w:pPr/>
          </w:p>
        </w:tc>
        <w:tc>
          <w:tcPr>
            <w:tcW w:w="1667" w:type="dxa"/>
            <w:tcBorders>
              <w:top w:val="single" w:sz="6" w:space="0" w:color="000000"/>
              <w:left w:val="single" w:sz="6" w:space="0" w:color="000000"/>
              <w:bottom w:val="single" w:sz="6" w:space="0" w:color="000000"/>
              <w:right w:val="single" w:sz="6" w:space="0" w:color="000000"/>
            </w:tcBorders>
          </w:tcPr>
          <w:p>
            <w:pPr/>
          </w:p>
        </w:tc>
        <w:tc>
          <w:tcPr>
            <w:tcW w:w="1665"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720"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9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(27)</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60"/>
              <w:jc w:val="right"/>
              <w:rPr>
                <w:rFonts w:ascii="Arial" w:hAnsi="Arial" w:cs="Arial" w:eastAsia="Arial" w:hint="default"/>
                <w:sz w:val="18"/>
                <w:szCs w:val="18"/>
              </w:rPr>
            </w:pPr>
            <w:r>
              <w:rPr>
                <w:rFonts w:ascii="Arial"/>
                <w:spacing w:val="-1"/>
                <w:sz w:val="18"/>
              </w:rPr>
              <w:t>535,851,778</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424" w:right="0"/>
              <w:jc w:val="left"/>
              <w:rPr>
                <w:rFonts w:ascii="Arial" w:hAnsi="Arial" w:cs="Arial" w:eastAsia="Arial" w:hint="default"/>
                <w:sz w:val="18"/>
                <w:szCs w:val="18"/>
              </w:rPr>
            </w:pPr>
            <w:r>
              <w:rPr>
                <w:rFonts w:ascii="Arial"/>
                <w:sz w:val="18"/>
              </w:rPr>
              <w:t>1,383,679,474</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0"/>
              <w:jc w:val="right"/>
              <w:rPr>
                <w:rFonts w:ascii="Arial" w:hAnsi="Arial" w:cs="Arial" w:eastAsia="Arial" w:hint="default"/>
                <w:sz w:val="18"/>
                <w:szCs w:val="18"/>
              </w:rPr>
            </w:pPr>
            <w:r>
              <w:rPr>
                <w:rFonts w:ascii="Arial"/>
                <w:w w:val="99"/>
                <w:sz w:val="18"/>
              </w:rPr>
              <w:t>-</w:t>
            </w:r>
            <w:r>
              <w:rPr>
                <w:rFonts w:ascii="Arial"/>
                <w:sz w:val="18"/>
              </w:rPr>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9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(28)</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60"/>
              <w:jc w:val="right"/>
              <w:rPr>
                <w:rFonts w:ascii="Arial" w:hAnsi="Arial" w:cs="Arial" w:eastAsia="Arial" w:hint="default"/>
                <w:sz w:val="18"/>
                <w:szCs w:val="18"/>
              </w:rPr>
            </w:pPr>
            <w:r>
              <w:rPr>
                <w:rFonts w:ascii="Arial"/>
                <w:spacing w:val="-1"/>
                <w:sz w:val="18"/>
              </w:rPr>
              <w:t>2,000,000,000</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25" w:right="0"/>
              <w:jc w:val="left"/>
              <w:rPr>
                <w:rFonts w:ascii="Arial" w:hAnsi="Arial" w:cs="Arial" w:eastAsia="Arial" w:hint="default"/>
                <w:sz w:val="18"/>
                <w:szCs w:val="18"/>
              </w:rPr>
            </w:pPr>
            <w:r>
              <w:rPr>
                <w:rFonts w:ascii="Arial"/>
                <w:sz w:val="18"/>
              </w:rPr>
              <w:t>33,118,105,681</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0"/>
              <w:jc w:val="right"/>
              <w:rPr>
                <w:rFonts w:ascii="Arial" w:hAnsi="Arial" w:cs="Arial" w:eastAsia="Arial" w:hint="default"/>
                <w:sz w:val="18"/>
                <w:szCs w:val="18"/>
              </w:rPr>
            </w:pPr>
            <w:r>
              <w:rPr>
                <w:rFonts w:ascii="Arial"/>
                <w:w w:val="99"/>
                <w:sz w:val="18"/>
              </w:rPr>
              <w:t>-</w:t>
            </w:r>
            <w:r>
              <w:rPr>
                <w:rFonts w:ascii="Arial"/>
                <w:sz w:val="18"/>
              </w:rPr>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9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(29)</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60"/>
              <w:jc w:val="right"/>
              <w:rPr>
                <w:rFonts w:ascii="Arial" w:hAnsi="Arial" w:cs="Arial" w:eastAsia="Arial" w:hint="default"/>
                <w:sz w:val="18"/>
                <w:szCs w:val="18"/>
              </w:rPr>
            </w:pPr>
            <w:r>
              <w:rPr>
                <w:rFonts w:ascii="Arial"/>
                <w:spacing w:val="-1"/>
                <w:sz w:val="18"/>
              </w:rPr>
              <w:t>331,300,694</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73"/>
              <w:jc w:val="right"/>
              <w:rPr>
                <w:rFonts w:ascii="Arial" w:hAnsi="Arial" w:cs="Arial" w:eastAsia="Arial" w:hint="default"/>
                <w:sz w:val="18"/>
                <w:szCs w:val="18"/>
              </w:rPr>
            </w:pPr>
            <w:r>
              <w:rPr>
                <w:rFonts w:ascii="Arial"/>
                <w:spacing w:val="-1"/>
                <w:sz w:val="18"/>
              </w:rPr>
              <w:t>88,460,997</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0"/>
              <w:jc w:val="right"/>
              <w:rPr>
                <w:rFonts w:ascii="Arial" w:hAnsi="Arial" w:cs="Arial" w:eastAsia="Arial" w:hint="default"/>
                <w:sz w:val="18"/>
                <w:szCs w:val="18"/>
              </w:rPr>
            </w:pPr>
            <w:r>
              <w:rPr>
                <w:rFonts w:ascii="Arial"/>
                <w:w w:val="99"/>
                <w:sz w:val="18"/>
              </w:rPr>
              <w:t>-</w:t>
            </w:r>
            <w:r>
              <w:rPr>
                <w:rFonts w:ascii="Arial"/>
                <w:sz w:val="18"/>
              </w:rPr>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pacing w:val="-4"/>
                <w:sz w:val="18"/>
                <w:szCs w:val="18"/>
              </w:rPr>
              <w:t>其他非流动负债（递延收益）</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9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(30)</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60"/>
              <w:jc w:val="right"/>
              <w:rPr>
                <w:rFonts w:ascii="Arial" w:hAnsi="Arial" w:cs="Arial" w:eastAsia="Arial" w:hint="default"/>
                <w:sz w:val="18"/>
                <w:szCs w:val="18"/>
              </w:rPr>
            </w:pPr>
            <w:r>
              <w:rPr>
                <w:rFonts w:ascii="Arial"/>
                <w:spacing w:val="-1"/>
                <w:sz w:val="18"/>
              </w:rPr>
              <w:t>1,411,941,680</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424" w:right="0"/>
              <w:jc w:val="left"/>
              <w:rPr>
                <w:rFonts w:ascii="Arial" w:hAnsi="Arial" w:cs="Arial" w:eastAsia="Arial" w:hint="default"/>
                <w:sz w:val="18"/>
                <w:szCs w:val="18"/>
              </w:rPr>
            </w:pPr>
            <w:r>
              <w:rPr>
                <w:rFonts w:ascii="Arial"/>
                <w:sz w:val="18"/>
              </w:rPr>
              <w:t>1,801,330,590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0"/>
              <w:jc w:val="right"/>
              <w:rPr>
                <w:rFonts w:ascii="Arial" w:hAnsi="Arial" w:cs="Arial" w:eastAsia="Arial" w:hint="default"/>
                <w:sz w:val="18"/>
                <w:szCs w:val="18"/>
              </w:rPr>
            </w:pPr>
            <w:r>
              <w:rPr>
                <w:rFonts w:ascii="Arial"/>
                <w:w w:val="99"/>
                <w:sz w:val="18"/>
              </w:rPr>
              <w:t>-</w:t>
            </w:r>
            <w:r>
              <w:rPr>
                <w:rFonts w:ascii="Arial"/>
                <w:sz w:val="18"/>
              </w:rPr>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9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(45)</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61"/>
              <w:jc w:val="right"/>
              <w:rPr>
                <w:rFonts w:ascii="Arial" w:hAnsi="Arial" w:cs="Arial" w:eastAsia="Arial" w:hint="default"/>
                <w:sz w:val="18"/>
                <w:szCs w:val="18"/>
              </w:rPr>
            </w:pPr>
            <w:r>
              <w:rPr>
                <w:rFonts w:ascii="Arial"/>
                <w:spacing w:val="-1"/>
                <w:sz w:val="18"/>
              </w:rPr>
              <w:t>32,133,209</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73"/>
              <w:jc w:val="right"/>
              <w:rPr>
                <w:rFonts w:ascii="Arial" w:hAnsi="Arial" w:cs="Arial" w:eastAsia="Arial" w:hint="default"/>
                <w:sz w:val="18"/>
                <w:szCs w:val="18"/>
              </w:rPr>
            </w:pPr>
            <w:r>
              <w:rPr>
                <w:rFonts w:ascii="Arial"/>
                <w:spacing w:val="-1"/>
                <w:sz w:val="18"/>
              </w:rPr>
              <w:t>31,647,601</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0"/>
              <w:jc w:val="right"/>
              <w:rPr>
                <w:rFonts w:ascii="Arial" w:hAnsi="Arial" w:cs="Arial" w:eastAsia="Arial" w:hint="default"/>
                <w:sz w:val="18"/>
                <w:szCs w:val="18"/>
              </w:rPr>
            </w:pPr>
            <w:r>
              <w:rPr>
                <w:rFonts w:ascii="Arial"/>
                <w:w w:val="99"/>
                <w:sz w:val="18"/>
              </w:rPr>
              <w:t>-</w:t>
            </w:r>
            <w:r>
              <w:rPr>
                <w:rFonts w:ascii="Arial"/>
                <w:sz w:val="18"/>
              </w:rPr>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1" w:right="0"/>
              <w:jc w:val="left"/>
              <w:rPr>
                <w:rFonts w:ascii="黑体" w:hAnsi="黑体" w:cs="黑体" w:eastAsia="黑体" w:hint="default"/>
                <w:sz w:val="18"/>
                <w:szCs w:val="18"/>
              </w:rPr>
            </w:pPr>
            <w:r>
              <w:rPr>
                <w:rFonts w:ascii="黑体" w:hAnsi="黑体" w:cs="黑体" w:eastAsia="黑体" w:hint="default"/>
                <w:sz w:val="18"/>
                <w:szCs w:val="18"/>
              </w:rPr>
              <w:t>非流动负债合计</w:t>
            </w:r>
          </w:p>
        </w:tc>
        <w:tc>
          <w:tcPr>
            <w:tcW w:w="1225" w:type="dxa"/>
            <w:tcBorders>
              <w:top w:val="single" w:sz="6" w:space="0" w:color="000000"/>
              <w:left w:val="single" w:sz="6" w:space="0" w:color="000000"/>
              <w:bottom w:val="single" w:sz="6" w:space="0" w:color="000000"/>
              <w:right w:val="single" w:sz="6" w:space="0" w:color="000000"/>
            </w:tcBorders>
          </w:tcPr>
          <w:p>
            <w:pP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60"/>
              <w:jc w:val="right"/>
              <w:rPr>
                <w:rFonts w:ascii="Arial" w:hAnsi="Arial" w:cs="Arial" w:eastAsia="Arial" w:hint="default"/>
                <w:sz w:val="18"/>
                <w:szCs w:val="18"/>
              </w:rPr>
            </w:pPr>
            <w:r>
              <w:rPr>
                <w:rFonts w:ascii="Arial"/>
                <w:spacing w:val="-1"/>
                <w:sz w:val="18"/>
              </w:rPr>
              <w:t>4,311,227,361</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25" w:right="0"/>
              <w:jc w:val="left"/>
              <w:rPr>
                <w:rFonts w:ascii="Arial" w:hAnsi="Arial" w:cs="Arial" w:eastAsia="Arial" w:hint="default"/>
                <w:sz w:val="18"/>
                <w:szCs w:val="18"/>
              </w:rPr>
            </w:pPr>
            <w:r>
              <w:rPr>
                <w:rFonts w:ascii="Arial"/>
                <w:sz w:val="18"/>
              </w:rPr>
              <w:t>36,423,224,343</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0"/>
              <w:jc w:val="right"/>
              <w:rPr>
                <w:rFonts w:ascii="Arial" w:hAnsi="Arial" w:cs="Arial" w:eastAsia="Arial" w:hint="default"/>
                <w:sz w:val="18"/>
                <w:szCs w:val="18"/>
              </w:rPr>
            </w:pPr>
            <w:r>
              <w:rPr>
                <w:rFonts w:ascii="Arial"/>
                <w:w w:val="99"/>
                <w:sz w:val="18"/>
              </w:rPr>
              <w:t>-</w:t>
            </w:r>
            <w:r>
              <w:rPr>
                <w:rFonts w:ascii="Arial"/>
                <w:sz w:val="18"/>
              </w:rPr>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2590" w:type="dxa"/>
            <w:tcBorders>
              <w:top w:val="single" w:sz="6" w:space="0" w:color="000000"/>
              <w:left w:val="single" w:sz="6" w:space="0" w:color="000000"/>
              <w:bottom w:val="single" w:sz="6" w:space="0" w:color="000000"/>
              <w:right w:val="single" w:sz="6" w:space="0" w:color="000000"/>
            </w:tcBorders>
          </w:tcPr>
          <w:p>
            <w:pPr/>
          </w:p>
        </w:tc>
        <w:tc>
          <w:tcPr>
            <w:tcW w:w="1225" w:type="dxa"/>
            <w:tcBorders>
              <w:top w:val="single" w:sz="6" w:space="0" w:color="000000"/>
              <w:left w:val="single" w:sz="6" w:space="0" w:color="000000"/>
              <w:bottom w:val="single" w:sz="6" w:space="0" w:color="000000"/>
              <w:right w:val="single" w:sz="6" w:space="0" w:color="000000"/>
            </w:tcBorders>
          </w:tcPr>
          <w:p>
            <w:pPr/>
          </w:p>
        </w:tc>
        <w:tc>
          <w:tcPr>
            <w:tcW w:w="1667" w:type="dxa"/>
            <w:tcBorders>
              <w:top w:val="single" w:sz="6" w:space="0" w:color="000000"/>
              <w:left w:val="single" w:sz="6" w:space="0" w:color="000000"/>
              <w:bottom w:val="single" w:sz="6" w:space="0" w:color="000000"/>
              <w:right w:val="single" w:sz="6" w:space="0" w:color="000000"/>
            </w:tcBorders>
          </w:tcPr>
          <w:p>
            <w:pPr/>
          </w:p>
        </w:tc>
        <w:tc>
          <w:tcPr>
            <w:tcW w:w="1665"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720"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1" w:right="0"/>
              <w:jc w:val="left"/>
              <w:rPr>
                <w:rFonts w:ascii="黑体" w:hAnsi="黑体" w:cs="黑体" w:eastAsia="黑体" w:hint="default"/>
                <w:sz w:val="18"/>
                <w:szCs w:val="18"/>
              </w:rPr>
            </w:pPr>
            <w:r>
              <w:rPr>
                <w:rFonts w:ascii="黑体" w:hAnsi="黑体" w:cs="黑体" w:eastAsia="黑体" w:hint="default"/>
                <w:sz w:val="18"/>
                <w:szCs w:val="18"/>
              </w:rPr>
              <w:t>负债合计</w:t>
            </w:r>
          </w:p>
        </w:tc>
        <w:tc>
          <w:tcPr>
            <w:tcW w:w="1225" w:type="dxa"/>
            <w:tcBorders>
              <w:top w:val="single" w:sz="6" w:space="0" w:color="000000"/>
              <w:left w:val="single" w:sz="6" w:space="0" w:color="000000"/>
              <w:bottom w:val="single" w:sz="6" w:space="0" w:color="000000"/>
              <w:right w:val="single" w:sz="6" w:space="0" w:color="000000"/>
            </w:tcBorders>
          </w:tcPr>
          <w:p>
            <w:pP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38" w:right="0"/>
              <w:jc w:val="left"/>
              <w:rPr>
                <w:rFonts w:ascii="Arial" w:hAnsi="Arial" w:cs="Arial" w:eastAsia="Arial" w:hint="default"/>
                <w:sz w:val="18"/>
                <w:szCs w:val="18"/>
              </w:rPr>
            </w:pPr>
            <w:r>
              <w:rPr>
                <w:rFonts w:ascii="Arial"/>
                <w:sz w:val="18"/>
              </w:rPr>
              <w:t>306,122,976,845</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24" w:right="0"/>
              <w:jc w:val="left"/>
              <w:rPr>
                <w:rFonts w:ascii="Arial" w:hAnsi="Arial" w:cs="Arial" w:eastAsia="Arial" w:hint="default"/>
                <w:sz w:val="18"/>
                <w:szCs w:val="18"/>
              </w:rPr>
            </w:pPr>
            <w:r>
              <w:rPr>
                <w:rFonts w:ascii="Arial"/>
                <w:sz w:val="18"/>
              </w:rPr>
              <w:t>249,913,147,826</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1"/>
              <w:jc w:val="right"/>
              <w:rPr>
                <w:rFonts w:ascii="Arial" w:hAnsi="Arial" w:cs="Arial" w:eastAsia="Arial" w:hint="default"/>
                <w:sz w:val="18"/>
                <w:szCs w:val="18"/>
              </w:rPr>
            </w:pPr>
            <w:r>
              <w:rPr>
                <w:rFonts w:ascii="Arial"/>
                <w:spacing w:val="-1"/>
                <w:sz w:val="18"/>
              </w:rPr>
              <w:t>15,041,284</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spacing w:val="-1"/>
                <w:sz w:val="18"/>
              </w:rPr>
              <w:t>2,887,782</w:t>
            </w:r>
          </w:p>
        </w:tc>
      </w:tr>
      <w:tr>
        <w:trPr>
          <w:trHeight w:val="254" w:hRule="exact"/>
        </w:trPr>
        <w:tc>
          <w:tcPr>
            <w:tcW w:w="2590" w:type="dxa"/>
            <w:tcBorders>
              <w:top w:val="single" w:sz="6" w:space="0" w:color="000000"/>
              <w:left w:val="single" w:sz="6" w:space="0" w:color="000000"/>
              <w:bottom w:val="single" w:sz="6" w:space="0" w:color="000000"/>
              <w:right w:val="single" w:sz="6" w:space="0" w:color="000000"/>
            </w:tcBorders>
          </w:tcPr>
          <w:p>
            <w:pPr/>
          </w:p>
        </w:tc>
        <w:tc>
          <w:tcPr>
            <w:tcW w:w="1225" w:type="dxa"/>
            <w:tcBorders>
              <w:top w:val="single" w:sz="6" w:space="0" w:color="000000"/>
              <w:left w:val="single" w:sz="6" w:space="0" w:color="000000"/>
              <w:bottom w:val="single" w:sz="6" w:space="0" w:color="000000"/>
              <w:right w:val="single" w:sz="6" w:space="0" w:color="000000"/>
            </w:tcBorders>
          </w:tcPr>
          <w:p>
            <w:pPr/>
          </w:p>
        </w:tc>
        <w:tc>
          <w:tcPr>
            <w:tcW w:w="1667" w:type="dxa"/>
            <w:tcBorders>
              <w:top w:val="single" w:sz="6" w:space="0" w:color="000000"/>
              <w:left w:val="single" w:sz="6" w:space="0" w:color="000000"/>
              <w:bottom w:val="single" w:sz="6" w:space="0" w:color="000000"/>
              <w:right w:val="single" w:sz="6" w:space="0" w:color="000000"/>
            </w:tcBorders>
          </w:tcPr>
          <w:p>
            <w:pPr/>
          </w:p>
        </w:tc>
        <w:tc>
          <w:tcPr>
            <w:tcW w:w="1665"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720"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1" w:right="0"/>
              <w:jc w:val="left"/>
              <w:rPr>
                <w:rFonts w:ascii="黑体" w:hAnsi="黑体" w:cs="黑体" w:eastAsia="黑体" w:hint="default"/>
                <w:sz w:val="18"/>
                <w:szCs w:val="18"/>
              </w:rPr>
            </w:pPr>
            <w:r>
              <w:rPr>
                <w:rFonts w:ascii="黑体" w:hAnsi="黑体" w:cs="黑体" w:eastAsia="黑体" w:hint="default"/>
                <w:sz w:val="18"/>
                <w:szCs w:val="18"/>
              </w:rPr>
              <w:t>股东权益</w:t>
            </w:r>
          </w:p>
        </w:tc>
        <w:tc>
          <w:tcPr>
            <w:tcW w:w="1225" w:type="dxa"/>
            <w:tcBorders>
              <w:top w:val="single" w:sz="6" w:space="0" w:color="000000"/>
              <w:left w:val="single" w:sz="6" w:space="0" w:color="000000"/>
              <w:bottom w:val="single" w:sz="6" w:space="0" w:color="000000"/>
              <w:right w:val="single" w:sz="6" w:space="0" w:color="000000"/>
            </w:tcBorders>
          </w:tcPr>
          <w:p>
            <w:pPr/>
          </w:p>
        </w:tc>
        <w:tc>
          <w:tcPr>
            <w:tcW w:w="1667" w:type="dxa"/>
            <w:tcBorders>
              <w:top w:val="single" w:sz="6" w:space="0" w:color="000000"/>
              <w:left w:val="single" w:sz="6" w:space="0" w:color="000000"/>
              <w:bottom w:val="single" w:sz="6" w:space="0" w:color="000000"/>
              <w:right w:val="single" w:sz="6" w:space="0" w:color="000000"/>
            </w:tcBorders>
          </w:tcPr>
          <w:p>
            <w:pPr/>
          </w:p>
        </w:tc>
        <w:tc>
          <w:tcPr>
            <w:tcW w:w="1665"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720"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9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(31)</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39" w:right="0"/>
              <w:jc w:val="left"/>
              <w:rPr>
                <w:rFonts w:ascii="Arial" w:hAnsi="Arial" w:cs="Arial" w:eastAsia="Arial" w:hint="default"/>
                <w:sz w:val="18"/>
                <w:szCs w:val="18"/>
              </w:rPr>
            </w:pPr>
            <w:r>
              <w:rPr>
                <w:rFonts w:ascii="Arial"/>
                <w:sz w:val="18"/>
              </w:rPr>
              <w:t>21,196,596,395</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25" w:right="0"/>
              <w:jc w:val="left"/>
              <w:rPr>
                <w:rFonts w:ascii="Arial" w:hAnsi="Arial" w:cs="Arial" w:eastAsia="Arial" w:hint="default"/>
                <w:sz w:val="18"/>
                <w:szCs w:val="18"/>
              </w:rPr>
            </w:pPr>
            <w:r>
              <w:rPr>
                <w:rFonts w:ascii="Arial"/>
                <w:sz w:val="18"/>
              </w:rPr>
              <w:t>21,196,596,395</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0"/>
              <w:jc w:val="right"/>
              <w:rPr>
                <w:rFonts w:ascii="Arial" w:hAnsi="Arial" w:cs="Arial" w:eastAsia="Arial" w:hint="default"/>
                <w:sz w:val="18"/>
                <w:szCs w:val="18"/>
              </w:rPr>
            </w:pPr>
            <w:r>
              <w:rPr>
                <w:rFonts w:ascii="Arial"/>
                <w:spacing w:val="-1"/>
                <w:sz w:val="18"/>
              </w:rPr>
              <w:t>21,196,596,395</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spacing w:val="-1"/>
                <w:sz w:val="18"/>
              </w:rPr>
              <w:t>21,196,596,395</w:t>
            </w:r>
          </w:p>
        </w:tc>
      </w:tr>
      <w:tr>
        <w:trPr>
          <w:trHeight w:val="256"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9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(32)</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39" w:right="0"/>
              <w:jc w:val="left"/>
              <w:rPr>
                <w:rFonts w:ascii="Arial" w:hAnsi="Arial" w:cs="Arial" w:eastAsia="Arial" w:hint="default"/>
                <w:sz w:val="18"/>
                <w:szCs w:val="18"/>
              </w:rPr>
            </w:pPr>
            <w:r>
              <w:rPr>
                <w:rFonts w:ascii="Arial"/>
                <w:sz w:val="18"/>
              </w:rPr>
              <w:t>26,775,590,138</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25" w:right="0"/>
              <w:jc w:val="left"/>
              <w:rPr>
                <w:rFonts w:ascii="Arial" w:hAnsi="Arial" w:cs="Arial" w:eastAsia="Arial" w:hint="default"/>
                <w:sz w:val="18"/>
                <w:szCs w:val="18"/>
              </w:rPr>
            </w:pPr>
            <w:r>
              <w:rPr>
                <w:rFonts w:ascii="Arial"/>
                <w:sz w:val="18"/>
              </w:rPr>
              <w:t>27,159,443,685</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0"/>
              <w:jc w:val="right"/>
              <w:rPr>
                <w:rFonts w:ascii="Arial" w:hAnsi="Arial" w:cs="Arial" w:eastAsia="Arial" w:hint="default"/>
                <w:sz w:val="18"/>
                <w:szCs w:val="18"/>
              </w:rPr>
            </w:pPr>
            <w:r>
              <w:rPr>
                <w:rFonts w:ascii="Arial"/>
                <w:spacing w:val="-1"/>
                <w:sz w:val="18"/>
              </w:rPr>
              <w:t>17,111,103,108</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spacing w:val="-1"/>
                <w:sz w:val="18"/>
              </w:rPr>
              <w:t>17,111,103,108</w:t>
            </w:r>
          </w:p>
        </w:tc>
      </w:tr>
      <w:tr>
        <w:trPr>
          <w:trHeight w:val="254"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34"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(33),</w:t>
            </w:r>
            <w:r>
              <w:rPr>
                <w:rFonts w:ascii="宋体" w:hAnsi="宋体" w:cs="宋体" w:eastAsia="宋体" w:hint="default"/>
                <w:sz w:val="18"/>
                <w:szCs w:val="18"/>
              </w:rPr>
              <w:t>十六</w:t>
            </w:r>
            <w:r>
              <w:rPr>
                <w:rFonts w:ascii="Arial" w:hAnsi="Arial" w:cs="Arial" w:eastAsia="Arial" w:hint="default"/>
                <w:sz w:val="18"/>
                <w:szCs w:val="18"/>
              </w:rPr>
              <w:t>(4)</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60"/>
              <w:jc w:val="right"/>
              <w:rPr>
                <w:rFonts w:ascii="Arial" w:hAnsi="Arial" w:cs="Arial" w:eastAsia="Arial" w:hint="default"/>
                <w:sz w:val="18"/>
                <w:szCs w:val="18"/>
              </w:rPr>
            </w:pPr>
            <w:r>
              <w:rPr>
                <w:rFonts w:ascii="Arial"/>
                <w:spacing w:val="-1"/>
                <w:sz w:val="18"/>
              </w:rPr>
              <w:t>824,415,632</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72"/>
              <w:jc w:val="right"/>
              <w:rPr>
                <w:rFonts w:ascii="Arial" w:hAnsi="Arial" w:cs="Arial" w:eastAsia="Arial" w:hint="default"/>
                <w:sz w:val="18"/>
                <w:szCs w:val="18"/>
              </w:rPr>
            </w:pPr>
            <w:r>
              <w:rPr>
                <w:rFonts w:ascii="Arial"/>
                <w:spacing w:val="-1"/>
                <w:sz w:val="18"/>
              </w:rPr>
              <w:t>746,495,256</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1"/>
              <w:jc w:val="right"/>
              <w:rPr>
                <w:rFonts w:ascii="Arial" w:hAnsi="Arial" w:cs="Arial" w:eastAsia="Arial" w:hint="default"/>
                <w:sz w:val="18"/>
                <w:szCs w:val="18"/>
              </w:rPr>
            </w:pPr>
            <w:r>
              <w:rPr>
                <w:rFonts w:ascii="Arial"/>
                <w:spacing w:val="-1"/>
                <w:sz w:val="18"/>
              </w:rPr>
              <w:t>824,415,632</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spacing w:val="-1"/>
                <w:sz w:val="18"/>
              </w:rPr>
              <w:t>746,495,256</w:t>
            </w:r>
          </w:p>
        </w:tc>
      </w:tr>
      <w:tr>
        <w:trPr>
          <w:trHeight w:val="274"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29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(34)</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339" w:right="0"/>
              <w:jc w:val="left"/>
              <w:rPr>
                <w:rFonts w:ascii="Arial" w:hAnsi="Arial" w:cs="Arial" w:eastAsia="Arial" w:hint="default"/>
                <w:sz w:val="18"/>
                <w:szCs w:val="18"/>
              </w:rPr>
            </w:pPr>
            <w:r>
              <w:rPr>
                <w:rFonts w:ascii="Arial"/>
                <w:sz w:val="18"/>
              </w:rPr>
              <w:t>23,525,010,902</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325" w:right="0"/>
              <w:jc w:val="left"/>
              <w:rPr>
                <w:rFonts w:ascii="Arial" w:hAnsi="Arial" w:cs="Arial" w:eastAsia="Arial" w:hint="default"/>
                <w:sz w:val="18"/>
                <w:szCs w:val="18"/>
              </w:rPr>
            </w:pPr>
            <w:r>
              <w:rPr>
                <w:rFonts w:ascii="Arial"/>
                <w:sz w:val="18"/>
              </w:rPr>
              <w:t>21,944,910,470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8"/>
              <w:jc w:val="right"/>
              <w:rPr>
                <w:rFonts w:ascii="Arial" w:hAnsi="Arial" w:cs="Arial" w:eastAsia="Arial" w:hint="default"/>
                <w:sz w:val="18"/>
                <w:szCs w:val="18"/>
              </w:rPr>
            </w:pPr>
            <w:r>
              <w:rPr>
                <w:rFonts w:ascii="Arial"/>
                <w:spacing w:val="-1"/>
                <w:sz w:val="18"/>
              </w:rPr>
              <w:t>(1,700,137)</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8"/>
              <w:jc w:val="right"/>
              <w:rPr>
                <w:rFonts w:ascii="Arial" w:hAnsi="Arial" w:cs="Arial" w:eastAsia="Arial" w:hint="default"/>
                <w:sz w:val="18"/>
                <w:szCs w:val="18"/>
              </w:rPr>
            </w:pPr>
            <w:r>
              <w:rPr>
                <w:rFonts w:ascii="Arial"/>
                <w:spacing w:val="-1"/>
                <w:sz w:val="18"/>
              </w:rPr>
              <w:t>7,102,465</w:t>
            </w:r>
          </w:p>
        </w:tc>
      </w:tr>
      <w:tr>
        <w:trPr>
          <w:trHeight w:val="256"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225" w:type="dxa"/>
            <w:tcBorders>
              <w:top w:val="single" w:sz="6" w:space="0" w:color="000000"/>
              <w:left w:val="single" w:sz="6" w:space="0" w:color="000000"/>
              <w:bottom w:val="single" w:sz="6" w:space="0" w:color="000000"/>
              <w:right w:val="single" w:sz="6" w:space="0" w:color="000000"/>
            </w:tcBorders>
          </w:tcPr>
          <w:p>
            <w:pP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right"/>
              <w:rPr>
                <w:rFonts w:ascii="Arial" w:hAnsi="Arial" w:cs="Arial" w:eastAsia="Arial" w:hint="default"/>
                <w:sz w:val="18"/>
                <w:szCs w:val="18"/>
              </w:rPr>
            </w:pPr>
            <w:r>
              <w:rPr>
                <w:rFonts w:ascii="Arial"/>
                <w:spacing w:val="-1"/>
                <w:sz w:val="18"/>
              </w:rPr>
              <w:t>(24,329,887)</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12"/>
              <w:jc w:val="right"/>
              <w:rPr>
                <w:rFonts w:ascii="Arial" w:hAnsi="Arial" w:cs="Arial" w:eastAsia="Arial" w:hint="default"/>
                <w:sz w:val="18"/>
                <w:szCs w:val="18"/>
              </w:rPr>
            </w:pPr>
            <w:r>
              <w:rPr>
                <w:rFonts w:ascii="Arial"/>
                <w:spacing w:val="-1"/>
                <w:sz w:val="18"/>
              </w:rPr>
              <w:t>(23,643,600)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80"/>
              <w:jc w:val="right"/>
              <w:rPr>
                <w:rFonts w:ascii="Arial" w:hAnsi="Arial" w:cs="Arial" w:eastAsia="Arial" w:hint="default"/>
                <w:sz w:val="18"/>
                <w:szCs w:val="18"/>
              </w:rPr>
            </w:pPr>
            <w:r>
              <w:rPr>
                <w:rFonts w:ascii="Arial"/>
                <w:w w:val="99"/>
                <w:sz w:val="18"/>
              </w:rPr>
              <w:t>-</w:t>
            </w:r>
            <w:r>
              <w:rPr>
                <w:rFonts w:ascii="Arial"/>
                <w:sz w:val="18"/>
              </w:rPr>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108"/>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黑体" w:hAnsi="黑体" w:cs="黑体" w:eastAsia="黑体" w:hint="default"/>
                <w:sz w:val="18"/>
                <w:szCs w:val="18"/>
              </w:rPr>
            </w:pPr>
            <w:r>
              <w:rPr>
                <w:rFonts w:ascii="黑体" w:hAnsi="黑体" w:cs="黑体" w:eastAsia="黑体" w:hint="default"/>
                <w:sz w:val="18"/>
                <w:szCs w:val="18"/>
              </w:rPr>
              <w:t>归属母公司股东权益合计</w:t>
            </w:r>
          </w:p>
        </w:tc>
        <w:tc>
          <w:tcPr>
            <w:tcW w:w="1225" w:type="dxa"/>
            <w:tcBorders>
              <w:top w:val="single" w:sz="6" w:space="0" w:color="000000"/>
              <w:left w:val="single" w:sz="6" w:space="0" w:color="000000"/>
              <w:bottom w:val="single" w:sz="6" w:space="0" w:color="000000"/>
              <w:right w:val="single" w:sz="6" w:space="0" w:color="000000"/>
            </w:tcBorders>
          </w:tcPr>
          <w:p>
            <w:pP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39" w:right="0"/>
              <w:jc w:val="left"/>
              <w:rPr>
                <w:rFonts w:ascii="Arial" w:hAnsi="Arial" w:cs="Arial" w:eastAsia="Arial" w:hint="default"/>
                <w:sz w:val="18"/>
                <w:szCs w:val="18"/>
              </w:rPr>
            </w:pPr>
            <w:r>
              <w:rPr>
                <w:rFonts w:ascii="Arial"/>
                <w:sz w:val="18"/>
              </w:rPr>
              <w:t>72,297,283,180</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25" w:right="0"/>
              <w:jc w:val="left"/>
              <w:rPr>
                <w:rFonts w:ascii="Arial" w:hAnsi="Arial" w:cs="Arial" w:eastAsia="Arial" w:hint="default"/>
                <w:sz w:val="18"/>
                <w:szCs w:val="18"/>
              </w:rPr>
            </w:pPr>
            <w:r>
              <w:rPr>
                <w:rFonts w:ascii="Arial"/>
                <w:sz w:val="18"/>
              </w:rPr>
              <w:t>71,023,802,206</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0"/>
              <w:jc w:val="right"/>
              <w:rPr>
                <w:rFonts w:ascii="Arial" w:hAnsi="Arial" w:cs="Arial" w:eastAsia="Arial" w:hint="default"/>
                <w:sz w:val="18"/>
                <w:szCs w:val="18"/>
              </w:rPr>
            </w:pPr>
            <w:r>
              <w:rPr>
                <w:rFonts w:ascii="Arial"/>
                <w:spacing w:val="-1"/>
                <w:sz w:val="18"/>
              </w:rPr>
              <w:t>39,130,414,998</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spacing w:val="-1"/>
                <w:sz w:val="18"/>
              </w:rPr>
              <w:t>39,061,297,224</w:t>
            </w:r>
          </w:p>
        </w:tc>
      </w:tr>
      <w:tr>
        <w:trPr>
          <w:trHeight w:val="256" w:hRule="exact"/>
        </w:trPr>
        <w:tc>
          <w:tcPr>
            <w:tcW w:w="2590" w:type="dxa"/>
            <w:tcBorders>
              <w:top w:val="single" w:sz="6" w:space="0" w:color="000000"/>
              <w:left w:val="single" w:sz="6" w:space="0" w:color="000000"/>
              <w:bottom w:val="single" w:sz="6" w:space="0" w:color="000000"/>
              <w:right w:val="single" w:sz="6" w:space="0" w:color="000000"/>
            </w:tcBorders>
          </w:tcPr>
          <w:p>
            <w:pPr/>
          </w:p>
        </w:tc>
        <w:tc>
          <w:tcPr>
            <w:tcW w:w="1225" w:type="dxa"/>
            <w:tcBorders>
              <w:top w:val="single" w:sz="6" w:space="0" w:color="000000"/>
              <w:left w:val="single" w:sz="6" w:space="0" w:color="000000"/>
              <w:bottom w:val="single" w:sz="6" w:space="0" w:color="000000"/>
              <w:right w:val="single" w:sz="6" w:space="0" w:color="000000"/>
            </w:tcBorders>
          </w:tcPr>
          <w:p>
            <w:pPr/>
          </w:p>
        </w:tc>
        <w:tc>
          <w:tcPr>
            <w:tcW w:w="1667" w:type="dxa"/>
            <w:tcBorders>
              <w:top w:val="single" w:sz="6" w:space="0" w:color="000000"/>
              <w:left w:val="single" w:sz="6" w:space="0" w:color="000000"/>
              <w:bottom w:val="single" w:sz="6" w:space="0" w:color="000000"/>
              <w:right w:val="single" w:sz="6" w:space="0" w:color="000000"/>
            </w:tcBorders>
          </w:tcPr>
          <w:p>
            <w:pPr/>
          </w:p>
        </w:tc>
        <w:tc>
          <w:tcPr>
            <w:tcW w:w="1665"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720"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72" w:right="0"/>
              <w:jc w:val="left"/>
              <w:rPr>
                <w:rFonts w:ascii="黑体" w:hAnsi="黑体" w:cs="黑体" w:eastAsia="黑体" w:hint="default"/>
                <w:sz w:val="18"/>
                <w:szCs w:val="18"/>
              </w:rPr>
            </w:pPr>
            <w:r>
              <w:rPr>
                <w:rFonts w:ascii="黑体" w:hAnsi="黑体" w:cs="黑体" w:eastAsia="黑体" w:hint="default"/>
                <w:sz w:val="18"/>
                <w:szCs w:val="18"/>
              </w:rPr>
              <w:t>少数股东权益</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9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(35)</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38" w:right="0"/>
              <w:jc w:val="left"/>
              <w:rPr>
                <w:rFonts w:ascii="Arial" w:hAnsi="Arial" w:cs="Arial" w:eastAsia="Arial" w:hint="default"/>
                <w:sz w:val="18"/>
                <w:szCs w:val="18"/>
              </w:rPr>
            </w:pPr>
            <w:r>
              <w:rPr>
                <w:rFonts w:ascii="Arial"/>
                <w:sz w:val="18"/>
              </w:rPr>
              <w:t>139,937,030,085</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24" w:right="0"/>
              <w:jc w:val="left"/>
              <w:rPr>
                <w:rFonts w:ascii="Arial" w:hAnsi="Arial" w:cs="Arial" w:eastAsia="Arial" w:hint="default"/>
                <w:sz w:val="18"/>
                <w:szCs w:val="18"/>
              </w:rPr>
            </w:pPr>
            <w:r>
              <w:rPr>
                <w:rFonts w:ascii="Arial"/>
                <w:sz w:val="18"/>
              </w:rPr>
              <w:t>137,586,893,847</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0"/>
              <w:jc w:val="right"/>
              <w:rPr>
                <w:rFonts w:ascii="Arial" w:hAnsi="Arial" w:cs="Arial" w:eastAsia="Arial" w:hint="default"/>
                <w:sz w:val="18"/>
                <w:szCs w:val="18"/>
              </w:rPr>
            </w:pPr>
            <w:r>
              <w:rPr>
                <w:rFonts w:ascii="Arial"/>
                <w:w w:val="99"/>
                <w:sz w:val="18"/>
              </w:rPr>
              <w:t>-</w:t>
            </w:r>
            <w:r>
              <w:rPr>
                <w:rFonts w:ascii="Arial"/>
                <w:sz w:val="18"/>
              </w:rPr>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1" w:right="0"/>
              <w:jc w:val="left"/>
              <w:rPr>
                <w:rFonts w:ascii="黑体" w:hAnsi="黑体" w:cs="黑体" w:eastAsia="黑体" w:hint="default"/>
                <w:sz w:val="18"/>
                <w:szCs w:val="18"/>
              </w:rPr>
            </w:pPr>
            <w:r>
              <w:rPr>
                <w:rFonts w:ascii="黑体" w:hAnsi="黑体" w:cs="黑体" w:eastAsia="黑体" w:hint="default"/>
                <w:sz w:val="18"/>
                <w:szCs w:val="18"/>
              </w:rPr>
              <w:t>股东权益合计</w:t>
            </w:r>
          </w:p>
        </w:tc>
        <w:tc>
          <w:tcPr>
            <w:tcW w:w="1225" w:type="dxa"/>
            <w:tcBorders>
              <w:top w:val="single" w:sz="6" w:space="0" w:color="000000"/>
              <w:left w:val="single" w:sz="6" w:space="0" w:color="000000"/>
              <w:bottom w:val="single" w:sz="6" w:space="0" w:color="000000"/>
              <w:right w:val="single" w:sz="6" w:space="0" w:color="000000"/>
            </w:tcBorders>
          </w:tcPr>
          <w:p>
            <w:pP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38" w:right="0"/>
              <w:jc w:val="left"/>
              <w:rPr>
                <w:rFonts w:ascii="Arial" w:hAnsi="Arial" w:cs="Arial" w:eastAsia="Arial" w:hint="default"/>
                <w:sz w:val="18"/>
                <w:szCs w:val="18"/>
              </w:rPr>
            </w:pPr>
            <w:r>
              <w:rPr>
                <w:rFonts w:ascii="Arial"/>
                <w:sz w:val="18"/>
              </w:rPr>
              <w:t>212,234,313,265</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24" w:right="0"/>
              <w:jc w:val="left"/>
              <w:rPr>
                <w:rFonts w:ascii="Arial" w:hAnsi="Arial" w:cs="Arial" w:eastAsia="Arial" w:hint="default"/>
                <w:sz w:val="18"/>
                <w:szCs w:val="18"/>
              </w:rPr>
            </w:pPr>
            <w:r>
              <w:rPr>
                <w:rFonts w:ascii="Arial"/>
                <w:sz w:val="18"/>
              </w:rPr>
              <w:t>208,610,696,053</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0"/>
              <w:jc w:val="right"/>
              <w:rPr>
                <w:rFonts w:ascii="Arial" w:hAnsi="Arial" w:cs="Arial" w:eastAsia="Arial" w:hint="default"/>
                <w:sz w:val="18"/>
                <w:szCs w:val="18"/>
              </w:rPr>
            </w:pPr>
            <w:r>
              <w:rPr>
                <w:rFonts w:ascii="Arial"/>
                <w:spacing w:val="-1"/>
                <w:sz w:val="18"/>
              </w:rPr>
              <w:t>39,130,414,998</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spacing w:val="-1"/>
                <w:sz w:val="18"/>
              </w:rPr>
              <w:t>39,061,297,224</w:t>
            </w:r>
          </w:p>
        </w:tc>
      </w:tr>
      <w:tr>
        <w:trPr>
          <w:trHeight w:val="254" w:hRule="exact"/>
        </w:trPr>
        <w:tc>
          <w:tcPr>
            <w:tcW w:w="2590" w:type="dxa"/>
            <w:tcBorders>
              <w:top w:val="single" w:sz="6" w:space="0" w:color="000000"/>
              <w:left w:val="single" w:sz="6" w:space="0" w:color="000000"/>
              <w:bottom w:val="single" w:sz="6" w:space="0" w:color="000000"/>
              <w:right w:val="single" w:sz="6" w:space="0" w:color="000000"/>
            </w:tcBorders>
          </w:tcPr>
          <w:p>
            <w:pPr/>
          </w:p>
        </w:tc>
        <w:tc>
          <w:tcPr>
            <w:tcW w:w="1225" w:type="dxa"/>
            <w:tcBorders>
              <w:top w:val="single" w:sz="6" w:space="0" w:color="000000"/>
              <w:left w:val="single" w:sz="6" w:space="0" w:color="000000"/>
              <w:bottom w:val="single" w:sz="6" w:space="0" w:color="000000"/>
              <w:right w:val="single" w:sz="6" w:space="0" w:color="000000"/>
            </w:tcBorders>
          </w:tcPr>
          <w:p>
            <w:pPr/>
          </w:p>
        </w:tc>
        <w:tc>
          <w:tcPr>
            <w:tcW w:w="1667" w:type="dxa"/>
            <w:tcBorders>
              <w:top w:val="single" w:sz="6" w:space="0" w:color="000000"/>
              <w:left w:val="single" w:sz="6" w:space="0" w:color="000000"/>
              <w:bottom w:val="single" w:sz="6" w:space="0" w:color="000000"/>
              <w:right w:val="single" w:sz="6" w:space="0" w:color="000000"/>
            </w:tcBorders>
          </w:tcPr>
          <w:p>
            <w:pPr/>
          </w:p>
        </w:tc>
        <w:tc>
          <w:tcPr>
            <w:tcW w:w="1665"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720"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1" w:right="0"/>
              <w:jc w:val="left"/>
              <w:rPr>
                <w:rFonts w:ascii="黑体" w:hAnsi="黑体" w:cs="黑体" w:eastAsia="黑体" w:hint="default"/>
                <w:sz w:val="18"/>
                <w:szCs w:val="18"/>
              </w:rPr>
            </w:pPr>
            <w:r>
              <w:rPr>
                <w:rFonts w:ascii="黑体" w:hAnsi="黑体" w:cs="黑体" w:eastAsia="黑体" w:hint="default"/>
                <w:sz w:val="18"/>
                <w:szCs w:val="18"/>
              </w:rPr>
              <w:t>负债和股东权益总计</w:t>
            </w:r>
          </w:p>
        </w:tc>
        <w:tc>
          <w:tcPr>
            <w:tcW w:w="1225" w:type="dxa"/>
            <w:tcBorders>
              <w:top w:val="single" w:sz="6" w:space="0" w:color="000000"/>
              <w:left w:val="single" w:sz="6" w:space="0" w:color="000000"/>
              <w:bottom w:val="single" w:sz="6" w:space="0" w:color="000000"/>
              <w:right w:val="single" w:sz="6" w:space="0" w:color="000000"/>
            </w:tcBorders>
          </w:tcPr>
          <w:p>
            <w:pP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38" w:right="0"/>
              <w:jc w:val="left"/>
              <w:rPr>
                <w:rFonts w:ascii="Arial" w:hAnsi="Arial" w:cs="Arial" w:eastAsia="Arial" w:hint="default"/>
                <w:sz w:val="18"/>
                <w:szCs w:val="18"/>
              </w:rPr>
            </w:pPr>
            <w:r>
              <w:rPr>
                <w:rFonts w:ascii="Arial"/>
                <w:sz w:val="18"/>
              </w:rPr>
              <w:t>518,357,290,110</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24" w:right="0"/>
              <w:jc w:val="left"/>
              <w:rPr>
                <w:rFonts w:ascii="Arial" w:hAnsi="Arial" w:cs="Arial" w:eastAsia="Arial" w:hint="default"/>
                <w:sz w:val="18"/>
                <w:szCs w:val="18"/>
              </w:rPr>
            </w:pPr>
            <w:r>
              <w:rPr>
                <w:rFonts w:ascii="Arial"/>
                <w:sz w:val="18"/>
              </w:rPr>
              <w:t>458,523,843,879</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0"/>
              <w:jc w:val="right"/>
              <w:rPr>
                <w:rFonts w:ascii="Arial" w:hAnsi="Arial" w:cs="Arial" w:eastAsia="Arial" w:hint="default"/>
                <w:sz w:val="18"/>
                <w:szCs w:val="18"/>
              </w:rPr>
            </w:pPr>
            <w:r>
              <w:rPr>
                <w:rFonts w:ascii="Arial"/>
                <w:spacing w:val="-1"/>
                <w:sz w:val="18"/>
              </w:rPr>
              <w:t>39,145,456,282</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spacing w:val="-1"/>
                <w:sz w:val="18"/>
              </w:rPr>
              <w:t>39,064,185,006</w:t>
            </w:r>
          </w:p>
        </w:tc>
      </w:tr>
    </w:tbl>
    <w:p>
      <w:pPr>
        <w:spacing w:line="240" w:lineRule="auto" w:before="1"/>
        <w:rPr>
          <w:rFonts w:ascii="黑体" w:hAnsi="黑体" w:cs="黑体" w:eastAsia="黑体" w:hint="default"/>
          <w:sz w:val="14"/>
          <w:szCs w:val="14"/>
        </w:rPr>
      </w:pPr>
    </w:p>
    <w:p>
      <w:pPr>
        <w:spacing w:before="38"/>
        <w:ind w:left="129" w:right="0" w:firstLine="0"/>
        <w:jc w:val="left"/>
        <w:rPr>
          <w:rFonts w:ascii="黑体" w:hAnsi="黑体" w:cs="黑体" w:eastAsia="黑体" w:hint="default"/>
          <w:sz w:val="20"/>
          <w:szCs w:val="20"/>
        </w:rPr>
      </w:pPr>
      <w:r>
        <w:rPr>
          <w:rFonts w:ascii="黑体" w:hAnsi="黑体" w:cs="黑体" w:eastAsia="黑体" w:hint="default"/>
          <w:sz w:val="20"/>
          <w:szCs w:val="20"/>
        </w:rPr>
        <w:t>后附财务报表附注为财务报表的组成部分。</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pStyle w:val="BodyText"/>
        <w:tabs>
          <w:tab w:pos="3661" w:val="left" w:leader="none"/>
          <w:tab w:pos="7261" w:val="left" w:leader="none"/>
        </w:tabs>
        <w:spacing w:line="240" w:lineRule="auto" w:before="148"/>
        <w:ind w:left="129" w:right="0"/>
        <w:jc w:val="left"/>
        <w:rPr>
          <w:rFonts w:ascii="黑体" w:hAnsi="黑体" w:cs="黑体" w:eastAsia="黑体" w:hint="default"/>
        </w:rPr>
      </w:pPr>
      <w:r>
        <w:rPr>
          <w:rFonts w:ascii="黑体" w:hAnsi="黑体" w:cs="黑体" w:eastAsia="黑体" w:hint="default"/>
          <w:w w:val="95"/>
        </w:rPr>
        <w:t>董事长：常小兵</w:t>
        <w:tab/>
        <w:t>财务负责人：张健</w:t>
        <w:tab/>
      </w:r>
      <w:r>
        <w:rPr>
          <w:rFonts w:ascii="黑体" w:hAnsi="黑体" w:cs="黑体" w:eastAsia="黑体" w:hint="default"/>
        </w:rPr>
        <w:t>财务部总经理：李张挺</w:t>
      </w:r>
    </w:p>
    <w:p>
      <w:pPr>
        <w:spacing w:after="0" w:line="240" w:lineRule="auto"/>
        <w:jc w:val="left"/>
        <w:rPr>
          <w:rFonts w:ascii="黑体" w:hAnsi="黑体" w:cs="黑体" w:eastAsia="黑体" w:hint="default"/>
        </w:rPr>
        <w:sectPr>
          <w:headerReference w:type="default" r:id="rId28"/>
          <w:footerReference w:type="default" r:id="rId29"/>
          <w:pgSz w:w="11910" w:h="16840"/>
          <w:pgMar w:header="0" w:footer="745" w:top="1240" w:bottom="940" w:left="780" w:right="360"/>
          <w:pgNumType w:start="56"/>
        </w:sectPr>
      </w:pPr>
    </w:p>
    <w:p>
      <w:pPr>
        <w:pStyle w:val="BodyText"/>
        <w:spacing w:line="240" w:lineRule="auto" w:before="6"/>
        <w:ind w:left="115" w:right="0"/>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2"/>
        <w:rPr>
          <w:rFonts w:ascii="黑体" w:hAnsi="黑体" w:cs="黑体" w:eastAsia="黑体" w:hint="default"/>
          <w:sz w:val="19"/>
          <w:szCs w:val="19"/>
        </w:rPr>
      </w:pPr>
    </w:p>
    <w:p>
      <w:pPr>
        <w:pStyle w:val="BodyText"/>
        <w:spacing w:line="294" w:lineRule="exact"/>
        <w:ind w:left="115"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12"/>
        </w:rPr>
        <w:t> </w:t>
      </w:r>
      <w:r>
        <w:rPr>
          <w:rFonts w:ascii="黑体" w:hAnsi="黑体" w:cs="黑体" w:eastAsia="黑体" w:hint="default"/>
        </w:rPr>
        <w:t>年度合并及公司利润表</w:t>
      </w:r>
    </w:p>
    <w:p>
      <w:pPr>
        <w:pStyle w:val="BodyText"/>
        <w:spacing w:line="278" w:lineRule="exact"/>
        <w:ind w:left="115" w:right="0"/>
        <w:jc w:val="left"/>
        <w:rPr>
          <w:rFonts w:ascii="黑体" w:hAnsi="黑体" w:cs="黑体" w:eastAsia="黑体" w:hint="default"/>
        </w:rPr>
      </w:pPr>
      <w:r>
        <w:rPr>
          <w:rFonts w:ascii="黑体" w:hAnsi="黑体" w:cs="黑体" w:eastAsia="黑体" w:hint="default"/>
        </w:rPr>
        <w:t>（除特别注明外，金额单位为人民币元）</w:t>
      </w:r>
    </w:p>
    <w:p>
      <w:pPr>
        <w:spacing w:line="240" w:lineRule="auto" w:before="12"/>
        <w:rPr>
          <w:rFonts w:ascii="黑体" w:hAnsi="黑体" w:cs="黑体" w:eastAsia="黑体" w:hint="default"/>
          <w:sz w:val="21"/>
          <w:szCs w:val="21"/>
        </w:rPr>
      </w:pPr>
    </w:p>
    <w:tbl>
      <w:tblPr>
        <w:tblW w:w="0" w:type="auto"/>
        <w:jc w:val="left"/>
        <w:tblInd w:w="108" w:type="dxa"/>
        <w:tblLayout w:type="fixed"/>
        <w:tblCellMar>
          <w:top w:w="0" w:type="dxa"/>
          <w:left w:w="0" w:type="dxa"/>
          <w:bottom w:w="0" w:type="dxa"/>
          <w:right w:w="0" w:type="dxa"/>
        </w:tblCellMar>
        <w:tblLook w:val="01E0"/>
      </w:tblPr>
      <w:tblGrid>
        <w:gridCol w:w="3618"/>
        <w:gridCol w:w="1170"/>
        <w:gridCol w:w="1560"/>
        <w:gridCol w:w="1564"/>
        <w:gridCol w:w="1322"/>
        <w:gridCol w:w="1320"/>
      </w:tblGrid>
      <w:tr>
        <w:trPr>
          <w:trHeight w:val="594"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
              <w:jc w:val="center"/>
              <w:rPr>
                <w:rFonts w:ascii="黑体" w:hAnsi="黑体" w:cs="黑体" w:eastAsia="黑体" w:hint="default"/>
                <w:sz w:val="18"/>
                <w:szCs w:val="18"/>
              </w:rPr>
            </w:pPr>
            <w:r>
              <w:rPr>
                <w:rFonts w:ascii="黑体" w:hAnsi="黑体" w:cs="黑体" w:eastAsia="黑体" w:hint="default"/>
                <w:sz w:val="18"/>
                <w:szCs w:val="18"/>
              </w:rPr>
              <w:t>项目</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
              <w:jc w:val="center"/>
              <w:rPr>
                <w:rFonts w:ascii="黑体" w:hAnsi="黑体" w:cs="黑体" w:eastAsia="黑体" w:hint="default"/>
                <w:sz w:val="18"/>
                <w:szCs w:val="18"/>
              </w:rPr>
            </w:pPr>
            <w:r>
              <w:rPr>
                <w:rFonts w:ascii="黑体" w:hAnsi="黑体" w:cs="黑体" w:eastAsia="黑体" w:hint="default"/>
                <w:sz w:val="18"/>
                <w:szCs w:val="18"/>
              </w:rPr>
              <w:t>附注</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49"/>
              <w:ind w:left="591" w:right="370" w:hanging="222"/>
              <w:jc w:val="left"/>
              <w:rPr>
                <w:rFonts w:ascii="黑体" w:hAnsi="黑体" w:cs="黑体" w:eastAsia="黑体" w:hint="default"/>
                <w:sz w:val="18"/>
                <w:szCs w:val="18"/>
              </w:rPr>
            </w:pPr>
            <w:r>
              <w:rPr>
                <w:rFonts w:ascii="Arial" w:hAnsi="Arial" w:cs="Arial" w:eastAsia="Arial" w:hint="default"/>
                <w:sz w:val="18"/>
                <w:szCs w:val="18"/>
              </w:rPr>
              <w:t>2012</w:t>
            </w:r>
            <w:r>
              <w:rPr>
                <w:rFonts w:ascii="Arial" w:hAnsi="Arial" w:cs="Arial" w:eastAsia="Arial" w:hint="default"/>
                <w:spacing w:val="-9"/>
                <w:sz w:val="18"/>
                <w:szCs w:val="18"/>
              </w:rPr>
              <w:t> </w:t>
            </w:r>
            <w:r>
              <w:rPr>
                <w:rFonts w:ascii="黑体" w:hAnsi="黑体" w:cs="黑体" w:eastAsia="黑体" w:hint="default"/>
                <w:sz w:val="18"/>
                <w:szCs w:val="18"/>
              </w:rPr>
              <w:t>年度 合并</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49"/>
              <w:ind w:left="593" w:right="371" w:hanging="222"/>
              <w:jc w:val="left"/>
              <w:rPr>
                <w:rFonts w:ascii="黑体" w:hAnsi="黑体" w:cs="黑体" w:eastAsia="黑体" w:hint="default"/>
                <w:sz w:val="18"/>
                <w:szCs w:val="18"/>
              </w:rPr>
            </w:pPr>
            <w:r>
              <w:rPr>
                <w:rFonts w:ascii="Arial" w:hAnsi="Arial" w:cs="Arial" w:eastAsia="Arial" w:hint="default"/>
                <w:sz w:val="18"/>
                <w:szCs w:val="18"/>
              </w:rPr>
              <w:t>2011</w:t>
            </w:r>
            <w:r>
              <w:rPr>
                <w:rFonts w:ascii="Arial" w:hAnsi="Arial" w:cs="Arial" w:eastAsia="Arial" w:hint="default"/>
                <w:spacing w:val="-9"/>
                <w:sz w:val="18"/>
                <w:szCs w:val="18"/>
              </w:rPr>
              <w:t> </w:t>
            </w:r>
            <w:r>
              <w:rPr>
                <w:rFonts w:ascii="黑体" w:hAnsi="黑体" w:cs="黑体" w:eastAsia="黑体" w:hint="default"/>
                <w:sz w:val="18"/>
                <w:szCs w:val="18"/>
              </w:rPr>
              <w:t>年度 合并</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49"/>
              <w:ind w:left="471" w:right="251" w:hanging="221"/>
              <w:jc w:val="left"/>
              <w:rPr>
                <w:rFonts w:ascii="黑体" w:hAnsi="黑体" w:cs="黑体" w:eastAsia="黑体" w:hint="default"/>
                <w:sz w:val="18"/>
                <w:szCs w:val="18"/>
              </w:rPr>
            </w:pPr>
            <w:r>
              <w:rPr>
                <w:rFonts w:ascii="Arial" w:hAnsi="Arial" w:cs="Arial" w:eastAsia="Arial" w:hint="default"/>
                <w:sz w:val="18"/>
                <w:szCs w:val="18"/>
              </w:rPr>
              <w:t>2012</w:t>
            </w:r>
            <w:r>
              <w:rPr>
                <w:rFonts w:ascii="Arial" w:hAnsi="Arial" w:cs="Arial" w:eastAsia="Arial" w:hint="default"/>
                <w:spacing w:val="-9"/>
                <w:sz w:val="18"/>
                <w:szCs w:val="18"/>
              </w:rPr>
              <w:t> </w:t>
            </w:r>
            <w:r>
              <w:rPr>
                <w:rFonts w:ascii="黑体" w:hAnsi="黑体" w:cs="黑体" w:eastAsia="黑体" w:hint="default"/>
                <w:sz w:val="18"/>
                <w:szCs w:val="18"/>
              </w:rPr>
              <w:t>年度 公司</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49"/>
              <w:ind w:left="471" w:right="251" w:hanging="222"/>
              <w:jc w:val="left"/>
              <w:rPr>
                <w:rFonts w:ascii="黑体" w:hAnsi="黑体" w:cs="黑体" w:eastAsia="黑体" w:hint="default"/>
                <w:sz w:val="18"/>
                <w:szCs w:val="18"/>
              </w:rPr>
            </w:pPr>
            <w:r>
              <w:rPr>
                <w:rFonts w:ascii="Arial" w:hAnsi="Arial" w:cs="Arial" w:eastAsia="Arial" w:hint="default"/>
                <w:sz w:val="18"/>
                <w:szCs w:val="18"/>
              </w:rPr>
              <w:t>2011</w:t>
            </w:r>
            <w:r>
              <w:rPr>
                <w:rFonts w:ascii="Arial" w:hAnsi="Arial" w:cs="Arial" w:eastAsia="Arial" w:hint="default"/>
                <w:spacing w:val="-9"/>
                <w:sz w:val="18"/>
                <w:szCs w:val="18"/>
              </w:rPr>
              <w:t> </w:t>
            </w:r>
            <w:r>
              <w:rPr>
                <w:rFonts w:ascii="黑体" w:hAnsi="黑体" w:cs="黑体" w:eastAsia="黑体" w:hint="default"/>
                <w:sz w:val="18"/>
                <w:szCs w:val="18"/>
              </w:rPr>
              <w:t>年度 公司</w:t>
            </w:r>
          </w:p>
        </w:tc>
      </w:tr>
      <w:tr>
        <w:trPr>
          <w:trHeight w:val="24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黑体" w:hAnsi="黑体" w:cs="黑体" w:eastAsia="黑体" w:hint="default"/>
                <w:sz w:val="18"/>
                <w:szCs w:val="18"/>
              </w:rPr>
            </w:pPr>
            <w:r>
              <w:rPr>
                <w:rFonts w:ascii="黑体" w:hAnsi="黑体" w:cs="黑体" w:eastAsia="黑体" w:hint="default"/>
                <w:sz w:val="18"/>
                <w:szCs w:val="18"/>
              </w:rPr>
              <w:t>一、营业收入</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114"/>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99" w:right="0"/>
              <w:jc w:val="left"/>
              <w:rPr>
                <w:rFonts w:ascii="Arial" w:hAnsi="Arial" w:cs="Arial" w:eastAsia="Arial" w:hint="default"/>
                <w:sz w:val="18"/>
                <w:szCs w:val="18"/>
              </w:rPr>
            </w:pPr>
            <w:r>
              <w:rPr>
                <w:rFonts w:ascii="Arial"/>
                <w:sz w:val="18"/>
              </w:rPr>
              <w:t>256,264,749,435</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05" w:right="0"/>
              <w:jc w:val="left"/>
              <w:rPr>
                <w:rFonts w:ascii="Arial" w:hAnsi="Arial" w:cs="Arial" w:eastAsia="Arial" w:hint="default"/>
                <w:sz w:val="18"/>
                <w:szCs w:val="18"/>
              </w:rPr>
            </w:pPr>
            <w:r>
              <w:rPr>
                <w:rFonts w:ascii="Arial"/>
                <w:sz w:val="18"/>
              </w:rPr>
              <w:t>215,518,511,458</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08"/>
              <w:jc w:val="right"/>
              <w:rPr>
                <w:rFonts w:ascii="Arial" w:hAnsi="Arial" w:cs="Arial" w:eastAsia="Arial" w:hint="default"/>
                <w:sz w:val="18"/>
                <w:szCs w:val="18"/>
              </w:rPr>
            </w:pPr>
            <w:r>
              <w:rPr>
                <w:rFonts w:ascii="Arial"/>
                <w:w w:val="99"/>
                <w:sz w:val="18"/>
              </w:rPr>
              <w:t>-</w:t>
            </w:r>
            <w:r>
              <w:rPr>
                <w:rFonts w:ascii="Arial"/>
                <w:sz w:val="18"/>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86"/>
              <w:jc w:val="right"/>
              <w:rPr>
                <w:rFonts w:ascii="Arial" w:hAnsi="Arial" w:cs="Arial" w:eastAsia="Arial" w:hint="default"/>
                <w:sz w:val="18"/>
                <w:szCs w:val="18"/>
              </w:rPr>
            </w:pPr>
            <w:r>
              <w:rPr>
                <w:rFonts w:ascii="Arial"/>
                <w:w w:val="99"/>
                <w:sz w:val="18"/>
              </w:rPr>
              <w:t>-</w:t>
            </w:r>
            <w:r>
              <w:rPr>
                <w:rFonts w:ascii="Arial"/>
                <w:sz w:val="18"/>
              </w:rPr>
            </w:r>
          </w:p>
        </w:tc>
      </w:tr>
      <w:tr>
        <w:trPr>
          <w:trHeight w:val="249"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48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14"/>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40" w:right="0"/>
              <w:jc w:val="left"/>
              <w:rPr>
                <w:rFonts w:ascii="Arial" w:hAnsi="Arial" w:cs="Arial" w:eastAsia="Arial" w:hint="default"/>
                <w:sz w:val="18"/>
                <w:szCs w:val="18"/>
              </w:rPr>
            </w:pPr>
            <w:r>
              <w:rPr>
                <w:rFonts w:ascii="Arial"/>
                <w:sz w:val="18"/>
              </w:rPr>
              <w:t>(179,108,178,878)</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30"/>
              <w:jc w:val="right"/>
              <w:rPr>
                <w:rFonts w:ascii="Arial" w:hAnsi="Arial" w:cs="Arial" w:eastAsia="Arial" w:hint="default"/>
                <w:sz w:val="18"/>
                <w:szCs w:val="18"/>
              </w:rPr>
            </w:pPr>
            <w:r>
              <w:rPr>
                <w:rFonts w:ascii="Arial"/>
                <w:spacing w:val="-1"/>
                <w:sz w:val="18"/>
              </w:rPr>
              <w:t>(154,414,023,686)</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08"/>
              <w:jc w:val="right"/>
              <w:rPr>
                <w:rFonts w:ascii="Arial" w:hAnsi="Arial" w:cs="Arial" w:eastAsia="Arial" w:hint="default"/>
                <w:sz w:val="18"/>
                <w:szCs w:val="18"/>
              </w:rPr>
            </w:pPr>
            <w:r>
              <w:rPr>
                <w:rFonts w:ascii="Arial"/>
                <w:w w:val="99"/>
                <w:sz w:val="18"/>
              </w:rPr>
              <w:t>-</w:t>
            </w:r>
            <w:r>
              <w:rPr>
                <w:rFonts w:ascii="Arial"/>
                <w:sz w:val="18"/>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86"/>
              <w:jc w:val="right"/>
              <w:rPr>
                <w:rFonts w:ascii="Arial" w:hAnsi="Arial" w:cs="Arial" w:eastAsia="Arial" w:hint="default"/>
                <w:sz w:val="18"/>
                <w:szCs w:val="18"/>
              </w:rPr>
            </w:pPr>
            <w:r>
              <w:rPr>
                <w:rFonts w:ascii="Arial"/>
                <w:w w:val="99"/>
                <w:sz w:val="18"/>
              </w:rPr>
              <w:t>-</w:t>
            </w:r>
            <w:r>
              <w:rPr>
                <w:rFonts w:ascii="Arial"/>
                <w:sz w:val="18"/>
              </w:rPr>
            </w:r>
          </w:p>
        </w:tc>
      </w:tr>
      <w:tr>
        <w:trPr>
          <w:trHeight w:val="24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114"/>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33"/>
              <w:jc w:val="right"/>
              <w:rPr>
                <w:rFonts w:ascii="Arial" w:hAnsi="Arial" w:cs="Arial" w:eastAsia="Arial" w:hint="default"/>
                <w:sz w:val="18"/>
                <w:szCs w:val="18"/>
              </w:rPr>
            </w:pPr>
            <w:r>
              <w:rPr>
                <w:rFonts w:ascii="Arial"/>
                <w:spacing w:val="-1"/>
                <w:sz w:val="18"/>
              </w:rPr>
              <w:t>(7,338,782,346)</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30"/>
              <w:jc w:val="right"/>
              <w:rPr>
                <w:rFonts w:ascii="Arial" w:hAnsi="Arial" w:cs="Arial" w:eastAsia="Arial" w:hint="default"/>
                <w:sz w:val="18"/>
                <w:szCs w:val="18"/>
              </w:rPr>
            </w:pPr>
            <w:r>
              <w:rPr>
                <w:rFonts w:ascii="Arial"/>
                <w:spacing w:val="-1"/>
                <w:sz w:val="18"/>
              </w:rPr>
              <w:t>(6,351,628,168)</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8"/>
              <w:jc w:val="right"/>
              <w:rPr>
                <w:rFonts w:ascii="Arial" w:hAnsi="Arial" w:cs="Arial" w:eastAsia="Arial" w:hint="default"/>
                <w:sz w:val="18"/>
                <w:szCs w:val="18"/>
              </w:rPr>
            </w:pPr>
            <w:r>
              <w:rPr>
                <w:rFonts w:ascii="Arial"/>
                <w:w w:val="99"/>
                <w:sz w:val="18"/>
              </w:rPr>
              <w:t>-</w:t>
            </w:r>
            <w:r>
              <w:rPr>
                <w:rFonts w:ascii="Arial"/>
                <w:sz w:val="18"/>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86"/>
              <w:jc w:val="right"/>
              <w:rPr>
                <w:rFonts w:ascii="Arial" w:hAnsi="Arial" w:cs="Arial" w:eastAsia="Arial" w:hint="default"/>
                <w:sz w:val="18"/>
                <w:szCs w:val="18"/>
              </w:rPr>
            </w:pPr>
            <w:r>
              <w:rPr>
                <w:rFonts w:ascii="Arial"/>
                <w:w w:val="99"/>
                <w:sz w:val="18"/>
              </w:rPr>
              <w:t>-</w:t>
            </w:r>
            <w:r>
              <w:rPr>
                <w:rFonts w:ascii="Arial"/>
                <w:sz w:val="18"/>
              </w:rPr>
            </w:r>
          </w:p>
        </w:tc>
      </w:tr>
      <w:tr>
        <w:trPr>
          <w:trHeight w:val="24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14"/>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40" w:right="0"/>
              <w:jc w:val="left"/>
              <w:rPr>
                <w:rFonts w:ascii="Arial" w:hAnsi="Arial" w:cs="Arial" w:eastAsia="Arial" w:hint="default"/>
                <w:sz w:val="18"/>
                <w:szCs w:val="18"/>
              </w:rPr>
            </w:pPr>
            <w:r>
              <w:rPr>
                <w:rFonts w:ascii="Arial"/>
                <w:sz w:val="18"/>
              </w:rPr>
              <w:t>(35,037,103,692)</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30"/>
              <w:jc w:val="right"/>
              <w:rPr>
                <w:rFonts w:ascii="Arial" w:hAnsi="Arial" w:cs="Arial" w:eastAsia="Arial" w:hint="default"/>
                <w:sz w:val="18"/>
                <w:szCs w:val="18"/>
              </w:rPr>
            </w:pPr>
            <w:r>
              <w:rPr>
                <w:rFonts w:ascii="Arial"/>
                <w:spacing w:val="-1"/>
                <w:sz w:val="18"/>
              </w:rPr>
              <w:t>(28,750,690,843)</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8"/>
              <w:jc w:val="right"/>
              <w:rPr>
                <w:rFonts w:ascii="Arial" w:hAnsi="Arial" w:cs="Arial" w:eastAsia="Arial" w:hint="default"/>
                <w:sz w:val="18"/>
                <w:szCs w:val="18"/>
              </w:rPr>
            </w:pPr>
            <w:r>
              <w:rPr>
                <w:rFonts w:ascii="Arial"/>
                <w:w w:val="99"/>
                <w:sz w:val="18"/>
              </w:rPr>
              <w:t>-</w:t>
            </w:r>
            <w:r>
              <w:rPr>
                <w:rFonts w:ascii="Arial"/>
                <w:sz w:val="18"/>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86"/>
              <w:jc w:val="right"/>
              <w:rPr>
                <w:rFonts w:ascii="Arial" w:hAnsi="Arial" w:cs="Arial" w:eastAsia="Arial" w:hint="default"/>
                <w:sz w:val="18"/>
                <w:szCs w:val="18"/>
              </w:rPr>
            </w:pPr>
            <w:r>
              <w:rPr>
                <w:rFonts w:ascii="Arial"/>
                <w:w w:val="99"/>
                <w:sz w:val="18"/>
              </w:rPr>
              <w:t>-</w:t>
            </w:r>
            <w:r>
              <w:rPr>
                <w:rFonts w:ascii="Arial"/>
                <w:sz w:val="18"/>
              </w:rPr>
            </w:r>
          </w:p>
        </w:tc>
      </w:tr>
      <w:tr>
        <w:trPr>
          <w:trHeight w:val="24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(39),</w:t>
            </w:r>
            <w:r>
              <w:rPr>
                <w:rFonts w:ascii="宋体" w:hAnsi="宋体" w:cs="宋体" w:eastAsia="宋体" w:hint="default"/>
                <w:sz w:val="18"/>
                <w:szCs w:val="18"/>
              </w:rPr>
              <w:t>十六</w:t>
            </w:r>
            <w:r>
              <w:rPr>
                <w:rFonts w:ascii="Arial" w:hAnsi="Arial" w:cs="Arial" w:eastAsia="Arial" w:hint="default"/>
                <w:sz w:val="18"/>
                <w:szCs w:val="18"/>
              </w:rPr>
              <w:t>(5)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40" w:right="0"/>
              <w:jc w:val="left"/>
              <w:rPr>
                <w:rFonts w:ascii="Arial" w:hAnsi="Arial" w:cs="Arial" w:eastAsia="Arial" w:hint="default"/>
                <w:sz w:val="18"/>
                <w:szCs w:val="18"/>
              </w:rPr>
            </w:pPr>
            <w:r>
              <w:rPr>
                <w:rFonts w:ascii="Arial"/>
                <w:sz w:val="18"/>
              </w:rPr>
              <w:t>(20,491,250,373)</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30"/>
              <w:jc w:val="right"/>
              <w:rPr>
                <w:rFonts w:ascii="Arial" w:hAnsi="Arial" w:cs="Arial" w:eastAsia="Arial" w:hint="default"/>
                <w:sz w:val="18"/>
                <w:szCs w:val="18"/>
              </w:rPr>
            </w:pPr>
            <w:r>
              <w:rPr>
                <w:rFonts w:ascii="Arial"/>
                <w:spacing w:val="-1"/>
                <w:sz w:val="18"/>
              </w:rPr>
              <w:t>(18,199,737,712)</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8"/>
              <w:jc w:val="right"/>
              <w:rPr>
                <w:rFonts w:ascii="Arial" w:hAnsi="Arial" w:cs="Arial" w:eastAsia="Arial" w:hint="default"/>
                <w:sz w:val="18"/>
                <w:szCs w:val="18"/>
              </w:rPr>
            </w:pPr>
            <w:r>
              <w:rPr>
                <w:rFonts w:ascii="Arial"/>
                <w:spacing w:val="-1"/>
                <w:sz w:val="18"/>
              </w:rPr>
              <w:t>(24,870,195)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8"/>
              <w:jc w:val="right"/>
              <w:rPr>
                <w:rFonts w:ascii="Arial" w:hAnsi="Arial" w:cs="Arial" w:eastAsia="Arial" w:hint="default"/>
                <w:sz w:val="18"/>
                <w:szCs w:val="18"/>
              </w:rPr>
            </w:pPr>
            <w:r>
              <w:rPr>
                <w:rFonts w:ascii="Arial"/>
                <w:spacing w:val="-1"/>
                <w:sz w:val="18"/>
              </w:rPr>
              <w:t>(10,676,612)</w:t>
            </w:r>
          </w:p>
        </w:tc>
      </w:tr>
      <w:tr>
        <w:trPr>
          <w:trHeight w:val="24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42" w:right="0"/>
              <w:jc w:val="left"/>
              <w:rPr>
                <w:rFonts w:ascii="宋体" w:hAnsi="宋体" w:cs="宋体" w:eastAsia="宋体" w:hint="default"/>
                <w:sz w:val="18"/>
                <w:szCs w:val="18"/>
              </w:rPr>
            </w:pPr>
            <w:r>
              <w:rPr>
                <w:rFonts w:ascii="宋体" w:hAnsi="宋体" w:cs="宋体" w:eastAsia="宋体" w:hint="default"/>
                <w:sz w:val="18"/>
                <w:szCs w:val="18"/>
              </w:rPr>
              <w:t>财务费用（加：收入）</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14"/>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33"/>
              <w:jc w:val="right"/>
              <w:rPr>
                <w:rFonts w:ascii="Arial" w:hAnsi="Arial" w:cs="Arial" w:eastAsia="Arial" w:hint="default"/>
                <w:sz w:val="18"/>
                <w:szCs w:val="18"/>
              </w:rPr>
            </w:pPr>
            <w:r>
              <w:rPr>
                <w:rFonts w:ascii="Arial"/>
                <w:spacing w:val="-1"/>
                <w:sz w:val="18"/>
              </w:rPr>
              <w:t>(3,416,514,137)</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30"/>
              <w:jc w:val="right"/>
              <w:rPr>
                <w:rFonts w:ascii="Arial" w:hAnsi="Arial" w:cs="Arial" w:eastAsia="Arial" w:hint="default"/>
                <w:sz w:val="18"/>
                <w:szCs w:val="18"/>
              </w:rPr>
            </w:pPr>
            <w:r>
              <w:rPr>
                <w:rFonts w:ascii="Arial"/>
                <w:spacing w:val="-1"/>
                <w:sz w:val="18"/>
              </w:rPr>
              <w:t>(1,243,082,687)</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9"/>
              <w:jc w:val="right"/>
              <w:rPr>
                <w:rFonts w:ascii="Arial" w:hAnsi="Arial" w:cs="Arial" w:eastAsia="Arial" w:hint="default"/>
                <w:sz w:val="18"/>
                <w:szCs w:val="18"/>
              </w:rPr>
            </w:pPr>
            <w:r>
              <w:rPr>
                <w:rFonts w:ascii="Arial"/>
                <w:spacing w:val="-1"/>
                <w:sz w:val="18"/>
              </w:rPr>
              <w:t>5,828,981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87"/>
              <w:jc w:val="right"/>
              <w:rPr>
                <w:rFonts w:ascii="Arial" w:hAnsi="Arial" w:cs="Arial" w:eastAsia="Arial" w:hint="default"/>
                <w:sz w:val="18"/>
                <w:szCs w:val="18"/>
              </w:rPr>
            </w:pPr>
            <w:r>
              <w:rPr>
                <w:rFonts w:ascii="Arial"/>
                <w:spacing w:val="-1"/>
                <w:sz w:val="18"/>
              </w:rPr>
              <w:t>473,714</w:t>
            </w:r>
          </w:p>
        </w:tc>
      </w:tr>
      <w:tr>
        <w:trPr>
          <w:trHeight w:val="24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14"/>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33"/>
              <w:jc w:val="right"/>
              <w:rPr>
                <w:rFonts w:ascii="Arial" w:hAnsi="Arial" w:cs="Arial" w:eastAsia="Arial" w:hint="default"/>
                <w:sz w:val="18"/>
                <w:szCs w:val="18"/>
              </w:rPr>
            </w:pPr>
            <w:r>
              <w:rPr>
                <w:rFonts w:ascii="Arial"/>
                <w:spacing w:val="-1"/>
                <w:sz w:val="18"/>
              </w:rPr>
              <w:t>(3,294,126,554)</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30"/>
              <w:jc w:val="right"/>
              <w:rPr>
                <w:rFonts w:ascii="Arial" w:hAnsi="Arial" w:cs="Arial" w:eastAsia="Arial" w:hint="default"/>
                <w:sz w:val="18"/>
                <w:szCs w:val="18"/>
              </w:rPr>
            </w:pPr>
            <w:r>
              <w:rPr>
                <w:rFonts w:ascii="Arial"/>
                <w:spacing w:val="-1"/>
                <w:sz w:val="18"/>
              </w:rPr>
              <w:t>(2,771,213,069)</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8"/>
              <w:jc w:val="right"/>
              <w:rPr>
                <w:rFonts w:ascii="Arial" w:hAnsi="Arial" w:cs="Arial" w:eastAsia="Arial" w:hint="default"/>
                <w:sz w:val="18"/>
                <w:szCs w:val="18"/>
              </w:rPr>
            </w:pPr>
            <w:r>
              <w:rPr>
                <w:rFonts w:ascii="Arial"/>
                <w:w w:val="99"/>
                <w:sz w:val="18"/>
              </w:rPr>
              <w:t>-</w:t>
            </w:r>
            <w:r>
              <w:rPr>
                <w:rFonts w:ascii="Arial"/>
                <w:sz w:val="18"/>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86"/>
              <w:jc w:val="right"/>
              <w:rPr>
                <w:rFonts w:ascii="Arial" w:hAnsi="Arial" w:cs="Arial" w:eastAsia="Arial" w:hint="default"/>
                <w:sz w:val="18"/>
                <w:szCs w:val="18"/>
              </w:rPr>
            </w:pPr>
            <w:r>
              <w:rPr>
                <w:rFonts w:ascii="Arial"/>
                <w:w w:val="99"/>
                <w:sz w:val="18"/>
              </w:rPr>
              <w:t>-</w:t>
            </w:r>
            <w:r>
              <w:rPr>
                <w:rFonts w:ascii="Arial"/>
                <w:sz w:val="18"/>
              </w:rPr>
            </w:r>
          </w:p>
        </w:tc>
      </w:tr>
      <w:tr>
        <w:trPr>
          <w:trHeight w:val="24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81" w:right="0"/>
              <w:jc w:val="left"/>
              <w:rPr>
                <w:rFonts w:ascii="宋体" w:hAnsi="宋体" w:cs="宋体" w:eastAsia="宋体" w:hint="default"/>
                <w:sz w:val="18"/>
                <w:szCs w:val="18"/>
              </w:rPr>
            </w:pPr>
            <w:r>
              <w:rPr>
                <w:rFonts w:ascii="宋体" w:hAnsi="宋体" w:cs="宋体" w:eastAsia="宋体" w:hint="default"/>
                <w:sz w:val="18"/>
                <w:szCs w:val="18"/>
              </w:rPr>
              <w:t>加：投资收益</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(41),</w:t>
            </w:r>
            <w:r>
              <w:rPr>
                <w:rFonts w:ascii="宋体" w:hAnsi="宋体" w:cs="宋体" w:eastAsia="宋体" w:hint="default"/>
                <w:sz w:val="18"/>
                <w:szCs w:val="18"/>
              </w:rPr>
              <w:t>十六</w:t>
            </w:r>
            <w:r>
              <w:rPr>
                <w:rFonts w:ascii="Arial" w:hAnsi="Arial" w:cs="Arial" w:eastAsia="Arial" w:hint="default"/>
                <w:sz w:val="18"/>
                <w:szCs w:val="18"/>
              </w:rPr>
              <w:t>(6)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50" w:right="0"/>
              <w:jc w:val="left"/>
              <w:rPr>
                <w:rFonts w:ascii="Arial" w:hAnsi="Arial" w:cs="Arial" w:eastAsia="Arial" w:hint="default"/>
                <w:sz w:val="18"/>
                <w:szCs w:val="18"/>
              </w:rPr>
            </w:pPr>
            <w:r>
              <w:rPr>
                <w:rFonts w:ascii="Arial"/>
                <w:sz w:val="18"/>
              </w:rPr>
              <w:t>417,326,751</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0"/>
              <w:jc w:val="right"/>
              <w:rPr>
                <w:rFonts w:ascii="Arial" w:hAnsi="Arial" w:cs="Arial" w:eastAsia="Arial" w:hint="default"/>
                <w:sz w:val="18"/>
                <w:szCs w:val="18"/>
              </w:rPr>
            </w:pPr>
            <w:r>
              <w:rPr>
                <w:rFonts w:ascii="Arial"/>
                <w:spacing w:val="-1"/>
                <w:sz w:val="18"/>
              </w:rPr>
              <w:t>866,240,576</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8"/>
              <w:jc w:val="right"/>
              <w:rPr>
                <w:rFonts w:ascii="Arial" w:hAnsi="Arial" w:cs="Arial" w:eastAsia="Arial" w:hint="default"/>
                <w:sz w:val="18"/>
                <w:szCs w:val="18"/>
              </w:rPr>
            </w:pPr>
            <w:r>
              <w:rPr>
                <w:rFonts w:ascii="Arial"/>
                <w:spacing w:val="-1"/>
                <w:sz w:val="18"/>
              </w:rPr>
              <w:t>798,250,738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87"/>
              <w:jc w:val="right"/>
              <w:rPr>
                <w:rFonts w:ascii="Arial" w:hAnsi="Arial" w:cs="Arial" w:eastAsia="Arial" w:hint="default"/>
                <w:sz w:val="18"/>
                <w:szCs w:val="18"/>
              </w:rPr>
            </w:pPr>
            <w:r>
              <w:rPr>
                <w:rFonts w:ascii="Arial"/>
                <w:spacing w:val="-1"/>
                <w:sz w:val="18"/>
              </w:rPr>
              <w:t>625,590,662</w:t>
            </w:r>
          </w:p>
        </w:tc>
      </w:tr>
      <w:tr>
        <w:trPr>
          <w:trHeight w:val="222" w:hRule="exact"/>
        </w:trPr>
        <w:tc>
          <w:tcPr>
            <w:tcW w:w="3618"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黑体" w:hAnsi="黑体" w:cs="黑体" w:eastAsia="黑体" w:hint="default"/>
                <w:sz w:val="18"/>
                <w:szCs w:val="18"/>
              </w:rPr>
            </w:pPr>
            <w:r>
              <w:rPr>
                <w:rFonts w:ascii="黑体" w:hAnsi="黑体" w:cs="黑体" w:eastAsia="黑体" w:hint="default"/>
                <w:sz w:val="18"/>
                <w:szCs w:val="18"/>
              </w:rPr>
              <w:t>二、营业利润</w:t>
            </w:r>
          </w:p>
        </w:tc>
        <w:tc>
          <w:tcPr>
            <w:tcW w:w="117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00" w:right="0"/>
              <w:jc w:val="left"/>
              <w:rPr>
                <w:rFonts w:ascii="Arial" w:hAnsi="Arial" w:cs="Arial" w:eastAsia="Arial" w:hint="default"/>
                <w:sz w:val="18"/>
                <w:szCs w:val="18"/>
              </w:rPr>
            </w:pPr>
            <w:r>
              <w:rPr>
                <w:rFonts w:ascii="Arial"/>
                <w:sz w:val="18"/>
              </w:rPr>
              <w:t>7,996,120,206</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06" w:right="0"/>
              <w:jc w:val="left"/>
              <w:rPr>
                <w:rFonts w:ascii="Arial" w:hAnsi="Arial" w:cs="Arial" w:eastAsia="Arial" w:hint="default"/>
                <w:sz w:val="18"/>
                <w:szCs w:val="18"/>
              </w:rPr>
            </w:pPr>
            <w:r>
              <w:rPr>
                <w:rFonts w:ascii="Arial"/>
                <w:sz w:val="18"/>
              </w:rPr>
              <w:t>4,654,375,869</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spacing w:val="-1"/>
                <w:sz w:val="18"/>
              </w:rPr>
              <w:t>779,209,524</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7"/>
              <w:jc w:val="right"/>
              <w:rPr>
                <w:rFonts w:ascii="Arial" w:hAnsi="Arial" w:cs="Arial" w:eastAsia="Arial" w:hint="default"/>
                <w:sz w:val="18"/>
                <w:szCs w:val="18"/>
              </w:rPr>
            </w:pPr>
            <w:r>
              <w:rPr>
                <w:rFonts w:ascii="Arial"/>
                <w:spacing w:val="-1"/>
                <w:sz w:val="18"/>
              </w:rPr>
              <w:t>615,387,764</w:t>
            </w:r>
          </w:p>
        </w:tc>
      </w:tr>
      <w:tr>
        <w:trPr>
          <w:trHeight w:val="254"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47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14"/>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00" w:right="0"/>
              <w:jc w:val="left"/>
              <w:rPr>
                <w:rFonts w:ascii="Arial" w:hAnsi="Arial" w:cs="Arial" w:eastAsia="Arial" w:hint="default"/>
                <w:sz w:val="18"/>
                <w:szCs w:val="18"/>
              </w:rPr>
            </w:pPr>
            <w:r>
              <w:rPr>
                <w:rFonts w:ascii="Arial"/>
                <w:sz w:val="18"/>
              </w:rPr>
              <w:t>2,053,188,618</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06" w:right="0"/>
              <w:jc w:val="left"/>
              <w:rPr>
                <w:rFonts w:ascii="Arial" w:hAnsi="Arial" w:cs="Arial" w:eastAsia="Arial" w:hint="default"/>
                <w:sz w:val="18"/>
                <w:szCs w:val="18"/>
              </w:rPr>
            </w:pPr>
            <w:r>
              <w:rPr>
                <w:rFonts w:ascii="Arial"/>
                <w:sz w:val="18"/>
              </w:rPr>
              <w:t>1,874,449,694</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w w:val="99"/>
                <w:sz w:val="18"/>
              </w:rPr>
              <w:t>-</w:t>
            </w:r>
            <w:r>
              <w:rPr>
                <w:rFonts w:ascii="Arial"/>
                <w:sz w:val="18"/>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7"/>
              <w:jc w:val="right"/>
              <w:rPr>
                <w:rFonts w:ascii="Arial" w:hAnsi="Arial" w:cs="Arial" w:eastAsia="Arial" w:hint="default"/>
                <w:sz w:val="18"/>
                <w:szCs w:val="18"/>
              </w:rPr>
            </w:pPr>
            <w:r>
              <w:rPr>
                <w:rFonts w:ascii="Arial"/>
                <w:spacing w:val="-1"/>
                <w:sz w:val="18"/>
              </w:rPr>
              <w:t>23,449</w:t>
            </w:r>
          </w:p>
        </w:tc>
      </w:tr>
      <w:tr>
        <w:trPr>
          <w:trHeight w:val="256"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47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14"/>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33"/>
              <w:jc w:val="right"/>
              <w:rPr>
                <w:rFonts w:ascii="Arial" w:hAnsi="Arial" w:cs="Arial" w:eastAsia="Arial" w:hint="default"/>
                <w:sz w:val="18"/>
                <w:szCs w:val="18"/>
              </w:rPr>
            </w:pPr>
            <w:r>
              <w:rPr>
                <w:rFonts w:ascii="Arial"/>
                <w:spacing w:val="-1"/>
                <w:sz w:val="18"/>
              </w:rPr>
              <w:t>(505,247,938)</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30"/>
              <w:jc w:val="right"/>
              <w:rPr>
                <w:rFonts w:ascii="Arial" w:hAnsi="Arial" w:cs="Arial" w:eastAsia="Arial" w:hint="default"/>
                <w:sz w:val="18"/>
                <w:szCs w:val="18"/>
              </w:rPr>
            </w:pPr>
            <w:r>
              <w:rPr>
                <w:rFonts w:ascii="Arial"/>
                <w:spacing w:val="-1"/>
                <w:sz w:val="18"/>
              </w:rPr>
              <w:t>(864,784,747)</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48"/>
              <w:jc w:val="right"/>
              <w:rPr>
                <w:rFonts w:ascii="Arial" w:hAnsi="Arial" w:cs="Arial" w:eastAsia="Arial" w:hint="default"/>
                <w:sz w:val="18"/>
                <w:szCs w:val="18"/>
              </w:rPr>
            </w:pPr>
            <w:r>
              <w:rPr>
                <w:rFonts w:ascii="Arial"/>
                <w:spacing w:val="-1"/>
                <w:sz w:val="18"/>
              </w:rPr>
              <w:t>(5,769)</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48"/>
              <w:jc w:val="right"/>
              <w:rPr>
                <w:rFonts w:ascii="Arial" w:hAnsi="Arial" w:cs="Arial" w:eastAsia="Arial" w:hint="default"/>
                <w:sz w:val="18"/>
                <w:szCs w:val="18"/>
              </w:rPr>
            </w:pPr>
            <w:r>
              <w:rPr>
                <w:rFonts w:ascii="Arial"/>
                <w:spacing w:val="-1"/>
                <w:sz w:val="18"/>
              </w:rPr>
              <w:t>(9,001)</w:t>
            </w:r>
          </w:p>
        </w:tc>
      </w:tr>
      <w:tr>
        <w:trPr>
          <w:trHeight w:val="254" w:hRule="exact"/>
        </w:trPr>
        <w:tc>
          <w:tcPr>
            <w:tcW w:w="3618"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黑体" w:hAnsi="黑体" w:cs="黑体" w:eastAsia="黑体" w:hint="default"/>
                <w:sz w:val="18"/>
                <w:szCs w:val="18"/>
              </w:rPr>
            </w:pPr>
            <w:r>
              <w:rPr>
                <w:rFonts w:ascii="黑体" w:hAnsi="黑体" w:cs="黑体" w:eastAsia="黑体" w:hint="default"/>
                <w:sz w:val="18"/>
                <w:szCs w:val="18"/>
              </w:rPr>
              <w:t>三、利润总额</w:t>
            </w:r>
          </w:p>
        </w:tc>
        <w:tc>
          <w:tcPr>
            <w:tcW w:w="117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00" w:right="0"/>
              <w:jc w:val="left"/>
              <w:rPr>
                <w:rFonts w:ascii="Arial" w:hAnsi="Arial" w:cs="Arial" w:eastAsia="Arial" w:hint="default"/>
                <w:sz w:val="18"/>
                <w:szCs w:val="18"/>
              </w:rPr>
            </w:pPr>
            <w:r>
              <w:rPr>
                <w:rFonts w:ascii="Arial"/>
                <w:sz w:val="18"/>
              </w:rPr>
              <w:t>9,544,060,886</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06" w:right="0"/>
              <w:jc w:val="left"/>
              <w:rPr>
                <w:rFonts w:ascii="Arial" w:hAnsi="Arial" w:cs="Arial" w:eastAsia="Arial" w:hint="default"/>
                <w:sz w:val="18"/>
                <w:szCs w:val="18"/>
              </w:rPr>
            </w:pPr>
            <w:r>
              <w:rPr>
                <w:rFonts w:ascii="Arial"/>
                <w:sz w:val="18"/>
              </w:rPr>
              <w:t>5,664,040,816</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spacing w:val="-1"/>
                <w:sz w:val="18"/>
              </w:rPr>
              <w:t>779,203,755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7"/>
              <w:jc w:val="right"/>
              <w:rPr>
                <w:rFonts w:ascii="Arial" w:hAnsi="Arial" w:cs="Arial" w:eastAsia="Arial" w:hint="default"/>
                <w:sz w:val="18"/>
                <w:szCs w:val="18"/>
              </w:rPr>
            </w:pPr>
            <w:r>
              <w:rPr>
                <w:rFonts w:ascii="Arial"/>
                <w:spacing w:val="-1"/>
                <w:sz w:val="18"/>
              </w:rPr>
              <w:t>615,402,212</w:t>
            </w:r>
          </w:p>
        </w:tc>
      </w:tr>
      <w:tr>
        <w:trPr>
          <w:trHeight w:val="254"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47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14"/>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33"/>
              <w:jc w:val="right"/>
              <w:rPr>
                <w:rFonts w:ascii="Arial" w:hAnsi="Arial" w:cs="Arial" w:eastAsia="Arial" w:hint="default"/>
                <w:sz w:val="18"/>
                <w:szCs w:val="18"/>
              </w:rPr>
            </w:pPr>
            <w:r>
              <w:rPr>
                <w:rFonts w:ascii="Arial"/>
                <w:spacing w:val="-1"/>
                <w:sz w:val="18"/>
              </w:rPr>
              <w:t>(2,518,632,373)</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30"/>
              <w:jc w:val="right"/>
              <w:rPr>
                <w:rFonts w:ascii="Arial" w:hAnsi="Arial" w:cs="Arial" w:eastAsia="Arial" w:hint="default"/>
                <w:sz w:val="18"/>
                <w:szCs w:val="18"/>
              </w:rPr>
            </w:pPr>
            <w:r>
              <w:rPr>
                <w:rFonts w:ascii="Arial"/>
                <w:spacing w:val="-1"/>
                <w:sz w:val="18"/>
              </w:rPr>
              <w:t>(1,476,075,431)</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w w:val="99"/>
                <w:sz w:val="18"/>
              </w:rPr>
              <w:t>-</w:t>
            </w:r>
            <w:r>
              <w:rPr>
                <w:rFonts w:ascii="Arial"/>
                <w:sz w:val="18"/>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6"/>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3618"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黑体" w:hAnsi="黑体" w:cs="黑体" w:eastAsia="黑体" w:hint="default"/>
                <w:sz w:val="18"/>
                <w:szCs w:val="18"/>
              </w:rPr>
            </w:pPr>
            <w:r>
              <w:rPr>
                <w:rFonts w:ascii="黑体" w:hAnsi="黑体" w:cs="黑体" w:eastAsia="黑体" w:hint="default"/>
                <w:sz w:val="18"/>
                <w:szCs w:val="18"/>
              </w:rPr>
              <w:t>四、净利润</w:t>
            </w:r>
          </w:p>
        </w:tc>
        <w:tc>
          <w:tcPr>
            <w:tcW w:w="117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00" w:right="0"/>
              <w:jc w:val="left"/>
              <w:rPr>
                <w:rFonts w:ascii="Arial" w:hAnsi="Arial" w:cs="Arial" w:eastAsia="Arial" w:hint="default"/>
                <w:sz w:val="18"/>
                <w:szCs w:val="18"/>
              </w:rPr>
            </w:pPr>
            <w:r>
              <w:rPr>
                <w:rFonts w:ascii="Arial"/>
                <w:sz w:val="18"/>
              </w:rPr>
              <w:t>7,025,428,513</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06" w:right="0"/>
              <w:jc w:val="left"/>
              <w:rPr>
                <w:rFonts w:ascii="Arial" w:hAnsi="Arial" w:cs="Arial" w:eastAsia="Arial" w:hint="default"/>
                <w:sz w:val="18"/>
                <w:szCs w:val="18"/>
              </w:rPr>
            </w:pPr>
            <w:r>
              <w:rPr>
                <w:rFonts w:ascii="Arial"/>
                <w:sz w:val="18"/>
              </w:rPr>
              <w:t>4,187,965,385</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spacing w:val="-1"/>
                <w:sz w:val="18"/>
              </w:rPr>
              <w:t>779,203,755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7"/>
              <w:jc w:val="right"/>
              <w:rPr>
                <w:rFonts w:ascii="Arial" w:hAnsi="Arial" w:cs="Arial" w:eastAsia="Arial" w:hint="default"/>
                <w:sz w:val="18"/>
                <w:szCs w:val="18"/>
              </w:rPr>
            </w:pPr>
            <w:r>
              <w:rPr>
                <w:rFonts w:ascii="Arial"/>
                <w:spacing w:val="-1"/>
                <w:sz w:val="18"/>
              </w:rPr>
              <w:t>615,402,212</w:t>
            </w:r>
          </w:p>
        </w:tc>
      </w:tr>
      <w:tr>
        <w:trPr>
          <w:trHeight w:val="270"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451" w:right="0"/>
              <w:jc w:val="left"/>
              <w:rPr>
                <w:rFonts w:ascii="宋体" w:hAnsi="宋体" w:cs="宋体" w:eastAsia="宋体" w:hint="default"/>
                <w:sz w:val="18"/>
                <w:szCs w:val="18"/>
              </w:rPr>
            </w:pPr>
            <w:r>
              <w:rPr>
                <w:rFonts w:ascii="宋体" w:hAnsi="宋体" w:cs="宋体" w:eastAsia="宋体" w:hint="default"/>
                <w:sz w:val="18"/>
                <w:szCs w:val="18"/>
              </w:rPr>
              <w:t>归属于母公司普通股股东净利润</w:t>
            </w:r>
          </w:p>
        </w:tc>
        <w:tc>
          <w:tcPr>
            <w:tcW w:w="117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300" w:right="0"/>
              <w:jc w:val="left"/>
              <w:rPr>
                <w:rFonts w:ascii="Arial" w:hAnsi="Arial" w:cs="Arial" w:eastAsia="Arial" w:hint="default"/>
                <w:sz w:val="18"/>
                <w:szCs w:val="18"/>
              </w:rPr>
            </w:pPr>
            <w:r>
              <w:rPr>
                <w:rFonts w:ascii="Arial"/>
                <w:sz w:val="18"/>
              </w:rPr>
              <w:t>2,368,106,789</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306" w:right="0"/>
              <w:jc w:val="left"/>
              <w:rPr>
                <w:rFonts w:ascii="Arial" w:hAnsi="Arial" w:cs="Arial" w:eastAsia="Arial" w:hint="default"/>
                <w:sz w:val="18"/>
                <w:szCs w:val="18"/>
              </w:rPr>
            </w:pPr>
            <w:r>
              <w:rPr>
                <w:rFonts w:ascii="Arial"/>
                <w:sz w:val="18"/>
              </w:rPr>
              <w:t>1,412,245,739</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8"/>
              <w:jc w:val="right"/>
              <w:rPr>
                <w:rFonts w:ascii="Arial" w:hAnsi="Arial" w:cs="Arial" w:eastAsia="Arial" w:hint="default"/>
                <w:sz w:val="18"/>
                <w:szCs w:val="18"/>
              </w:rPr>
            </w:pPr>
            <w:r>
              <w:rPr>
                <w:rFonts w:ascii="Arial"/>
                <w:spacing w:val="-1"/>
                <w:sz w:val="18"/>
              </w:rPr>
              <w:t>779,203,755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87"/>
              <w:jc w:val="right"/>
              <w:rPr>
                <w:rFonts w:ascii="Arial" w:hAnsi="Arial" w:cs="Arial" w:eastAsia="Arial" w:hint="default"/>
                <w:sz w:val="18"/>
                <w:szCs w:val="18"/>
              </w:rPr>
            </w:pPr>
            <w:r>
              <w:rPr>
                <w:rFonts w:ascii="Arial"/>
                <w:spacing w:val="-1"/>
                <w:sz w:val="18"/>
              </w:rPr>
              <w:t>615,402,212</w:t>
            </w:r>
          </w:p>
        </w:tc>
      </w:tr>
      <w:tr>
        <w:trPr>
          <w:trHeight w:val="256"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45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14"/>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00" w:right="0"/>
              <w:jc w:val="left"/>
              <w:rPr>
                <w:rFonts w:ascii="Arial" w:hAnsi="Arial" w:cs="Arial" w:eastAsia="Arial" w:hint="default"/>
                <w:sz w:val="18"/>
                <w:szCs w:val="18"/>
              </w:rPr>
            </w:pPr>
            <w:r>
              <w:rPr>
                <w:rFonts w:ascii="Arial"/>
                <w:sz w:val="18"/>
              </w:rPr>
              <w:t>4,657,321,724</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06" w:right="0"/>
              <w:jc w:val="left"/>
              <w:rPr>
                <w:rFonts w:ascii="Arial" w:hAnsi="Arial" w:cs="Arial" w:eastAsia="Arial" w:hint="default"/>
                <w:sz w:val="18"/>
                <w:szCs w:val="18"/>
              </w:rPr>
            </w:pPr>
            <w:r>
              <w:rPr>
                <w:rFonts w:ascii="Arial"/>
                <w:sz w:val="18"/>
              </w:rPr>
              <w:t>2,775,719,646</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8"/>
              <w:jc w:val="right"/>
              <w:rPr>
                <w:rFonts w:ascii="Arial" w:hAnsi="Arial" w:cs="Arial" w:eastAsia="Arial" w:hint="default"/>
                <w:sz w:val="18"/>
                <w:szCs w:val="18"/>
              </w:rPr>
            </w:pPr>
            <w:r>
              <w:rPr>
                <w:rFonts w:ascii="Arial"/>
                <w:w w:val="99"/>
                <w:sz w:val="18"/>
              </w:rPr>
              <w:t>-</w:t>
            </w:r>
            <w:r>
              <w:rPr>
                <w:rFonts w:ascii="Arial"/>
                <w:sz w:val="18"/>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6"/>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3618"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黑体" w:hAnsi="黑体" w:cs="黑体" w:eastAsia="黑体" w:hint="default"/>
                <w:sz w:val="18"/>
                <w:szCs w:val="18"/>
              </w:rPr>
            </w:pPr>
            <w:r>
              <w:rPr>
                <w:rFonts w:ascii="黑体" w:hAnsi="黑体" w:cs="黑体" w:eastAsia="黑体" w:hint="default"/>
                <w:sz w:val="18"/>
                <w:szCs w:val="18"/>
              </w:rPr>
              <w:t>五、同一控制下企业合并中被合并方在合并</w:t>
            </w:r>
          </w:p>
          <w:p>
            <w:pPr>
              <w:pStyle w:val="TableParagraph"/>
              <w:spacing w:line="234" w:lineRule="exact"/>
              <w:ind w:left="632" w:right="0"/>
              <w:jc w:val="left"/>
              <w:rPr>
                <w:rFonts w:ascii="黑体" w:hAnsi="黑体" w:cs="黑体" w:eastAsia="黑体" w:hint="default"/>
                <w:sz w:val="18"/>
                <w:szCs w:val="18"/>
              </w:rPr>
            </w:pPr>
            <w:r>
              <w:rPr>
                <w:rFonts w:ascii="黑体" w:hAnsi="黑体" w:cs="黑体" w:eastAsia="黑体" w:hint="default"/>
                <w:sz w:val="18"/>
                <w:szCs w:val="18"/>
              </w:rPr>
              <w:t>前实现的净利润</w:t>
            </w:r>
          </w:p>
        </w:tc>
        <w:tc>
          <w:tcPr>
            <w:tcW w:w="117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92"/>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90"/>
              <w:jc w:val="right"/>
              <w:rPr>
                <w:rFonts w:ascii="Arial" w:hAnsi="Arial" w:cs="Arial" w:eastAsia="Arial" w:hint="default"/>
                <w:sz w:val="18"/>
                <w:szCs w:val="18"/>
              </w:rPr>
            </w:pPr>
            <w:r>
              <w:rPr>
                <w:rFonts w:ascii="Arial"/>
                <w:spacing w:val="-1"/>
                <w:sz w:val="18"/>
              </w:rPr>
              <w:t>8,940,742</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不适用</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right="86"/>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254" w:hRule="exact"/>
        </w:trPr>
        <w:tc>
          <w:tcPr>
            <w:tcW w:w="3618"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63"/>
              <w:jc w:val="right"/>
              <w:rPr>
                <w:rFonts w:ascii="黑体" w:hAnsi="黑体" w:cs="黑体" w:eastAsia="黑体" w:hint="default"/>
                <w:sz w:val="18"/>
                <w:szCs w:val="18"/>
              </w:rPr>
            </w:pPr>
            <w:r>
              <w:rPr>
                <w:rFonts w:ascii="黑体" w:hAnsi="黑体" w:cs="黑体" w:eastAsia="黑体" w:hint="default"/>
                <w:sz w:val="18"/>
                <w:szCs w:val="18"/>
              </w:rPr>
              <w:t>六、每股收益（归属于母公司普通股股东）</w:t>
            </w:r>
          </w:p>
        </w:tc>
        <w:tc>
          <w:tcPr>
            <w:tcW w:w="117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460" w:right="0"/>
              <w:jc w:val="left"/>
              <w:rPr>
                <w:rFonts w:ascii="黑体" w:hAnsi="黑体" w:cs="黑体" w:eastAsia="黑体" w:hint="default"/>
                <w:sz w:val="18"/>
                <w:szCs w:val="18"/>
              </w:rPr>
            </w:pPr>
            <w:r>
              <w:rPr>
                <w:rFonts w:ascii="黑体" w:hAnsi="黑体" w:cs="黑体" w:eastAsia="黑体" w:hint="default"/>
                <w:sz w:val="18"/>
                <w:szCs w:val="18"/>
              </w:rPr>
              <w:t>基本每股收益</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14"/>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0"/>
              <w:jc w:val="right"/>
              <w:rPr>
                <w:rFonts w:ascii="Arial" w:hAnsi="Arial" w:cs="Arial" w:eastAsia="Arial" w:hint="default"/>
                <w:sz w:val="18"/>
                <w:szCs w:val="18"/>
              </w:rPr>
            </w:pPr>
            <w:r>
              <w:rPr>
                <w:rFonts w:ascii="Arial"/>
                <w:spacing w:val="-1"/>
                <w:sz w:val="18"/>
              </w:rPr>
              <w:t>0.1117</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0"/>
              <w:jc w:val="right"/>
              <w:rPr>
                <w:rFonts w:ascii="Arial" w:hAnsi="Arial" w:cs="Arial" w:eastAsia="Arial" w:hint="default"/>
                <w:sz w:val="18"/>
                <w:szCs w:val="18"/>
              </w:rPr>
            </w:pPr>
            <w:r>
              <w:rPr>
                <w:rFonts w:ascii="Arial"/>
                <w:spacing w:val="-1"/>
                <w:sz w:val="18"/>
              </w:rPr>
              <w:t>0.0666</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08"/>
              <w:jc w:val="right"/>
              <w:rPr>
                <w:rFonts w:ascii="宋体" w:hAnsi="宋体" w:cs="宋体" w:eastAsia="宋体" w:hint="default"/>
                <w:sz w:val="18"/>
                <w:szCs w:val="18"/>
              </w:rPr>
            </w:pPr>
            <w:r>
              <w:rPr>
                <w:rFonts w:ascii="宋体" w:hAnsi="宋体" w:cs="宋体" w:eastAsia="宋体" w:hint="default"/>
                <w:sz w:val="18"/>
                <w:szCs w:val="18"/>
              </w:rPr>
              <w:t>不适用</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86"/>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254"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460" w:right="0"/>
              <w:jc w:val="left"/>
              <w:rPr>
                <w:rFonts w:ascii="黑体" w:hAnsi="黑体" w:cs="黑体" w:eastAsia="黑体" w:hint="default"/>
                <w:sz w:val="18"/>
                <w:szCs w:val="18"/>
              </w:rPr>
            </w:pPr>
            <w:r>
              <w:rPr>
                <w:rFonts w:ascii="黑体" w:hAnsi="黑体" w:cs="黑体" w:eastAsia="黑体" w:hint="default"/>
                <w:sz w:val="18"/>
                <w:szCs w:val="18"/>
              </w:rPr>
              <w:t>稀释每股收益</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14"/>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0"/>
              <w:jc w:val="right"/>
              <w:rPr>
                <w:rFonts w:ascii="Arial" w:hAnsi="Arial" w:cs="Arial" w:eastAsia="Arial" w:hint="default"/>
                <w:sz w:val="18"/>
                <w:szCs w:val="18"/>
              </w:rPr>
            </w:pPr>
            <w:r>
              <w:rPr>
                <w:rFonts w:ascii="Arial"/>
                <w:spacing w:val="-1"/>
                <w:sz w:val="18"/>
              </w:rPr>
              <w:t>0.1099</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0"/>
              <w:jc w:val="right"/>
              <w:rPr>
                <w:rFonts w:ascii="Arial" w:hAnsi="Arial" w:cs="Arial" w:eastAsia="Arial" w:hint="default"/>
                <w:sz w:val="18"/>
                <w:szCs w:val="18"/>
              </w:rPr>
            </w:pPr>
            <w:r>
              <w:rPr>
                <w:rFonts w:ascii="Arial"/>
                <w:spacing w:val="-1"/>
                <w:sz w:val="18"/>
              </w:rPr>
              <w:t>0.0660</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108"/>
              <w:jc w:val="right"/>
              <w:rPr>
                <w:rFonts w:ascii="宋体" w:hAnsi="宋体" w:cs="宋体" w:eastAsia="宋体" w:hint="default"/>
                <w:sz w:val="18"/>
                <w:szCs w:val="18"/>
              </w:rPr>
            </w:pPr>
            <w:r>
              <w:rPr>
                <w:rFonts w:ascii="宋体" w:hAnsi="宋体" w:cs="宋体" w:eastAsia="宋体" w:hint="default"/>
                <w:sz w:val="18"/>
                <w:szCs w:val="18"/>
              </w:rPr>
              <w:t>不适用</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86"/>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222" w:hRule="exact"/>
        </w:trPr>
        <w:tc>
          <w:tcPr>
            <w:tcW w:w="3618"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18" w:right="0"/>
              <w:jc w:val="left"/>
              <w:rPr>
                <w:rFonts w:ascii="黑体" w:hAnsi="黑体" w:cs="黑体" w:eastAsia="黑体" w:hint="default"/>
                <w:sz w:val="18"/>
                <w:szCs w:val="18"/>
              </w:rPr>
            </w:pPr>
            <w:r>
              <w:rPr>
                <w:rFonts w:ascii="黑体" w:hAnsi="黑体" w:cs="黑体" w:eastAsia="黑体" w:hint="default"/>
                <w:sz w:val="18"/>
                <w:szCs w:val="18"/>
              </w:rPr>
              <w:t>七、其他综合损失</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14"/>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33"/>
              <w:jc w:val="right"/>
              <w:rPr>
                <w:rFonts w:ascii="Arial" w:hAnsi="Arial" w:cs="Arial" w:eastAsia="Arial" w:hint="default"/>
                <w:sz w:val="18"/>
                <w:szCs w:val="18"/>
              </w:rPr>
            </w:pPr>
            <w:r>
              <w:rPr>
                <w:rFonts w:ascii="Arial"/>
                <w:spacing w:val="-1"/>
                <w:sz w:val="18"/>
              </w:rPr>
              <w:t>(1,148,741,561)</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30"/>
              <w:jc w:val="right"/>
              <w:rPr>
                <w:rFonts w:ascii="Arial" w:hAnsi="Arial" w:cs="Arial" w:eastAsia="Arial" w:hint="default"/>
                <w:sz w:val="18"/>
                <w:szCs w:val="18"/>
              </w:rPr>
            </w:pPr>
            <w:r>
              <w:rPr>
                <w:rFonts w:ascii="Arial"/>
                <w:spacing w:val="-1"/>
                <w:sz w:val="18"/>
              </w:rPr>
              <w:t>(1,990,478,831)</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8"/>
              <w:jc w:val="right"/>
              <w:rPr>
                <w:rFonts w:ascii="Arial" w:hAnsi="Arial" w:cs="Arial" w:eastAsia="Arial" w:hint="default"/>
                <w:sz w:val="18"/>
                <w:szCs w:val="18"/>
              </w:rPr>
            </w:pPr>
            <w:r>
              <w:rPr>
                <w:rFonts w:ascii="Arial"/>
                <w:w w:val="99"/>
                <w:sz w:val="18"/>
              </w:rPr>
              <w:t>-</w:t>
            </w:r>
            <w:r>
              <w:rPr>
                <w:rFonts w:ascii="Arial"/>
                <w:sz w:val="18"/>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86"/>
              <w:jc w:val="right"/>
              <w:rPr>
                <w:rFonts w:ascii="Arial" w:hAnsi="Arial" w:cs="Arial" w:eastAsia="Arial" w:hint="default"/>
                <w:sz w:val="18"/>
                <w:szCs w:val="18"/>
              </w:rPr>
            </w:pPr>
            <w:r>
              <w:rPr>
                <w:rFonts w:ascii="Arial"/>
                <w:w w:val="99"/>
                <w:sz w:val="18"/>
              </w:rPr>
              <w:t>-</w:t>
            </w:r>
            <w:r>
              <w:rPr>
                <w:rFonts w:ascii="Arial"/>
                <w:sz w:val="18"/>
              </w:rPr>
            </w:r>
          </w:p>
        </w:tc>
      </w:tr>
      <w:tr>
        <w:trPr>
          <w:trHeight w:val="222" w:hRule="exact"/>
        </w:trPr>
        <w:tc>
          <w:tcPr>
            <w:tcW w:w="3618"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18" w:right="0"/>
              <w:jc w:val="left"/>
              <w:rPr>
                <w:rFonts w:ascii="黑体" w:hAnsi="黑体" w:cs="黑体" w:eastAsia="黑体" w:hint="default"/>
                <w:sz w:val="18"/>
                <w:szCs w:val="18"/>
              </w:rPr>
            </w:pPr>
            <w:r>
              <w:rPr>
                <w:rFonts w:ascii="黑体" w:hAnsi="黑体" w:cs="黑体" w:eastAsia="黑体" w:hint="default"/>
                <w:sz w:val="18"/>
                <w:szCs w:val="18"/>
              </w:rPr>
              <w:t>八、综合收益总额</w:t>
            </w:r>
          </w:p>
        </w:tc>
        <w:tc>
          <w:tcPr>
            <w:tcW w:w="117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00" w:right="0"/>
              <w:jc w:val="left"/>
              <w:rPr>
                <w:rFonts w:ascii="Arial" w:hAnsi="Arial" w:cs="Arial" w:eastAsia="Arial" w:hint="default"/>
                <w:sz w:val="18"/>
                <w:szCs w:val="18"/>
              </w:rPr>
            </w:pPr>
            <w:r>
              <w:rPr>
                <w:rFonts w:ascii="Arial"/>
                <w:sz w:val="18"/>
              </w:rPr>
              <w:t>5,876,686,952</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06" w:right="0"/>
              <w:jc w:val="left"/>
              <w:rPr>
                <w:rFonts w:ascii="Arial" w:hAnsi="Arial" w:cs="Arial" w:eastAsia="Arial" w:hint="default"/>
                <w:sz w:val="18"/>
                <w:szCs w:val="18"/>
              </w:rPr>
            </w:pPr>
            <w:r>
              <w:rPr>
                <w:rFonts w:ascii="Arial"/>
                <w:sz w:val="18"/>
              </w:rPr>
              <w:t>2,197,486,554</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8"/>
              <w:jc w:val="right"/>
              <w:rPr>
                <w:rFonts w:ascii="Arial" w:hAnsi="Arial" w:cs="Arial" w:eastAsia="Arial" w:hint="default"/>
                <w:sz w:val="18"/>
                <w:szCs w:val="18"/>
              </w:rPr>
            </w:pPr>
            <w:r>
              <w:rPr>
                <w:rFonts w:ascii="Arial"/>
                <w:spacing w:val="-1"/>
                <w:sz w:val="18"/>
              </w:rPr>
              <w:t>779,203,755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87"/>
              <w:jc w:val="right"/>
              <w:rPr>
                <w:rFonts w:ascii="Arial" w:hAnsi="Arial" w:cs="Arial" w:eastAsia="Arial" w:hint="default"/>
                <w:sz w:val="18"/>
                <w:szCs w:val="18"/>
              </w:rPr>
            </w:pPr>
            <w:r>
              <w:rPr>
                <w:rFonts w:ascii="Arial"/>
                <w:spacing w:val="-1"/>
                <w:sz w:val="18"/>
              </w:rPr>
              <w:t>615,402,212</w:t>
            </w:r>
          </w:p>
        </w:tc>
      </w:tr>
      <w:tr>
        <w:trPr>
          <w:trHeight w:val="249"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81"/>
              <w:jc w:val="right"/>
              <w:rPr>
                <w:rFonts w:ascii="黑体" w:hAnsi="黑体" w:cs="黑体" w:eastAsia="黑体" w:hint="default"/>
                <w:sz w:val="18"/>
                <w:szCs w:val="18"/>
              </w:rPr>
            </w:pPr>
            <w:r>
              <w:rPr>
                <w:rFonts w:ascii="黑体" w:hAnsi="黑体" w:cs="黑体" w:eastAsia="黑体" w:hint="default"/>
                <w:sz w:val="18"/>
                <w:szCs w:val="18"/>
              </w:rPr>
              <w:t>归属于母公司普通股股东综合收益总额</w:t>
            </w:r>
          </w:p>
        </w:tc>
        <w:tc>
          <w:tcPr>
            <w:tcW w:w="117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300" w:right="0"/>
              <w:jc w:val="left"/>
              <w:rPr>
                <w:rFonts w:ascii="Arial" w:hAnsi="Arial" w:cs="Arial" w:eastAsia="Arial" w:hint="default"/>
                <w:sz w:val="18"/>
                <w:szCs w:val="18"/>
              </w:rPr>
            </w:pPr>
            <w:r>
              <w:rPr>
                <w:rFonts w:ascii="Arial"/>
                <w:sz w:val="18"/>
              </w:rPr>
              <w:t>1,978,912,008</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0"/>
              <w:jc w:val="right"/>
              <w:rPr>
                <w:rFonts w:ascii="Arial" w:hAnsi="Arial" w:cs="Arial" w:eastAsia="Arial" w:hint="default"/>
                <w:sz w:val="18"/>
                <w:szCs w:val="18"/>
              </w:rPr>
            </w:pPr>
            <w:r>
              <w:rPr>
                <w:rFonts w:ascii="Arial"/>
                <w:spacing w:val="-1"/>
                <w:sz w:val="18"/>
              </w:rPr>
              <w:t>737,787,260</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8"/>
              <w:jc w:val="right"/>
              <w:rPr>
                <w:rFonts w:ascii="Arial" w:hAnsi="Arial" w:cs="Arial" w:eastAsia="Arial" w:hint="default"/>
                <w:sz w:val="18"/>
                <w:szCs w:val="18"/>
              </w:rPr>
            </w:pPr>
            <w:r>
              <w:rPr>
                <w:rFonts w:ascii="Arial"/>
                <w:spacing w:val="-1"/>
                <w:sz w:val="18"/>
              </w:rPr>
              <w:t>779,203,755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7"/>
              <w:jc w:val="right"/>
              <w:rPr>
                <w:rFonts w:ascii="Arial" w:hAnsi="Arial" w:cs="Arial" w:eastAsia="Arial" w:hint="default"/>
                <w:sz w:val="18"/>
                <w:szCs w:val="18"/>
              </w:rPr>
            </w:pPr>
            <w:r>
              <w:rPr>
                <w:rFonts w:ascii="Arial"/>
                <w:spacing w:val="-1"/>
                <w:sz w:val="18"/>
              </w:rPr>
              <w:t>615,402,212</w:t>
            </w:r>
          </w:p>
        </w:tc>
      </w:tr>
      <w:tr>
        <w:trPr>
          <w:trHeight w:val="24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黑体" w:hAnsi="黑体" w:cs="黑体" w:eastAsia="黑体" w:hint="default"/>
                <w:sz w:val="18"/>
                <w:szCs w:val="18"/>
              </w:rPr>
            </w:pPr>
            <w:r>
              <w:rPr>
                <w:rFonts w:ascii="黑体" w:hAnsi="黑体" w:cs="黑体" w:eastAsia="黑体" w:hint="default"/>
                <w:sz w:val="18"/>
                <w:szCs w:val="18"/>
              </w:rPr>
              <w:t>归属于少数股东的综合收益总额</w:t>
            </w:r>
          </w:p>
        </w:tc>
        <w:tc>
          <w:tcPr>
            <w:tcW w:w="117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00" w:right="0"/>
              <w:jc w:val="left"/>
              <w:rPr>
                <w:rFonts w:ascii="Arial" w:hAnsi="Arial" w:cs="Arial" w:eastAsia="Arial" w:hint="default"/>
                <w:sz w:val="18"/>
                <w:szCs w:val="18"/>
              </w:rPr>
            </w:pPr>
            <w:r>
              <w:rPr>
                <w:rFonts w:ascii="Arial"/>
                <w:sz w:val="18"/>
              </w:rPr>
              <w:t>3,897,774,944</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06" w:right="0"/>
              <w:jc w:val="left"/>
              <w:rPr>
                <w:rFonts w:ascii="Arial" w:hAnsi="Arial" w:cs="Arial" w:eastAsia="Arial" w:hint="default"/>
                <w:sz w:val="18"/>
                <w:szCs w:val="18"/>
              </w:rPr>
            </w:pPr>
            <w:r>
              <w:rPr>
                <w:rFonts w:ascii="Arial"/>
                <w:sz w:val="18"/>
              </w:rPr>
              <w:t>1,459,699,294</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8"/>
              <w:jc w:val="right"/>
              <w:rPr>
                <w:rFonts w:ascii="Arial" w:hAnsi="Arial" w:cs="Arial" w:eastAsia="Arial" w:hint="default"/>
                <w:sz w:val="18"/>
                <w:szCs w:val="18"/>
              </w:rPr>
            </w:pPr>
            <w:r>
              <w:rPr>
                <w:rFonts w:ascii="Arial"/>
                <w:w w:val="99"/>
                <w:sz w:val="18"/>
              </w:rPr>
              <w:t>-</w:t>
            </w:r>
            <w:r>
              <w:rPr>
                <w:rFonts w:ascii="Arial"/>
                <w:sz w:val="18"/>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86"/>
              <w:jc w:val="right"/>
              <w:rPr>
                <w:rFonts w:ascii="Arial" w:hAnsi="Arial" w:cs="Arial" w:eastAsia="Arial" w:hint="default"/>
                <w:sz w:val="18"/>
                <w:szCs w:val="18"/>
              </w:rPr>
            </w:pPr>
            <w:r>
              <w:rPr>
                <w:rFonts w:ascii="Arial"/>
                <w:w w:val="99"/>
                <w:sz w:val="18"/>
              </w:rPr>
              <w:t>-</w:t>
            </w:r>
            <w:r>
              <w:rPr>
                <w:rFonts w:ascii="Arial"/>
                <w:sz w:val="18"/>
              </w:rPr>
            </w:r>
          </w:p>
        </w:tc>
      </w:tr>
    </w:tbl>
    <w:p>
      <w:pPr>
        <w:spacing w:line="240" w:lineRule="auto" w:before="1"/>
        <w:rPr>
          <w:rFonts w:ascii="黑体" w:hAnsi="黑体" w:cs="黑体" w:eastAsia="黑体" w:hint="default"/>
          <w:sz w:val="14"/>
          <w:szCs w:val="14"/>
        </w:rPr>
      </w:pPr>
    </w:p>
    <w:p>
      <w:pPr>
        <w:spacing w:before="38"/>
        <w:ind w:left="115" w:right="0" w:firstLine="0"/>
        <w:jc w:val="left"/>
        <w:rPr>
          <w:rFonts w:ascii="黑体" w:hAnsi="黑体" w:cs="黑体" w:eastAsia="黑体" w:hint="default"/>
          <w:sz w:val="20"/>
          <w:szCs w:val="20"/>
        </w:rPr>
      </w:pPr>
      <w:r>
        <w:rPr>
          <w:rFonts w:ascii="黑体" w:hAnsi="黑体" w:cs="黑体" w:eastAsia="黑体" w:hint="default"/>
          <w:sz w:val="20"/>
          <w:szCs w:val="20"/>
        </w:rPr>
        <w:t>后附财务报表附注为财务报表的组成部分。</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pStyle w:val="BodyText"/>
        <w:tabs>
          <w:tab w:pos="3661" w:val="left" w:leader="none"/>
          <w:tab w:pos="7261" w:val="left" w:leader="none"/>
        </w:tabs>
        <w:spacing w:line="240" w:lineRule="auto" w:before="150"/>
        <w:ind w:left="129" w:right="0"/>
        <w:jc w:val="left"/>
        <w:rPr>
          <w:rFonts w:ascii="黑体" w:hAnsi="黑体" w:cs="黑体" w:eastAsia="黑体" w:hint="default"/>
        </w:rPr>
      </w:pPr>
      <w:r>
        <w:rPr>
          <w:rFonts w:ascii="黑体" w:hAnsi="黑体" w:cs="黑体" w:eastAsia="黑体" w:hint="default"/>
          <w:w w:val="95"/>
        </w:rPr>
        <w:t>董事长：常小兵</w:t>
        <w:tab/>
        <w:t>财务负责人：张健</w:t>
        <w:tab/>
      </w:r>
      <w:r>
        <w:rPr>
          <w:rFonts w:ascii="黑体" w:hAnsi="黑体" w:cs="黑体" w:eastAsia="黑体" w:hint="default"/>
        </w:rPr>
        <w:t>财务部总经理：李张挺</w:t>
      </w:r>
    </w:p>
    <w:p>
      <w:pPr>
        <w:spacing w:after="0" w:line="240" w:lineRule="auto"/>
        <w:jc w:val="left"/>
        <w:rPr>
          <w:rFonts w:ascii="黑体" w:hAnsi="黑体" w:cs="黑体" w:eastAsia="黑体" w:hint="default"/>
        </w:rPr>
        <w:sectPr>
          <w:headerReference w:type="default" r:id="rId30"/>
          <w:footerReference w:type="default" r:id="rId31"/>
          <w:pgSz w:w="11910" w:h="16840"/>
          <w:pgMar w:header="0" w:footer="745" w:top="1240" w:bottom="940" w:left="780" w:right="340"/>
          <w:pgNumType w:start="57"/>
        </w:sectPr>
      </w:pPr>
    </w:p>
    <w:p>
      <w:pPr>
        <w:pStyle w:val="BodyText"/>
        <w:spacing w:line="240" w:lineRule="auto" w:before="6"/>
        <w:ind w:left="149" w:right="0"/>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2"/>
        <w:rPr>
          <w:rFonts w:ascii="黑体" w:hAnsi="黑体" w:cs="黑体" w:eastAsia="黑体" w:hint="default"/>
          <w:sz w:val="19"/>
          <w:szCs w:val="19"/>
        </w:rPr>
      </w:pPr>
    </w:p>
    <w:p>
      <w:pPr>
        <w:pStyle w:val="BodyText"/>
        <w:spacing w:line="294" w:lineRule="exact"/>
        <w:ind w:left="149"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12"/>
        </w:rPr>
        <w:t> </w:t>
      </w:r>
      <w:r>
        <w:rPr>
          <w:rFonts w:ascii="黑体" w:hAnsi="黑体" w:cs="黑体" w:eastAsia="黑体" w:hint="default"/>
        </w:rPr>
        <w:t>年度合并及公司现金流量表</w:t>
      </w:r>
    </w:p>
    <w:p>
      <w:pPr>
        <w:pStyle w:val="BodyText"/>
        <w:spacing w:line="278" w:lineRule="exact"/>
        <w:ind w:left="261" w:right="0"/>
        <w:jc w:val="left"/>
        <w:rPr>
          <w:rFonts w:ascii="黑体" w:hAnsi="黑体" w:cs="黑体" w:eastAsia="黑体" w:hint="default"/>
        </w:rPr>
      </w:pPr>
      <w:r>
        <w:rPr>
          <w:rFonts w:ascii="黑体" w:hAnsi="黑体" w:cs="黑体" w:eastAsia="黑体" w:hint="default"/>
        </w:rPr>
        <w:t>（除特别注明外，金额单位为人民币元）</w:t>
      </w:r>
    </w:p>
    <w:p>
      <w:pPr>
        <w:spacing w:line="240" w:lineRule="auto" w:before="9"/>
        <w:rPr>
          <w:rFonts w:ascii="黑体" w:hAnsi="黑体" w:cs="黑体" w:eastAsia="黑体" w:hint="default"/>
          <w:sz w:val="23"/>
          <w:szCs w:val="23"/>
        </w:rPr>
      </w:pPr>
    </w:p>
    <w:tbl>
      <w:tblPr>
        <w:tblW w:w="0" w:type="auto"/>
        <w:jc w:val="left"/>
        <w:tblInd w:w="113" w:type="dxa"/>
        <w:tblLayout w:type="fixed"/>
        <w:tblCellMar>
          <w:top w:w="0" w:type="dxa"/>
          <w:left w:w="0" w:type="dxa"/>
          <w:bottom w:w="0" w:type="dxa"/>
          <w:right w:w="0" w:type="dxa"/>
        </w:tblCellMar>
        <w:tblLook w:val="01E0"/>
      </w:tblPr>
      <w:tblGrid>
        <w:gridCol w:w="4596"/>
        <w:gridCol w:w="532"/>
        <w:gridCol w:w="1493"/>
        <w:gridCol w:w="1432"/>
        <w:gridCol w:w="1270"/>
        <w:gridCol w:w="1250"/>
      </w:tblGrid>
      <w:tr>
        <w:trPr>
          <w:trHeight w:val="622"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黑体" w:hAnsi="黑体" w:cs="黑体" w:eastAsia="黑体" w:hint="default"/>
                <w:sz w:val="13"/>
                <w:szCs w:val="13"/>
              </w:rPr>
            </w:pPr>
          </w:p>
          <w:p>
            <w:pPr>
              <w:pStyle w:val="TableParagraph"/>
              <w:spacing w:line="240" w:lineRule="auto"/>
              <w:ind w:right="2"/>
              <w:jc w:val="center"/>
              <w:rPr>
                <w:rFonts w:ascii="黑体" w:hAnsi="黑体" w:cs="黑体" w:eastAsia="黑体" w:hint="default"/>
                <w:sz w:val="16"/>
                <w:szCs w:val="16"/>
              </w:rPr>
            </w:pPr>
            <w:r>
              <w:rPr>
                <w:rFonts w:ascii="黑体" w:hAnsi="黑体" w:cs="黑体" w:eastAsia="黑体" w:hint="default"/>
                <w:sz w:val="16"/>
                <w:szCs w:val="16"/>
              </w:rPr>
              <w:t>项目</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黑体" w:hAnsi="黑体" w:cs="黑体" w:eastAsia="黑体" w:hint="default"/>
                <w:sz w:val="13"/>
                <w:szCs w:val="13"/>
              </w:rPr>
            </w:pPr>
          </w:p>
          <w:p>
            <w:pPr>
              <w:pStyle w:val="TableParagraph"/>
              <w:spacing w:line="240" w:lineRule="auto"/>
              <w:ind w:left="79" w:right="0"/>
              <w:jc w:val="left"/>
              <w:rPr>
                <w:rFonts w:ascii="黑体" w:hAnsi="黑体" w:cs="黑体" w:eastAsia="黑体" w:hint="default"/>
                <w:sz w:val="16"/>
                <w:szCs w:val="16"/>
              </w:rPr>
            </w:pPr>
            <w:r>
              <w:rPr>
                <w:rFonts w:ascii="黑体" w:hAnsi="黑体" w:cs="黑体" w:eastAsia="黑体" w:hint="default"/>
                <w:sz w:val="16"/>
                <w:szCs w:val="16"/>
              </w:rPr>
              <w:t>附注</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65"/>
              <w:ind w:left="573" w:right="336" w:hanging="238"/>
              <w:jc w:val="left"/>
              <w:rPr>
                <w:rFonts w:ascii="黑体" w:hAnsi="黑体" w:cs="黑体" w:eastAsia="黑体" w:hint="default"/>
                <w:sz w:val="18"/>
                <w:szCs w:val="18"/>
              </w:rPr>
            </w:pPr>
            <w:r>
              <w:rPr>
                <w:rFonts w:ascii="Arial" w:hAnsi="Arial" w:cs="Arial" w:eastAsia="Arial" w:hint="default"/>
                <w:sz w:val="18"/>
                <w:szCs w:val="18"/>
              </w:rPr>
              <w:t>2012</w:t>
            </w:r>
            <w:r>
              <w:rPr>
                <w:rFonts w:ascii="Arial" w:hAnsi="Arial" w:cs="Arial" w:eastAsia="Arial" w:hint="default"/>
                <w:spacing w:val="-9"/>
                <w:sz w:val="18"/>
                <w:szCs w:val="18"/>
              </w:rPr>
              <w:t> </w:t>
            </w:r>
            <w:r>
              <w:rPr>
                <w:rFonts w:ascii="黑体" w:hAnsi="黑体" w:cs="黑体" w:eastAsia="黑体" w:hint="default"/>
                <w:sz w:val="18"/>
                <w:szCs w:val="18"/>
              </w:rPr>
              <w:t>年度 合并</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65"/>
              <w:ind w:left="526" w:right="305" w:hanging="221"/>
              <w:jc w:val="left"/>
              <w:rPr>
                <w:rFonts w:ascii="黑体" w:hAnsi="黑体" w:cs="黑体" w:eastAsia="黑体" w:hint="default"/>
                <w:sz w:val="18"/>
                <w:szCs w:val="18"/>
              </w:rPr>
            </w:pPr>
            <w:r>
              <w:rPr>
                <w:rFonts w:ascii="Arial" w:hAnsi="Arial" w:cs="Arial" w:eastAsia="Arial" w:hint="default"/>
                <w:sz w:val="18"/>
                <w:szCs w:val="18"/>
              </w:rPr>
              <w:t>2011</w:t>
            </w:r>
            <w:r>
              <w:rPr>
                <w:rFonts w:ascii="Arial" w:hAnsi="Arial" w:cs="Arial" w:eastAsia="Arial" w:hint="default"/>
                <w:spacing w:val="-9"/>
                <w:sz w:val="18"/>
                <w:szCs w:val="18"/>
              </w:rPr>
              <w:t> </w:t>
            </w:r>
            <w:r>
              <w:rPr>
                <w:rFonts w:ascii="黑体" w:hAnsi="黑体" w:cs="黑体" w:eastAsia="黑体" w:hint="default"/>
                <w:sz w:val="18"/>
                <w:szCs w:val="18"/>
              </w:rPr>
              <w:t>年度 合并</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65"/>
              <w:ind w:left="446" w:right="227" w:hanging="224"/>
              <w:jc w:val="left"/>
              <w:rPr>
                <w:rFonts w:ascii="黑体" w:hAnsi="黑体" w:cs="黑体" w:eastAsia="黑体" w:hint="default"/>
                <w:sz w:val="18"/>
                <w:szCs w:val="18"/>
              </w:rPr>
            </w:pPr>
            <w:r>
              <w:rPr>
                <w:rFonts w:ascii="Arial" w:hAnsi="Arial" w:cs="Arial" w:eastAsia="Arial" w:hint="default"/>
                <w:sz w:val="18"/>
                <w:szCs w:val="18"/>
              </w:rPr>
              <w:t>2012</w:t>
            </w:r>
            <w:r>
              <w:rPr>
                <w:rFonts w:ascii="Arial" w:hAnsi="Arial" w:cs="Arial" w:eastAsia="Arial" w:hint="default"/>
                <w:spacing w:val="-9"/>
                <w:sz w:val="18"/>
                <w:szCs w:val="18"/>
              </w:rPr>
              <w:t> </w:t>
            </w:r>
            <w:r>
              <w:rPr>
                <w:rFonts w:ascii="黑体" w:hAnsi="黑体" w:cs="黑体" w:eastAsia="黑体" w:hint="default"/>
                <w:sz w:val="18"/>
                <w:szCs w:val="18"/>
              </w:rPr>
              <w:t>年度 公司</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65"/>
              <w:ind w:left="436" w:right="215" w:hanging="221"/>
              <w:jc w:val="left"/>
              <w:rPr>
                <w:rFonts w:ascii="黑体" w:hAnsi="黑体" w:cs="黑体" w:eastAsia="黑体" w:hint="default"/>
                <w:sz w:val="18"/>
                <w:szCs w:val="18"/>
              </w:rPr>
            </w:pPr>
            <w:r>
              <w:rPr>
                <w:rFonts w:ascii="Arial" w:hAnsi="Arial" w:cs="Arial" w:eastAsia="Arial" w:hint="default"/>
                <w:sz w:val="18"/>
                <w:szCs w:val="18"/>
              </w:rPr>
              <w:t>2011</w:t>
            </w:r>
            <w:r>
              <w:rPr>
                <w:rFonts w:ascii="Arial" w:hAnsi="Arial" w:cs="Arial" w:eastAsia="Arial" w:hint="default"/>
                <w:spacing w:val="-9"/>
                <w:sz w:val="18"/>
                <w:szCs w:val="18"/>
              </w:rPr>
              <w:t> </w:t>
            </w:r>
            <w:r>
              <w:rPr>
                <w:rFonts w:ascii="黑体" w:hAnsi="黑体" w:cs="黑体" w:eastAsia="黑体" w:hint="default"/>
                <w:sz w:val="18"/>
                <w:szCs w:val="18"/>
              </w:rPr>
              <w:t>年度 公司</w:t>
            </w:r>
          </w:p>
        </w:tc>
      </w:tr>
      <w:tr>
        <w:trPr>
          <w:trHeight w:val="256"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黑体" w:hAnsi="黑体" w:cs="黑体" w:eastAsia="黑体" w:hint="default"/>
                <w:sz w:val="16"/>
                <w:szCs w:val="16"/>
              </w:rPr>
            </w:pPr>
            <w:r>
              <w:rPr>
                <w:rFonts w:ascii="黑体" w:hAnsi="黑体" w:cs="黑体" w:eastAsia="黑体" w:hint="default"/>
                <w:sz w:val="16"/>
                <w:szCs w:val="16"/>
              </w:rPr>
              <w:t>一、经营活动产生的现金流量</w:t>
            </w:r>
          </w:p>
        </w:tc>
        <w:tc>
          <w:tcPr>
            <w:tcW w:w="532"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
        </w:tc>
        <w:tc>
          <w:tcPr>
            <w:tcW w:w="1432"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r>
      <w:tr>
        <w:trPr>
          <w:trHeight w:val="255"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36" w:right="0"/>
              <w:jc w:val="left"/>
              <w:rPr>
                <w:rFonts w:ascii="宋体" w:hAnsi="宋体" w:cs="宋体" w:eastAsia="宋体" w:hint="default"/>
                <w:sz w:val="16"/>
                <w:szCs w:val="16"/>
              </w:rPr>
            </w:pPr>
            <w:r>
              <w:rPr>
                <w:rFonts w:ascii="宋体" w:hAnsi="宋体" w:cs="宋体" w:eastAsia="宋体" w:hint="default"/>
                <w:sz w:val="16"/>
                <w:szCs w:val="16"/>
              </w:rPr>
              <w:t>销售商品、提供劳务收到的现金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3"/>
              <w:jc w:val="right"/>
              <w:rPr>
                <w:rFonts w:ascii="Arial" w:hAnsi="Arial" w:cs="Arial" w:eastAsia="Arial" w:hint="default"/>
                <w:sz w:val="16"/>
                <w:szCs w:val="16"/>
              </w:rPr>
            </w:pPr>
            <w:r>
              <w:rPr>
                <w:rFonts w:ascii="Arial"/>
                <w:w w:val="95"/>
                <w:sz w:val="16"/>
              </w:rPr>
              <w:t>243,095,682,578</w:t>
            </w:r>
            <w:r>
              <w:rPr>
                <w:rFonts w:ascii="Arial"/>
                <w:sz w:val="16"/>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23" w:right="0"/>
              <w:jc w:val="left"/>
              <w:rPr>
                <w:rFonts w:ascii="Arial" w:hAnsi="Arial" w:cs="Arial" w:eastAsia="Arial" w:hint="default"/>
                <w:sz w:val="16"/>
                <w:szCs w:val="16"/>
              </w:rPr>
            </w:pPr>
            <w:r>
              <w:rPr>
                <w:rFonts w:ascii="Arial"/>
                <w:sz w:val="16"/>
              </w:rPr>
              <w:t>205,738,561,772</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73"/>
              <w:jc w:val="right"/>
              <w:rPr>
                <w:rFonts w:ascii="Arial" w:hAnsi="Arial" w:cs="Arial" w:eastAsia="Arial" w:hint="default"/>
                <w:sz w:val="16"/>
                <w:szCs w:val="16"/>
              </w:rPr>
            </w:pPr>
            <w:r>
              <w:rPr>
                <w:rFonts w:ascii="Arial"/>
                <w:w w:val="99"/>
                <w:sz w:val="16"/>
              </w:rPr>
              <w:t>-</w:t>
            </w:r>
            <w:r>
              <w:rPr>
                <w:rFonts w:ascii="Arial"/>
                <w:sz w:val="16"/>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0"/>
              <w:jc w:val="right"/>
              <w:rPr>
                <w:rFonts w:ascii="Arial" w:hAnsi="Arial" w:cs="Arial" w:eastAsia="Arial" w:hint="default"/>
                <w:sz w:val="16"/>
                <w:szCs w:val="16"/>
              </w:rPr>
            </w:pPr>
            <w:r>
              <w:rPr>
                <w:rFonts w:ascii="Arial"/>
                <w:w w:val="99"/>
                <w:sz w:val="16"/>
              </w:rPr>
              <w:t>-</w:t>
            </w:r>
            <w:r>
              <w:rPr>
                <w:rFonts w:ascii="Arial"/>
                <w:sz w:val="16"/>
              </w:rPr>
            </w:r>
          </w:p>
        </w:tc>
      </w:tr>
      <w:tr>
        <w:trPr>
          <w:trHeight w:val="256"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宋体" w:hAnsi="宋体" w:cs="宋体" w:eastAsia="宋体" w:hint="default"/>
                <w:sz w:val="16"/>
                <w:szCs w:val="16"/>
              </w:rPr>
            </w:pPr>
            <w:r>
              <w:rPr>
                <w:rFonts w:ascii="宋体" w:hAnsi="宋体" w:cs="宋体" w:eastAsia="宋体" w:hint="default"/>
                <w:sz w:val="16"/>
                <w:szCs w:val="16"/>
              </w:rPr>
              <w:t>收到的税款返还</w:t>
            </w:r>
          </w:p>
        </w:tc>
        <w:tc>
          <w:tcPr>
            <w:tcW w:w="532"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82"/>
              <w:jc w:val="right"/>
              <w:rPr>
                <w:rFonts w:ascii="Arial" w:hAnsi="Arial" w:cs="Arial" w:eastAsia="Arial" w:hint="default"/>
                <w:sz w:val="16"/>
                <w:szCs w:val="16"/>
              </w:rPr>
            </w:pPr>
            <w:r>
              <w:rPr>
                <w:rFonts w:ascii="Arial"/>
                <w:w w:val="95"/>
                <w:sz w:val="16"/>
              </w:rPr>
              <w:t>15,896,336</w:t>
            </w:r>
            <w:r>
              <w:rPr>
                <w:rFonts w:ascii="Arial"/>
                <w:sz w:val="16"/>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1"/>
              <w:jc w:val="right"/>
              <w:rPr>
                <w:rFonts w:ascii="Arial" w:hAnsi="Arial" w:cs="Arial" w:eastAsia="Arial" w:hint="default"/>
                <w:sz w:val="16"/>
                <w:szCs w:val="16"/>
              </w:rPr>
            </w:pPr>
            <w:r>
              <w:rPr>
                <w:rFonts w:ascii="Arial"/>
                <w:w w:val="95"/>
                <w:sz w:val="16"/>
              </w:rPr>
              <w:t>27,664,445</w:t>
            </w:r>
            <w:r>
              <w:rPr>
                <w:rFonts w:ascii="Arial"/>
                <w:sz w:val="16"/>
              </w:rPr>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73"/>
              <w:jc w:val="right"/>
              <w:rPr>
                <w:rFonts w:ascii="Arial" w:hAnsi="Arial" w:cs="Arial" w:eastAsia="Arial" w:hint="default"/>
                <w:sz w:val="16"/>
                <w:szCs w:val="16"/>
              </w:rPr>
            </w:pPr>
            <w:r>
              <w:rPr>
                <w:rFonts w:ascii="Arial"/>
                <w:w w:val="99"/>
                <w:sz w:val="16"/>
              </w:rPr>
              <w:t>-</w:t>
            </w:r>
            <w:r>
              <w:rPr>
                <w:rFonts w:ascii="Arial"/>
                <w:sz w:val="16"/>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0"/>
              <w:jc w:val="right"/>
              <w:rPr>
                <w:rFonts w:ascii="Arial" w:hAnsi="Arial" w:cs="Arial" w:eastAsia="Arial" w:hint="default"/>
                <w:sz w:val="16"/>
                <w:szCs w:val="16"/>
              </w:rPr>
            </w:pPr>
            <w:r>
              <w:rPr>
                <w:rFonts w:ascii="Arial"/>
                <w:w w:val="99"/>
                <w:sz w:val="16"/>
              </w:rPr>
              <w:t>-</w:t>
            </w:r>
            <w:r>
              <w:rPr>
                <w:rFonts w:ascii="Arial"/>
                <w:sz w:val="16"/>
              </w:rPr>
            </w:r>
          </w:p>
        </w:tc>
      </w:tr>
      <w:tr>
        <w:trPr>
          <w:trHeight w:val="254"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36" w:right="0"/>
              <w:jc w:val="left"/>
              <w:rPr>
                <w:rFonts w:ascii="宋体" w:hAnsi="宋体" w:cs="宋体" w:eastAsia="宋体" w:hint="default"/>
                <w:sz w:val="16"/>
                <w:szCs w:val="16"/>
              </w:rPr>
            </w:pPr>
            <w:r>
              <w:rPr>
                <w:rFonts w:ascii="宋体" w:hAnsi="宋体" w:cs="宋体" w:eastAsia="宋体" w:hint="default"/>
                <w:sz w:val="16"/>
                <w:szCs w:val="16"/>
              </w:rPr>
              <w:t>收到其他与经营活动有关的现金</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1" w:right="0"/>
              <w:jc w:val="left"/>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(49)</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2"/>
              <w:jc w:val="right"/>
              <w:rPr>
                <w:rFonts w:ascii="Arial" w:hAnsi="Arial" w:cs="Arial" w:eastAsia="Arial" w:hint="default"/>
                <w:sz w:val="16"/>
                <w:szCs w:val="16"/>
              </w:rPr>
            </w:pPr>
            <w:r>
              <w:rPr>
                <w:rFonts w:ascii="Arial"/>
                <w:w w:val="95"/>
                <w:sz w:val="16"/>
              </w:rPr>
              <w:t>742,007,719</w:t>
            </w:r>
            <w:r>
              <w:rPr>
                <w:rFonts w:ascii="Arial"/>
                <w:sz w:val="16"/>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435" w:right="0"/>
              <w:jc w:val="left"/>
              <w:rPr>
                <w:rFonts w:ascii="Arial" w:hAnsi="Arial" w:cs="Arial" w:eastAsia="Arial" w:hint="default"/>
                <w:sz w:val="16"/>
                <w:szCs w:val="16"/>
              </w:rPr>
            </w:pPr>
            <w:r>
              <w:rPr>
                <w:rFonts w:ascii="Arial"/>
                <w:sz w:val="16"/>
              </w:rPr>
              <w:t>547,931,509</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73"/>
              <w:jc w:val="right"/>
              <w:rPr>
                <w:rFonts w:ascii="Arial" w:hAnsi="Arial" w:cs="Arial" w:eastAsia="Arial" w:hint="default"/>
                <w:sz w:val="16"/>
                <w:szCs w:val="16"/>
              </w:rPr>
            </w:pPr>
            <w:r>
              <w:rPr>
                <w:rFonts w:ascii="Arial"/>
                <w:w w:val="99"/>
                <w:sz w:val="16"/>
              </w:rPr>
              <w:t>-</w:t>
            </w:r>
            <w:r>
              <w:rPr>
                <w:rFonts w:ascii="Arial"/>
                <w:sz w:val="16"/>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0"/>
              <w:jc w:val="right"/>
              <w:rPr>
                <w:rFonts w:ascii="Arial" w:hAnsi="Arial" w:cs="Arial" w:eastAsia="Arial" w:hint="default"/>
                <w:sz w:val="16"/>
                <w:szCs w:val="16"/>
              </w:rPr>
            </w:pPr>
            <w:r>
              <w:rPr>
                <w:rFonts w:ascii="Arial"/>
                <w:w w:val="99"/>
                <w:sz w:val="16"/>
              </w:rPr>
              <w:t>-</w:t>
            </w:r>
            <w:r>
              <w:rPr>
                <w:rFonts w:ascii="Arial"/>
                <w:sz w:val="16"/>
              </w:rPr>
            </w:r>
          </w:p>
        </w:tc>
      </w:tr>
      <w:tr>
        <w:trPr>
          <w:trHeight w:val="256"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60" w:right="0"/>
              <w:jc w:val="left"/>
              <w:rPr>
                <w:rFonts w:ascii="黑体" w:hAnsi="黑体" w:cs="黑体" w:eastAsia="黑体" w:hint="default"/>
                <w:sz w:val="16"/>
                <w:szCs w:val="16"/>
              </w:rPr>
            </w:pPr>
            <w:r>
              <w:rPr>
                <w:rFonts w:ascii="黑体" w:hAnsi="黑体" w:cs="黑体" w:eastAsia="黑体" w:hint="default"/>
                <w:sz w:val="16"/>
                <w:szCs w:val="16"/>
              </w:rPr>
              <w:t>经营活动现金流入小计</w:t>
            </w:r>
          </w:p>
        </w:tc>
        <w:tc>
          <w:tcPr>
            <w:tcW w:w="532"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83"/>
              <w:jc w:val="right"/>
              <w:rPr>
                <w:rFonts w:ascii="Arial" w:hAnsi="Arial" w:cs="Arial" w:eastAsia="Arial" w:hint="default"/>
                <w:sz w:val="16"/>
                <w:szCs w:val="16"/>
              </w:rPr>
            </w:pPr>
            <w:r>
              <w:rPr>
                <w:rFonts w:ascii="Arial"/>
                <w:w w:val="95"/>
                <w:sz w:val="16"/>
              </w:rPr>
              <w:t>243,853,586,633</w:t>
            </w:r>
            <w:r>
              <w:rPr>
                <w:rFonts w:ascii="Arial"/>
                <w:sz w:val="16"/>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123" w:right="0"/>
              <w:jc w:val="left"/>
              <w:rPr>
                <w:rFonts w:ascii="Arial" w:hAnsi="Arial" w:cs="Arial" w:eastAsia="Arial" w:hint="default"/>
                <w:sz w:val="16"/>
                <w:szCs w:val="16"/>
              </w:rPr>
            </w:pPr>
            <w:r>
              <w:rPr>
                <w:rFonts w:ascii="Arial"/>
                <w:sz w:val="16"/>
              </w:rPr>
              <w:t>206,314,157,726</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73"/>
              <w:jc w:val="right"/>
              <w:rPr>
                <w:rFonts w:ascii="Arial" w:hAnsi="Arial" w:cs="Arial" w:eastAsia="Arial" w:hint="default"/>
                <w:sz w:val="16"/>
                <w:szCs w:val="16"/>
              </w:rPr>
            </w:pPr>
            <w:r>
              <w:rPr>
                <w:rFonts w:ascii="Arial"/>
                <w:w w:val="99"/>
                <w:sz w:val="16"/>
              </w:rPr>
              <w:t>-</w:t>
            </w:r>
            <w:r>
              <w:rPr>
                <w:rFonts w:ascii="Arial"/>
                <w:sz w:val="16"/>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0"/>
              <w:jc w:val="right"/>
              <w:rPr>
                <w:rFonts w:ascii="Arial" w:hAnsi="Arial" w:cs="Arial" w:eastAsia="Arial" w:hint="default"/>
                <w:sz w:val="16"/>
                <w:szCs w:val="16"/>
              </w:rPr>
            </w:pPr>
            <w:r>
              <w:rPr>
                <w:rFonts w:ascii="Arial"/>
                <w:w w:val="99"/>
                <w:sz w:val="16"/>
              </w:rPr>
              <w:t>-</w:t>
            </w:r>
            <w:r>
              <w:rPr>
                <w:rFonts w:ascii="Arial"/>
                <w:sz w:val="16"/>
              </w:rPr>
            </w:r>
          </w:p>
        </w:tc>
      </w:tr>
      <w:tr>
        <w:trPr>
          <w:trHeight w:val="254"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36" w:right="0"/>
              <w:jc w:val="left"/>
              <w:rPr>
                <w:rFonts w:ascii="宋体" w:hAnsi="宋体" w:cs="宋体" w:eastAsia="宋体" w:hint="default"/>
                <w:sz w:val="16"/>
                <w:szCs w:val="16"/>
              </w:rPr>
            </w:pPr>
            <w:r>
              <w:rPr>
                <w:rFonts w:ascii="宋体" w:hAnsi="宋体" w:cs="宋体" w:eastAsia="宋体" w:hint="default"/>
                <w:sz w:val="16"/>
                <w:szCs w:val="16"/>
              </w:rPr>
              <w:t>购买商品、接受劳务支付的现金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8"/>
              <w:jc w:val="right"/>
              <w:rPr>
                <w:rFonts w:ascii="Arial" w:hAnsi="Arial" w:cs="Arial" w:eastAsia="Arial" w:hint="default"/>
                <w:sz w:val="16"/>
                <w:szCs w:val="16"/>
              </w:rPr>
            </w:pPr>
            <w:r>
              <w:rPr>
                <w:rFonts w:ascii="Arial"/>
                <w:w w:val="95"/>
                <w:sz w:val="16"/>
              </w:rPr>
              <w:t>(129,290,641,103)</w:t>
            </w:r>
            <w:r>
              <w:rPr>
                <w:rFonts w:ascii="Arial"/>
                <w:sz w:val="16"/>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70" w:right="0"/>
              <w:jc w:val="left"/>
              <w:rPr>
                <w:rFonts w:ascii="Arial" w:hAnsi="Arial" w:cs="Arial" w:eastAsia="Arial" w:hint="default"/>
                <w:sz w:val="16"/>
                <w:szCs w:val="16"/>
              </w:rPr>
            </w:pPr>
            <w:r>
              <w:rPr>
                <w:rFonts w:ascii="Arial"/>
                <w:sz w:val="16"/>
              </w:rPr>
              <w:t>(100,918,902,794)</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0"/>
              <w:jc w:val="right"/>
              <w:rPr>
                <w:rFonts w:ascii="Arial" w:hAnsi="Arial" w:cs="Arial" w:eastAsia="Arial" w:hint="default"/>
                <w:sz w:val="16"/>
                <w:szCs w:val="16"/>
              </w:rPr>
            </w:pPr>
            <w:r>
              <w:rPr>
                <w:rFonts w:ascii="Arial"/>
                <w:w w:val="95"/>
                <w:sz w:val="16"/>
              </w:rPr>
              <w:t>(8,676,832)</w:t>
            </w:r>
            <w:r>
              <w:rPr>
                <w:rFonts w:ascii="Arial"/>
                <w:sz w:val="16"/>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37"/>
              <w:jc w:val="right"/>
              <w:rPr>
                <w:rFonts w:ascii="Arial" w:hAnsi="Arial" w:cs="Arial" w:eastAsia="Arial" w:hint="default"/>
                <w:sz w:val="16"/>
                <w:szCs w:val="16"/>
              </w:rPr>
            </w:pPr>
            <w:r>
              <w:rPr>
                <w:rFonts w:ascii="Arial"/>
                <w:w w:val="95"/>
                <w:sz w:val="16"/>
              </w:rPr>
              <w:t>(10,149,436)</w:t>
            </w:r>
            <w:r>
              <w:rPr>
                <w:rFonts w:ascii="Arial"/>
                <w:sz w:val="16"/>
              </w:rPr>
            </w:r>
          </w:p>
        </w:tc>
      </w:tr>
      <w:tr>
        <w:trPr>
          <w:trHeight w:val="256"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宋体" w:hAnsi="宋体" w:cs="宋体" w:eastAsia="宋体" w:hint="default"/>
                <w:sz w:val="16"/>
                <w:szCs w:val="16"/>
              </w:rPr>
            </w:pPr>
            <w:r>
              <w:rPr>
                <w:rFonts w:ascii="宋体" w:hAnsi="宋体" w:cs="宋体" w:eastAsia="宋体" w:hint="default"/>
                <w:sz w:val="16"/>
                <w:szCs w:val="16"/>
              </w:rPr>
              <w:t>支付给职工以及为职工支付的现金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8"/>
              <w:jc w:val="right"/>
              <w:rPr>
                <w:rFonts w:ascii="Arial" w:hAnsi="Arial" w:cs="Arial" w:eastAsia="Arial" w:hint="default"/>
                <w:sz w:val="16"/>
                <w:szCs w:val="16"/>
              </w:rPr>
            </w:pPr>
            <w:r>
              <w:rPr>
                <w:rFonts w:ascii="Arial"/>
                <w:w w:val="95"/>
                <w:sz w:val="16"/>
              </w:rPr>
              <w:t>(28,478,883,962)</w:t>
            </w:r>
            <w:r>
              <w:rPr>
                <w:rFonts w:ascii="Arial"/>
                <w:sz w:val="16"/>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159" w:right="0"/>
              <w:jc w:val="left"/>
              <w:rPr>
                <w:rFonts w:ascii="Arial" w:hAnsi="Arial" w:cs="Arial" w:eastAsia="Arial" w:hint="default"/>
                <w:sz w:val="16"/>
                <w:szCs w:val="16"/>
              </w:rPr>
            </w:pPr>
            <w:r>
              <w:rPr>
                <w:rFonts w:ascii="Arial"/>
                <w:sz w:val="16"/>
              </w:rPr>
              <w:t>(26,443,414,889)</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0"/>
              <w:jc w:val="right"/>
              <w:rPr>
                <w:rFonts w:ascii="Arial" w:hAnsi="Arial" w:cs="Arial" w:eastAsia="Arial" w:hint="default"/>
                <w:sz w:val="16"/>
                <w:szCs w:val="16"/>
              </w:rPr>
            </w:pPr>
            <w:r>
              <w:rPr>
                <w:rFonts w:ascii="Arial"/>
                <w:w w:val="95"/>
                <w:sz w:val="16"/>
              </w:rPr>
              <w:t>(3,110,150)</w:t>
            </w:r>
            <w:r>
              <w:rPr>
                <w:rFonts w:ascii="Arial"/>
                <w:sz w:val="16"/>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37"/>
              <w:jc w:val="right"/>
              <w:rPr>
                <w:rFonts w:ascii="Arial" w:hAnsi="Arial" w:cs="Arial" w:eastAsia="Arial" w:hint="default"/>
                <w:sz w:val="16"/>
                <w:szCs w:val="16"/>
              </w:rPr>
            </w:pPr>
            <w:r>
              <w:rPr>
                <w:rFonts w:ascii="Arial"/>
                <w:w w:val="95"/>
                <w:sz w:val="16"/>
              </w:rPr>
              <w:t>(2,876,826)</w:t>
            </w:r>
            <w:r>
              <w:rPr>
                <w:rFonts w:ascii="Arial"/>
                <w:sz w:val="16"/>
              </w:rPr>
            </w:r>
          </w:p>
        </w:tc>
      </w:tr>
      <w:tr>
        <w:trPr>
          <w:trHeight w:val="254"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36" w:right="0"/>
              <w:jc w:val="left"/>
              <w:rPr>
                <w:rFonts w:ascii="宋体" w:hAnsi="宋体" w:cs="宋体" w:eastAsia="宋体" w:hint="default"/>
                <w:sz w:val="16"/>
                <w:szCs w:val="16"/>
              </w:rPr>
            </w:pPr>
            <w:r>
              <w:rPr>
                <w:rFonts w:ascii="宋体" w:hAnsi="宋体" w:cs="宋体" w:eastAsia="宋体" w:hint="default"/>
                <w:sz w:val="16"/>
                <w:szCs w:val="16"/>
              </w:rPr>
              <w:t>支付的各项税费</w:t>
            </w:r>
          </w:p>
        </w:tc>
        <w:tc>
          <w:tcPr>
            <w:tcW w:w="532"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8"/>
              <w:jc w:val="right"/>
              <w:rPr>
                <w:rFonts w:ascii="Arial" w:hAnsi="Arial" w:cs="Arial" w:eastAsia="Arial" w:hint="default"/>
                <w:sz w:val="16"/>
                <w:szCs w:val="16"/>
              </w:rPr>
            </w:pPr>
            <w:r>
              <w:rPr>
                <w:rFonts w:ascii="Arial"/>
                <w:w w:val="95"/>
                <w:sz w:val="16"/>
              </w:rPr>
              <w:t>(11,345,656,385)</w:t>
            </w:r>
            <w:r>
              <w:rPr>
                <w:rFonts w:ascii="Arial"/>
                <w:sz w:val="16"/>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37"/>
              <w:jc w:val="right"/>
              <w:rPr>
                <w:rFonts w:ascii="Arial" w:hAnsi="Arial" w:cs="Arial" w:eastAsia="Arial" w:hint="default"/>
                <w:sz w:val="16"/>
                <w:szCs w:val="16"/>
              </w:rPr>
            </w:pPr>
            <w:r>
              <w:rPr>
                <w:rFonts w:ascii="Arial"/>
                <w:w w:val="95"/>
                <w:sz w:val="16"/>
              </w:rPr>
              <w:t>(9,498,977,137)</w:t>
            </w:r>
            <w:r>
              <w:rPr>
                <w:rFonts w:ascii="Arial"/>
                <w:sz w:val="16"/>
              </w:rPr>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73"/>
              <w:jc w:val="right"/>
              <w:rPr>
                <w:rFonts w:ascii="Arial" w:hAnsi="Arial" w:cs="Arial" w:eastAsia="Arial" w:hint="default"/>
                <w:sz w:val="16"/>
                <w:szCs w:val="16"/>
              </w:rPr>
            </w:pPr>
            <w:r>
              <w:rPr>
                <w:rFonts w:ascii="Arial"/>
                <w:w w:val="99"/>
                <w:sz w:val="16"/>
              </w:rPr>
              <w:t>-</w:t>
            </w:r>
            <w:r>
              <w:rPr>
                <w:rFonts w:ascii="Arial"/>
                <w:sz w:val="16"/>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0"/>
              <w:jc w:val="right"/>
              <w:rPr>
                <w:rFonts w:ascii="Arial" w:hAnsi="Arial" w:cs="Arial" w:eastAsia="Arial" w:hint="default"/>
                <w:sz w:val="16"/>
                <w:szCs w:val="16"/>
              </w:rPr>
            </w:pPr>
            <w:r>
              <w:rPr>
                <w:rFonts w:ascii="Arial"/>
                <w:w w:val="99"/>
                <w:sz w:val="16"/>
              </w:rPr>
              <w:t>-</w:t>
            </w:r>
            <w:r>
              <w:rPr>
                <w:rFonts w:ascii="Arial"/>
                <w:sz w:val="16"/>
              </w:rPr>
            </w:r>
          </w:p>
        </w:tc>
      </w:tr>
      <w:tr>
        <w:trPr>
          <w:trHeight w:val="256"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60" w:right="0"/>
              <w:jc w:val="left"/>
              <w:rPr>
                <w:rFonts w:ascii="黑体" w:hAnsi="黑体" w:cs="黑体" w:eastAsia="黑体" w:hint="default"/>
                <w:sz w:val="16"/>
                <w:szCs w:val="16"/>
              </w:rPr>
            </w:pPr>
            <w:r>
              <w:rPr>
                <w:rFonts w:ascii="黑体" w:hAnsi="黑体" w:cs="黑体" w:eastAsia="黑体" w:hint="default"/>
                <w:sz w:val="16"/>
                <w:szCs w:val="16"/>
              </w:rPr>
              <w:t>经营活动现金流出小计</w:t>
            </w:r>
          </w:p>
        </w:tc>
        <w:tc>
          <w:tcPr>
            <w:tcW w:w="532"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7"/>
              <w:jc w:val="right"/>
              <w:rPr>
                <w:rFonts w:ascii="Arial" w:hAnsi="Arial" w:cs="Arial" w:eastAsia="Arial" w:hint="default"/>
                <w:sz w:val="16"/>
                <w:szCs w:val="16"/>
              </w:rPr>
            </w:pPr>
            <w:r>
              <w:rPr>
                <w:rFonts w:ascii="Arial"/>
                <w:w w:val="95"/>
                <w:sz w:val="16"/>
              </w:rPr>
              <w:t>(169,115,181,450)</w:t>
            </w:r>
            <w:r>
              <w:rPr>
                <w:rFonts w:ascii="Arial"/>
                <w:sz w:val="16"/>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70" w:right="0"/>
              <w:jc w:val="left"/>
              <w:rPr>
                <w:rFonts w:ascii="Arial" w:hAnsi="Arial" w:cs="Arial" w:eastAsia="Arial" w:hint="default"/>
                <w:sz w:val="16"/>
                <w:szCs w:val="16"/>
              </w:rPr>
            </w:pPr>
            <w:r>
              <w:rPr>
                <w:rFonts w:ascii="Arial"/>
                <w:sz w:val="16"/>
              </w:rPr>
              <w:t>(136,861,294,820)</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0"/>
              <w:jc w:val="right"/>
              <w:rPr>
                <w:rFonts w:ascii="Arial" w:hAnsi="Arial" w:cs="Arial" w:eastAsia="Arial" w:hint="default"/>
                <w:sz w:val="16"/>
                <w:szCs w:val="16"/>
              </w:rPr>
            </w:pPr>
            <w:r>
              <w:rPr>
                <w:rFonts w:ascii="Arial"/>
                <w:w w:val="95"/>
                <w:sz w:val="16"/>
              </w:rPr>
              <w:t>(11,786,982)</w:t>
            </w:r>
            <w:r>
              <w:rPr>
                <w:rFonts w:ascii="Arial"/>
                <w:sz w:val="16"/>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37"/>
              <w:jc w:val="right"/>
              <w:rPr>
                <w:rFonts w:ascii="Arial" w:hAnsi="Arial" w:cs="Arial" w:eastAsia="Arial" w:hint="default"/>
                <w:sz w:val="16"/>
                <w:szCs w:val="16"/>
              </w:rPr>
            </w:pPr>
            <w:r>
              <w:rPr>
                <w:rFonts w:ascii="Arial"/>
                <w:w w:val="95"/>
                <w:sz w:val="16"/>
              </w:rPr>
              <w:t>(13,026,262)</w:t>
            </w:r>
            <w:r>
              <w:rPr>
                <w:rFonts w:ascii="Arial"/>
                <w:sz w:val="16"/>
              </w:rPr>
            </w:r>
          </w:p>
        </w:tc>
      </w:tr>
      <w:tr>
        <w:trPr>
          <w:trHeight w:val="254"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105"/>
              <w:jc w:val="right"/>
              <w:rPr>
                <w:rFonts w:ascii="黑体" w:hAnsi="黑体" w:cs="黑体" w:eastAsia="黑体" w:hint="default"/>
                <w:sz w:val="16"/>
                <w:szCs w:val="16"/>
              </w:rPr>
            </w:pPr>
            <w:r>
              <w:rPr>
                <w:rFonts w:ascii="黑体" w:hAnsi="黑体" w:cs="黑体" w:eastAsia="黑体" w:hint="default"/>
                <w:w w:val="95"/>
                <w:sz w:val="16"/>
                <w:szCs w:val="16"/>
              </w:rPr>
              <w:t>经营活动产生的现金流量净额（减：支付）</w:t>
            </w:r>
            <w:r>
              <w:rPr>
                <w:rFonts w:ascii="黑体" w:hAnsi="黑体" w:cs="黑体" w:eastAsia="黑体" w:hint="default"/>
                <w:sz w:val="16"/>
                <w:szCs w:val="16"/>
              </w:rPr>
            </w:r>
          </w:p>
        </w:tc>
        <w:tc>
          <w:tcPr>
            <w:tcW w:w="532"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2"/>
              <w:jc w:val="right"/>
              <w:rPr>
                <w:rFonts w:ascii="Arial" w:hAnsi="Arial" w:cs="Arial" w:eastAsia="Arial" w:hint="default"/>
                <w:sz w:val="16"/>
                <w:szCs w:val="16"/>
              </w:rPr>
            </w:pPr>
            <w:r>
              <w:rPr>
                <w:rFonts w:ascii="Arial"/>
                <w:w w:val="95"/>
                <w:sz w:val="16"/>
              </w:rPr>
              <w:t>74,738,405,183</w:t>
            </w:r>
            <w:r>
              <w:rPr>
                <w:rFonts w:ascii="Arial"/>
                <w:sz w:val="16"/>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12" w:right="0"/>
              <w:jc w:val="left"/>
              <w:rPr>
                <w:rFonts w:ascii="Arial" w:hAnsi="Arial" w:cs="Arial" w:eastAsia="Arial" w:hint="default"/>
                <w:sz w:val="16"/>
                <w:szCs w:val="16"/>
              </w:rPr>
            </w:pPr>
            <w:r>
              <w:rPr>
                <w:rFonts w:ascii="Arial"/>
                <w:sz w:val="16"/>
              </w:rPr>
              <w:t>69,452,862,906</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0"/>
              <w:jc w:val="right"/>
              <w:rPr>
                <w:rFonts w:ascii="Arial" w:hAnsi="Arial" w:cs="Arial" w:eastAsia="Arial" w:hint="default"/>
                <w:sz w:val="16"/>
                <w:szCs w:val="16"/>
              </w:rPr>
            </w:pPr>
            <w:r>
              <w:rPr>
                <w:rFonts w:ascii="Arial"/>
                <w:w w:val="95"/>
                <w:sz w:val="16"/>
              </w:rPr>
              <w:t>(11,786,982)</w:t>
            </w:r>
            <w:r>
              <w:rPr>
                <w:rFonts w:ascii="Arial"/>
                <w:sz w:val="16"/>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37"/>
              <w:jc w:val="right"/>
              <w:rPr>
                <w:rFonts w:ascii="Arial" w:hAnsi="Arial" w:cs="Arial" w:eastAsia="Arial" w:hint="default"/>
                <w:sz w:val="16"/>
                <w:szCs w:val="16"/>
              </w:rPr>
            </w:pPr>
            <w:r>
              <w:rPr>
                <w:rFonts w:ascii="Arial"/>
                <w:w w:val="95"/>
                <w:sz w:val="16"/>
              </w:rPr>
              <w:t>(13,026,262)</w:t>
            </w:r>
            <w:r>
              <w:rPr>
                <w:rFonts w:ascii="Arial"/>
                <w:sz w:val="16"/>
              </w:rPr>
            </w:r>
          </w:p>
        </w:tc>
      </w:tr>
      <w:tr>
        <w:trPr>
          <w:trHeight w:val="256"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黑体" w:hAnsi="黑体" w:cs="黑体" w:eastAsia="黑体" w:hint="default"/>
                <w:sz w:val="16"/>
                <w:szCs w:val="16"/>
              </w:rPr>
            </w:pPr>
            <w:r>
              <w:rPr>
                <w:rFonts w:ascii="黑体" w:hAnsi="黑体" w:cs="黑体" w:eastAsia="黑体" w:hint="default"/>
                <w:sz w:val="16"/>
                <w:szCs w:val="16"/>
              </w:rPr>
              <w:t>二、投资活动产生的现金流量</w:t>
            </w:r>
          </w:p>
        </w:tc>
        <w:tc>
          <w:tcPr>
            <w:tcW w:w="532"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
        </w:tc>
        <w:tc>
          <w:tcPr>
            <w:tcW w:w="1432"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r>
      <w:tr>
        <w:trPr>
          <w:trHeight w:val="238"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right="1105"/>
              <w:jc w:val="right"/>
              <w:rPr>
                <w:rFonts w:ascii="宋体" w:hAnsi="宋体" w:cs="宋体" w:eastAsia="宋体" w:hint="default"/>
                <w:sz w:val="16"/>
                <w:szCs w:val="16"/>
              </w:rPr>
            </w:pPr>
            <w:r>
              <w:rPr>
                <w:rFonts w:ascii="宋体" w:hAnsi="宋体" w:cs="宋体" w:eastAsia="宋体" w:hint="default"/>
                <w:w w:val="95"/>
                <w:sz w:val="16"/>
                <w:szCs w:val="16"/>
              </w:rPr>
              <w:t>处置固定资产、无形资产所收回的现金净额</w:t>
            </w:r>
            <w:r>
              <w:rPr>
                <w:rFonts w:ascii="宋体" w:hAnsi="宋体" w:cs="宋体" w:eastAsia="宋体" w:hint="default"/>
                <w:sz w:val="16"/>
                <w:szCs w:val="16"/>
              </w:rPr>
            </w:r>
          </w:p>
        </w:tc>
        <w:tc>
          <w:tcPr>
            <w:tcW w:w="532"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82"/>
              <w:jc w:val="right"/>
              <w:rPr>
                <w:rFonts w:ascii="Arial" w:hAnsi="Arial" w:cs="Arial" w:eastAsia="Arial" w:hint="default"/>
                <w:sz w:val="16"/>
                <w:szCs w:val="16"/>
              </w:rPr>
            </w:pPr>
            <w:r>
              <w:rPr>
                <w:rFonts w:ascii="Arial"/>
                <w:w w:val="95"/>
                <w:sz w:val="16"/>
              </w:rPr>
              <w:t>1,085,829,708</w:t>
            </w:r>
            <w:r>
              <w:rPr>
                <w:rFonts w:ascii="Arial"/>
                <w:sz w:val="16"/>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01" w:right="0"/>
              <w:jc w:val="left"/>
              <w:rPr>
                <w:rFonts w:ascii="Arial" w:hAnsi="Arial" w:cs="Arial" w:eastAsia="Arial" w:hint="default"/>
                <w:sz w:val="16"/>
                <w:szCs w:val="16"/>
              </w:rPr>
            </w:pPr>
            <w:r>
              <w:rPr>
                <w:rFonts w:ascii="Arial"/>
                <w:sz w:val="16"/>
              </w:rPr>
              <w:t>1,431,320,599</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73"/>
              <w:jc w:val="right"/>
              <w:rPr>
                <w:rFonts w:ascii="Arial" w:hAnsi="Arial" w:cs="Arial" w:eastAsia="Arial" w:hint="default"/>
                <w:sz w:val="16"/>
                <w:szCs w:val="16"/>
              </w:rPr>
            </w:pPr>
            <w:r>
              <w:rPr>
                <w:rFonts w:ascii="Arial"/>
                <w:w w:val="95"/>
                <w:sz w:val="16"/>
              </w:rPr>
              <w:t>690</w:t>
            </w:r>
            <w:r>
              <w:rPr>
                <w:rFonts w:ascii="Arial"/>
                <w:sz w:val="16"/>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1"/>
              <w:jc w:val="right"/>
              <w:rPr>
                <w:rFonts w:ascii="Arial" w:hAnsi="Arial" w:cs="Arial" w:eastAsia="Arial" w:hint="default"/>
                <w:sz w:val="16"/>
                <w:szCs w:val="16"/>
              </w:rPr>
            </w:pPr>
            <w:r>
              <w:rPr>
                <w:rFonts w:ascii="Arial"/>
                <w:w w:val="95"/>
                <w:sz w:val="16"/>
              </w:rPr>
              <w:t>41,000</w:t>
            </w:r>
            <w:r>
              <w:rPr>
                <w:rFonts w:ascii="Arial"/>
                <w:sz w:val="16"/>
              </w:rPr>
            </w:r>
          </w:p>
        </w:tc>
      </w:tr>
      <w:tr>
        <w:trPr>
          <w:trHeight w:val="256"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宋体" w:hAnsi="宋体" w:cs="宋体" w:eastAsia="宋体" w:hint="default"/>
                <w:sz w:val="16"/>
                <w:szCs w:val="16"/>
              </w:rPr>
            </w:pPr>
            <w:r>
              <w:rPr>
                <w:rFonts w:ascii="宋体" w:hAnsi="宋体" w:cs="宋体" w:eastAsia="宋体" w:hint="default"/>
                <w:sz w:val="16"/>
                <w:szCs w:val="16"/>
              </w:rPr>
              <w:t>取得投资收益所收到的现金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1"/>
              <w:jc w:val="right"/>
              <w:rPr>
                <w:rFonts w:ascii="Arial" w:hAnsi="Arial" w:cs="Arial" w:eastAsia="Arial" w:hint="default"/>
                <w:sz w:val="16"/>
                <w:szCs w:val="16"/>
              </w:rPr>
            </w:pPr>
            <w:r>
              <w:rPr>
                <w:rFonts w:ascii="Arial"/>
                <w:w w:val="95"/>
                <w:sz w:val="16"/>
              </w:rPr>
              <w:t>489,491,911</w:t>
            </w:r>
            <w:r>
              <w:rPr>
                <w:rFonts w:ascii="Arial"/>
                <w:sz w:val="16"/>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01" w:right="0"/>
              <w:jc w:val="left"/>
              <w:rPr>
                <w:rFonts w:ascii="Arial" w:hAnsi="Arial" w:cs="Arial" w:eastAsia="Arial" w:hint="default"/>
                <w:sz w:val="16"/>
                <w:szCs w:val="16"/>
              </w:rPr>
            </w:pPr>
            <w:r>
              <w:rPr>
                <w:rFonts w:ascii="Arial"/>
                <w:sz w:val="16"/>
              </w:rPr>
              <w:t>1,047,765,284</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90" w:right="0"/>
              <w:jc w:val="left"/>
              <w:rPr>
                <w:rFonts w:ascii="Arial" w:hAnsi="Arial" w:cs="Arial" w:eastAsia="Arial" w:hint="default"/>
                <w:sz w:val="16"/>
                <w:szCs w:val="16"/>
              </w:rPr>
            </w:pPr>
            <w:r>
              <w:rPr>
                <w:rFonts w:ascii="Arial"/>
                <w:sz w:val="16"/>
              </w:rPr>
              <w:t>731,802,147</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54" w:right="0"/>
              <w:jc w:val="left"/>
              <w:rPr>
                <w:rFonts w:ascii="Arial" w:hAnsi="Arial" w:cs="Arial" w:eastAsia="Arial" w:hint="default"/>
                <w:sz w:val="16"/>
                <w:szCs w:val="16"/>
              </w:rPr>
            </w:pPr>
            <w:r>
              <w:rPr>
                <w:rFonts w:ascii="Arial"/>
                <w:sz w:val="16"/>
              </w:rPr>
              <w:t>570,446,899</w:t>
            </w:r>
          </w:p>
        </w:tc>
      </w:tr>
      <w:tr>
        <w:trPr>
          <w:trHeight w:val="254"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36" w:right="0"/>
              <w:jc w:val="left"/>
              <w:rPr>
                <w:rFonts w:ascii="宋体" w:hAnsi="宋体" w:cs="宋体" w:eastAsia="宋体" w:hint="default"/>
                <w:sz w:val="16"/>
                <w:szCs w:val="16"/>
              </w:rPr>
            </w:pPr>
            <w:r>
              <w:rPr>
                <w:rFonts w:ascii="宋体" w:hAnsi="宋体" w:cs="宋体" w:eastAsia="宋体" w:hint="default"/>
                <w:sz w:val="16"/>
                <w:szCs w:val="16"/>
              </w:rPr>
              <w:t>收到其他与投资活动有关的现金</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4" w:right="0"/>
              <w:jc w:val="left"/>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(49)</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2"/>
              <w:jc w:val="right"/>
              <w:rPr>
                <w:rFonts w:ascii="Arial" w:hAnsi="Arial" w:cs="Arial" w:eastAsia="Arial" w:hint="default"/>
                <w:sz w:val="16"/>
                <w:szCs w:val="16"/>
              </w:rPr>
            </w:pPr>
            <w:r>
              <w:rPr>
                <w:rFonts w:ascii="Arial"/>
                <w:w w:val="95"/>
                <w:sz w:val="16"/>
              </w:rPr>
              <w:t>288,324,452</w:t>
            </w:r>
            <w:r>
              <w:rPr>
                <w:rFonts w:ascii="Arial"/>
                <w:sz w:val="16"/>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435" w:right="0"/>
              <w:jc w:val="left"/>
              <w:rPr>
                <w:rFonts w:ascii="Arial" w:hAnsi="Arial" w:cs="Arial" w:eastAsia="Arial" w:hint="default"/>
                <w:sz w:val="16"/>
                <w:szCs w:val="16"/>
              </w:rPr>
            </w:pPr>
            <w:r>
              <w:rPr>
                <w:rFonts w:ascii="Arial"/>
                <w:sz w:val="16"/>
              </w:rPr>
              <w:t>181,172,648</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73"/>
              <w:jc w:val="right"/>
              <w:rPr>
                <w:rFonts w:ascii="Arial" w:hAnsi="Arial" w:cs="Arial" w:eastAsia="Arial" w:hint="default"/>
                <w:sz w:val="16"/>
                <w:szCs w:val="16"/>
              </w:rPr>
            </w:pPr>
            <w:r>
              <w:rPr>
                <w:rFonts w:ascii="Arial"/>
                <w:w w:val="99"/>
                <w:sz w:val="16"/>
              </w:rPr>
              <w:t>-</w:t>
            </w:r>
            <w:r>
              <w:rPr>
                <w:rFonts w:ascii="Arial"/>
                <w:sz w:val="16"/>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0"/>
              <w:jc w:val="right"/>
              <w:rPr>
                <w:rFonts w:ascii="Arial" w:hAnsi="Arial" w:cs="Arial" w:eastAsia="Arial" w:hint="default"/>
                <w:sz w:val="16"/>
                <w:szCs w:val="16"/>
              </w:rPr>
            </w:pPr>
            <w:r>
              <w:rPr>
                <w:rFonts w:ascii="Arial"/>
                <w:w w:val="99"/>
                <w:sz w:val="16"/>
              </w:rPr>
              <w:t>-</w:t>
            </w:r>
            <w:r>
              <w:rPr>
                <w:rFonts w:ascii="Arial"/>
                <w:sz w:val="16"/>
              </w:rPr>
            </w:r>
          </w:p>
        </w:tc>
      </w:tr>
      <w:tr>
        <w:trPr>
          <w:trHeight w:val="256"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60" w:right="0"/>
              <w:jc w:val="left"/>
              <w:rPr>
                <w:rFonts w:ascii="黑体" w:hAnsi="黑体" w:cs="黑体" w:eastAsia="黑体" w:hint="default"/>
                <w:sz w:val="16"/>
                <w:szCs w:val="16"/>
              </w:rPr>
            </w:pPr>
            <w:r>
              <w:rPr>
                <w:rFonts w:ascii="黑体" w:hAnsi="黑体" w:cs="黑体" w:eastAsia="黑体" w:hint="default"/>
                <w:sz w:val="16"/>
                <w:szCs w:val="16"/>
              </w:rPr>
              <w:t>投资活动现金流入小计</w:t>
            </w:r>
          </w:p>
        </w:tc>
        <w:tc>
          <w:tcPr>
            <w:tcW w:w="532"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2"/>
              <w:jc w:val="right"/>
              <w:rPr>
                <w:rFonts w:ascii="Arial" w:hAnsi="Arial" w:cs="Arial" w:eastAsia="Arial" w:hint="default"/>
                <w:sz w:val="16"/>
                <w:szCs w:val="16"/>
              </w:rPr>
            </w:pPr>
            <w:r>
              <w:rPr>
                <w:rFonts w:ascii="Arial"/>
                <w:w w:val="95"/>
                <w:sz w:val="16"/>
              </w:rPr>
              <w:t>1,863,646,071</w:t>
            </w:r>
            <w:r>
              <w:rPr>
                <w:rFonts w:ascii="Arial"/>
                <w:sz w:val="16"/>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01" w:right="0"/>
              <w:jc w:val="left"/>
              <w:rPr>
                <w:rFonts w:ascii="Arial" w:hAnsi="Arial" w:cs="Arial" w:eastAsia="Arial" w:hint="default"/>
                <w:sz w:val="16"/>
                <w:szCs w:val="16"/>
              </w:rPr>
            </w:pPr>
            <w:r>
              <w:rPr>
                <w:rFonts w:ascii="Arial"/>
                <w:sz w:val="16"/>
              </w:rPr>
              <w:t>2,660,258,531</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90" w:right="0"/>
              <w:jc w:val="left"/>
              <w:rPr>
                <w:rFonts w:ascii="Arial" w:hAnsi="Arial" w:cs="Arial" w:eastAsia="Arial" w:hint="default"/>
                <w:sz w:val="16"/>
                <w:szCs w:val="16"/>
              </w:rPr>
            </w:pPr>
            <w:r>
              <w:rPr>
                <w:rFonts w:ascii="Arial"/>
                <w:sz w:val="16"/>
              </w:rPr>
              <w:t>731,802,837</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54" w:right="0"/>
              <w:jc w:val="left"/>
              <w:rPr>
                <w:rFonts w:ascii="Arial" w:hAnsi="Arial" w:cs="Arial" w:eastAsia="Arial" w:hint="default"/>
                <w:sz w:val="16"/>
                <w:szCs w:val="16"/>
              </w:rPr>
            </w:pPr>
            <w:r>
              <w:rPr>
                <w:rFonts w:ascii="Arial"/>
                <w:sz w:val="16"/>
              </w:rPr>
              <w:t>570,487,899</w:t>
            </w:r>
          </w:p>
        </w:tc>
      </w:tr>
      <w:tr>
        <w:trPr>
          <w:trHeight w:val="254"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36" w:right="0"/>
              <w:jc w:val="left"/>
              <w:rPr>
                <w:rFonts w:ascii="宋体" w:hAnsi="宋体" w:cs="宋体" w:eastAsia="宋体" w:hint="default"/>
                <w:sz w:val="16"/>
                <w:szCs w:val="16"/>
              </w:rPr>
            </w:pPr>
            <w:r>
              <w:rPr>
                <w:rFonts w:ascii="宋体" w:hAnsi="宋体" w:cs="宋体" w:eastAsia="宋体" w:hint="default"/>
                <w:sz w:val="16"/>
                <w:szCs w:val="16"/>
              </w:rPr>
              <w:t>购建固定资产、无形资产所支付的现金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8"/>
              <w:jc w:val="right"/>
              <w:rPr>
                <w:rFonts w:ascii="Arial" w:hAnsi="Arial" w:cs="Arial" w:eastAsia="Arial" w:hint="default"/>
                <w:sz w:val="16"/>
                <w:szCs w:val="16"/>
              </w:rPr>
            </w:pPr>
            <w:r>
              <w:rPr>
                <w:rFonts w:ascii="Arial"/>
                <w:w w:val="95"/>
                <w:sz w:val="16"/>
              </w:rPr>
              <w:t>(90,766,178,785)</w:t>
            </w:r>
            <w:r>
              <w:rPr>
                <w:rFonts w:ascii="Arial"/>
                <w:sz w:val="16"/>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59" w:right="0"/>
              <w:jc w:val="left"/>
              <w:rPr>
                <w:rFonts w:ascii="Arial" w:hAnsi="Arial" w:cs="Arial" w:eastAsia="Arial" w:hint="default"/>
                <w:sz w:val="16"/>
                <w:szCs w:val="16"/>
              </w:rPr>
            </w:pPr>
            <w:r>
              <w:rPr>
                <w:rFonts w:ascii="Arial"/>
                <w:sz w:val="16"/>
              </w:rPr>
              <w:t>(81,817,902,431)</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0"/>
              <w:jc w:val="right"/>
              <w:rPr>
                <w:rFonts w:ascii="Arial" w:hAnsi="Arial" w:cs="Arial" w:eastAsia="Arial" w:hint="default"/>
                <w:sz w:val="16"/>
                <w:szCs w:val="16"/>
              </w:rPr>
            </w:pPr>
            <w:r>
              <w:rPr>
                <w:rFonts w:ascii="Arial"/>
                <w:w w:val="95"/>
                <w:sz w:val="16"/>
              </w:rPr>
              <w:t>(5,399)</w:t>
            </w:r>
            <w:r>
              <w:rPr>
                <w:rFonts w:ascii="Arial"/>
                <w:sz w:val="16"/>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0"/>
              <w:jc w:val="right"/>
              <w:rPr>
                <w:rFonts w:ascii="Arial" w:hAnsi="Arial" w:cs="Arial" w:eastAsia="Arial" w:hint="default"/>
                <w:sz w:val="16"/>
                <w:szCs w:val="16"/>
              </w:rPr>
            </w:pPr>
            <w:r>
              <w:rPr>
                <w:rFonts w:ascii="Arial"/>
                <w:w w:val="99"/>
                <w:sz w:val="16"/>
              </w:rPr>
              <w:t>-</w:t>
            </w:r>
            <w:r>
              <w:rPr>
                <w:rFonts w:ascii="Arial"/>
                <w:sz w:val="16"/>
              </w:rPr>
            </w:r>
          </w:p>
        </w:tc>
      </w:tr>
      <w:tr>
        <w:trPr>
          <w:trHeight w:val="256"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宋体" w:hAnsi="宋体" w:cs="宋体" w:eastAsia="宋体" w:hint="default"/>
                <w:sz w:val="16"/>
                <w:szCs w:val="16"/>
              </w:rPr>
            </w:pPr>
            <w:r>
              <w:rPr>
                <w:rFonts w:ascii="宋体" w:hAnsi="宋体" w:cs="宋体" w:eastAsia="宋体" w:hint="default"/>
                <w:sz w:val="16"/>
                <w:szCs w:val="16"/>
              </w:rPr>
              <w:t>投资所支付的现金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0"/>
              <w:jc w:val="right"/>
              <w:rPr>
                <w:rFonts w:ascii="Arial" w:hAnsi="Arial" w:cs="Arial" w:eastAsia="Arial" w:hint="default"/>
                <w:sz w:val="16"/>
                <w:szCs w:val="16"/>
              </w:rPr>
            </w:pPr>
            <w:r>
              <w:rPr>
                <w:rFonts w:ascii="Arial"/>
                <w:w w:val="99"/>
                <w:sz w:val="16"/>
              </w:rPr>
              <w:t>-</w:t>
            </w:r>
            <w:r>
              <w:rPr>
                <w:rFonts w:ascii="Arial"/>
                <w:sz w:val="16"/>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37"/>
              <w:jc w:val="right"/>
              <w:rPr>
                <w:rFonts w:ascii="Arial" w:hAnsi="Arial" w:cs="Arial" w:eastAsia="Arial" w:hint="default"/>
                <w:sz w:val="16"/>
                <w:szCs w:val="16"/>
              </w:rPr>
            </w:pPr>
            <w:r>
              <w:rPr>
                <w:rFonts w:ascii="Arial"/>
                <w:w w:val="95"/>
                <w:sz w:val="16"/>
              </w:rPr>
              <w:t>(3,367,586,262)</w:t>
            </w:r>
            <w:r>
              <w:rPr>
                <w:rFonts w:ascii="Arial"/>
                <w:sz w:val="16"/>
              </w:rPr>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73"/>
              <w:jc w:val="right"/>
              <w:rPr>
                <w:rFonts w:ascii="Arial" w:hAnsi="Arial" w:cs="Arial" w:eastAsia="Arial" w:hint="default"/>
                <w:sz w:val="16"/>
                <w:szCs w:val="16"/>
              </w:rPr>
            </w:pPr>
            <w:r>
              <w:rPr>
                <w:rFonts w:ascii="Arial"/>
                <w:w w:val="99"/>
                <w:sz w:val="16"/>
              </w:rPr>
              <w:t>-</w:t>
            </w:r>
            <w:r>
              <w:rPr>
                <w:rFonts w:ascii="Arial"/>
                <w:sz w:val="16"/>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0"/>
              <w:jc w:val="right"/>
              <w:rPr>
                <w:rFonts w:ascii="Arial" w:hAnsi="Arial" w:cs="Arial" w:eastAsia="Arial" w:hint="default"/>
                <w:sz w:val="16"/>
                <w:szCs w:val="16"/>
              </w:rPr>
            </w:pPr>
            <w:r>
              <w:rPr>
                <w:rFonts w:ascii="Arial"/>
                <w:w w:val="99"/>
                <w:sz w:val="16"/>
              </w:rPr>
              <w:t>-</w:t>
            </w:r>
            <w:r>
              <w:rPr>
                <w:rFonts w:ascii="Arial"/>
                <w:sz w:val="16"/>
              </w:rPr>
            </w:r>
          </w:p>
        </w:tc>
      </w:tr>
      <w:tr>
        <w:trPr>
          <w:trHeight w:val="254"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105"/>
              <w:jc w:val="right"/>
              <w:rPr>
                <w:rFonts w:ascii="宋体" w:hAnsi="宋体" w:cs="宋体" w:eastAsia="宋体" w:hint="default"/>
                <w:sz w:val="16"/>
                <w:szCs w:val="16"/>
              </w:rPr>
            </w:pPr>
            <w:r>
              <w:rPr>
                <w:rFonts w:ascii="宋体" w:hAnsi="宋体" w:cs="宋体" w:eastAsia="宋体" w:hint="default"/>
                <w:w w:val="95"/>
                <w:sz w:val="16"/>
                <w:szCs w:val="16"/>
              </w:rPr>
              <w:t>取得子公司及其他营业单位支付的现金净额</w:t>
            </w:r>
            <w:r>
              <w:rPr>
                <w:rFonts w:ascii="宋体" w:hAnsi="宋体" w:cs="宋体" w:eastAsia="宋体" w:hint="default"/>
                <w:sz w:val="16"/>
                <w:szCs w:val="16"/>
              </w:rPr>
            </w:r>
          </w:p>
        </w:tc>
        <w:tc>
          <w:tcPr>
            <w:tcW w:w="532"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8"/>
              <w:jc w:val="right"/>
              <w:rPr>
                <w:rFonts w:ascii="Arial" w:hAnsi="Arial" w:cs="Arial" w:eastAsia="Arial" w:hint="default"/>
                <w:sz w:val="16"/>
                <w:szCs w:val="16"/>
              </w:rPr>
            </w:pPr>
            <w:r>
              <w:rPr>
                <w:rFonts w:ascii="Arial"/>
                <w:w w:val="95"/>
                <w:sz w:val="16"/>
              </w:rPr>
              <w:t>(10,314,455,759)</w:t>
            </w:r>
            <w:r>
              <w:rPr>
                <w:rFonts w:ascii="Arial"/>
                <w:sz w:val="16"/>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0"/>
              <w:jc w:val="right"/>
              <w:rPr>
                <w:rFonts w:ascii="Arial" w:hAnsi="Arial" w:cs="Arial" w:eastAsia="Arial" w:hint="default"/>
                <w:sz w:val="16"/>
                <w:szCs w:val="16"/>
              </w:rPr>
            </w:pPr>
            <w:r>
              <w:rPr>
                <w:rFonts w:ascii="Arial"/>
                <w:w w:val="99"/>
                <w:sz w:val="16"/>
              </w:rPr>
              <w:t>-</w:t>
            </w:r>
            <w:r>
              <w:rPr>
                <w:rFonts w:ascii="Arial"/>
                <w:sz w:val="16"/>
              </w:rPr>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73"/>
              <w:jc w:val="right"/>
              <w:rPr>
                <w:rFonts w:ascii="Arial" w:hAnsi="Arial" w:cs="Arial" w:eastAsia="Arial" w:hint="default"/>
                <w:sz w:val="16"/>
                <w:szCs w:val="16"/>
              </w:rPr>
            </w:pPr>
            <w:r>
              <w:rPr>
                <w:rFonts w:ascii="Arial"/>
                <w:w w:val="99"/>
                <w:sz w:val="16"/>
              </w:rPr>
              <w:t>-</w:t>
            </w:r>
            <w:r>
              <w:rPr>
                <w:rFonts w:ascii="Arial"/>
                <w:sz w:val="16"/>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0"/>
              <w:jc w:val="right"/>
              <w:rPr>
                <w:rFonts w:ascii="Arial" w:hAnsi="Arial" w:cs="Arial" w:eastAsia="Arial" w:hint="default"/>
                <w:sz w:val="16"/>
                <w:szCs w:val="16"/>
              </w:rPr>
            </w:pPr>
            <w:r>
              <w:rPr>
                <w:rFonts w:ascii="Arial"/>
                <w:w w:val="99"/>
                <w:sz w:val="16"/>
              </w:rPr>
              <w:t>-</w:t>
            </w:r>
            <w:r>
              <w:rPr>
                <w:rFonts w:ascii="Arial"/>
                <w:sz w:val="16"/>
              </w:rPr>
            </w:r>
          </w:p>
        </w:tc>
      </w:tr>
      <w:tr>
        <w:trPr>
          <w:trHeight w:val="256"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宋体" w:hAnsi="宋体" w:cs="宋体" w:eastAsia="宋体" w:hint="default"/>
                <w:sz w:val="16"/>
                <w:szCs w:val="16"/>
              </w:rPr>
            </w:pPr>
            <w:r>
              <w:rPr>
                <w:rFonts w:ascii="宋体" w:hAnsi="宋体" w:cs="宋体" w:eastAsia="宋体" w:hint="default"/>
                <w:sz w:val="16"/>
                <w:szCs w:val="16"/>
              </w:rPr>
              <w:t>支付的其他与投资活动有关的现金</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4" w:right="0"/>
              <w:jc w:val="left"/>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(49)</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8"/>
              <w:jc w:val="right"/>
              <w:rPr>
                <w:rFonts w:ascii="Arial" w:hAnsi="Arial" w:cs="Arial" w:eastAsia="Arial" w:hint="default"/>
                <w:sz w:val="16"/>
                <w:szCs w:val="16"/>
              </w:rPr>
            </w:pPr>
            <w:r>
              <w:rPr>
                <w:rFonts w:ascii="Arial"/>
                <w:w w:val="95"/>
                <w:sz w:val="16"/>
              </w:rPr>
              <w:t>(16,363,723)</w:t>
            </w:r>
            <w:r>
              <w:rPr>
                <w:rFonts w:ascii="Arial"/>
                <w:sz w:val="16"/>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37"/>
              <w:jc w:val="right"/>
              <w:rPr>
                <w:rFonts w:ascii="Arial" w:hAnsi="Arial" w:cs="Arial" w:eastAsia="Arial" w:hint="default"/>
                <w:sz w:val="16"/>
                <w:szCs w:val="16"/>
              </w:rPr>
            </w:pPr>
            <w:r>
              <w:rPr>
                <w:rFonts w:ascii="Arial"/>
                <w:w w:val="95"/>
                <w:sz w:val="16"/>
              </w:rPr>
              <w:t>(212,436,455)</w:t>
            </w:r>
            <w:r>
              <w:rPr>
                <w:rFonts w:ascii="Arial"/>
                <w:sz w:val="16"/>
              </w:rPr>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73"/>
              <w:jc w:val="right"/>
              <w:rPr>
                <w:rFonts w:ascii="Arial" w:hAnsi="Arial" w:cs="Arial" w:eastAsia="Arial" w:hint="default"/>
                <w:sz w:val="16"/>
                <w:szCs w:val="16"/>
              </w:rPr>
            </w:pPr>
            <w:r>
              <w:rPr>
                <w:rFonts w:ascii="Arial"/>
                <w:w w:val="99"/>
                <w:sz w:val="16"/>
              </w:rPr>
              <w:t>-</w:t>
            </w:r>
            <w:r>
              <w:rPr>
                <w:rFonts w:ascii="Arial"/>
                <w:sz w:val="16"/>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0"/>
              <w:jc w:val="right"/>
              <w:rPr>
                <w:rFonts w:ascii="Arial" w:hAnsi="Arial" w:cs="Arial" w:eastAsia="Arial" w:hint="default"/>
                <w:sz w:val="16"/>
                <w:szCs w:val="16"/>
              </w:rPr>
            </w:pPr>
            <w:r>
              <w:rPr>
                <w:rFonts w:ascii="Arial"/>
                <w:w w:val="99"/>
                <w:sz w:val="16"/>
              </w:rPr>
              <w:t>-</w:t>
            </w:r>
            <w:r>
              <w:rPr>
                <w:rFonts w:ascii="Arial"/>
                <w:sz w:val="16"/>
              </w:rPr>
            </w:r>
          </w:p>
        </w:tc>
      </w:tr>
      <w:tr>
        <w:trPr>
          <w:trHeight w:val="254"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760" w:right="0"/>
              <w:jc w:val="left"/>
              <w:rPr>
                <w:rFonts w:ascii="黑体" w:hAnsi="黑体" w:cs="黑体" w:eastAsia="黑体" w:hint="default"/>
                <w:sz w:val="16"/>
                <w:szCs w:val="16"/>
              </w:rPr>
            </w:pPr>
            <w:r>
              <w:rPr>
                <w:rFonts w:ascii="黑体" w:hAnsi="黑体" w:cs="黑体" w:eastAsia="黑体" w:hint="default"/>
                <w:sz w:val="16"/>
                <w:szCs w:val="16"/>
              </w:rPr>
              <w:t>投资活动现金流出小计</w:t>
            </w:r>
          </w:p>
        </w:tc>
        <w:tc>
          <w:tcPr>
            <w:tcW w:w="532"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8"/>
              <w:jc w:val="right"/>
              <w:rPr>
                <w:rFonts w:ascii="Arial" w:hAnsi="Arial" w:cs="Arial" w:eastAsia="Arial" w:hint="default"/>
                <w:sz w:val="16"/>
                <w:szCs w:val="16"/>
              </w:rPr>
            </w:pPr>
            <w:r>
              <w:rPr>
                <w:rFonts w:ascii="Arial"/>
                <w:w w:val="95"/>
                <w:sz w:val="16"/>
              </w:rPr>
              <w:t>(101,096,998,267)</w:t>
            </w:r>
            <w:r>
              <w:rPr>
                <w:rFonts w:ascii="Arial"/>
                <w:sz w:val="16"/>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59" w:right="0"/>
              <w:jc w:val="left"/>
              <w:rPr>
                <w:rFonts w:ascii="Arial" w:hAnsi="Arial" w:cs="Arial" w:eastAsia="Arial" w:hint="default"/>
                <w:sz w:val="16"/>
                <w:szCs w:val="16"/>
              </w:rPr>
            </w:pPr>
            <w:r>
              <w:rPr>
                <w:rFonts w:ascii="Arial"/>
                <w:sz w:val="16"/>
              </w:rPr>
              <w:t>(85,397,925,148)</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0"/>
              <w:jc w:val="right"/>
              <w:rPr>
                <w:rFonts w:ascii="Arial" w:hAnsi="Arial" w:cs="Arial" w:eastAsia="Arial" w:hint="default"/>
                <w:sz w:val="16"/>
                <w:szCs w:val="16"/>
              </w:rPr>
            </w:pPr>
            <w:r>
              <w:rPr>
                <w:rFonts w:ascii="Arial"/>
                <w:w w:val="95"/>
                <w:sz w:val="16"/>
              </w:rPr>
              <w:t>(5,399)</w:t>
            </w:r>
            <w:r>
              <w:rPr>
                <w:rFonts w:ascii="Arial"/>
                <w:sz w:val="16"/>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0"/>
              <w:jc w:val="right"/>
              <w:rPr>
                <w:rFonts w:ascii="Arial" w:hAnsi="Arial" w:cs="Arial" w:eastAsia="Arial" w:hint="default"/>
                <w:sz w:val="16"/>
                <w:szCs w:val="16"/>
              </w:rPr>
            </w:pPr>
            <w:r>
              <w:rPr>
                <w:rFonts w:ascii="Arial"/>
                <w:w w:val="99"/>
                <w:sz w:val="16"/>
              </w:rPr>
              <w:t>-</w:t>
            </w:r>
            <w:r>
              <w:rPr>
                <w:rFonts w:ascii="Arial"/>
                <w:sz w:val="16"/>
              </w:rPr>
            </w:r>
          </w:p>
        </w:tc>
      </w:tr>
      <w:tr>
        <w:trPr>
          <w:trHeight w:val="256"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105"/>
              <w:jc w:val="right"/>
              <w:rPr>
                <w:rFonts w:ascii="黑体" w:hAnsi="黑体" w:cs="黑体" w:eastAsia="黑体" w:hint="default"/>
                <w:sz w:val="16"/>
                <w:szCs w:val="16"/>
              </w:rPr>
            </w:pPr>
            <w:r>
              <w:rPr>
                <w:rFonts w:ascii="黑体" w:hAnsi="黑体" w:cs="黑体" w:eastAsia="黑体" w:hint="default"/>
                <w:w w:val="95"/>
                <w:sz w:val="16"/>
                <w:szCs w:val="16"/>
              </w:rPr>
              <w:t>投资活动产生的现金流量净额（减：支付）</w:t>
            </w:r>
            <w:r>
              <w:rPr>
                <w:rFonts w:ascii="黑体" w:hAnsi="黑体" w:cs="黑体" w:eastAsia="黑体" w:hint="default"/>
                <w:sz w:val="16"/>
                <w:szCs w:val="16"/>
              </w:rPr>
            </w:r>
          </w:p>
        </w:tc>
        <w:tc>
          <w:tcPr>
            <w:tcW w:w="532"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8"/>
              <w:jc w:val="right"/>
              <w:rPr>
                <w:rFonts w:ascii="Arial" w:hAnsi="Arial" w:cs="Arial" w:eastAsia="Arial" w:hint="default"/>
                <w:sz w:val="16"/>
                <w:szCs w:val="16"/>
              </w:rPr>
            </w:pPr>
            <w:r>
              <w:rPr>
                <w:rFonts w:ascii="Arial"/>
                <w:w w:val="95"/>
                <w:sz w:val="16"/>
              </w:rPr>
              <w:t>(99,233,352,196)</w:t>
            </w:r>
            <w:r>
              <w:rPr>
                <w:rFonts w:ascii="Arial"/>
                <w:sz w:val="16"/>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59" w:right="0"/>
              <w:jc w:val="left"/>
              <w:rPr>
                <w:rFonts w:ascii="Arial" w:hAnsi="Arial" w:cs="Arial" w:eastAsia="Arial" w:hint="default"/>
                <w:sz w:val="16"/>
                <w:szCs w:val="16"/>
              </w:rPr>
            </w:pPr>
            <w:r>
              <w:rPr>
                <w:rFonts w:ascii="Arial"/>
                <w:sz w:val="16"/>
              </w:rPr>
              <w:t>(82,737,666,617)</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90" w:right="0"/>
              <w:jc w:val="left"/>
              <w:rPr>
                <w:rFonts w:ascii="Arial" w:hAnsi="Arial" w:cs="Arial" w:eastAsia="Arial" w:hint="default"/>
                <w:sz w:val="16"/>
                <w:szCs w:val="16"/>
              </w:rPr>
            </w:pPr>
            <w:r>
              <w:rPr>
                <w:rFonts w:ascii="Arial"/>
                <w:sz w:val="16"/>
              </w:rPr>
              <w:t>731,797,438</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54" w:right="0"/>
              <w:jc w:val="left"/>
              <w:rPr>
                <w:rFonts w:ascii="Arial" w:hAnsi="Arial" w:cs="Arial" w:eastAsia="Arial" w:hint="default"/>
                <w:sz w:val="16"/>
                <w:szCs w:val="16"/>
              </w:rPr>
            </w:pPr>
            <w:r>
              <w:rPr>
                <w:rFonts w:ascii="Arial"/>
                <w:sz w:val="16"/>
              </w:rPr>
              <w:t>570,487,899</w:t>
            </w:r>
          </w:p>
        </w:tc>
      </w:tr>
      <w:tr>
        <w:trPr>
          <w:trHeight w:val="254"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黑体" w:hAnsi="黑体" w:cs="黑体" w:eastAsia="黑体" w:hint="default"/>
                <w:sz w:val="16"/>
                <w:szCs w:val="16"/>
              </w:rPr>
            </w:pPr>
            <w:r>
              <w:rPr>
                <w:rFonts w:ascii="黑体" w:hAnsi="黑体" w:cs="黑体" w:eastAsia="黑体" w:hint="default"/>
                <w:sz w:val="16"/>
                <w:szCs w:val="16"/>
              </w:rPr>
              <w:t>三、筹资活动产生的现金流量</w:t>
            </w:r>
          </w:p>
        </w:tc>
        <w:tc>
          <w:tcPr>
            <w:tcW w:w="532"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
        </w:tc>
        <w:tc>
          <w:tcPr>
            <w:tcW w:w="1432"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宋体" w:hAnsi="宋体" w:cs="宋体" w:eastAsia="宋体" w:hint="default"/>
                <w:sz w:val="16"/>
                <w:szCs w:val="16"/>
              </w:rPr>
            </w:pPr>
            <w:r>
              <w:rPr>
                <w:rFonts w:ascii="宋体" w:hAnsi="宋体" w:cs="宋体" w:eastAsia="宋体" w:hint="default"/>
                <w:sz w:val="16"/>
                <w:szCs w:val="16"/>
              </w:rPr>
              <w:t>子公司吸收少数股东投资所收到的现金</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1" w:right="0"/>
              <w:jc w:val="left"/>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(46)</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2"/>
              <w:jc w:val="right"/>
              <w:rPr>
                <w:rFonts w:ascii="Arial" w:hAnsi="Arial" w:cs="Arial" w:eastAsia="Arial" w:hint="default"/>
                <w:sz w:val="16"/>
                <w:szCs w:val="16"/>
              </w:rPr>
            </w:pPr>
            <w:r>
              <w:rPr>
                <w:rFonts w:ascii="Arial"/>
                <w:w w:val="95"/>
                <w:sz w:val="16"/>
              </w:rPr>
              <w:t>774,287</w:t>
            </w:r>
            <w:r>
              <w:rPr>
                <w:rFonts w:ascii="Arial"/>
                <w:sz w:val="16"/>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1"/>
              <w:jc w:val="right"/>
              <w:rPr>
                <w:rFonts w:ascii="Arial" w:hAnsi="Arial" w:cs="Arial" w:eastAsia="Arial" w:hint="default"/>
                <w:sz w:val="16"/>
                <w:szCs w:val="16"/>
              </w:rPr>
            </w:pPr>
            <w:r>
              <w:rPr>
                <w:rFonts w:ascii="Arial"/>
                <w:w w:val="95"/>
                <w:sz w:val="16"/>
              </w:rPr>
              <w:t>33,422,359</w:t>
            </w:r>
            <w:r>
              <w:rPr>
                <w:rFonts w:ascii="Arial"/>
                <w:sz w:val="16"/>
              </w:rPr>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73"/>
              <w:jc w:val="right"/>
              <w:rPr>
                <w:rFonts w:ascii="Arial" w:hAnsi="Arial" w:cs="Arial" w:eastAsia="Arial" w:hint="default"/>
                <w:sz w:val="16"/>
                <w:szCs w:val="16"/>
              </w:rPr>
            </w:pPr>
            <w:r>
              <w:rPr>
                <w:rFonts w:ascii="Arial"/>
                <w:w w:val="99"/>
                <w:sz w:val="16"/>
              </w:rPr>
              <w:t>-</w:t>
            </w:r>
            <w:r>
              <w:rPr>
                <w:rFonts w:ascii="Arial"/>
                <w:sz w:val="16"/>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0"/>
              <w:jc w:val="right"/>
              <w:rPr>
                <w:rFonts w:ascii="Arial" w:hAnsi="Arial" w:cs="Arial" w:eastAsia="Arial" w:hint="default"/>
                <w:sz w:val="16"/>
                <w:szCs w:val="16"/>
              </w:rPr>
            </w:pPr>
            <w:r>
              <w:rPr>
                <w:rFonts w:ascii="Arial"/>
                <w:w w:val="99"/>
                <w:sz w:val="16"/>
              </w:rPr>
              <w:t>-</w:t>
            </w:r>
            <w:r>
              <w:rPr>
                <w:rFonts w:ascii="Arial"/>
                <w:sz w:val="16"/>
              </w:rPr>
            </w:r>
          </w:p>
        </w:tc>
      </w:tr>
      <w:tr>
        <w:trPr>
          <w:trHeight w:val="254"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36" w:right="0"/>
              <w:jc w:val="left"/>
              <w:rPr>
                <w:rFonts w:ascii="宋体" w:hAnsi="宋体" w:cs="宋体" w:eastAsia="宋体" w:hint="default"/>
                <w:sz w:val="16"/>
                <w:szCs w:val="16"/>
              </w:rPr>
            </w:pPr>
            <w:r>
              <w:rPr>
                <w:rFonts w:ascii="宋体" w:hAnsi="宋体" w:cs="宋体" w:eastAsia="宋体" w:hint="default"/>
                <w:sz w:val="16"/>
                <w:szCs w:val="16"/>
              </w:rPr>
              <w:t>发行债券收到的现金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2"/>
              <w:jc w:val="right"/>
              <w:rPr>
                <w:rFonts w:ascii="Arial" w:hAnsi="Arial" w:cs="Arial" w:eastAsia="Arial" w:hint="default"/>
                <w:sz w:val="16"/>
                <w:szCs w:val="16"/>
              </w:rPr>
            </w:pPr>
            <w:r>
              <w:rPr>
                <w:rFonts w:ascii="Arial"/>
                <w:w w:val="95"/>
                <w:sz w:val="16"/>
              </w:rPr>
              <w:t>67,797,255,195</w:t>
            </w:r>
            <w:r>
              <w:rPr>
                <w:rFonts w:ascii="Arial"/>
                <w:sz w:val="16"/>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12" w:right="0"/>
              <w:jc w:val="left"/>
              <w:rPr>
                <w:rFonts w:ascii="Arial" w:hAnsi="Arial" w:cs="Arial" w:eastAsia="Arial" w:hint="default"/>
                <w:sz w:val="16"/>
                <w:szCs w:val="16"/>
              </w:rPr>
            </w:pPr>
            <w:r>
              <w:rPr>
                <w:rFonts w:ascii="Arial"/>
                <w:sz w:val="16"/>
              </w:rPr>
              <w:t>61,866,594,907</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73"/>
              <w:jc w:val="right"/>
              <w:rPr>
                <w:rFonts w:ascii="Arial" w:hAnsi="Arial" w:cs="Arial" w:eastAsia="Arial" w:hint="default"/>
                <w:sz w:val="16"/>
                <w:szCs w:val="16"/>
              </w:rPr>
            </w:pPr>
            <w:r>
              <w:rPr>
                <w:rFonts w:ascii="Arial"/>
                <w:w w:val="99"/>
                <w:sz w:val="16"/>
              </w:rPr>
              <w:t>-</w:t>
            </w:r>
            <w:r>
              <w:rPr>
                <w:rFonts w:ascii="Arial"/>
                <w:sz w:val="16"/>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0"/>
              <w:jc w:val="right"/>
              <w:rPr>
                <w:rFonts w:ascii="Arial" w:hAnsi="Arial" w:cs="Arial" w:eastAsia="Arial" w:hint="default"/>
                <w:sz w:val="16"/>
                <w:szCs w:val="16"/>
              </w:rPr>
            </w:pPr>
            <w:r>
              <w:rPr>
                <w:rFonts w:ascii="Arial"/>
                <w:w w:val="99"/>
                <w:sz w:val="16"/>
              </w:rPr>
              <w:t>-</w:t>
            </w:r>
            <w:r>
              <w:rPr>
                <w:rFonts w:ascii="Arial"/>
                <w:sz w:val="16"/>
              </w:rPr>
            </w:r>
          </w:p>
        </w:tc>
      </w:tr>
      <w:tr>
        <w:trPr>
          <w:trHeight w:val="256"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宋体" w:hAnsi="宋体" w:cs="宋体" w:eastAsia="宋体" w:hint="default"/>
                <w:sz w:val="16"/>
                <w:szCs w:val="16"/>
              </w:rPr>
            </w:pPr>
            <w:r>
              <w:rPr>
                <w:rFonts w:ascii="宋体" w:hAnsi="宋体" w:cs="宋体" w:eastAsia="宋体" w:hint="default"/>
                <w:sz w:val="16"/>
                <w:szCs w:val="16"/>
              </w:rPr>
              <w:t>取得借款所收到的现金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2"/>
              <w:jc w:val="right"/>
              <w:rPr>
                <w:rFonts w:ascii="Arial" w:hAnsi="Arial" w:cs="Arial" w:eastAsia="Arial" w:hint="default"/>
                <w:sz w:val="16"/>
                <w:szCs w:val="16"/>
              </w:rPr>
            </w:pPr>
            <w:r>
              <w:rPr>
                <w:rFonts w:ascii="Arial"/>
                <w:w w:val="95"/>
                <w:sz w:val="16"/>
              </w:rPr>
              <w:t>87,111,129,125</w:t>
            </w:r>
            <w:r>
              <w:rPr>
                <w:rFonts w:ascii="Arial"/>
                <w:sz w:val="16"/>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12" w:right="0"/>
              <w:jc w:val="left"/>
              <w:rPr>
                <w:rFonts w:ascii="Arial" w:hAnsi="Arial" w:cs="Arial" w:eastAsia="Arial" w:hint="default"/>
                <w:sz w:val="16"/>
                <w:szCs w:val="16"/>
              </w:rPr>
            </w:pPr>
            <w:r>
              <w:rPr>
                <w:rFonts w:ascii="Arial"/>
                <w:sz w:val="16"/>
              </w:rPr>
              <w:t>55,460,955,472</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73"/>
              <w:jc w:val="right"/>
              <w:rPr>
                <w:rFonts w:ascii="Arial" w:hAnsi="Arial" w:cs="Arial" w:eastAsia="Arial" w:hint="default"/>
                <w:sz w:val="16"/>
                <w:szCs w:val="16"/>
              </w:rPr>
            </w:pPr>
            <w:r>
              <w:rPr>
                <w:rFonts w:ascii="Arial"/>
                <w:w w:val="99"/>
                <w:sz w:val="16"/>
              </w:rPr>
              <w:t>-</w:t>
            </w:r>
            <w:r>
              <w:rPr>
                <w:rFonts w:ascii="Arial"/>
                <w:sz w:val="16"/>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0"/>
              <w:jc w:val="right"/>
              <w:rPr>
                <w:rFonts w:ascii="Arial" w:hAnsi="Arial" w:cs="Arial" w:eastAsia="Arial" w:hint="default"/>
                <w:sz w:val="16"/>
                <w:szCs w:val="16"/>
              </w:rPr>
            </w:pPr>
            <w:r>
              <w:rPr>
                <w:rFonts w:ascii="Arial"/>
                <w:w w:val="99"/>
                <w:sz w:val="16"/>
              </w:rPr>
              <w:t>-</w:t>
            </w:r>
            <w:r>
              <w:rPr>
                <w:rFonts w:ascii="Arial"/>
                <w:sz w:val="16"/>
              </w:rPr>
            </w:r>
          </w:p>
        </w:tc>
      </w:tr>
      <w:tr>
        <w:trPr>
          <w:trHeight w:val="254"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760" w:right="0"/>
              <w:jc w:val="left"/>
              <w:rPr>
                <w:rFonts w:ascii="黑体" w:hAnsi="黑体" w:cs="黑体" w:eastAsia="黑体" w:hint="default"/>
                <w:sz w:val="16"/>
                <w:szCs w:val="16"/>
              </w:rPr>
            </w:pPr>
            <w:r>
              <w:rPr>
                <w:rFonts w:ascii="黑体" w:hAnsi="黑体" w:cs="黑体" w:eastAsia="黑体" w:hint="default"/>
                <w:sz w:val="16"/>
                <w:szCs w:val="16"/>
              </w:rPr>
              <w:t>筹资活动现金流入小计</w:t>
            </w:r>
          </w:p>
        </w:tc>
        <w:tc>
          <w:tcPr>
            <w:tcW w:w="532"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2"/>
              <w:jc w:val="right"/>
              <w:rPr>
                <w:rFonts w:ascii="Arial" w:hAnsi="Arial" w:cs="Arial" w:eastAsia="Arial" w:hint="default"/>
                <w:sz w:val="16"/>
                <w:szCs w:val="16"/>
              </w:rPr>
            </w:pPr>
            <w:r>
              <w:rPr>
                <w:rFonts w:ascii="Arial"/>
                <w:w w:val="95"/>
                <w:sz w:val="16"/>
              </w:rPr>
              <w:t>154,909,158,607</w:t>
            </w:r>
            <w:r>
              <w:rPr>
                <w:rFonts w:ascii="Arial"/>
                <w:sz w:val="16"/>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23" w:right="0"/>
              <w:jc w:val="left"/>
              <w:rPr>
                <w:rFonts w:ascii="Arial" w:hAnsi="Arial" w:cs="Arial" w:eastAsia="Arial" w:hint="default"/>
                <w:sz w:val="16"/>
                <w:szCs w:val="16"/>
              </w:rPr>
            </w:pPr>
            <w:r>
              <w:rPr>
                <w:rFonts w:ascii="Arial"/>
                <w:sz w:val="16"/>
              </w:rPr>
              <w:t>117,360,972,738</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73"/>
              <w:jc w:val="right"/>
              <w:rPr>
                <w:rFonts w:ascii="Arial" w:hAnsi="Arial" w:cs="Arial" w:eastAsia="Arial" w:hint="default"/>
                <w:sz w:val="16"/>
                <w:szCs w:val="16"/>
              </w:rPr>
            </w:pPr>
            <w:r>
              <w:rPr>
                <w:rFonts w:ascii="Arial"/>
                <w:w w:val="99"/>
                <w:sz w:val="16"/>
              </w:rPr>
              <w:t>-</w:t>
            </w:r>
            <w:r>
              <w:rPr>
                <w:rFonts w:ascii="Arial"/>
                <w:sz w:val="16"/>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0"/>
              <w:jc w:val="right"/>
              <w:rPr>
                <w:rFonts w:ascii="Arial" w:hAnsi="Arial" w:cs="Arial" w:eastAsia="Arial" w:hint="default"/>
                <w:sz w:val="16"/>
                <w:szCs w:val="16"/>
              </w:rPr>
            </w:pPr>
            <w:r>
              <w:rPr>
                <w:rFonts w:ascii="Arial"/>
                <w:w w:val="99"/>
                <w:sz w:val="16"/>
              </w:rPr>
              <w:t>-</w:t>
            </w:r>
            <w:r>
              <w:rPr>
                <w:rFonts w:ascii="Arial"/>
                <w:sz w:val="16"/>
              </w:rPr>
            </w:r>
          </w:p>
        </w:tc>
      </w:tr>
      <w:tr>
        <w:trPr>
          <w:trHeight w:val="256"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6" w:right="0"/>
              <w:jc w:val="left"/>
              <w:rPr>
                <w:rFonts w:ascii="宋体" w:hAnsi="宋体" w:cs="宋体" w:eastAsia="宋体" w:hint="default"/>
                <w:sz w:val="16"/>
                <w:szCs w:val="16"/>
              </w:rPr>
            </w:pPr>
            <w:r>
              <w:rPr>
                <w:rFonts w:ascii="宋体" w:hAnsi="宋体" w:cs="宋体" w:eastAsia="宋体" w:hint="default"/>
                <w:sz w:val="16"/>
                <w:szCs w:val="16"/>
              </w:rPr>
              <w:t>偿还债务所支付的现金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8"/>
              <w:jc w:val="right"/>
              <w:rPr>
                <w:rFonts w:ascii="Arial" w:hAnsi="Arial" w:cs="Arial" w:eastAsia="Arial" w:hint="default"/>
                <w:sz w:val="16"/>
                <w:szCs w:val="16"/>
              </w:rPr>
            </w:pPr>
            <w:r>
              <w:rPr>
                <w:rFonts w:ascii="Arial"/>
                <w:w w:val="95"/>
                <w:sz w:val="16"/>
              </w:rPr>
              <w:t>(120,620,855,774)</w:t>
            </w:r>
            <w:r>
              <w:rPr>
                <w:rFonts w:ascii="Arial"/>
                <w:sz w:val="16"/>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70" w:right="0"/>
              <w:jc w:val="left"/>
              <w:rPr>
                <w:rFonts w:ascii="Arial" w:hAnsi="Arial" w:cs="Arial" w:eastAsia="Arial" w:hint="default"/>
                <w:sz w:val="16"/>
                <w:szCs w:val="16"/>
              </w:rPr>
            </w:pPr>
            <w:r>
              <w:rPr>
                <w:rFonts w:ascii="Arial"/>
                <w:sz w:val="16"/>
              </w:rPr>
              <w:t>(106,305,374,182)</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73"/>
              <w:jc w:val="right"/>
              <w:rPr>
                <w:rFonts w:ascii="Arial" w:hAnsi="Arial" w:cs="Arial" w:eastAsia="Arial" w:hint="default"/>
                <w:sz w:val="16"/>
                <w:szCs w:val="16"/>
              </w:rPr>
            </w:pPr>
            <w:r>
              <w:rPr>
                <w:rFonts w:ascii="Arial"/>
                <w:w w:val="99"/>
                <w:sz w:val="16"/>
              </w:rPr>
              <w:t>-</w:t>
            </w:r>
            <w:r>
              <w:rPr>
                <w:rFonts w:ascii="Arial"/>
                <w:sz w:val="16"/>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0"/>
              <w:jc w:val="right"/>
              <w:rPr>
                <w:rFonts w:ascii="Arial" w:hAnsi="Arial" w:cs="Arial" w:eastAsia="Arial" w:hint="default"/>
                <w:sz w:val="16"/>
                <w:szCs w:val="16"/>
              </w:rPr>
            </w:pPr>
            <w:r>
              <w:rPr>
                <w:rFonts w:ascii="Arial"/>
                <w:w w:val="99"/>
                <w:sz w:val="16"/>
              </w:rPr>
              <w:t>-</w:t>
            </w:r>
            <w:r>
              <w:rPr>
                <w:rFonts w:ascii="Arial"/>
                <w:sz w:val="16"/>
              </w:rPr>
            </w:r>
          </w:p>
        </w:tc>
      </w:tr>
      <w:tr>
        <w:trPr>
          <w:trHeight w:val="254"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36" w:right="0"/>
              <w:jc w:val="left"/>
              <w:rPr>
                <w:rFonts w:ascii="宋体" w:hAnsi="宋体" w:cs="宋体" w:eastAsia="宋体" w:hint="default"/>
                <w:sz w:val="16"/>
                <w:szCs w:val="16"/>
              </w:rPr>
            </w:pPr>
            <w:r>
              <w:rPr>
                <w:rFonts w:ascii="宋体" w:hAnsi="宋体" w:cs="宋体" w:eastAsia="宋体" w:hint="default"/>
                <w:sz w:val="16"/>
                <w:szCs w:val="16"/>
              </w:rPr>
              <w:t>分配股利、利润或偿付利息所支付的现金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8"/>
              <w:jc w:val="right"/>
              <w:rPr>
                <w:rFonts w:ascii="Arial" w:hAnsi="Arial" w:cs="Arial" w:eastAsia="Arial" w:hint="default"/>
                <w:sz w:val="16"/>
                <w:szCs w:val="16"/>
              </w:rPr>
            </w:pPr>
            <w:r>
              <w:rPr>
                <w:rFonts w:ascii="Arial"/>
                <w:w w:val="95"/>
                <w:sz w:val="16"/>
              </w:rPr>
              <w:t>(6,640,335,994)</w:t>
            </w:r>
            <w:r>
              <w:rPr>
                <w:rFonts w:ascii="Arial"/>
                <w:sz w:val="16"/>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37"/>
              <w:jc w:val="right"/>
              <w:rPr>
                <w:rFonts w:ascii="Arial" w:hAnsi="Arial" w:cs="Arial" w:eastAsia="Arial" w:hint="default"/>
                <w:sz w:val="16"/>
                <w:szCs w:val="16"/>
              </w:rPr>
            </w:pPr>
            <w:r>
              <w:rPr>
                <w:rFonts w:ascii="Arial"/>
                <w:w w:val="95"/>
                <w:sz w:val="16"/>
              </w:rPr>
              <w:t>(5,255,611,884)</w:t>
            </w:r>
            <w:r>
              <w:rPr>
                <w:rFonts w:ascii="Arial"/>
                <w:sz w:val="16"/>
              </w:rPr>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0"/>
              <w:jc w:val="right"/>
              <w:rPr>
                <w:rFonts w:ascii="Arial" w:hAnsi="Arial" w:cs="Arial" w:eastAsia="Arial" w:hint="default"/>
                <w:sz w:val="16"/>
                <w:szCs w:val="16"/>
              </w:rPr>
            </w:pPr>
            <w:r>
              <w:rPr>
                <w:rFonts w:ascii="Arial"/>
                <w:w w:val="95"/>
                <w:sz w:val="16"/>
              </w:rPr>
              <w:t>(710,085,981)</w:t>
            </w:r>
            <w:r>
              <w:rPr>
                <w:rFonts w:ascii="Arial"/>
                <w:sz w:val="16"/>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37"/>
              <w:jc w:val="right"/>
              <w:rPr>
                <w:rFonts w:ascii="Arial" w:hAnsi="Arial" w:cs="Arial" w:eastAsia="Arial" w:hint="default"/>
                <w:sz w:val="16"/>
                <w:szCs w:val="16"/>
              </w:rPr>
            </w:pPr>
            <w:r>
              <w:rPr>
                <w:rFonts w:ascii="Arial"/>
                <w:w w:val="95"/>
                <w:sz w:val="16"/>
              </w:rPr>
              <w:t>(551,172,555)</w:t>
            </w:r>
            <w:r>
              <w:rPr>
                <w:rFonts w:ascii="Arial"/>
                <w:sz w:val="16"/>
              </w:rPr>
            </w:r>
          </w:p>
        </w:tc>
      </w:tr>
      <w:tr>
        <w:trPr>
          <w:trHeight w:val="256"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60" w:right="0"/>
              <w:jc w:val="left"/>
              <w:rPr>
                <w:rFonts w:ascii="黑体" w:hAnsi="黑体" w:cs="黑体" w:eastAsia="黑体" w:hint="default"/>
                <w:sz w:val="16"/>
                <w:szCs w:val="16"/>
              </w:rPr>
            </w:pPr>
            <w:r>
              <w:rPr>
                <w:rFonts w:ascii="黑体" w:hAnsi="黑体" w:cs="黑体" w:eastAsia="黑体" w:hint="default"/>
                <w:sz w:val="16"/>
                <w:szCs w:val="16"/>
              </w:rPr>
              <w:t>筹资活动现金流出小计</w:t>
            </w:r>
          </w:p>
        </w:tc>
        <w:tc>
          <w:tcPr>
            <w:tcW w:w="532"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8"/>
              <w:jc w:val="right"/>
              <w:rPr>
                <w:rFonts w:ascii="Arial" w:hAnsi="Arial" w:cs="Arial" w:eastAsia="Arial" w:hint="default"/>
                <w:sz w:val="16"/>
                <w:szCs w:val="16"/>
              </w:rPr>
            </w:pPr>
            <w:r>
              <w:rPr>
                <w:rFonts w:ascii="Arial"/>
                <w:w w:val="95"/>
                <w:sz w:val="16"/>
              </w:rPr>
              <w:t>(127,261,191,768)</w:t>
            </w:r>
            <w:r>
              <w:rPr>
                <w:rFonts w:ascii="Arial"/>
                <w:sz w:val="16"/>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70" w:right="0"/>
              <w:jc w:val="left"/>
              <w:rPr>
                <w:rFonts w:ascii="Arial" w:hAnsi="Arial" w:cs="Arial" w:eastAsia="Arial" w:hint="default"/>
                <w:sz w:val="16"/>
                <w:szCs w:val="16"/>
              </w:rPr>
            </w:pPr>
            <w:r>
              <w:rPr>
                <w:rFonts w:ascii="Arial"/>
                <w:sz w:val="16"/>
              </w:rPr>
              <w:t>(111,560,986,066)</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0"/>
              <w:jc w:val="right"/>
              <w:rPr>
                <w:rFonts w:ascii="Arial" w:hAnsi="Arial" w:cs="Arial" w:eastAsia="Arial" w:hint="default"/>
                <w:sz w:val="16"/>
                <w:szCs w:val="16"/>
              </w:rPr>
            </w:pPr>
            <w:r>
              <w:rPr>
                <w:rFonts w:ascii="Arial"/>
                <w:w w:val="95"/>
                <w:sz w:val="16"/>
              </w:rPr>
              <w:t>(710,085,981)</w:t>
            </w:r>
            <w:r>
              <w:rPr>
                <w:rFonts w:ascii="Arial"/>
                <w:sz w:val="16"/>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37"/>
              <w:jc w:val="right"/>
              <w:rPr>
                <w:rFonts w:ascii="Arial" w:hAnsi="Arial" w:cs="Arial" w:eastAsia="Arial" w:hint="default"/>
                <w:sz w:val="16"/>
                <w:szCs w:val="16"/>
              </w:rPr>
            </w:pPr>
            <w:r>
              <w:rPr>
                <w:rFonts w:ascii="Arial"/>
                <w:w w:val="95"/>
                <w:sz w:val="16"/>
              </w:rPr>
              <w:t>(551,172,555)</w:t>
            </w:r>
            <w:r>
              <w:rPr>
                <w:rFonts w:ascii="Arial"/>
                <w:sz w:val="16"/>
              </w:rPr>
            </w:r>
          </w:p>
        </w:tc>
      </w:tr>
      <w:tr>
        <w:trPr>
          <w:trHeight w:val="255"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105"/>
              <w:jc w:val="right"/>
              <w:rPr>
                <w:rFonts w:ascii="黑体" w:hAnsi="黑体" w:cs="黑体" w:eastAsia="黑体" w:hint="default"/>
                <w:sz w:val="16"/>
                <w:szCs w:val="16"/>
              </w:rPr>
            </w:pPr>
            <w:r>
              <w:rPr>
                <w:rFonts w:ascii="黑体" w:hAnsi="黑体" w:cs="黑体" w:eastAsia="黑体" w:hint="default"/>
                <w:w w:val="95"/>
                <w:sz w:val="16"/>
                <w:szCs w:val="16"/>
              </w:rPr>
              <w:t>筹资活动产生的现金流量净额（减：支付）</w:t>
            </w:r>
            <w:r>
              <w:rPr>
                <w:rFonts w:ascii="黑体" w:hAnsi="黑体" w:cs="黑体" w:eastAsia="黑体" w:hint="default"/>
                <w:sz w:val="16"/>
                <w:szCs w:val="16"/>
              </w:rPr>
            </w:r>
          </w:p>
        </w:tc>
        <w:tc>
          <w:tcPr>
            <w:tcW w:w="532"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2"/>
              <w:jc w:val="right"/>
              <w:rPr>
                <w:rFonts w:ascii="Arial" w:hAnsi="Arial" w:cs="Arial" w:eastAsia="Arial" w:hint="default"/>
                <w:sz w:val="16"/>
                <w:szCs w:val="16"/>
              </w:rPr>
            </w:pPr>
            <w:r>
              <w:rPr>
                <w:rFonts w:ascii="Arial"/>
                <w:w w:val="95"/>
                <w:sz w:val="16"/>
              </w:rPr>
              <w:t>27,647,966,839</w:t>
            </w:r>
            <w:r>
              <w:rPr>
                <w:rFonts w:ascii="Arial"/>
                <w:sz w:val="16"/>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01" w:right="0"/>
              <w:jc w:val="left"/>
              <w:rPr>
                <w:rFonts w:ascii="Arial" w:hAnsi="Arial" w:cs="Arial" w:eastAsia="Arial" w:hint="default"/>
                <w:sz w:val="16"/>
                <w:szCs w:val="16"/>
              </w:rPr>
            </w:pPr>
            <w:r>
              <w:rPr>
                <w:rFonts w:ascii="Arial"/>
                <w:sz w:val="16"/>
              </w:rPr>
              <w:t>5,799,986,672</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0"/>
              <w:jc w:val="right"/>
              <w:rPr>
                <w:rFonts w:ascii="Arial" w:hAnsi="Arial" w:cs="Arial" w:eastAsia="Arial" w:hint="default"/>
                <w:sz w:val="16"/>
                <w:szCs w:val="16"/>
              </w:rPr>
            </w:pPr>
            <w:r>
              <w:rPr>
                <w:rFonts w:ascii="Arial"/>
                <w:w w:val="95"/>
                <w:sz w:val="16"/>
              </w:rPr>
              <w:t>(710,085,981)</w:t>
            </w:r>
            <w:r>
              <w:rPr>
                <w:rFonts w:ascii="Arial"/>
                <w:sz w:val="16"/>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37"/>
              <w:jc w:val="right"/>
              <w:rPr>
                <w:rFonts w:ascii="Arial" w:hAnsi="Arial" w:cs="Arial" w:eastAsia="Arial" w:hint="default"/>
                <w:sz w:val="16"/>
                <w:szCs w:val="16"/>
              </w:rPr>
            </w:pPr>
            <w:r>
              <w:rPr>
                <w:rFonts w:ascii="Arial"/>
                <w:w w:val="95"/>
                <w:sz w:val="16"/>
              </w:rPr>
              <w:t>(551,172,555)</w:t>
            </w:r>
            <w:r>
              <w:rPr>
                <w:rFonts w:ascii="Arial"/>
                <w:sz w:val="16"/>
              </w:rPr>
            </w:r>
          </w:p>
        </w:tc>
      </w:tr>
      <w:tr>
        <w:trPr>
          <w:trHeight w:val="256"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00" w:right="0"/>
              <w:jc w:val="left"/>
              <w:rPr>
                <w:rFonts w:ascii="黑体" w:hAnsi="黑体" w:cs="黑体" w:eastAsia="黑体" w:hint="default"/>
                <w:sz w:val="16"/>
                <w:szCs w:val="16"/>
              </w:rPr>
            </w:pPr>
            <w:r>
              <w:rPr>
                <w:rFonts w:ascii="黑体" w:hAnsi="黑体" w:cs="黑体" w:eastAsia="黑体" w:hint="default"/>
                <w:sz w:val="16"/>
                <w:szCs w:val="16"/>
              </w:rPr>
              <w:t>四、汇率变动对现金的影响</w:t>
            </w:r>
          </w:p>
        </w:tc>
        <w:tc>
          <w:tcPr>
            <w:tcW w:w="532"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0"/>
              <w:jc w:val="right"/>
              <w:rPr>
                <w:rFonts w:ascii="Arial" w:hAnsi="Arial" w:cs="Arial" w:eastAsia="Arial" w:hint="default"/>
                <w:sz w:val="16"/>
                <w:szCs w:val="16"/>
              </w:rPr>
            </w:pPr>
            <w:r>
              <w:rPr>
                <w:rFonts w:ascii="Arial"/>
                <w:w w:val="99"/>
                <w:sz w:val="16"/>
              </w:rPr>
              <w:t>-</w:t>
            </w:r>
            <w:r>
              <w:rPr>
                <w:rFonts w:ascii="Arial"/>
                <w:sz w:val="16"/>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0"/>
              <w:jc w:val="right"/>
              <w:rPr>
                <w:rFonts w:ascii="Arial" w:hAnsi="Arial" w:cs="Arial" w:eastAsia="Arial" w:hint="default"/>
                <w:sz w:val="16"/>
                <w:szCs w:val="16"/>
              </w:rPr>
            </w:pPr>
            <w:r>
              <w:rPr>
                <w:rFonts w:ascii="Arial"/>
                <w:w w:val="99"/>
                <w:sz w:val="16"/>
              </w:rPr>
              <w:t>-</w:t>
            </w:r>
            <w:r>
              <w:rPr>
                <w:rFonts w:ascii="Arial"/>
                <w:sz w:val="16"/>
              </w:rPr>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73"/>
              <w:jc w:val="right"/>
              <w:rPr>
                <w:rFonts w:ascii="Arial" w:hAnsi="Arial" w:cs="Arial" w:eastAsia="Arial" w:hint="default"/>
                <w:sz w:val="16"/>
                <w:szCs w:val="16"/>
              </w:rPr>
            </w:pPr>
            <w:r>
              <w:rPr>
                <w:rFonts w:ascii="Arial"/>
                <w:w w:val="99"/>
                <w:sz w:val="16"/>
              </w:rPr>
              <w:t>-</w:t>
            </w:r>
            <w:r>
              <w:rPr>
                <w:rFonts w:ascii="Arial"/>
                <w:sz w:val="16"/>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0"/>
              <w:jc w:val="right"/>
              <w:rPr>
                <w:rFonts w:ascii="Arial" w:hAnsi="Arial" w:cs="Arial" w:eastAsia="Arial" w:hint="default"/>
                <w:sz w:val="16"/>
                <w:szCs w:val="16"/>
              </w:rPr>
            </w:pPr>
            <w:r>
              <w:rPr>
                <w:rFonts w:ascii="Arial"/>
                <w:w w:val="99"/>
                <w:sz w:val="16"/>
              </w:rPr>
              <w:t>-</w:t>
            </w:r>
            <w:r>
              <w:rPr>
                <w:rFonts w:ascii="Arial"/>
                <w:sz w:val="16"/>
              </w:rPr>
            </w:r>
          </w:p>
        </w:tc>
      </w:tr>
      <w:tr>
        <w:trPr>
          <w:trHeight w:val="254"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黑体" w:hAnsi="黑体" w:cs="黑体" w:eastAsia="黑体" w:hint="default"/>
                <w:sz w:val="16"/>
                <w:szCs w:val="16"/>
              </w:rPr>
            </w:pPr>
            <w:r>
              <w:rPr>
                <w:rFonts w:ascii="黑体" w:hAnsi="黑体" w:cs="黑体" w:eastAsia="黑体" w:hint="default"/>
                <w:sz w:val="16"/>
                <w:szCs w:val="16"/>
              </w:rPr>
              <w:t>五、现金及现金等价物净增加（减少）额</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1" w:right="0"/>
              <w:jc w:val="left"/>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(50)</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2"/>
              <w:jc w:val="right"/>
              <w:rPr>
                <w:rFonts w:ascii="Arial" w:hAnsi="Arial" w:cs="Arial" w:eastAsia="Arial" w:hint="default"/>
                <w:sz w:val="16"/>
                <w:szCs w:val="16"/>
              </w:rPr>
            </w:pPr>
            <w:r>
              <w:rPr>
                <w:rFonts w:ascii="Arial"/>
                <w:w w:val="95"/>
                <w:sz w:val="16"/>
              </w:rPr>
              <w:t>3,153,019,826</w:t>
            </w:r>
            <w:r>
              <w:rPr>
                <w:rFonts w:ascii="Arial"/>
                <w:sz w:val="16"/>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37"/>
              <w:jc w:val="right"/>
              <w:rPr>
                <w:rFonts w:ascii="Arial" w:hAnsi="Arial" w:cs="Arial" w:eastAsia="Arial" w:hint="default"/>
                <w:sz w:val="16"/>
                <w:szCs w:val="16"/>
              </w:rPr>
            </w:pPr>
            <w:r>
              <w:rPr>
                <w:rFonts w:ascii="Arial"/>
                <w:w w:val="95"/>
                <w:sz w:val="16"/>
              </w:rPr>
              <w:t>(7,484,817,039)</w:t>
            </w:r>
            <w:r>
              <w:rPr>
                <w:rFonts w:ascii="Arial"/>
                <w:sz w:val="16"/>
              </w:rPr>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74"/>
              <w:jc w:val="right"/>
              <w:rPr>
                <w:rFonts w:ascii="Arial" w:hAnsi="Arial" w:cs="Arial" w:eastAsia="Arial" w:hint="default"/>
                <w:sz w:val="16"/>
                <w:szCs w:val="16"/>
              </w:rPr>
            </w:pPr>
            <w:r>
              <w:rPr>
                <w:rFonts w:ascii="Arial"/>
                <w:w w:val="95"/>
                <w:sz w:val="16"/>
              </w:rPr>
              <w:t>9,924,475</w:t>
            </w:r>
            <w:r>
              <w:rPr>
                <w:rFonts w:ascii="Arial"/>
                <w:sz w:val="16"/>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1"/>
              <w:jc w:val="right"/>
              <w:rPr>
                <w:rFonts w:ascii="Arial" w:hAnsi="Arial" w:cs="Arial" w:eastAsia="Arial" w:hint="default"/>
                <w:sz w:val="16"/>
                <w:szCs w:val="16"/>
              </w:rPr>
            </w:pPr>
            <w:r>
              <w:rPr>
                <w:rFonts w:ascii="Arial"/>
                <w:w w:val="95"/>
                <w:sz w:val="16"/>
              </w:rPr>
              <w:t>6,289,082</w:t>
            </w:r>
            <w:r>
              <w:rPr>
                <w:rFonts w:ascii="Arial"/>
                <w:sz w:val="16"/>
              </w:rPr>
            </w:r>
          </w:p>
        </w:tc>
      </w:tr>
      <w:tr>
        <w:trPr>
          <w:trHeight w:val="256"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39" w:right="0"/>
              <w:jc w:val="left"/>
              <w:rPr>
                <w:rFonts w:ascii="宋体" w:hAnsi="宋体" w:cs="宋体" w:eastAsia="宋体" w:hint="default"/>
                <w:sz w:val="16"/>
                <w:szCs w:val="16"/>
              </w:rPr>
            </w:pPr>
            <w:r>
              <w:rPr>
                <w:rFonts w:ascii="宋体" w:hAnsi="宋体" w:cs="宋体" w:eastAsia="宋体" w:hint="default"/>
                <w:sz w:val="16"/>
                <w:szCs w:val="16"/>
              </w:rPr>
              <w:t>加：年初现金及现金等价物余额</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1" w:right="0"/>
              <w:jc w:val="left"/>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(50)</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2"/>
              <w:jc w:val="right"/>
              <w:rPr>
                <w:rFonts w:ascii="Arial" w:hAnsi="Arial" w:cs="Arial" w:eastAsia="Arial" w:hint="default"/>
                <w:sz w:val="16"/>
                <w:szCs w:val="16"/>
              </w:rPr>
            </w:pPr>
            <w:r>
              <w:rPr>
                <w:rFonts w:ascii="Arial"/>
                <w:w w:val="95"/>
                <w:sz w:val="16"/>
              </w:rPr>
              <w:t>15,134,971,543</w:t>
            </w:r>
            <w:r>
              <w:rPr>
                <w:rFonts w:ascii="Arial"/>
                <w:sz w:val="16"/>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12" w:right="0"/>
              <w:jc w:val="left"/>
              <w:rPr>
                <w:rFonts w:ascii="Arial" w:hAnsi="Arial" w:cs="Arial" w:eastAsia="Arial" w:hint="default"/>
                <w:sz w:val="16"/>
                <w:szCs w:val="16"/>
              </w:rPr>
            </w:pPr>
            <w:r>
              <w:rPr>
                <w:rFonts w:ascii="Arial"/>
                <w:sz w:val="16"/>
              </w:rPr>
              <w:t>22,619,788,582</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79" w:right="0"/>
              <w:jc w:val="left"/>
              <w:rPr>
                <w:rFonts w:ascii="Arial" w:hAnsi="Arial" w:cs="Arial" w:eastAsia="Arial" w:hint="default"/>
                <w:sz w:val="16"/>
                <w:szCs w:val="16"/>
              </w:rPr>
            </w:pPr>
            <w:r>
              <w:rPr>
                <w:rFonts w:ascii="Arial"/>
                <w:sz w:val="16"/>
              </w:rPr>
              <w:t>28,383,556</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43" w:right="0"/>
              <w:jc w:val="left"/>
              <w:rPr>
                <w:rFonts w:ascii="Arial" w:hAnsi="Arial" w:cs="Arial" w:eastAsia="Arial" w:hint="default"/>
                <w:sz w:val="16"/>
                <w:szCs w:val="16"/>
              </w:rPr>
            </w:pPr>
            <w:r>
              <w:rPr>
                <w:rFonts w:ascii="Arial"/>
                <w:sz w:val="16"/>
              </w:rPr>
              <w:t>22,094,474</w:t>
            </w:r>
          </w:p>
        </w:tc>
      </w:tr>
      <w:tr>
        <w:trPr>
          <w:trHeight w:val="254" w:hRule="exact"/>
        </w:trPr>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黑体" w:hAnsi="黑体" w:cs="黑体" w:eastAsia="黑体" w:hint="default"/>
                <w:sz w:val="16"/>
                <w:szCs w:val="16"/>
              </w:rPr>
            </w:pPr>
            <w:r>
              <w:rPr>
                <w:rFonts w:ascii="黑体" w:hAnsi="黑体" w:cs="黑体" w:eastAsia="黑体" w:hint="default"/>
                <w:sz w:val="16"/>
                <w:szCs w:val="16"/>
              </w:rPr>
              <w:t>六、年末现金及现金等价物余额</w:t>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1" w:right="0"/>
              <w:jc w:val="left"/>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(50)</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2"/>
              <w:jc w:val="right"/>
              <w:rPr>
                <w:rFonts w:ascii="Arial" w:hAnsi="Arial" w:cs="Arial" w:eastAsia="Arial" w:hint="default"/>
                <w:sz w:val="16"/>
                <w:szCs w:val="16"/>
              </w:rPr>
            </w:pPr>
            <w:r>
              <w:rPr>
                <w:rFonts w:ascii="Arial"/>
                <w:w w:val="95"/>
                <w:sz w:val="16"/>
              </w:rPr>
              <w:t>18,287,991,369</w:t>
            </w:r>
            <w:r>
              <w:rPr>
                <w:rFonts w:ascii="Arial"/>
                <w:sz w:val="16"/>
              </w:rPr>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12" w:right="0"/>
              <w:jc w:val="left"/>
              <w:rPr>
                <w:rFonts w:ascii="Arial" w:hAnsi="Arial" w:cs="Arial" w:eastAsia="Arial" w:hint="default"/>
                <w:sz w:val="16"/>
                <w:szCs w:val="16"/>
              </w:rPr>
            </w:pPr>
            <w:r>
              <w:rPr>
                <w:rFonts w:ascii="Arial"/>
                <w:sz w:val="16"/>
              </w:rPr>
              <w:t>15,134,971,543</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79" w:right="0"/>
              <w:jc w:val="left"/>
              <w:rPr>
                <w:rFonts w:ascii="Arial" w:hAnsi="Arial" w:cs="Arial" w:eastAsia="Arial" w:hint="default"/>
                <w:sz w:val="16"/>
                <w:szCs w:val="16"/>
              </w:rPr>
            </w:pPr>
            <w:r>
              <w:rPr>
                <w:rFonts w:ascii="Arial"/>
                <w:sz w:val="16"/>
              </w:rPr>
              <w:t>38,308,031</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43" w:right="0"/>
              <w:jc w:val="left"/>
              <w:rPr>
                <w:rFonts w:ascii="Arial" w:hAnsi="Arial" w:cs="Arial" w:eastAsia="Arial" w:hint="default"/>
                <w:sz w:val="16"/>
                <w:szCs w:val="16"/>
              </w:rPr>
            </w:pPr>
            <w:r>
              <w:rPr>
                <w:rFonts w:ascii="Arial"/>
                <w:sz w:val="16"/>
              </w:rPr>
              <w:t>28,383,556</w:t>
            </w:r>
          </w:p>
        </w:tc>
      </w:tr>
    </w:tbl>
    <w:p>
      <w:pPr>
        <w:spacing w:line="240" w:lineRule="auto" w:before="1"/>
        <w:rPr>
          <w:rFonts w:ascii="黑体" w:hAnsi="黑体" w:cs="黑体" w:eastAsia="黑体" w:hint="default"/>
          <w:sz w:val="14"/>
          <w:szCs w:val="14"/>
        </w:rPr>
      </w:pPr>
    </w:p>
    <w:p>
      <w:pPr>
        <w:spacing w:before="38"/>
        <w:ind w:left="120" w:right="0" w:firstLine="0"/>
        <w:jc w:val="left"/>
        <w:rPr>
          <w:rFonts w:ascii="黑体" w:hAnsi="黑体" w:cs="黑体" w:eastAsia="黑体" w:hint="default"/>
          <w:sz w:val="20"/>
          <w:szCs w:val="20"/>
        </w:rPr>
      </w:pPr>
      <w:r>
        <w:rPr>
          <w:rFonts w:ascii="黑体" w:hAnsi="黑体" w:cs="黑体" w:eastAsia="黑体" w:hint="default"/>
          <w:sz w:val="20"/>
          <w:szCs w:val="20"/>
        </w:rPr>
        <w:t>后附财务报表附注为财务报表的组成部分。</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3"/>
          <w:szCs w:val="13"/>
        </w:rPr>
      </w:pPr>
    </w:p>
    <w:p>
      <w:pPr>
        <w:pStyle w:val="BodyText"/>
        <w:tabs>
          <w:tab w:pos="3681" w:val="left" w:leader="none"/>
          <w:tab w:pos="7281" w:val="left" w:leader="none"/>
        </w:tabs>
        <w:spacing w:line="240" w:lineRule="auto"/>
        <w:ind w:left="149" w:right="0"/>
        <w:jc w:val="left"/>
        <w:rPr>
          <w:rFonts w:ascii="黑体" w:hAnsi="黑体" w:cs="黑体" w:eastAsia="黑体" w:hint="default"/>
        </w:rPr>
      </w:pPr>
      <w:r>
        <w:rPr>
          <w:rFonts w:ascii="黑体" w:hAnsi="黑体" w:cs="黑体" w:eastAsia="黑体" w:hint="default"/>
          <w:w w:val="95"/>
        </w:rPr>
        <w:t>董事长：常小兵</w:t>
        <w:tab/>
        <w:t>财务负责人：张健</w:t>
        <w:tab/>
      </w:r>
      <w:r>
        <w:rPr>
          <w:rFonts w:ascii="黑体" w:hAnsi="黑体" w:cs="黑体" w:eastAsia="黑体" w:hint="default"/>
        </w:rPr>
        <w:t>财务部总经理：李张挺</w:t>
      </w:r>
    </w:p>
    <w:p>
      <w:pPr>
        <w:spacing w:after="0" w:line="240" w:lineRule="auto"/>
        <w:jc w:val="left"/>
        <w:rPr>
          <w:rFonts w:ascii="黑体" w:hAnsi="黑体" w:cs="黑体" w:eastAsia="黑体" w:hint="default"/>
        </w:rPr>
        <w:sectPr>
          <w:headerReference w:type="default" r:id="rId32"/>
          <w:footerReference w:type="default" r:id="rId33"/>
          <w:pgSz w:w="11910" w:h="16840"/>
          <w:pgMar w:header="0" w:footer="745" w:top="1240" w:bottom="940" w:left="760" w:right="340"/>
          <w:pgNumType w:start="58"/>
        </w:sectPr>
      </w:pPr>
    </w:p>
    <w:p>
      <w:pPr>
        <w:pStyle w:val="BodyText"/>
        <w:spacing w:line="240" w:lineRule="auto" w:before="9"/>
        <w:ind w:left="122" w:right="0"/>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2"/>
        <w:rPr>
          <w:rFonts w:ascii="黑体" w:hAnsi="黑体" w:cs="黑体" w:eastAsia="黑体" w:hint="default"/>
          <w:sz w:val="19"/>
          <w:szCs w:val="19"/>
        </w:rPr>
      </w:pPr>
    </w:p>
    <w:p>
      <w:pPr>
        <w:pStyle w:val="BodyText"/>
        <w:spacing w:line="294" w:lineRule="exact"/>
        <w:ind w:left="122"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12"/>
        </w:rPr>
        <w:t> </w:t>
      </w:r>
      <w:r>
        <w:rPr>
          <w:rFonts w:ascii="黑体" w:hAnsi="黑体" w:cs="黑体" w:eastAsia="黑体" w:hint="default"/>
        </w:rPr>
        <w:t>年度合并股东权益变动表</w:t>
      </w:r>
    </w:p>
    <w:p>
      <w:pPr>
        <w:pStyle w:val="BodyText"/>
        <w:spacing w:line="278" w:lineRule="exact"/>
        <w:ind w:left="122" w:right="0"/>
        <w:jc w:val="left"/>
        <w:rPr>
          <w:rFonts w:ascii="黑体" w:hAnsi="黑体" w:cs="黑体" w:eastAsia="黑体" w:hint="default"/>
        </w:rPr>
      </w:pPr>
      <w:r>
        <w:rPr>
          <w:rFonts w:ascii="黑体" w:hAnsi="黑体" w:cs="黑体" w:eastAsia="黑体" w:hint="default"/>
        </w:rPr>
        <w:t>（除特别注明外，金额单位为人民币元）</w:t>
      </w:r>
    </w:p>
    <w:p>
      <w:pPr>
        <w:spacing w:line="240" w:lineRule="auto" w:before="13"/>
        <w:rPr>
          <w:rFonts w:ascii="黑体" w:hAnsi="黑体" w:cs="黑体" w:eastAsia="黑体" w:hint="default"/>
          <w:sz w:val="21"/>
          <w:szCs w:val="21"/>
        </w:rPr>
      </w:pPr>
    </w:p>
    <w:tbl>
      <w:tblPr>
        <w:tblW w:w="0" w:type="auto"/>
        <w:jc w:val="left"/>
        <w:tblInd w:w="114" w:type="dxa"/>
        <w:tblLayout w:type="fixed"/>
        <w:tblCellMar>
          <w:top w:w="0" w:type="dxa"/>
          <w:left w:w="0" w:type="dxa"/>
          <w:bottom w:w="0" w:type="dxa"/>
          <w:right w:w="0" w:type="dxa"/>
        </w:tblCellMar>
        <w:tblLook w:val="01E0"/>
      </w:tblPr>
      <w:tblGrid>
        <w:gridCol w:w="4948"/>
        <w:gridCol w:w="496"/>
        <w:gridCol w:w="1214"/>
        <w:gridCol w:w="1170"/>
        <w:gridCol w:w="1000"/>
        <w:gridCol w:w="1152"/>
        <w:gridCol w:w="1206"/>
        <w:gridCol w:w="1260"/>
        <w:gridCol w:w="1268"/>
        <w:gridCol w:w="1548"/>
      </w:tblGrid>
      <w:tr>
        <w:trPr>
          <w:trHeight w:val="197" w:hRule="exact"/>
        </w:trPr>
        <w:tc>
          <w:tcPr>
            <w:tcW w:w="4948" w:type="dxa"/>
            <w:vMerge w:val="restart"/>
            <w:tcBorders>
              <w:top w:val="single" w:sz="6" w:space="0" w:color="000000"/>
              <w:left w:val="single" w:sz="6" w:space="0" w:color="000000"/>
              <w:right w:val="single" w:sz="6" w:space="0" w:color="000000"/>
            </w:tcBorders>
          </w:tcPr>
          <w:p>
            <w:pPr>
              <w:pStyle w:val="TableParagraph"/>
              <w:spacing w:line="240" w:lineRule="auto" w:before="75"/>
              <w:ind w:right="4"/>
              <w:jc w:val="center"/>
              <w:rPr>
                <w:rFonts w:ascii="黑体" w:hAnsi="黑体" w:cs="黑体" w:eastAsia="黑体" w:hint="default"/>
                <w:sz w:val="14"/>
                <w:szCs w:val="14"/>
              </w:rPr>
            </w:pPr>
            <w:r>
              <w:rPr>
                <w:rFonts w:ascii="黑体" w:hAnsi="黑体" w:cs="黑体" w:eastAsia="黑体" w:hint="default"/>
                <w:sz w:val="14"/>
                <w:szCs w:val="14"/>
              </w:rPr>
              <w:t>项目</w:t>
            </w:r>
          </w:p>
        </w:tc>
        <w:tc>
          <w:tcPr>
            <w:tcW w:w="496" w:type="dxa"/>
            <w:vMerge w:val="restart"/>
            <w:tcBorders>
              <w:top w:val="single" w:sz="6" w:space="0" w:color="000000"/>
              <w:left w:val="single" w:sz="6" w:space="0" w:color="000000"/>
              <w:right w:val="single" w:sz="6" w:space="0" w:color="000000"/>
            </w:tcBorders>
          </w:tcPr>
          <w:p>
            <w:pPr>
              <w:pStyle w:val="TableParagraph"/>
              <w:spacing w:line="240" w:lineRule="auto" w:before="75"/>
              <w:ind w:left="98" w:right="0"/>
              <w:jc w:val="left"/>
              <w:rPr>
                <w:rFonts w:ascii="黑体" w:hAnsi="黑体" w:cs="黑体" w:eastAsia="黑体" w:hint="default"/>
                <w:sz w:val="14"/>
                <w:szCs w:val="14"/>
              </w:rPr>
            </w:pPr>
            <w:r>
              <w:rPr>
                <w:rFonts w:ascii="黑体" w:hAnsi="黑体" w:cs="黑体" w:eastAsia="黑体" w:hint="default"/>
                <w:sz w:val="14"/>
                <w:szCs w:val="14"/>
              </w:rPr>
              <w:t>附注</w:t>
            </w:r>
          </w:p>
        </w:tc>
        <w:tc>
          <w:tcPr>
            <w:tcW w:w="5742" w:type="dxa"/>
            <w:gridSpan w:val="5"/>
            <w:tcBorders>
              <w:top w:val="single" w:sz="6" w:space="0" w:color="000000"/>
              <w:left w:val="single" w:sz="6" w:space="0" w:color="000000"/>
              <w:bottom w:val="single" w:sz="6" w:space="0" w:color="000000"/>
              <w:right w:val="single" w:sz="6" w:space="0" w:color="000000"/>
            </w:tcBorders>
          </w:tcPr>
          <w:p>
            <w:pPr>
              <w:pStyle w:val="TableParagraph"/>
              <w:spacing w:line="160" w:lineRule="exact"/>
              <w:ind w:right="3"/>
              <w:jc w:val="center"/>
              <w:rPr>
                <w:rFonts w:ascii="黑体" w:hAnsi="黑体" w:cs="黑体" w:eastAsia="黑体" w:hint="default"/>
                <w:sz w:val="14"/>
                <w:szCs w:val="14"/>
              </w:rPr>
            </w:pPr>
            <w:r>
              <w:rPr>
                <w:rFonts w:ascii="黑体" w:hAnsi="黑体" w:cs="黑体" w:eastAsia="黑体" w:hint="default"/>
                <w:sz w:val="14"/>
                <w:szCs w:val="14"/>
              </w:rPr>
              <w:t>归属于母公司股东权益</w:t>
            </w:r>
          </w:p>
        </w:tc>
        <w:tc>
          <w:tcPr>
            <w:tcW w:w="1260" w:type="dxa"/>
            <w:vMerge w:val="restart"/>
            <w:tcBorders>
              <w:top w:val="single" w:sz="6" w:space="0" w:color="000000"/>
              <w:left w:val="single" w:sz="6" w:space="0" w:color="000000"/>
              <w:right w:val="single" w:sz="6" w:space="0" w:color="000000"/>
            </w:tcBorders>
          </w:tcPr>
          <w:p>
            <w:pPr>
              <w:pStyle w:val="TableParagraph"/>
              <w:spacing w:line="240" w:lineRule="auto" w:before="75"/>
              <w:ind w:left="199" w:right="0"/>
              <w:jc w:val="left"/>
              <w:rPr>
                <w:rFonts w:ascii="黑体" w:hAnsi="黑体" w:cs="黑体" w:eastAsia="黑体" w:hint="default"/>
                <w:sz w:val="14"/>
                <w:szCs w:val="14"/>
              </w:rPr>
            </w:pPr>
            <w:r>
              <w:rPr>
                <w:rFonts w:ascii="黑体" w:hAnsi="黑体" w:cs="黑体" w:eastAsia="黑体" w:hint="default"/>
                <w:sz w:val="14"/>
                <w:szCs w:val="14"/>
              </w:rPr>
              <w:t>少数股东权益</w:t>
            </w:r>
          </w:p>
        </w:tc>
        <w:tc>
          <w:tcPr>
            <w:tcW w:w="1268" w:type="dxa"/>
            <w:vMerge w:val="restart"/>
            <w:tcBorders>
              <w:top w:val="single" w:sz="6" w:space="0" w:color="000000"/>
              <w:left w:val="single" w:sz="6" w:space="0" w:color="000000"/>
              <w:right w:val="single" w:sz="6" w:space="0" w:color="000000"/>
            </w:tcBorders>
          </w:tcPr>
          <w:p>
            <w:pPr>
              <w:pStyle w:val="TableParagraph"/>
              <w:spacing w:line="240" w:lineRule="auto" w:before="75"/>
              <w:ind w:left="203" w:right="0"/>
              <w:jc w:val="left"/>
              <w:rPr>
                <w:rFonts w:ascii="黑体" w:hAnsi="黑体" w:cs="黑体" w:eastAsia="黑体" w:hint="default"/>
                <w:sz w:val="14"/>
                <w:szCs w:val="14"/>
              </w:rPr>
            </w:pPr>
            <w:r>
              <w:rPr>
                <w:rFonts w:ascii="黑体" w:hAnsi="黑体" w:cs="黑体" w:eastAsia="黑体" w:hint="default"/>
                <w:sz w:val="14"/>
                <w:szCs w:val="14"/>
              </w:rPr>
              <w:t>股东权益合计</w:t>
            </w:r>
          </w:p>
        </w:tc>
        <w:tc>
          <w:tcPr>
            <w:tcW w:w="1548" w:type="dxa"/>
            <w:vMerge w:val="restart"/>
            <w:tcBorders>
              <w:top w:val="single" w:sz="6" w:space="0" w:color="000000"/>
              <w:left w:val="single" w:sz="6" w:space="0" w:color="000000"/>
              <w:right w:val="single" w:sz="6" w:space="0" w:color="000000"/>
            </w:tcBorders>
          </w:tcPr>
          <w:p>
            <w:pPr>
              <w:pStyle w:val="TableParagraph"/>
              <w:spacing w:line="182" w:lineRule="exact" w:before="3"/>
              <w:ind w:left="142" w:right="61" w:hanging="144"/>
              <w:jc w:val="left"/>
              <w:rPr>
                <w:rFonts w:ascii="黑体" w:hAnsi="黑体" w:cs="黑体" w:eastAsia="黑体" w:hint="default"/>
                <w:sz w:val="14"/>
                <w:szCs w:val="14"/>
              </w:rPr>
            </w:pPr>
            <w:r>
              <w:rPr>
                <w:rFonts w:ascii="黑体" w:hAnsi="黑体" w:cs="黑体" w:eastAsia="黑体" w:hint="default"/>
                <w:spacing w:val="-7"/>
                <w:w w:val="100"/>
                <w:sz w:val="14"/>
                <w:szCs w:val="14"/>
              </w:rPr>
              <w:t>其中：同一控制下收购业</w:t>
            </w:r>
            <w:r>
              <w:rPr>
                <w:rFonts w:ascii="黑体" w:hAnsi="黑体" w:cs="黑体" w:eastAsia="黑体" w:hint="default"/>
                <w:spacing w:val="-69"/>
                <w:w w:val="100"/>
                <w:sz w:val="14"/>
                <w:szCs w:val="14"/>
              </w:rPr>
              <w:t> </w:t>
            </w:r>
            <w:r>
              <w:rPr>
                <w:rFonts w:ascii="黑体" w:hAnsi="黑体" w:cs="黑体" w:eastAsia="黑体" w:hint="default"/>
                <w:spacing w:val="-69"/>
                <w:w w:val="100"/>
                <w:sz w:val="14"/>
                <w:szCs w:val="14"/>
              </w:rPr>
            </w:r>
            <w:r>
              <w:rPr>
                <w:rFonts w:ascii="黑体" w:hAnsi="黑体" w:cs="黑体" w:eastAsia="黑体" w:hint="default"/>
                <w:sz w:val="14"/>
                <w:szCs w:val="14"/>
              </w:rPr>
              <w:t>务对股东权益的影响</w:t>
            </w:r>
          </w:p>
        </w:tc>
      </w:tr>
      <w:tr>
        <w:trPr>
          <w:trHeight w:val="197" w:hRule="exact"/>
        </w:trPr>
        <w:tc>
          <w:tcPr>
            <w:tcW w:w="4948" w:type="dxa"/>
            <w:vMerge/>
            <w:tcBorders>
              <w:left w:val="single" w:sz="6" w:space="0" w:color="000000"/>
              <w:bottom w:val="single" w:sz="6" w:space="0" w:color="000000"/>
              <w:right w:val="single" w:sz="6" w:space="0" w:color="000000"/>
            </w:tcBorders>
          </w:tcPr>
          <w:p>
            <w:pPr/>
          </w:p>
        </w:tc>
        <w:tc>
          <w:tcPr>
            <w:tcW w:w="496" w:type="dxa"/>
            <w:vMerge/>
            <w:tcBorders>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160" w:lineRule="exact"/>
              <w:ind w:right="2"/>
              <w:jc w:val="center"/>
              <w:rPr>
                <w:rFonts w:ascii="黑体" w:hAnsi="黑体" w:cs="黑体" w:eastAsia="黑体" w:hint="default"/>
                <w:sz w:val="14"/>
                <w:szCs w:val="14"/>
              </w:rPr>
            </w:pPr>
            <w:r>
              <w:rPr>
                <w:rFonts w:ascii="黑体" w:hAnsi="黑体" w:cs="黑体" w:eastAsia="黑体" w:hint="default"/>
                <w:sz w:val="14"/>
                <w:szCs w:val="14"/>
              </w:rPr>
              <w:t>股本</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160" w:lineRule="exact"/>
              <w:ind w:left="293" w:right="0"/>
              <w:jc w:val="left"/>
              <w:rPr>
                <w:rFonts w:ascii="黑体" w:hAnsi="黑体" w:cs="黑体" w:eastAsia="黑体" w:hint="default"/>
                <w:sz w:val="14"/>
                <w:szCs w:val="14"/>
              </w:rPr>
            </w:pPr>
            <w:r>
              <w:rPr>
                <w:rFonts w:ascii="黑体" w:hAnsi="黑体" w:cs="黑体" w:eastAsia="黑体" w:hint="default"/>
                <w:sz w:val="14"/>
                <w:szCs w:val="14"/>
              </w:rPr>
              <w:t>资本公积</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160" w:lineRule="exact"/>
              <w:ind w:left="208" w:right="0"/>
              <w:jc w:val="left"/>
              <w:rPr>
                <w:rFonts w:ascii="黑体" w:hAnsi="黑体" w:cs="黑体" w:eastAsia="黑体" w:hint="default"/>
                <w:sz w:val="14"/>
                <w:szCs w:val="14"/>
              </w:rPr>
            </w:pPr>
            <w:r>
              <w:rPr>
                <w:rFonts w:ascii="黑体" w:hAnsi="黑体" w:cs="黑体" w:eastAsia="黑体" w:hint="default"/>
                <w:sz w:val="14"/>
                <w:szCs w:val="14"/>
              </w:rPr>
              <w:t>盈余公积</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160" w:lineRule="exact"/>
              <w:ind w:left="215" w:right="0"/>
              <w:jc w:val="left"/>
              <w:rPr>
                <w:rFonts w:ascii="黑体" w:hAnsi="黑体" w:cs="黑体" w:eastAsia="黑体" w:hint="default"/>
                <w:sz w:val="14"/>
                <w:szCs w:val="14"/>
              </w:rPr>
            </w:pPr>
            <w:r>
              <w:rPr>
                <w:rFonts w:ascii="黑体" w:hAnsi="黑体" w:cs="黑体" w:eastAsia="黑体" w:hint="default"/>
                <w:sz w:val="14"/>
                <w:szCs w:val="14"/>
              </w:rPr>
              <w:t>未分配利润</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160" w:lineRule="exact"/>
              <w:ind w:right="36"/>
              <w:jc w:val="right"/>
              <w:rPr>
                <w:rFonts w:ascii="黑体" w:hAnsi="黑体" w:cs="黑体" w:eastAsia="黑体" w:hint="default"/>
                <w:sz w:val="14"/>
                <w:szCs w:val="14"/>
              </w:rPr>
            </w:pPr>
            <w:r>
              <w:rPr>
                <w:rFonts w:ascii="黑体" w:hAnsi="黑体" w:cs="黑体" w:eastAsia="黑体" w:hint="default"/>
                <w:spacing w:val="-1"/>
                <w:sz w:val="14"/>
                <w:szCs w:val="14"/>
              </w:rPr>
              <w:t>外币报表折算差额</w:t>
            </w:r>
          </w:p>
        </w:tc>
        <w:tc>
          <w:tcPr>
            <w:tcW w:w="1260" w:type="dxa"/>
            <w:vMerge/>
            <w:tcBorders>
              <w:left w:val="single" w:sz="6" w:space="0" w:color="000000"/>
              <w:bottom w:val="single" w:sz="6" w:space="0" w:color="000000"/>
              <w:right w:val="single" w:sz="6" w:space="0" w:color="000000"/>
            </w:tcBorders>
          </w:tcPr>
          <w:p>
            <w:pPr/>
          </w:p>
        </w:tc>
        <w:tc>
          <w:tcPr>
            <w:tcW w:w="1268" w:type="dxa"/>
            <w:vMerge/>
            <w:tcBorders>
              <w:left w:val="single" w:sz="6" w:space="0" w:color="000000"/>
              <w:bottom w:val="single" w:sz="6" w:space="0" w:color="000000"/>
              <w:right w:val="single" w:sz="6" w:space="0" w:color="000000"/>
            </w:tcBorders>
          </w:tcPr>
          <w:p>
            <w:pPr/>
          </w:p>
        </w:tc>
        <w:tc>
          <w:tcPr>
            <w:tcW w:w="1548" w:type="dxa"/>
            <w:vMerge/>
            <w:tcBorders>
              <w:left w:val="single" w:sz="6" w:space="0" w:color="000000"/>
              <w:bottom w:val="single" w:sz="6" w:space="0" w:color="000000"/>
              <w:right w:val="single" w:sz="6" w:space="0" w:color="000000"/>
            </w:tcBorders>
          </w:tcPr>
          <w:p>
            <w:pPr/>
          </w:p>
        </w:tc>
      </w:tr>
      <w:tr>
        <w:trPr>
          <w:trHeight w:val="196"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32" w:right="0"/>
              <w:jc w:val="left"/>
              <w:rPr>
                <w:rFonts w:ascii="宋体" w:hAnsi="宋体" w:cs="宋体" w:eastAsia="宋体" w:hint="default"/>
                <w:sz w:val="14"/>
                <w:szCs w:val="14"/>
              </w:rPr>
            </w:pPr>
            <w:r>
              <w:rPr>
                <w:rFonts w:ascii="Arial" w:hAnsi="Arial" w:cs="Arial" w:eastAsia="Arial" w:hint="default"/>
                <w:sz w:val="14"/>
                <w:szCs w:val="14"/>
              </w:rPr>
              <w:t>2011</w:t>
            </w:r>
            <w:r>
              <w:rPr>
                <w:rFonts w:ascii="Arial" w:hAnsi="Arial" w:cs="Arial" w:eastAsia="Arial" w:hint="default"/>
                <w:spacing w:val="-6"/>
                <w:sz w:val="14"/>
                <w:szCs w:val="14"/>
              </w:rPr>
              <w:t> </w:t>
            </w:r>
            <w:r>
              <w:rPr>
                <w:rFonts w:ascii="宋体" w:hAnsi="宋体" w:cs="宋体" w:eastAsia="宋体" w:hint="default"/>
                <w:sz w:val="14"/>
                <w:szCs w:val="14"/>
              </w:rPr>
              <w:t>年</w:t>
            </w:r>
            <w:r>
              <w:rPr>
                <w:rFonts w:ascii="宋体" w:hAnsi="宋体" w:cs="宋体" w:eastAsia="宋体" w:hint="default"/>
                <w:spacing w:val="-37"/>
                <w:sz w:val="14"/>
                <w:szCs w:val="14"/>
              </w:rPr>
              <w:t> </w:t>
            </w:r>
            <w:r>
              <w:rPr>
                <w:rFonts w:ascii="Arial" w:hAnsi="Arial" w:cs="Arial" w:eastAsia="Arial" w:hint="default"/>
                <w:sz w:val="14"/>
                <w:szCs w:val="14"/>
              </w:rPr>
              <w:t>1</w:t>
            </w:r>
            <w:r>
              <w:rPr>
                <w:rFonts w:ascii="Arial" w:hAnsi="Arial" w:cs="Arial" w:eastAsia="Arial" w:hint="default"/>
                <w:spacing w:val="-6"/>
                <w:sz w:val="14"/>
                <w:szCs w:val="14"/>
              </w:rPr>
              <w:t> </w:t>
            </w:r>
            <w:r>
              <w:rPr>
                <w:rFonts w:ascii="宋体" w:hAnsi="宋体" w:cs="宋体" w:eastAsia="宋体" w:hint="default"/>
                <w:sz w:val="14"/>
                <w:szCs w:val="14"/>
              </w:rPr>
              <w:t>月</w:t>
            </w:r>
            <w:r>
              <w:rPr>
                <w:rFonts w:ascii="宋体" w:hAnsi="宋体" w:cs="宋体" w:eastAsia="宋体" w:hint="default"/>
                <w:spacing w:val="-37"/>
                <w:sz w:val="14"/>
                <w:szCs w:val="14"/>
              </w:rPr>
              <w:t> </w:t>
            </w:r>
            <w:r>
              <w:rPr>
                <w:rFonts w:ascii="Arial" w:hAnsi="Arial" w:cs="Arial" w:eastAsia="Arial" w:hint="default"/>
                <w:sz w:val="14"/>
                <w:szCs w:val="14"/>
              </w:rPr>
              <w:t>1</w:t>
            </w:r>
            <w:r>
              <w:rPr>
                <w:rFonts w:ascii="Arial" w:hAnsi="Arial" w:cs="Arial" w:eastAsia="Arial" w:hint="default"/>
                <w:spacing w:val="-6"/>
                <w:sz w:val="14"/>
                <w:szCs w:val="14"/>
              </w:rPr>
              <w:t> </w:t>
            </w:r>
            <w:r>
              <w:rPr>
                <w:rFonts w:ascii="宋体" w:hAnsi="宋体" w:cs="宋体" w:eastAsia="宋体" w:hint="default"/>
                <w:sz w:val="14"/>
                <w:szCs w:val="14"/>
              </w:rPr>
              <w:t>日年初余额</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2"/>
              <w:jc w:val="right"/>
              <w:rPr>
                <w:rFonts w:ascii="Arial" w:hAnsi="Arial" w:cs="Arial" w:eastAsia="Arial" w:hint="default"/>
                <w:sz w:val="14"/>
                <w:szCs w:val="14"/>
              </w:rPr>
            </w:pPr>
            <w:r>
              <w:rPr>
                <w:rFonts w:ascii="Arial"/>
                <w:spacing w:val="-1"/>
                <w:sz w:val="14"/>
              </w:rPr>
              <w:t>21,196,596,395</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3"/>
              <w:jc w:val="right"/>
              <w:rPr>
                <w:rFonts w:ascii="Arial" w:hAnsi="Arial" w:cs="Arial" w:eastAsia="Arial" w:hint="default"/>
                <w:sz w:val="14"/>
                <w:szCs w:val="14"/>
              </w:rPr>
            </w:pPr>
            <w:r>
              <w:rPr>
                <w:rFonts w:ascii="Arial"/>
                <w:spacing w:val="-1"/>
                <w:sz w:val="14"/>
              </w:rPr>
              <w:t>27,859,867,254</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4"/>
              <w:jc w:val="right"/>
              <w:rPr>
                <w:rFonts w:ascii="Arial" w:hAnsi="Arial" w:cs="Arial" w:eastAsia="Arial" w:hint="default"/>
                <w:sz w:val="14"/>
                <w:szCs w:val="14"/>
              </w:rPr>
            </w:pPr>
            <w:r>
              <w:rPr>
                <w:rFonts w:ascii="Arial"/>
                <w:spacing w:val="-1"/>
                <w:sz w:val="14"/>
              </w:rPr>
              <w:t>684,955,035</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4"/>
              <w:jc w:val="right"/>
              <w:rPr>
                <w:rFonts w:ascii="Arial" w:hAnsi="Arial" w:cs="Arial" w:eastAsia="Arial" w:hint="default"/>
                <w:sz w:val="14"/>
                <w:szCs w:val="14"/>
              </w:rPr>
            </w:pPr>
            <w:r>
              <w:rPr>
                <w:rFonts w:ascii="Arial"/>
                <w:spacing w:val="-1"/>
                <w:sz w:val="14"/>
              </w:rPr>
              <w:t>21,160,924,580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36"/>
              <w:jc w:val="right"/>
              <w:rPr>
                <w:rFonts w:ascii="Arial" w:hAnsi="Arial" w:cs="Arial" w:eastAsia="Arial" w:hint="default"/>
                <w:sz w:val="14"/>
                <w:szCs w:val="14"/>
              </w:rPr>
            </w:pPr>
            <w:r>
              <w:rPr>
                <w:rFonts w:ascii="Arial"/>
                <w:spacing w:val="-1"/>
                <w:sz w:val="14"/>
              </w:rPr>
              <w:t>(17,733,819)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65"/>
              <w:jc w:val="right"/>
              <w:rPr>
                <w:rFonts w:ascii="Arial" w:hAnsi="Arial" w:cs="Arial" w:eastAsia="Arial" w:hint="default"/>
                <w:sz w:val="14"/>
                <w:szCs w:val="14"/>
              </w:rPr>
            </w:pPr>
            <w:r>
              <w:rPr>
                <w:rFonts w:ascii="Arial"/>
                <w:spacing w:val="-1"/>
                <w:sz w:val="14"/>
              </w:rPr>
              <w:t>137,439,205,446</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2"/>
              <w:jc w:val="right"/>
              <w:rPr>
                <w:rFonts w:ascii="Arial" w:hAnsi="Arial" w:cs="Arial" w:eastAsia="Arial" w:hint="default"/>
                <w:sz w:val="14"/>
                <w:szCs w:val="14"/>
              </w:rPr>
            </w:pPr>
            <w:r>
              <w:rPr>
                <w:rFonts w:ascii="Arial"/>
                <w:spacing w:val="-1"/>
                <w:sz w:val="14"/>
              </w:rPr>
              <w:t>208,323,814,891</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3"/>
              <w:jc w:val="right"/>
              <w:rPr>
                <w:rFonts w:ascii="Arial" w:hAnsi="Arial" w:cs="Arial" w:eastAsia="Arial" w:hint="default"/>
                <w:sz w:val="14"/>
                <w:szCs w:val="14"/>
              </w:rPr>
            </w:pPr>
            <w:r>
              <w:rPr>
                <w:rFonts w:ascii="Arial"/>
                <w:spacing w:val="-1"/>
                <w:sz w:val="14"/>
              </w:rPr>
              <w:t>143,368,877</w:t>
            </w:r>
          </w:p>
        </w:tc>
      </w:tr>
      <w:tr>
        <w:trPr>
          <w:trHeight w:val="197"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42" w:right="0"/>
              <w:jc w:val="left"/>
              <w:rPr>
                <w:rFonts w:ascii="宋体" w:hAnsi="宋体" w:cs="宋体" w:eastAsia="宋体" w:hint="default"/>
                <w:sz w:val="14"/>
                <w:szCs w:val="14"/>
              </w:rPr>
            </w:pPr>
            <w:r>
              <w:rPr>
                <w:rFonts w:ascii="宋体" w:hAnsi="宋体" w:cs="宋体" w:eastAsia="宋体" w:hint="default"/>
                <w:sz w:val="14"/>
                <w:szCs w:val="14"/>
              </w:rPr>
              <w:t>（一）净利润</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w w:val="100"/>
                <w:sz w:val="14"/>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spacing w:val="-1"/>
                <w:sz w:val="14"/>
              </w:rPr>
              <w:t>1,412,245,739</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5"/>
              <w:jc w:val="right"/>
              <w:rPr>
                <w:rFonts w:ascii="Arial" w:hAnsi="Arial" w:cs="Arial" w:eastAsia="Arial" w:hint="default"/>
                <w:sz w:val="14"/>
                <w:szCs w:val="14"/>
              </w:rPr>
            </w:pPr>
            <w:r>
              <w:rPr>
                <w:rFonts w:ascii="Arial"/>
                <w:spacing w:val="-1"/>
                <w:sz w:val="14"/>
              </w:rPr>
              <w:t>2,775,719,646</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spacing w:val="-1"/>
                <w:sz w:val="14"/>
              </w:rPr>
              <w:t>4,187,965,385</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spacing w:val="-1"/>
                <w:sz w:val="14"/>
              </w:rPr>
              <w:t>8,940,742</w:t>
            </w:r>
          </w:p>
        </w:tc>
      </w:tr>
      <w:tr>
        <w:trPr>
          <w:trHeight w:val="197"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42" w:right="0"/>
              <w:jc w:val="left"/>
              <w:rPr>
                <w:rFonts w:ascii="宋体" w:hAnsi="宋体" w:cs="宋体" w:eastAsia="宋体" w:hint="default"/>
                <w:sz w:val="14"/>
                <w:szCs w:val="14"/>
              </w:rPr>
            </w:pPr>
            <w:r>
              <w:rPr>
                <w:rFonts w:ascii="宋体" w:hAnsi="宋体" w:cs="宋体" w:eastAsia="宋体" w:hint="default"/>
                <w:sz w:val="14"/>
                <w:szCs w:val="14"/>
              </w:rPr>
              <w:t>（二）其他综合收益－直接计入股东权益的损失</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197"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456" w:right="0"/>
              <w:jc w:val="left"/>
              <w:rPr>
                <w:rFonts w:ascii="宋体" w:hAnsi="宋体" w:cs="宋体" w:eastAsia="宋体" w:hint="default"/>
                <w:sz w:val="14"/>
                <w:szCs w:val="14"/>
              </w:rPr>
            </w:pPr>
            <w:r>
              <w:rPr>
                <w:rFonts w:ascii="Arial" w:hAnsi="Arial" w:cs="Arial" w:eastAsia="Arial" w:hint="default"/>
                <w:sz w:val="14"/>
                <w:szCs w:val="14"/>
              </w:rPr>
              <w:t>1.</w:t>
            </w:r>
            <w:r>
              <w:rPr>
                <w:rFonts w:ascii="宋体" w:hAnsi="宋体" w:cs="宋体" w:eastAsia="宋体" w:hint="default"/>
                <w:sz w:val="14"/>
                <w:szCs w:val="14"/>
              </w:rPr>
              <w:t>可供出售金融资产公允价值变动净额</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right="0"/>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(48)</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8"/>
              <w:jc w:val="right"/>
              <w:rPr>
                <w:rFonts w:ascii="Arial" w:hAnsi="Arial" w:cs="Arial" w:eastAsia="Arial" w:hint="default"/>
                <w:sz w:val="14"/>
                <w:szCs w:val="14"/>
              </w:rPr>
            </w:pPr>
            <w:r>
              <w:rPr>
                <w:rFonts w:ascii="Arial"/>
                <w:spacing w:val="-1"/>
                <w:sz w:val="14"/>
              </w:rPr>
              <w:t>(668,548,698)</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7"/>
              <w:jc w:val="right"/>
              <w:rPr>
                <w:rFonts w:ascii="Arial" w:hAnsi="Arial" w:cs="Arial" w:eastAsia="Arial" w:hint="default"/>
                <w:sz w:val="14"/>
                <w:szCs w:val="14"/>
              </w:rPr>
            </w:pPr>
            <w:r>
              <w:rPr>
                <w:rFonts w:ascii="Arial"/>
                <w:spacing w:val="-1"/>
                <w:sz w:val="14"/>
              </w:rPr>
              <w:t>(1,304,489,038)</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6"/>
              <w:jc w:val="right"/>
              <w:rPr>
                <w:rFonts w:ascii="Arial" w:hAnsi="Arial" w:cs="Arial" w:eastAsia="Arial" w:hint="default"/>
                <w:sz w:val="14"/>
                <w:szCs w:val="14"/>
              </w:rPr>
            </w:pPr>
            <w:r>
              <w:rPr>
                <w:rFonts w:ascii="Arial"/>
                <w:spacing w:val="-1"/>
                <w:sz w:val="14"/>
              </w:rPr>
              <w:t>(1,973,037,736)</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4"/>
              <w:jc w:val="right"/>
              <w:rPr>
                <w:rFonts w:ascii="Arial" w:hAnsi="Arial" w:cs="Arial" w:eastAsia="Arial" w:hint="default"/>
                <w:sz w:val="14"/>
                <w:szCs w:val="14"/>
              </w:rPr>
            </w:pPr>
            <w:r>
              <w:rPr>
                <w:rFonts w:ascii="Arial"/>
                <w:w w:val="100"/>
                <w:sz w:val="14"/>
              </w:rPr>
              <w:t>-</w:t>
            </w:r>
          </w:p>
        </w:tc>
      </w:tr>
      <w:tr>
        <w:trPr>
          <w:trHeight w:val="197"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456" w:right="0"/>
              <w:jc w:val="left"/>
              <w:rPr>
                <w:rFonts w:ascii="宋体" w:hAnsi="宋体" w:cs="宋体" w:eastAsia="宋体" w:hint="default"/>
                <w:sz w:val="14"/>
                <w:szCs w:val="14"/>
              </w:rPr>
            </w:pPr>
            <w:r>
              <w:rPr>
                <w:rFonts w:ascii="Arial" w:hAnsi="Arial" w:cs="Arial" w:eastAsia="Arial" w:hint="default"/>
                <w:sz w:val="14"/>
                <w:szCs w:val="14"/>
              </w:rPr>
              <w:t>2.</w:t>
            </w:r>
            <w:r>
              <w:rPr>
                <w:rFonts w:ascii="宋体" w:hAnsi="宋体" w:cs="宋体" w:eastAsia="宋体" w:hint="default"/>
                <w:sz w:val="14"/>
                <w:szCs w:val="14"/>
              </w:rPr>
              <w:t>外币报表折算差额</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right="0"/>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(48)</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4"/>
              <w:jc w:val="right"/>
              <w:rPr>
                <w:rFonts w:ascii="Arial" w:hAnsi="Arial" w:cs="Arial" w:eastAsia="Arial" w:hint="default"/>
                <w:sz w:val="14"/>
                <w:szCs w:val="14"/>
              </w:rPr>
            </w:pPr>
            <w:r>
              <w:rPr>
                <w:rFonts w:ascii="Arial"/>
                <w:w w:val="100"/>
                <w:sz w:val="14"/>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6"/>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4"/>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36"/>
              <w:jc w:val="right"/>
              <w:rPr>
                <w:rFonts w:ascii="Arial" w:hAnsi="Arial" w:cs="Arial" w:eastAsia="Arial" w:hint="default"/>
                <w:sz w:val="14"/>
                <w:szCs w:val="14"/>
              </w:rPr>
            </w:pPr>
            <w:r>
              <w:rPr>
                <w:rFonts w:ascii="Arial"/>
                <w:spacing w:val="-1"/>
                <w:sz w:val="14"/>
              </w:rPr>
              <w:t>(5,909,781)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7"/>
              <w:jc w:val="right"/>
              <w:rPr>
                <w:rFonts w:ascii="Arial" w:hAnsi="Arial" w:cs="Arial" w:eastAsia="Arial" w:hint="default"/>
                <w:sz w:val="14"/>
                <w:szCs w:val="14"/>
              </w:rPr>
            </w:pPr>
            <w:r>
              <w:rPr>
                <w:rFonts w:ascii="Arial"/>
                <w:spacing w:val="-1"/>
                <w:sz w:val="14"/>
              </w:rPr>
              <w:t>(11,531,314)</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36"/>
              <w:jc w:val="right"/>
              <w:rPr>
                <w:rFonts w:ascii="Arial" w:hAnsi="Arial" w:cs="Arial" w:eastAsia="Arial" w:hint="default"/>
                <w:sz w:val="14"/>
                <w:szCs w:val="14"/>
              </w:rPr>
            </w:pPr>
            <w:r>
              <w:rPr>
                <w:rFonts w:ascii="Arial"/>
                <w:spacing w:val="-1"/>
                <w:sz w:val="14"/>
              </w:rPr>
              <w:t>(17,441,095)</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4"/>
              <w:jc w:val="right"/>
              <w:rPr>
                <w:rFonts w:ascii="Arial" w:hAnsi="Arial" w:cs="Arial" w:eastAsia="Arial" w:hint="default"/>
                <w:sz w:val="14"/>
                <w:szCs w:val="14"/>
              </w:rPr>
            </w:pPr>
            <w:r>
              <w:rPr>
                <w:rFonts w:ascii="Arial"/>
                <w:w w:val="100"/>
                <w:sz w:val="14"/>
              </w:rPr>
              <w:t>-</w:t>
            </w:r>
          </w:p>
        </w:tc>
      </w:tr>
      <w:tr>
        <w:trPr>
          <w:trHeight w:val="196"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160" w:lineRule="exact"/>
              <w:ind w:left="42" w:right="0"/>
              <w:jc w:val="left"/>
              <w:rPr>
                <w:rFonts w:ascii="宋体" w:hAnsi="宋体" w:cs="宋体" w:eastAsia="宋体" w:hint="default"/>
                <w:sz w:val="14"/>
                <w:szCs w:val="14"/>
              </w:rPr>
            </w:pPr>
            <w:r>
              <w:rPr>
                <w:rFonts w:ascii="宋体" w:hAnsi="宋体" w:cs="宋体" w:eastAsia="宋体" w:hint="default"/>
                <w:sz w:val="14"/>
                <w:szCs w:val="14"/>
              </w:rPr>
              <w:t>（三）股东投入和减少的资本</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197"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9"/>
              <w:jc w:val="right"/>
              <w:rPr>
                <w:rFonts w:ascii="宋体" w:hAnsi="宋体" w:cs="宋体" w:eastAsia="宋体" w:hint="default"/>
                <w:sz w:val="14"/>
                <w:szCs w:val="14"/>
              </w:rPr>
            </w:pPr>
            <w:r>
              <w:rPr>
                <w:rFonts w:ascii="Arial" w:hAnsi="Arial" w:cs="Arial" w:eastAsia="Arial" w:hint="default"/>
                <w:spacing w:val="-1"/>
                <w:sz w:val="14"/>
                <w:szCs w:val="14"/>
              </w:rPr>
              <w:t>1.</w:t>
            </w:r>
            <w:r>
              <w:rPr>
                <w:rFonts w:ascii="宋体" w:hAnsi="宋体" w:cs="宋体" w:eastAsia="宋体" w:hint="default"/>
                <w:spacing w:val="-1"/>
                <w:sz w:val="14"/>
                <w:szCs w:val="14"/>
              </w:rPr>
              <w:t>股东投入资本－确认子公司员工行使股份期权所增加的子公司权益影响</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(46)</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
              <w:jc w:val="right"/>
              <w:rPr>
                <w:rFonts w:ascii="Arial" w:hAnsi="Arial" w:cs="Arial" w:eastAsia="Arial" w:hint="default"/>
                <w:sz w:val="14"/>
                <w:szCs w:val="14"/>
              </w:rPr>
            </w:pPr>
            <w:r>
              <w:rPr>
                <w:rFonts w:ascii="Arial"/>
                <w:spacing w:val="-1"/>
                <w:sz w:val="14"/>
              </w:rPr>
              <w:t>11,324,910</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5"/>
              <w:jc w:val="right"/>
              <w:rPr>
                <w:rFonts w:ascii="Arial" w:hAnsi="Arial" w:cs="Arial" w:eastAsia="Arial" w:hint="default"/>
                <w:sz w:val="14"/>
                <w:szCs w:val="14"/>
              </w:rPr>
            </w:pPr>
            <w:r>
              <w:rPr>
                <w:rFonts w:ascii="Arial"/>
                <w:spacing w:val="-1"/>
                <w:sz w:val="14"/>
              </w:rPr>
              <w:t>22,097,449</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spacing w:val="-1"/>
                <w:sz w:val="14"/>
              </w:rPr>
              <w:t>33,422,359</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4"/>
              <w:jc w:val="right"/>
              <w:rPr>
                <w:rFonts w:ascii="Arial" w:hAnsi="Arial" w:cs="Arial" w:eastAsia="Arial" w:hint="default"/>
                <w:sz w:val="14"/>
                <w:szCs w:val="14"/>
              </w:rPr>
            </w:pPr>
            <w:r>
              <w:rPr>
                <w:rFonts w:ascii="Arial"/>
                <w:w w:val="100"/>
                <w:sz w:val="14"/>
              </w:rPr>
              <w:t>-</w:t>
            </w:r>
          </w:p>
        </w:tc>
      </w:tr>
      <w:tr>
        <w:trPr>
          <w:trHeight w:val="197"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56" w:right="0"/>
              <w:jc w:val="left"/>
              <w:rPr>
                <w:rFonts w:ascii="宋体" w:hAnsi="宋体" w:cs="宋体" w:eastAsia="宋体" w:hint="default"/>
                <w:sz w:val="14"/>
                <w:szCs w:val="14"/>
              </w:rPr>
            </w:pPr>
            <w:r>
              <w:rPr>
                <w:rFonts w:ascii="Arial" w:hAnsi="Arial" w:cs="Arial" w:eastAsia="Arial" w:hint="default"/>
                <w:sz w:val="14"/>
                <w:szCs w:val="14"/>
              </w:rPr>
              <w:t>2.</w:t>
            </w:r>
            <w:r>
              <w:rPr>
                <w:rFonts w:ascii="宋体" w:hAnsi="宋体" w:cs="宋体" w:eastAsia="宋体" w:hint="default"/>
                <w:sz w:val="14"/>
                <w:szCs w:val="14"/>
              </w:rPr>
              <w:t>股份支付计入股东权益的金额－与股份支付相关的员工薪酬的确认</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(32)</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
              <w:jc w:val="right"/>
              <w:rPr>
                <w:rFonts w:ascii="Arial" w:hAnsi="Arial" w:cs="Arial" w:eastAsia="Arial" w:hint="default"/>
                <w:sz w:val="14"/>
                <w:szCs w:val="14"/>
              </w:rPr>
            </w:pPr>
            <w:r>
              <w:rPr>
                <w:rFonts w:ascii="Arial"/>
                <w:spacing w:val="-1"/>
                <w:sz w:val="14"/>
              </w:rPr>
              <w:t>5,881,018</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5"/>
              <w:jc w:val="right"/>
              <w:rPr>
                <w:rFonts w:ascii="Arial" w:hAnsi="Arial" w:cs="Arial" w:eastAsia="Arial" w:hint="default"/>
                <w:sz w:val="14"/>
                <w:szCs w:val="14"/>
              </w:rPr>
            </w:pPr>
            <w:r>
              <w:rPr>
                <w:rFonts w:ascii="Arial"/>
                <w:spacing w:val="-1"/>
                <w:sz w:val="14"/>
              </w:rPr>
              <w:t>11,475,189</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spacing w:val="-1"/>
                <w:sz w:val="14"/>
              </w:rPr>
              <w:t>17,356,207</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4"/>
              <w:jc w:val="right"/>
              <w:rPr>
                <w:rFonts w:ascii="Arial" w:hAnsi="Arial" w:cs="Arial" w:eastAsia="Arial" w:hint="default"/>
                <w:sz w:val="14"/>
                <w:szCs w:val="14"/>
              </w:rPr>
            </w:pPr>
            <w:r>
              <w:rPr>
                <w:rFonts w:ascii="Arial"/>
                <w:w w:val="100"/>
                <w:sz w:val="14"/>
              </w:rPr>
              <w:t>-</w:t>
            </w:r>
          </w:p>
        </w:tc>
      </w:tr>
      <w:tr>
        <w:trPr>
          <w:trHeight w:val="197"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456" w:right="0"/>
              <w:jc w:val="left"/>
              <w:rPr>
                <w:rFonts w:ascii="宋体" w:hAnsi="宋体" w:cs="宋体" w:eastAsia="宋体" w:hint="default"/>
                <w:sz w:val="14"/>
                <w:szCs w:val="14"/>
              </w:rPr>
            </w:pPr>
            <w:r>
              <w:rPr>
                <w:rFonts w:ascii="Arial" w:hAnsi="Arial" w:cs="Arial" w:eastAsia="Arial" w:hint="default"/>
                <w:sz w:val="14"/>
                <w:szCs w:val="14"/>
              </w:rPr>
              <w:t>3.</w:t>
            </w:r>
            <w:r>
              <w:rPr>
                <w:rFonts w:ascii="宋体" w:hAnsi="宋体" w:cs="宋体" w:eastAsia="宋体" w:hint="default"/>
                <w:sz w:val="14"/>
                <w:szCs w:val="14"/>
              </w:rPr>
              <w:t>其他－宽带在线同一控制下收购联通新时讯支付的价款</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right="0"/>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(32)</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8"/>
              <w:jc w:val="right"/>
              <w:rPr>
                <w:rFonts w:ascii="Arial" w:hAnsi="Arial" w:cs="Arial" w:eastAsia="Arial" w:hint="default"/>
                <w:sz w:val="14"/>
                <w:szCs w:val="14"/>
              </w:rPr>
            </w:pPr>
            <w:r>
              <w:rPr>
                <w:rFonts w:ascii="Arial"/>
                <w:spacing w:val="-1"/>
                <w:sz w:val="14"/>
              </w:rPr>
              <w:t>(40,926,482)</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8"/>
              <w:jc w:val="right"/>
              <w:rPr>
                <w:rFonts w:ascii="Arial" w:hAnsi="Arial" w:cs="Arial" w:eastAsia="Arial" w:hint="default"/>
                <w:sz w:val="14"/>
                <w:szCs w:val="14"/>
              </w:rPr>
            </w:pPr>
            <w:r>
              <w:rPr>
                <w:rFonts w:ascii="Arial"/>
                <w:spacing w:val="-1"/>
                <w:sz w:val="14"/>
              </w:rPr>
              <w:t>(12,578,971)</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7"/>
              <w:jc w:val="right"/>
              <w:rPr>
                <w:rFonts w:ascii="Arial" w:hAnsi="Arial" w:cs="Arial" w:eastAsia="Arial" w:hint="default"/>
                <w:sz w:val="14"/>
                <w:szCs w:val="14"/>
              </w:rPr>
            </w:pPr>
            <w:r>
              <w:rPr>
                <w:rFonts w:ascii="Arial"/>
                <w:spacing w:val="-1"/>
                <w:sz w:val="14"/>
              </w:rPr>
              <w:t>(104,419,447)</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7"/>
              <w:jc w:val="right"/>
              <w:rPr>
                <w:rFonts w:ascii="Arial" w:hAnsi="Arial" w:cs="Arial" w:eastAsia="Arial" w:hint="default"/>
                <w:sz w:val="14"/>
                <w:szCs w:val="14"/>
              </w:rPr>
            </w:pPr>
            <w:r>
              <w:rPr>
                <w:rFonts w:ascii="Arial"/>
                <w:spacing w:val="-1"/>
                <w:sz w:val="14"/>
              </w:rPr>
              <w:t>(157,924,900)</w:t>
            </w:r>
            <w:r>
              <w:rPr>
                <w:rFonts w:ascii="Arial"/>
                <w:sz w:val="14"/>
              </w:rPr>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5"/>
              <w:jc w:val="right"/>
              <w:rPr>
                <w:rFonts w:ascii="Arial" w:hAnsi="Arial" w:cs="Arial" w:eastAsia="Arial" w:hint="default"/>
                <w:sz w:val="14"/>
                <w:szCs w:val="14"/>
              </w:rPr>
            </w:pPr>
            <w:r>
              <w:rPr>
                <w:rFonts w:ascii="Arial"/>
                <w:spacing w:val="-1"/>
                <w:sz w:val="14"/>
              </w:rPr>
              <w:t>(157,924,900)</w:t>
            </w:r>
          </w:p>
        </w:tc>
      </w:tr>
      <w:tr>
        <w:trPr>
          <w:trHeight w:val="197"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160" w:lineRule="exact"/>
              <w:ind w:left="42" w:right="0"/>
              <w:jc w:val="left"/>
              <w:rPr>
                <w:rFonts w:ascii="宋体" w:hAnsi="宋体" w:cs="宋体" w:eastAsia="宋体" w:hint="default"/>
                <w:sz w:val="14"/>
                <w:szCs w:val="14"/>
              </w:rPr>
            </w:pPr>
            <w:r>
              <w:rPr>
                <w:rFonts w:ascii="宋体" w:hAnsi="宋体" w:cs="宋体" w:eastAsia="宋体" w:hint="default"/>
                <w:sz w:val="14"/>
                <w:szCs w:val="14"/>
              </w:rPr>
              <w:t>（四）利润分配</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196"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456" w:right="0"/>
              <w:jc w:val="left"/>
              <w:rPr>
                <w:rFonts w:ascii="宋体" w:hAnsi="宋体" w:cs="宋体" w:eastAsia="宋体" w:hint="default"/>
                <w:sz w:val="14"/>
                <w:szCs w:val="14"/>
              </w:rPr>
            </w:pPr>
            <w:r>
              <w:rPr>
                <w:rFonts w:ascii="Arial" w:hAnsi="Arial" w:cs="Arial" w:eastAsia="Arial" w:hint="default"/>
                <w:sz w:val="14"/>
                <w:szCs w:val="14"/>
              </w:rPr>
              <w:t>1.</w:t>
            </w:r>
            <w:r>
              <w:rPr>
                <w:rFonts w:ascii="宋体" w:hAnsi="宋体" w:cs="宋体" w:eastAsia="宋体" w:hint="default"/>
                <w:sz w:val="14"/>
                <w:szCs w:val="14"/>
              </w:rPr>
              <w:t>提取盈余公积－法定公积金</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right="0"/>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(33)</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4"/>
              <w:jc w:val="right"/>
              <w:rPr>
                <w:rFonts w:ascii="Arial" w:hAnsi="Arial" w:cs="Arial" w:eastAsia="Arial" w:hint="default"/>
                <w:sz w:val="14"/>
                <w:szCs w:val="14"/>
              </w:rPr>
            </w:pPr>
            <w:r>
              <w:rPr>
                <w:rFonts w:ascii="Arial"/>
                <w:w w:val="100"/>
                <w:sz w:val="14"/>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4"/>
              <w:jc w:val="right"/>
              <w:rPr>
                <w:rFonts w:ascii="Arial" w:hAnsi="Arial" w:cs="Arial" w:eastAsia="Arial" w:hint="default"/>
                <w:sz w:val="14"/>
                <w:szCs w:val="14"/>
              </w:rPr>
            </w:pPr>
            <w:r>
              <w:rPr>
                <w:rFonts w:ascii="Arial"/>
                <w:spacing w:val="-1"/>
                <w:sz w:val="14"/>
              </w:rPr>
              <w:t>61,540,221</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8"/>
              <w:jc w:val="right"/>
              <w:rPr>
                <w:rFonts w:ascii="Arial" w:hAnsi="Arial" w:cs="Arial" w:eastAsia="Arial" w:hint="default"/>
                <w:sz w:val="14"/>
                <w:szCs w:val="14"/>
              </w:rPr>
            </w:pPr>
            <w:r>
              <w:rPr>
                <w:rFonts w:ascii="Arial"/>
                <w:spacing w:val="-1"/>
                <w:sz w:val="14"/>
              </w:rPr>
              <w:t>(61,540,221)</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3"/>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66"/>
              <w:jc w:val="right"/>
              <w:rPr>
                <w:rFonts w:ascii="Arial" w:hAnsi="Arial" w:cs="Arial" w:eastAsia="Arial" w:hint="default"/>
                <w:sz w:val="14"/>
                <w:szCs w:val="14"/>
              </w:rPr>
            </w:pPr>
            <w:r>
              <w:rPr>
                <w:rFonts w:ascii="Arial"/>
                <w:w w:val="100"/>
                <w:sz w:val="14"/>
              </w:rPr>
              <w:t>-</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3"/>
              <w:jc w:val="right"/>
              <w:rPr>
                <w:rFonts w:ascii="Arial" w:hAnsi="Arial" w:cs="Arial" w:eastAsia="Arial" w:hint="default"/>
                <w:sz w:val="14"/>
                <w:szCs w:val="14"/>
              </w:rPr>
            </w:pPr>
            <w:r>
              <w:rPr>
                <w:rFonts w:ascii="Arial"/>
                <w:w w:val="100"/>
                <w:sz w:val="14"/>
              </w:rPr>
              <w:t>-</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4"/>
              <w:jc w:val="right"/>
              <w:rPr>
                <w:rFonts w:ascii="Arial" w:hAnsi="Arial" w:cs="Arial" w:eastAsia="Arial" w:hint="default"/>
                <w:sz w:val="14"/>
                <w:szCs w:val="14"/>
              </w:rPr>
            </w:pPr>
            <w:r>
              <w:rPr>
                <w:rFonts w:ascii="Arial"/>
                <w:w w:val="100"/>
                <w:sz w:val="14"/>
              </w:rPr>
              <w:t>-</w:t>
            </w:r>
          </w:p>
        </w:tc>
      </w:tr>
      <w:tr>
        <w:trPr>
          <w:trHeight w:val="197"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56" w:right="0"/>
              <w:jc w:val="left"/>
              <w:rPr>
                <w:rFonts w:ascii="宋体" w:hAnsi="宋体" w:cs="宋体" w:eastAsia="宋体" w:hint="default"/>
                <w:sz w:val="14"/>
                <w:szCs w:val="14"/>
              </w:rPr>
            </w:pPr>
            <w:r>
              <w:rPr>
                <w:rFonts w:ascii="Arial" w:hAnsi="Arial" w:cs="Arial" w:eastAsia="Arial" w:hint="default"/>
                <w:sz w:val="14"/>
                <w:szCs w:val="14"/>
              </w:rPr>
              <w:t>2.</w:t>
            </w:r>
            <w:r>
              <w:rPr>
                <w:rFonts w:ascii="宋体" w:hAnsi="宋体" w:cs="宋体" w:eastAsia="宋体" w:hint="default"/>
                <w:sz w:val="14"/>
                <w:szCs w:val="14"/>
              </w:rPr>
              <w:t>向股东分派的普通股股利</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(34)</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w w:val="100"/>
                <w:sz w:val="14"/>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8"/>
              <w:jc w:val="right"/>
              <w:rPr>
                <w:rFonts w:ascii="Arial" w:hAnsi="Arial" w:cs="Arial" w:eastAsia="Arial" w:hint="default"/>
                <w:sz w:val="14"/>
                <w:szCs w:val="14"/>
              </w:rPr>
            </w:pPr>
            <w:r>
              <w:rPr>
                <w:rFonts w:ascii="Arial"/>
                <w:spacing w:val="-1"/>
                <w:sz w:val="14"/>
              </w:rPr>
              <w:t>(551,111,506)</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7"/>
              <w:jc w:val="right"/>
              <w:rPr>
                <w:rFonts w:ascii="Arial" w:hAnsi="Arial" w:cs="Arial" w:eastAsia="Arial" w:hint="default"/>
                <w:sz w:val="14"/>
                <w:szCs w:val="14"/>
              </w:rPr>
            </w:pPr>
            <w:r>
              <w:rPr>
                <w:rFonts w:ascii="Arial"/>
                <w:spacing w:val="-1"/>
                <w:sz w:val="14"/>
              </w:rPr>
              <w:t>(1,243,406,810)</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6"/>
              <w:jc w:val="right"/>
              <w:rPr>
                <w:rFonts w:ascii="Arial" w:hAnsi="Arial" w:cs="Arial" w:eastAsia="Arial" w:hint="default"/>
                <w:sz w:val="14"/>
                <w:szCs w:val="14"/>
              </w:rPr>
            </w:pPr>
            <w:r>
              <w:rPr>
                <w:rFonts w:ascii="Arial"/>
                <w:spacing w:val="-1"/>
                <w:sz w:val="14"/>
              </w:rPr>
              <w:t>(1,794,518,316)</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4"/>
              <w:jc w:val="right"/>
              <w:rPr>
                <w:rFonts w:ascii="Arial" w:hAnsi="Arial" w:cs="Arial" w:eastAsia="Arial" w:hint="default"/>
                <w:sz w:val="14"/>
                <w:szCs w:val="14"/>
              </w:rPr>
            </w:pPr>
            <w:r>
              <w:rPr>
                <w:rFonts w:ascii="Arial"/>
                <w:w w:val="100"/>
                <w:sz w:val="14"/>
              </w:rPr>
              <w:t>-</w:t>
            </w:r>
          </w:p>
        </w:tc>
      </w:tr>
      <w:tr>
        <w:trPr>
          <w:trHeight w:val="197"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56" w:right="0"/>
              <w:jc w:val="left"/>
              <w:rPr>
                <w:rFonts w:ascii="宋体" w:hAnsi="宋体" w:cs="宋体" w:eastAsia="宋体" w:hint="default"/>
                <w:sz w:val="14"/>
                <w:szCs w:val="14"/>
              </w:rPr>
            </w:pPr>
            <w:r>
              <w:rPr>
                <w:rFonts w:ascii="Arial" w:hAnsi="Arial" w:cs="Arial" w:eastAsia="Arial" w:hint="default"/>
                <w:sz w:val="14"/>
                <w:szCs w:val="14"/>
              </w:rPr>
              <w:t>3.</w:t>
            </w:r>
            <w:r>
              <w:rPr>
                <w:rFonts w:ascii="宋体" w:hAnsi="宋体" w:cs="宋体" w:eastAsia="宋体" w:hint="default"/>
                <w:sz w:val="14"/>
                <w:szCs w:val="14"/>
              </w:rPr>
              <w:t>同一控制下宽带在线所收购的联通新时讯向联通集团分配利润</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(34)</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w w:val="100"/>
                <w:sz w:val="14"/>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8"/>
              <w:jc w:val="right"/>
              <w:rPr>
                <w:rFonts w:ascii="Arial" w:hAnsi="Arial" w:cs="Arial" w:eastAsia="Arial" w:hint="default"/>
                <w:sz w:val="14"/>
                <w:szCs w:val="14"/>
              </w:rPr>
            </w:pPr>
            <w:r>
              <w:rPr>
                <w:rFonts w:ascii="Arial"/>
                <w:spacing w:val="-1"/>
                <w:sz w:val="14"/>
              </w:rPr>
              <w:t>(3,029,151)</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
              <w:jc w:val="right"/>
              <w:rPr>
                <w:rFonts w:ascii="Arial" w:hAnsi="Arial" w:cs="Arial" w:eastAsia="Arial" w:hint="default"/>
                <w:sz w:val="14"/>
                <w:szCs w:val="14"/>
              </w:rPr>
            </w:pPr>
            <w:r>
              <w:rPr>
                <w:rFonts w:ascii="Arial"/>
                <w:spacing w:val="-1"/>
                <w:sz w:val="14"/>
              </w:rPr>
              <w:t>(5,911,591)</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6"/>
              <w:jc w:val="right"/>
              <w:rPr>
                <w:rFonts w:ascii="Arial" w:hAnsi="Arial" w:cs="Arial" w:eastAsia="Arial" w:hint="default"/>
                <w:sz w:val="14"/>
                <w:szCs w:val="14"/>
              </w:rPr>
            </w:pPr>
            <w:r>
              <w:rPr>
                <w:rFonts w:ascii="Arial"/>
                <w:spacing w:val="-1"/>
                <w:sz w:val="14"/>
              </w:rPr>
              <w:t>(8,940,742)</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5"/>
              <w:jc w:val="right"/>
              <w:rPr>
                <w:rFonts w:ascii="Arial" w:hAnsi="Arial" w:cs="Arial" w:eastAsia="Arial" w:hint="default"/>
                <w:sz w:val="14"/>
                <w:szCs w:val="14"/>
              </w:rPr>
            </w:pPr>
            <w:r>
              <w:rPr>
                <w:rFonts w:ascii="Arial"/>
                <w:spacing w:val="-1"/>
                <w:sz w:val="14"/>
              </w:rPr>
              <w:t>(8,940,742)</w:t>
            </w:r>
          </w:p>
        </w:tc>
      </w:tr>
      <w:tr>
        <w:trPr>
          <w:trHeight w:val="197"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160" w:lineRule="exact"/>
              <w:ind w:left="32" w:right="0"/>
              <w:jc w:val="left"/>
              <w:rPr>
                <w:rFonts w:ascii="宋体" w:hAnsi="宋体" w:cs="宋体" w:eastAsia="宋体" w:hint="default"/>
                <w:sz w:val="14"/>
                <w:szCs w:val="14"/>
              </w:rPr>
            </w:pPr>
            <w:r>
              <w:rPr>
                <w:rFonts w:ascii="宋体" w:hAnsi="宋体" w:cs="宋体" w:eastAsia="宋体" w:hint="default"/>
                <w:sz w:val="14"/>
                <w:szCs w:val="14"/>
              </w:rPr>
              <w:t>（五）股东权益的内部结转</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197"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456" w:right="0"/>
              <w:jc w:val="left"/>
              <w:rPr>
                <w:rFonts w:ascii="宋体" w:hAnsi="宋体" w:cs="宋体" w:eastAsia="宋体" w:hint="default"/>
                <w:sz w:val="14"/>
                <w:szCs w:val="14"/>
              </w:rPr>
            </w:pPr>
            <w:r>
              <w:rPr>
                <w:rFonts w:ascii="Arial" w:hAnsi="Arial" w:cs="Arial" w:eastAsia="Arial" w:hint="default"/>
                <w:sz w:val="14"/>
                <w:szCs w:val="14"/>
              </w:rPr>
              <w:t>1.</w:t>
            </w:r>
            <w:r>
              <w:rPr>
                <w:rFonts w:ascii="宋体" w:hAnsi="宋体" w:cs="宋体" w:eastAsia="宋体" w:hint="default"/>
                <w:sz w:val="14"/>
                <w:szCs w:val="14"/>
              </w:rPr>
              <w:t>其他－因所持子公司股份变化对资本公积的影响</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right="0"/>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(32)</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8"/>
              <w:jc w:val="right"/>
              <w:rPr>
                <w:rFonts w:ascii="Arial" w:hAnsi="Arial" w:cs="Arial" w:eastAsia="Arial" w:hint="default"/>
                <w:sz w:val="14"/>
                <w:szCs w:val="14"/>
              </w:rPr>
            </w:pPr>
            <w:r>
              <w:rPr>
                <w:rFonts w:ascii="Arial"/>
                <w:spacing w:val="-1"/>
                <w:sz w:val="14"/>
              </w:rPr>
              <w:t>(8,154,317)</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6"/>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4"/>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3"/>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65"/>
              <w:jc w:val="right"/>
              <w:rPr>
                <w:rFonts w:ascii="Arial" w:hAnsi="Arial" w:cs="Arial" w:eastAsia="Arial" w:hint="default"/>
                <w:sz w:val="14"/>
                <w:szCs w:val="14"/>
              </w:rPr>
            </w:pPr>
            <w:r>
              <w:rPr>
                <w:rFonts w:ascii="Arial"/>
                <w:spacing w:val="-1"/>
                <w:sz w:val="14"/>
              </w:rPr>
              <w:t>8,154,317</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3"/>
              <w:jc w:val="right"/>
              <w:rPr>
                <w:rFonts w:ascii="Arial" w:hAnsi="Arial" w:cs="Arial" w:eastAsia="Arial" w:hint="default"/>
                <w:sz w:val="14"/>
                <w:szCs w:val="14"/>
              </w:rPr>
            </w:pPr>
            <w:r>
              <w:rPr>
                <w:rFonts w:ascii="Arial"/>
                <w:w w:val="100"/>
                <w:sz w:val="14"/>
              </w:rPr>
              <w:t>-</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4"/>
              <w:jc w:val="right"/>
              <w:rPr>
                <w:rFonts w:ascii="Arial" w:hAnsi="Arial" w:cs="Arial" w:eastAsia="Arial" w:hint="default"/>
                <w:sz w:val="14"/>
                <w:szCs w:val="14"/>
              </w:rPr>
            </w:pPr>
            <w:r>
              <w:rPr>
                <w:rFonts w:ascii="Arial"/>
                <w:w w:val="100"/>
                <w:sz w:val="14"/>
              </w:rPr>
              <w:t>-</w:t>
            </w:r>
          </w:p>
        </w:tc>
      </w:tr>
      <w:tr>
        <w:trPr>
          <w:trHeight w:val="196"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32" w:right="0"/>
              <w:jc w:val="left"/>
              <w:rPr>
                <w:rFonts w:ascii="宋体" w:hAnsi="宋体" w:cs="宋体" w:eastAsia="宋体" w:hint="default"/>
                <w:sz w:val="14"/>
                <w:szCs w:val="14"/>
              </w:rPr>
            </w:pPr>
            <w:r>
              <w:rPr>
                <w:rFonts w:ascii="Arial" w:hAnsi="Arial" w:cs="Arial" w:eastAsia="Arial" w:hint="default"/>
                <w:sz w:val="14"/>
                <w:szCs w:val="14"/>
              </w:rPr>
              <w:t>2011</w:t>
            </w:r>
            <w:r>
              <w:rPr>
                <w:rFonts w:ascii="Arial" w:hAnsi="Arial" w:cs="Arial" w:eastAsia="Arial" w:hint="default"/>
                <w:spacing w:val="-6"/>
                <w:sz w:val="14"/>
                <w:szCs w:val="14"/>
              </w:rPr>
              <w:t> </w:t>
            </w:r>
            <w:r>
              <w:rPr>
                <w:rFonts w:ascii="宋体" w:hAnsi="宋体" w:cs="宋体" w:eastAsia="宋体" w:hint="default"/>
                <w:sz w:val="14"/>
                <w:szCs w:val="14"/>
              </w:rPr>
              <w:t>年</w:t>
            </w:r>
            <w:r>
              <w:rPr>
                <w:rFonts w:ascii="宋体" w:hAnsi="宋体" w:cs="宋体" w:eastAsia="宋体" w:hint="default"/>
                <w:spacing w:val="-37"/>
                <w:sz w:val="14"/>
                <w:szCs w:val="14"/>
              </w:rPr>
              <w:t> </w:t>
            </w:r>
            <w:r>
              <w:rPr>
                <w:rFonts w:ascii="Arial" w:hAnsi="Arial" w:cs="Arial" w:eastAsia="Arial" w:hint="default"/>
                <w:sz w:val="14"/>
                <w:szCs w:val="14"/>
              </w:rPr>
              <w:t>12</w:t>
            </w:r>
            <w:r>
              <w:rPr>
                <w:rFonts w:ascii="Arial" w:hAnsi="Arial" w:cs="Arial" w:eastAsia="Arial" w:hint="default"/>
                <w:spacing w:val="-6"/>
                <w:sz w:val="14"/>
                <w:szCs w:val="14"/>
              </w:rPr>
              <w:t> </w:t>
            </w:r>
            <w:r>
              <w:rPr>
                <w:rFonts w:ascii="宋体" w:hAnsi="宋体" w:cs="宋体" w:eastAsia="宋体" w:hint="default"/>
                <w:sz w:val="14"/>
                <w:szCs w:val="14"/>
              </w:rPr>
              <w:t>月</w:t>
            </w:r>
            <w:r>
              <w:rPr>
                <w:rFonts w:ascii="宋体" w:hAnsi="宋体" w:cs="宋体" w:eastAsia="宋体" w:hint="default"/>
                <w:spacing w:val="-37"/>
                <w:sz w:val="14"/>
                <w:szCs w:val="14"/>
              </w:rPr>
              <w:t> </w:t>
            </w:r>
            <w:r>
              <w:rPr>
                <w:rFonts w:ascii="Arial" w:hAnsi="Arial" w:cs="Arial" w:eastAsia="Arial" w:hint="default"/>
                <w:sz w:val="14"/>
                <w:szCs w:val="14"/>
              </w:rPr>
              <w:t>31</w:t>
            </w:r>
            <w:r>
              <w:rPr>
                <w:rFonts w:ascii="Arial" w:hAnsi="Arial" w:cs="Arial" w:eastAsia="Arial" w:hint="default"/>
                <w:spacing w:val="-6"/>
                <w:sz w:val="14"/>
                <w:szCs w:val="14"/>
              </w:rPr>
              <w:t> </w:t>
            </w:r>
            <w:r>
              <w:rPr>
                <w:rFonts w:ascii="宋体" w:hAnsi="宋体" w:cs="宋体" w:eastAsia="宋体" w:hint="default"/>
                <w:sz w:val="14"/>
                <w:szCs w:val="14"/>
              </w:rPr>
              <w:t>日年末余额</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2"/>
              <w:jc w:val="right"/>
              <w:rPr>
                <w:rFonts w:ascii="Arial" w:hAnsi="Arial" w:cs="Arial" w:eastAsia="Arial" w:hint="default"/>
                <w:sz w:val="14"/>
                <w:szCs w:val="14"/>
              </w:rPr>
            </w:pPr>
            <w:r>
              <w:rPr>
                <w:rFonts w:ascii="Arial"/>
                <w:spacing w:val="-1"/>
                <w:sz w:val="14"/>
              </w:rPr>
              <w:t>21,196,596,395</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3"/>
              <w:jc w:val="right"/>
              <w:rPr>
                <w:rFonts w:ascii="Arial" w:hAnsi="Arial" w:cs="Arial" w:eastAsia="Arial" w:hint="default"/>
                <w:sz w:val="14"/>
                <w:szCs w:val="14"/>
              </w:rPr>
            </w:pPr>
            <w:r>
              <w:rPr>
                <w:rFonts w:ascii="Arial"/>
                <w:spacing w:val="-1"/>
                <w:sz w:val="14"/>
              </w:rPr>
              <w:t>27,159,443,685</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4"/>
              <w:jc w:val="right"/>
              <w:rPr>
                <w:rFonts w:ascii="Arial" w:hAnsi="Arial" w:cs="Arial" w:eastAsia="Arial" w:hint="default"/>
                <w:sz w:val="14"/>
                <w:szCs w:val="14"/>
              </w:rPr>
            </w:pPr>
            <w:r>
              <w:rPr>
                <w:rFonts w:ascii="Arial"/>
                <w:spacing w:val="-1"/>
                <w:sz w:val="14"/>
              </w:rPr>
              <w:t>746,495,256</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4"/>
              <w:jc w:val="right"/>
              <w:rPr>
                <w:rFonts w:ascii="Arial" w:hAnsi="Arial" w:cs="Arial" w:eastAsia="Arial" w:hint="default"/>
                <w:sz w:val="14"/>
                <w:szCs w:val="14"/>
              </w:rPr>
            </w:pPr>
            <w:r>
              <w:rPr>
                <w:rFonts w:ascii="Arial"/>
                <w:spacing w:val="-1"/>
                <w:sz w:val="14"/>
              </w:rPr>
              <w:t>21,944,910,470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36"/>
              <w:jc w:val="right"/>
              <w:rPr>
                <w:rFonts w:ascii="Arial" w:hAnsi="Arial" w:cs="Arial" w:eastAsia="Arial" w:hint="default"/>
                <w:sz w:val="14"/>
                <w:szCs w:val="14"/>
              </w:rPr>
            </w:pPr>
            <w:r>
              <w:rPr>
                <w:rFonts w:ascii="Arial"/>
                <w:spacing w:val="-1"/>
                <w:sz w:val="14"/>
              </w:rPr>
              <w:t>(23,643,600)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65"/>
              <w:jc w:val="right"/>
              <w:rPr>
                <w:rFonts w:ascii="Arial" w:hAnsi="Arial" w:cs="Arial" w:eastAsia="Arial" w:hint="default"/>
                <w:sz w:val="14"/>
                <w:szCs w:val="14"/>
              </w:rPr>
            </w:pPr>
            <w:r>
              <w:rPr>
                <w:rFonts w:ascii="Arial"/>
                <w:spacing w:val="-1"/>
                <w:sz w:val="14"/>
              </w:rPr>
              <w:t>137,586,893,847</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2"/>
              <w:jc w:val="right"/>
              <w:rPr>
                <w:rFonts w:ascii="Arial" w:hAnsi="Arial" w:cs="Arial" w:eastAsia="Arial" w:hint="default"/>
                <w:sz w:val="14"/>
                <w:szCs w:val="14"/>
              </w:rPr>
            </w:pPr>
            <w:r>
              <w:rPr>
                <w:rFonts w:ascii="Arial"/>
                <w:spacing w:val="-1"/>
                <w:sz w:val="14"/>
              </w:rPr>
              <w:t>208,610,696,053</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55"/>
              <w:jc w:val="right"/>
              <w:rPr>
                <w:rFonts w:ascii="Arial" w:hAnsi="Arial" w:cs="Arial" w:eastAsia="Arial" w:hint="default"/>
                <w:sz w:val="14"/>
                <w:szCs w:val="14"/>
              </w:rPr>
            </w:pPr>
            <w:r>
              <w:rPr>
                <w:rFonts w:ascii="Arial"/>
                <w:spacing w:val="-1"/>
                <w:sz w:val="14"/>
              </w:rPr>
              <w:t>(14,556,023)</w:t>
            </w:r>
          </w:p>
        </w:tc>
      </w:tr>
      <w:tr>
        <w:trPr>
          <w:trHeight w:val="197"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42" w:right="0"/>
              <w:jc w:val="left"/>
              <w:rPr>
                <w:rFonts w:ascii="宋体" w:hAnsi="宋体" w:cs="宋体" w:eastAsia="宋体" w:hint="default"/>
                <w:sz w:val="14"/>
                <w:szCs w:val="14"/>
              </w:rPr>
            </w:pPr>
            <w:r>
              <w:rPr>
                <w:rFonts w:ascii="宋体" w:hAnsi="宋体" w:cs="宋体" w:eastAsia="宋体" w:hint="default"/>
                <w:sz w:val="14"/>
                <w:szCs w:val="14"/>
              </w:rPr>
              <w:t>（一）净利润</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w w:val="100"/>
                <w:sz w:val="14"/>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spacing w:val="-1"/>
                <w:sz w:val="14"/>
              </w:rPr>
              <w:t>2,368,106,789</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5"/>
              <w:jc w:val="right"/>
              <w:rPr>
                <w:rFonts w:ascii="Arial" w:hAnsi="Arial" w:cs="Arial" w:eastAsia="Arial" w:hint="default"/>
                <w:sz w:val="14"/>
                <w:szCs w:val="14"/>
              </w:rPr>
            </w:pPr>
            <w:r>
              <w:rPr>
                <w:rFonts w:ascii="Arial"/>
                <w:spacing w:val="-1"/>
                <w:sz w:val="14"/>
              </w:rPr>
              <w:t>4,657,321,724</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spacing w:val="-1"/>
                <w:sz w:val="14"/>
              </w:rPr>
              <w:t>7,025,428,513</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4"/>
              <w:jc w:val="right"/>
              <w:rPr>
                <w:rFonts w:ascii="Arial" w:hAnsi="Arial" w:cs="Arial" w:eastAsia="Arial" w:hint="default"/>
                <w:sz w:val="14"/>
                <w:szCs w:val="14"/>
              </w:rPr>
            </w:pPr>
            <w:r>
              <w:rPr>
                <w:rFonts w:ascii="Arial"/>
                <w:w w:val="100"/>
                <w:sz w:val="14"/>
              </w:rPr>
              <w:t>-</w:t>
            </w:r>
          </w:p>
        </w:tc>
      </w:tr>
      <w:tr>
        <w:trPr>
          <w:trHeight w:val="197"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42" w:right="0"/>
              <w:jc w:val="left"/>
              <w:rPr>
                <w:rFonts w:ascii="宋体" w:hAnsi="宋体" w:cs="宋体" w:eastAsia="宋体" w:hint="default"/>
                <w:sz w:val="14"/>
                <w:szCs w:val="14"/>
              </w:rPr>
            </w:pPr>
            <w:r>
              <w:rPr>
                <w:rFonts w:ascii="宋体" w:hAnsi="宋体" w:cs="宋体" w:eastAsia="宋体" w:hint="default"/>
                <w:sz w:val="14"/>
                <w:szCs w:val="14"/>
              </w:rPr>
              <w:t>（二）其他综合收益－直接计入股东权益的利得和损失</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197"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456" w:right="0"/>
              <w:jc w:val="left"/>
              <w:rPr>
                <w:rFonts w:ascii="宋体" w:hAnsi="宋体" w:cs="宋体" w:eastAsia="宋体" w:hint="default"/>
                <w:sz w:val="14"/>
                <w:szCs w:val="14"/>
              </w:rPr>
            </w:pPr>
            <w:r>
              <w:rPr>
                <w:rFonts w:ascii="Arial" w:hAnsi="Arial" w:cs="Arial" w:eastAsia="Arial" w:hint="default"/>
                <w:sz w:val="14"/>
                <w:szCs w:val="14"/>
              </w:rPr>
              <w:t>1.</w:t>
            </w:r>
            <w:r>
              <w:rPr>
                <w:rFonts w:ascii="宋体" w:hAnsi="宋体" w:cs="宋体" w:eastAsia="宋体" w:hint="default"/>
                <w:sz w:val="14"/>
                <w:szCs w:val="14"/>
              </w:rPr>
              <w:t>可供出售金融资产公允价值变动净额</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right="0"/>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(48)</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8"/>
              <w:jc w:val="right"/>
              <w:rPr>
                <w:rFonts w:ascii="Arial" w:hAnsi="Arial" w:cs="Arial" w:eastAsia="Arial" w:hint="default"/>
                <w:sz w:val="14"/>
                <w:szCs w:val="14"/>
              </w:rPr>
            </w:pPr>
            <w:r>
              <w:rPr>
                <w:rFonts w:ascii="Arial"/>
                <w:spacing w:val="-1"/>
                <w:sz w:val="14"/>
              </w:rPr>
              <w:t>(388,508,494)</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7"/>
              <w:jc w:val="right"/>
              <w:rPr>
                <w:rFonts w:ascii="Arial" w:hAnsi="Arial" w:cs="Arial" w:eastAsia="Arial" w:hint="default"/>
                <w:sz w:val="14"/>
                <w:szCs w:val="14"/>
              </w:rPr>
            </w:pPr>
            <w:r>
              <w:rPr>
                <w:rFonts w:ascii="Arial"/>
                <w:spacing w:val="-1"/>
                <w:sz w:val="14"/>
              </w:rPr>
              <w:t>(758,207,447)</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6"/>
              <w:jc w:val="right"/>
              <w:rPr>
                <w:rFonts w:ascii="Arial" w:hAnsi="Arial" w:cs="Arial" w:eastAsia="Arial" w:hint="default"/>
                <w:sz w:val="14"/>
                <w:szCs w:val="14"/>
              </w:rPr>
            </w:pPr>
            <w:r>
              <w:rPr>
                <w:rFonts w:ascii="Arial"/>
                <w:spacing w:val="-1"/>
                <w:sz w:val="14"/>
              </w:rPr>
              <w:t>(1,146,715,941)</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4"/>
              <w:jc w:val="right"/>
              <w:rPr>
                <w:rFonts w:ascii="Arial" w:hAnsi="Arial" w:cs="Arial" w:eastAsia="Arial" w:hint="default"/>
                <w:sz w:val="14"/>
                <w:szCs w:val="14"/>
              </w:rPr>
            </w:pPr>
            <w:r>
              <w:rPr>
                <w:rFonts w:ascii="Arial"/>
                <w:w w:val="100"/>
                <w:sz w:val="14"/>
              </w:rPr>
              <w:t>-</w:t>
            </w:r>
          </w:p>
        </w:tc>
      </w:tr>
      <w:tr>
        <w:trPr>
          <w:trHeight w:val="197"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456" w:right="0"/>
              <w:jc w:val="left"/>
              <w:rPr>
                <w:rFonts w:ascii="宋体" w:hAnsi="宋体" w:cs="宋体" w:eastAsia="宋体" w:hint="default"/>
                <w:sz w:val="14"/>
                <w:szCs w:val="14"/>
              </w:rPr>
            </w:pPr>
            <w:r>
              <w:rPr>
                <w:rFonts w:ascii="Arial" w:hAnsi="Arial" w:cs="Arial" w:eastAsia="Arial" w:hint="default"/>
                <w:sz w:val="14"/>
                <w:szCs w:val="14"/>
              </w:rPr>
              <w:t>2.</w:t>
            </w:r>
            <w:r>
              <w:rPr>
                <w:rFonts w:ascii="宋体" w:hAnsi="宋体" w:cs="宋体" w:eastAsia="宋体" w:hint="default"/>
                <w:sz w:val="14"/>
                <w:szCs w:val="14"/>
              </w:rPr>
              <w:t>外币报表折算差额</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right="0"/>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(48)</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4"/>
              <w:jc w:val="right"/>
              <w:rPr>
                <w:rFonts w:ascii="Arial" w:hAnsi="Arial" w:cs="Arial" w:eastAsia="Arial" w:hint="default"/>
                <w:sz w:val="14"/>
                <w:szCs w:val="14"/>
              </w:rPr>
            </w:pPr>
            <w:r>
              <w:rPr>
                <w:rFonts w:ascii="Arial"/>
                <w:w w:val="100"/>
                <w:sz w:val="14"/>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6"/>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4"/>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36"/>
              <w:jc w:val="right"/>
              <w:rPr>
                <w:rFonts w:ascii="Arial" w:hAnsi="Arial" w:cs="Arial" w:eastAsia="Arial" w:hint="default"/>
                <w:sz w:val="14"/>
                <w:szCs w:val="14"/>
              </w:rPr>
            </w:pPr>
            <w:r>
              <w:rPr>
                <w:rFonts w:ascii="Arial"/>
                <w:spacing w:val="-1"/>
                <w:sz w:val="14"/>
              </w:rPr>
              <w:t>(686,287)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6"/>
              <w:jc w:val="right"/>
              <w:rPr>
                <w:rFonts w:ascii="Arial" w:hAnsi="Arial" w:cs="Arial" w:eastAsia="Arial" w:hint="default"/>
                <w:sz w:val="14"/>
                <w:szCs w:val="14"/>
              </w:rPr>
            </w:pPr>
            <w:r>
              <w:rPr>
                <w:rFonts w:ascii="Arial"/>
                <w:spacing w:val="-1"/>
                <w:sz w:val="14"/>
              </w:rPr>
              <w:t>(1,339,333)</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36"/>
              <w:jc w:val="right"/>
              <w:rPr>
                <w:rFonts w:ascii="Arial" w:hAnsi="Arial" w:cs="Arial" w:eastAsia="Arial" w:hint="default"/>
                <w:sz w:val="14"/>
                <w:szCs w:val="14"/>
              </w:rPr>
            </w:pPr>
            <w:r>
              <w:rPr>
                <w:rFonts w:ascii="Arial"/>
                <w:spacing w:val="-1"/>
                <w:sz w:val="14"/>
              </w:rPr>
              <w:t>(2,025,620)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4"/>
              <w:jc w:val="right"/>
              <w:rPr>
                <w:rFonts w:ascii="Arial" w:hAnsi="Arial" w:cs="Arial" w:eastAsia="Arial" w:hint="default"/>
                <w:sz w:val="14"/>
                <w:szCs w:val="14"/>
              </w:rPr>
            </w:pPr>
            <w:r>
              <w:rPr>
                <w:rFonts w:ascii="Arial"/>
                <w:w w:val="100"/>
                <w:sz w:val="14"/>
              </w:rPr>
              <w:t>-</w:t>
            </w:r>
          </w:p>
        </w:tc>
      </w:tr>
      <w:tr>
        <w:trPr>
          <w:trHeight w:val="196"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160" w:lineRule="exact"/>
              <w:ind w:left="42" w:right="0"/>
              <w:jc w:val="left"/>
              <w:rPr>
                <w:rFonts w:ascii="宋体" w:hAnsi="宋体" w:cs="宋体" w:eastAsia="宋体" w:hint="default"/>
                <w:sz w:val="14"/>
                <w:szCs w:val="14"/>
              </w:rPr>
            </w:pPr>
            <w:r>
              <w:rPr>
                <w:rFonts w:ascii="宋体" w:hAnsi="宋体" w:cs="宋体" w:eastAsia="宋体" w:hint="default"/>
                <w:sz w:val="14"/>
                <w:szCs w:val="14"/>
              </w:rPr>
              <w:t>（三）股东投入和减少的资本</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197"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8"/>
              <w:jc w:val="right"/>
              <w:rPr>
                <w:rFonts w:ascii="宋体" w:hAnsi="宋体" w:cs="宋体" w:eastAsia="宋体" w:hint="default"/>
                <w:sz w:val="14"/>
                <w:szCs w:val="14"/>
              </w:rPr>
            </w:pPr>
            <w:r>
              <w:rPr>
                <w:rFonts w:ascii="Arial" w:hAnsi="Arial" w:cs="Arial" w:eastAsia="Arial" w:hint="default"/>
                <w:spacing w:val="-1"/>
                <w:sz w:val="14"/>
                <w:szCs w:val="14"/>
              </w:rPr>
              <w:t>1.</w:t>
            </w:r>
            <w:r>
              <w:rPr>
                <w:rFonts w:ascii="宋体" w:hAnsi="宋体" w:cs="宋体" w:eastAsia="宋体" w:hint="default"/>
                <w:spacing w:val="-1"/>
                <w:sz w:val="14"/>
                <w:szCs w:val="14"/>
              </w:rPr>
              <w:t>股东投入资本－确认子公司员工行使股份期权所增加的子公司权益影响</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(46)</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
              <w:jc w:val="right"/>
              <w:rPr>
                <w:rFonts w:ascii="Arial" w:hAnsi="Arial" w:cs="Arial" w:eastAsia="Arial" w:hint="default"/>
                <w:sz w:val="14"/>
                <w:szCs w:val="14"/>
              </w:rPr>
            </w:pPr>
            <w:r>
              <w:rPr>
                <w:rFonts w:ascii="Arial"/>
                <w:sz w:val="14"/>
              </w:rPr>
              <w:t>262,329</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5"/>
              <w:jc w:val="right"/>
              <w:rPr>
                <w:rFonts w:ascii="Arial" w:hAnsi="Arial" w:cs="Arial" w:eastAsia="Arial" w:hint="default"/>
                <w:sz w:val="14"/>
                <w:szCs w:val="14"/>
              </w:rPr>
            </w:pPr>
            <w:r>
              <w:rPr>
                <w:rFonts w:ascii="Arial"/>
                <w:sz w:val="14"/>
              </w:rPr>
              <w:t>511,958</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sz w:val="14"/>
              </w:rPr>
              <w:t>774,287</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4"/>
              <w:jc w:val="right"/>
              <w:rPr>
                <w:rFonts w:ascii="Arial" w:hAnsi="Arial" w:cs="Arial" w:eastAsia="Arial" w:hint="default"/>
                <w:sz w:val="14"/>
                <w:szCs w:val="14"/>
              </w:rPr>
            </w:pPr>
            <w:r>
              <w:rPr>
                <w:rFonts w:ascii="Arial"/>
                <w:w w:val="100"/>
                <w:sz w:val="14"/>
              </w:rPr>
              <w:t>-</w:t>
            </w:r>
          </w:p>
        </w:tc>
      </w:tr>
      <w:tr>
        <w:trPr>
          <w:trHeight w:val="197"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56" w:right="0"/>
              <w:jc w:val="left"/>
              <w:rPr>
                <w:rFonts w:ascii="宋体" w:hAnsi="宋体" w:cs="宋体" w:eastAsia="宋体" w:hint="default"/>
                <w:sz w:val="14"/>
                <w:szCs w:val="14"/>
              </w:rPr>
            </w:pPr>
            <w:r>
              <w:rPr>
                <w:rFonts w:ascii="Arial" w:hAnsi="Arial" w:cs="Arial" w:eastAsia="Arial" w:hint="default"/>
                <w:sz w:val="14"/>
                <w:szCs w:val="14"/>
              </w:rPr>
              <w:t>2.</w:t>
            </w:r>
            <w:r>
              <w:rPr>
                <w:rFonts w:ascii="宋体" w:hAnsi="宋体" w:cs="宋体" w:eastAsia="宋体" w:hint="default"/>
                <w:sz w:val="14"/>
                <w:szCs w:val="14"/>
              </w:rPr>
              <w:t>股份支付计入股东权益的金额－与股份支付相关的员工薪酬的确认</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(32)</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
              <w:jc w:val="right"/>
              <w:rPr>
                <w:rFonts w:ascii="Arial" w:hAnsi="Arial" w:cs="Arial" w:eastAsia="Arial" w:hint="default"/>
                <w:sz w:val="14"/>
                <w:szCs w:val="14"/>
              </w:rPr>
            </w:pPr>
            <w:r>
              <w:rPr>
                <w:rFonts w:ascii="Arial"/>
                <w:spacing w:val="-1"/>
                <w:sz w:val="14"/>
              </w:rPr>
              <w:t>4,851,484</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5"/>
              <w:jc w:val="right"/>
              <w:rPr>
                <w:rFonts w:ascii="Arial" w:hAnsi="Arial" w:cs="Arial" w:eastAsia="Arial" w:hint="default"/>
                <w:sz w:val="14"/>
                <w:szCs w:val="14"/>
              </w:rPr>
            </w:pPr>
            <w:r>
              <w:rPr>
                <w:rFonts w:ascii="Arial"/>
                <w:spacing w:val="-1"/>
                <w:sz w:val="14"/>
              </w:rPr>
              <w:t>9,468,084</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spacing w:val="-1"/>
                <w:sz w:val="14"/>
              </w:rPr>
              <w:t>14,319,568</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4"/>
              <w:jc w:val="right"/>
              <w:rPr>
                <w:rFonts w:ascii="Arial" w:hAnsi="Arial" w:cs="Arial" w:eastAsia="Arial" w:hint="default"/>
                <w:sz w:val="14"/>
                <w:szCs w:val="14"/>
              </w:rPr>
            </w:pPr>
            <w:r>
              <w:rPr>
                <w:rFonts w:ascii="Arial"/>
                <w:w w:val="100"/>
                <w:sz w:val="14"/>
              </w:rPr>
              <w:t>-</w:t>
            </w:r>
          </w:p>
        </w:tc>
      </w:tr>
      <w:tr>
        <w:trPr>
          <w:trHeight w:val="197"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160" w:lineRule="exact"/>
              <w:ind w:left="42" w:right="0"/>
              <w:jc w:val="left"/>
              <w:rPr>
                <w:rFonts w:ascii="宋体" w:hAnsi="宋体" w:cs="宋体" w:eastAsia="宋体" w:hint="default"/>
                <w:sz w:val="14"/>
                <w:szCs w:val="14"/>
              </w:rPr>
            </w:pPr>
            <w:r>
              <w:rPr>
                <w:rFonts w:ascii="宋体" w:hAnsi="宋体" w:cs="宋体" w:eastAsia="宋体" w:hint="default"/>
                <w:sz w:val="14"/>
                <w:szCs w:val="14"/>
              </w:rPr>
              <w:t>（四）利润分配</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197"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456" w:right="0"/>
              <w:jc w:val="left"/>
              <w:rPr>
                <w:rFonts w:ascii="宋体" w:hAnsi="宋体" w:cs="宋体" w:eastAsia="宋体" w:hint="default"/>
                <w:sz w:val="14"/>
                <w:szCs w:val="14"/>
              </w:rPr>
            </w:pPr>
            <w:r>
              <w:rPr>
                <w:rFonts w:ascii="Arial" w:hAnsi="Arial" w:cs="Arial" w:eastAsia="Arial" w:hint="default"/>
                <w:sz w:val="14"/>
                <w:szCs w:val="14"/>
              </w:rPr>
              <w:t>1.</w:t>
            </w:r>
            <w:r>
              <w:rPr>
                <w:rFonts w:ascii="宋体" w:hAnsi="宋体" w:cs="宋体" w:eastAsia="宋体" w:hint="default"/>
                <w:sz w:val="14"/>
                <w:szCs w:val="14"/>
              </w:rPr>
              <w:t>提取盈余公积－法定公积金</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right="0"/>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(33)</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4"/>
              <w:jc w:val="right"/>
              <w:rPr>
                <w:rFonts w:ascii="Arial" w:hAnsi="Arial" w:cs="Arial" w:eastAsia="Arial" w:hint="default"/>
                <w:sz w:val="14"/>
                <w:szCs w:val="14"/>
              </w:rPr>
            </w:pPr>
            <w:r>
              <w:rPr>
                <w:rFonts w:ascii="Arial"/>
                <w:w w:val="100"/>
                <w:sz w:val="14"/>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4"/>
              <w:jc w:val="right"/>
              <w:rPr>
                <w:rFonts w:ascii="Arial" w:hAnsi="Arial" w:cs="Arial" w:eastAsia="Arial" w:hint="default"/>
                <w:sz w:val="14"/>
                <w:szCs w:val="14"/>
              </w:rPr>
            </w:pPr>
            <w:r>
              <w:rPr>
                <w:rFonts w:ascii="Arial"/>
                <w:spacing w:val="-1"/>
                <w:sz w:val="14"/>
              </w:rPr>
              <w:t>77,920,376</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8"/>
              <w:jc w:val="right"/>
              <w:rPr>
                <w:rFonts w:ascii="Arial" w:hAnsi="Arial" w:cs="Arial" w:eastAsia="Arial" w:hint="default"/>
                <w:sz w:val="14"/>
                <w:szCs w:val="14"/>
              </w:rPr>
            </w:pPr>
            <w:r>
              <w:rPr>
                <w:rFonts w:ascii="Arial"/>
                <w:spacing w:val="-1"/>
                <w:sz w:val="14"/>
              </w:rPr>
              <w:t>(77,920,376)</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3"/>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66"/>
              <w:jc w:val="right"/>
              <w:rPr>
                <w:rFonts w:ascii="Arial" w:hAnsi="Arial" w:cs="Arial" w:eastAsia="Arial" w:hint="default"/>
                <w:sz w:val="14"/>
                <w:szCs w:val="14"/>
              </w:rPr>
            </w:pPr>
            <w:r>
              <w:rPr>
                <w:rFonts w:ascii="Arial"/>
                <w:w w:val="100"/>
                <w:sz w:val="14"/>
              </w:rPr>
              <w:t>-</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3"/>
              <w:jc w:val="right"/>
              <w:rPr>
                <w:rFonts w:ascii="Arial" w:hAnsi="Arial" w:cs="Arial" w:eastAsia="Arial" w:hint="default"/>
                <w:sz w:val="14"/>
                <w:szCs w:val="14"/>
              </w:rPr>
            </w:pPr>
            <w:r>
              <w:rPr>
                <w:rFonts w:ascii="Arial"/>
                <w:w w:val="100"/>
                <w:sz w:val="14"/>
              </w:rPr>
              <w:t>-</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4"/>
              <w:jc w:val="right"/>
              <w:rPr>
                <w:rFonts w:ascii="Arial" w:hAnsi="Arial" w:cs="Arial" w:eastAsia="Arial" w:hint="default"/>
                <w:sz w:val="14"/>
                <w:szCs w:val="14"/>
              </w:rPr>
            </w:pPr>
            <w:r>
              <w:rPr>
                <w:rFonts w:ascii="Arial"/>
                <w:w w:val="100"/>
                <w:sz w:val="14"/>
              </w:rPr>
              <w:t>-</w:t>
            </w:r>
          </w:p>
        </w:tc>
      </w:tr>
      <w:tr>
        <w:trPr>
          <w:trHeight w:val="196"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456" w:right="0"/>
              <w:jc w:val="left"/>
              <w:rPr>
                <w:rFonts w:ascii="宋体" w:hAnsi="宋体" w:cs="宋体" w:eastAsia="宋体" w:hint="default"/>
                <w:sz w:val="14"/>
                <w:szCs w:val="14"/>
              </w:rPr>
            </w:pPr>
            <w:r>
              <w:rPr>
                <w:rFonts w:ascii="Arial" w:hAnsi="Arial" w:cs="Arial" w:eastAsia="Arial" w:hint="default"/>
                <w:sz w:val="14"/>
                <w:szCs w:val="14"/>
              </w:rPr>
              <w:t>2.</w:t>
            </w:r>
            <w:r>
              <w:rPr>
                <w:rFonts w:ascii="宋体" w:hAnsi="宋体" w:cs="宋体" w:eastAsia="宋体" w:hint="default"/>
                <w:sz w:val="14"/>
                <w:szCs w:val="14"/>
              </w:rPr>
              <w:t>向股东分派的普通股股利</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right="0"/>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(34)</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4"/>
              <w:jc w:val="right"/>
              <w:rPr>
                <w:rFonts w:ascii="Arial" w:hAnsi="Arial" w:cs="Arial" w:eastAsia="Arial" w:hint="default"/>
                <w:sz w:val="14"/>
                <w:szCs w:val="14"/>
              </w:rPr>
            </w:pPr>
            <w:r>
              <w:rPr>
                <w:rFonts w:ascii="Arial"/>
                <w:w w:val="100"/>
                <w:sz w:val="14"/>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76"/>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8"/>
              <w:jc w:val="right"/>
              <w:rPr>
                <w:rFonts w:ascii="Arial" w:hAnsi="Arial" w:cs="Arial" w:eastAsia="Arial" w:hint="default"/>
                <w:sz w:val="14"/>
                <w:szCs w:val="14"/>
              </w:rPr>
            </w:pPr>
            <w:r>
              <w:rPr>
                <w:rFonts w:ascii="Arial"/>
                <w:spacing w:val="-1"/>
                <w:sz w:val="14"/>
              </w:rPr>
              <w:t>(710,085,981)</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3"/>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6"/>
              <w:jc w:val="right"/>
              <w:rPr>
                <w:rFonts w:ascii="Arial" w:hAnsi="Arial" w:cs="Arial" w:eastAsia="Arial" w:hint="default"/>
                <w:sz w:val="14"/>
                <w:szCs w:val="14"/>
              </w:rPr>
            </w:pPr>
            <w:r>
              <w:rPr>
                <w:rFonts w:ascii="Arial"/>
                <w:spacing w:val="-1"/>
                <w:sz w:val="14"/>
              </w:rPr>
              <w:t>(1,558,077,614)</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36"/>
              <w:jc w:val="right"/>
              <w:rPr>
                <w:rFonts w:ascii="Arial" w:hAnsi="Arial" w:cs="Arial" w:eastAsia="Arial" w:hint="default"/>
                <w:sz w:val="14"/>
                <w:szCs w:val="14"/>
              </w:rPr>
            </w:pPr>
            <w:r>
              <w:rPr>
                <w:rFonts w:ascii="Arial"/>
                <w:spacing w:val="-1"/>
                <w:sz w:val="14"/>
              </w:rPr>
              <w:t>(2,268,163,595)</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4"/>
              <w:jc w:val="right"/>
              <w:rPr>
                <w:rFonts w:ascii="Arial" w:hAnsi="Arial" w:cs="Arial" w:eastAsia="Arial" w:hint="default"/>
                <w:sz w:val="14"/>
                <w:szCs w:val="14"/>
              </w:rPr>
            </w:pPr>
            <w:r>
              <w:rPr>
                <w:rFonts w:ascii="Arial"/>
                <w:w w:val="100"/>
                <w:sz w:val="14"/>
              </w:rPr>
              <w:t>-</w:t>
            </w:r>
          </w:p>
        </w:tc>
      </w:tr>
      <w:tr>
        <w:trPr>
          <w:trHeight w:val="197"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42" w:right="0"/>
              <w:jc w:val="left"/>
              <w:rPr>
                <w:rFonts w:ascii="宋体" w:hAnsi="宋体" w:cs="宋体" w:eastAsia="宋体" w:hint="default"/>
                <w:sz w:val="14"/>
                <w:szCs w:val="14"/>
              </w:rPr>
            </w:pPr>
            <w:r>
              <w:rPr>
                <w:rFonts w:ascii="宋体" w:hAnsi="宋体" w:cs="宋体" w:eastAsia="宋体" w:hint="default"/>
                <w:sz w:val="14"/>
                <w:szCs w:val="14"/>
              </w:rPr>
              <w:t>（五）股东权益的内部结转</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197"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56" w:right="0"/>
              <w:jc w:val="left"/>
              <w:rPr>
                <w:rFonts w:ascii="宋体" w:hAnsi="宋体" w:cs="宋体" w:eastAsia="宋体" w:hint="default"/>
                <w:sz w:val="14"/>
                <w:szCs w:val="14"/>
              </w:rPr>
            </w:pPr>
            <w:r>
              <w:rPr>
                <w:rFonts w:ascii="Arial" w:hAnsi="Arial" w:cs="Arial" w:eastAsia="Arial" w:hint="default"/>
                <w:sz w:val="14"/>
                <w:szCs w:val="14"/>
              </w:rPr>
              <w:t>1.</w:t>
            </w:r>
            <w:r>
              <w:rPr>
                <w:rFonts w:ascii="宋体" w:hAnsi="宋体" w:cs="宋体" w:eastAsia="宋体" w:hint="default"/>
                <w:sz w:val="14"/>
                <w:szCs w:val="14"/>
              </w:rPr>
              <w:t>其他－因所持子公司股份变化对资本公积的影响</w:t>
            </w:r>
          </w:p>
        </w:tc>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(32)</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8"/>
              <w:jc w:val="right"/>
              <w:rPr>
                <w:rFonts w:ascii="Arial" w:hAnsi="Arial" w:cs="Arial" w:eastAsia="Arial" w:hint="default"/>
                <w:sz w:val="14"/>
                <w:szCs w:val="14"/>
              </w:rPr>
            </w:pPr>
            <w:r>
              <w:rPr>
                <w:rFonts w:ascii="Arial"/>
                <w:spacing w:val="-1"/>
                <w:sz w:val="14"/>
              </w:rPr>
              <w:t>(458,866)</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
              <w:jc w:val="right"/>
              <w:rPr>
                <w:rFonts w:ascii="Arial" w:hAnsi="Arial" w:cs="Arial" w:eastAsia="Arial" w:hint="default"/>
                <w:sz w:val="14"/>
                <w:szCs w:val="14"/>
              </w:rPr>
            </w:pPr>
            <w:r>
              <w:rPr>
                <w:rFonts w:ascii="Arial"/>
                <w:w w:val="100"/>
                <w:sz w:val="14"/>
              </w:rPr>
              <w:t>-</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w w:val="100"/>
                <w:sz w:val="14"/>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5"/>
              <w:jc w:val="right"/>
              <w:rPr>
                <w:rFonts w:ascii="Arial" w:hAnsi="Arial" w:cs="Arial" w:eastAsia="Arial" w:hint="default"/>
                <w:sz w:val="14"/>
                <w:szCs w:val="14"/>
              </w:rPr>
            </w:pPr>
            <w:r>
              <w:rPr>
                <w:rFonts w:ascii="Arial"/>
                <w:sz w:val="14"/>
              </w:rPr>
              <w:t>458,866</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3"/>
              <w:jc w:val="right"/>
              <w:rPr>
                <w:rFonts w:ascii="Arial" w:hAnsi="Arial" w:cs="Arial" w:eastAsia="Arial" w:hint="default"/>
                <w:sz w:val="14"/>
                <w:szCs w:val="14"/>
              </w:rPr>
            </w:pPr>
            <w:r>
              <w:rPr>
                <w:rFonts w:ascii="Arial"/>
                <w:w w:val="100"/>
                <w:sz w:val="14"/>
              </w:rPr>
              <w:t>-</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4"/>
              <w:jc w:val="right"/>
              <w:rPr>
                <w:rFonts w:ascii="Arial" w:hAnsi="Arial" w:cs="Arial" w:eastAsia="Arial" w:hint="default"/>
                <w:sz w:val="14"/>
                <w:szCs w:val="14"/>
              </w:rPr>
            </w:pPr>
            <w:r>
              <w:rPr>
                <w:rFonts w:ascii="Arial"/>
                <w:w w:val="100"/>
                <w:sz w:val="14"/>
              </w:rPr>
              <w:t>-</w:t>
            </w:r>
          </w:p>
        </w:tc>
      </w:tr>
      <w:tr>
        <w:trPr>
          <w:trHeight w:val="196" w:hRule="exact"/>
        </w:trPr>
        <w:tc>
          <w:tcPr>
            <w:tcW w:w="4948"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32" w:right="0"/>
              <w:jc w:val="left"/>
              <w:rPr>
                <w:rFonts w:ascii="宋体" w:hAnsi="宋体" w:cs="宋体" w:eastAsia="宋体" w:hint="default"/>
                <w:sz w:val="14"/>
                <w:szCs w:val="14"/>
              </w:rPr>
            </w:pPr>
            <w:r>
              <w:rPr>
                <w:rFonts w:ascii="Arial" w:hAnsi="Arial" w:cs="Arial" w:eastAsia="Arial" w:hint="default"/>
                <w:sz w:val="14"/>
                <w:szCs w:val="14"/>
              </w:rPr>
              <w:t>2012</w:t>
            </w:r>
            <w:r>
              <w:rPr>
                <w:rFonts w:ascii="Arial" w:hAnsi="Arial" w:cs="Arial" w:eastAsia="Arial" w:hint="default"/>
                <w:spacing w:val="-6"/>
                <w:sz w:val="14"/>
                <w:szCs w:val="14"/>
              </w:rPr>
              <w:t> </w:t>
            </w:r>
            <w:r>
              <w:rPr>
                <w:rFonts w:ascii="宋体" w:hAnsi="宋体" w:cs="宋体" w:eastAsia="宋体" w:hint="default"/>
                <w:sz w:val="14"/>
                <w:szCs w:val="14"/>
              </w:rPr>
              <w:t>年</w:t>
            </w:r>
            <w:r>
              <w:rPr>
                <w:rFonts w:ascii="宋体" w:hAnsi="宋体" w:cs="宋体" w:eastAsia="宋体" w:hint="default"/>
                <w:spacing w:val="-37"/>
                <w:sz w:val="14"/>
                <w:szCs w:val="14"/>
              </w:rPr>
              <w:t> </w:t>
            </w:r>
            <w:r>
              <w:rPr>
                <w:rFonts w:ascii="Arial" w:hAnsi="Arial" w:cs="Arial" w:eastAsia="Arial" w:hint="default"/>
                <w:sz w:val="14"/>
                <w:szCs w:val="14"/>
              </w:rPr>
              <w:t>12</w:t>
            </w:r>
            <w:r>
              <w:rPr>
                <w:rFonts w:ascii="Arial" w:hAnsi="Arial" w:cs="Arial" w:eastAsia="Arial" w:hint="default"/>
                <w:spacing w:val="-6"/>
                <w:sz w:val="14"/>
                <w:szCs w:val="14"/>
              </w:rPr>
              <w:t> </w:t>
            </w:r>
            <w:r>
              <w:rPr>
                <w:rFonts w:ascii="宋体" w:hAnsi="宋体" w:cs="宋体" w:eastAsia="宋体" w:hint="default"/>
                <w:sz w:val="14"/>
                <w:szCs w:val="14"/>
              </w:rPr>
              <w:t>月</w:t>
            </w:r>
            <w:r>
              <w:rPr>
                <w:rFonts w:ascii="宋体" w:hAnsi="宋体" w:cs="宋体" w:eastAsia="宋体" w:hint="default"/>
                <w:spacing w:val="-37"/>
                <w:sz w:val="14"/>
                <w:szCs w:val="14"/>
              </w:rPr>
              <w:t> </w:t>
            </w:r>
            <w:r>
              <w:rPr>
                <w:rFonts w:ascii="Arial" w:hAnsi="Arial" w:cs="Arial" w:eastAsia="Arial" w:hint="default"/>
                <w:sz w:val="14"/>
                <w:szCs w:val="14"/>
              </w:rPr>
              <w:t>31</w:t>
            </w:r>
            <w:r>
              <w:rPr>
                <w:rFonts w:ascii="Arial" w:hAnsi="Arial" w:cs="Arial" w:eastAsia="Arial" w:hint="default"/>
                <w:spacing w:val="-6"/>
                <w:sz w:val="14"/>
                <w:szCs w:val="14"/>
              </w:rPr>
              <w:t> </w:t>
            </w:r>
            <w:r>
              <w:rPr>
                <w:rFonts w:ascii="宋体" w:hAnsi="宋体" w:cs="宋体" w:eastAsia="宋体" w:hint="default"/>
                <w:sz w:val="14"/>
                <w:szCs w:val="14"/>
              </w:rPr>
              <w:t>日年末余额</w:t>
            </w:r>
          </w:p>
        </w:tc>
        <w:tc>
          <w:tcPr>
            <w:tcW w:w="496"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spacing w:val="-1"/>
                <w:sz w:val="14"/>
              </w:rPr>
              <w:t>21,196,596,395</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
              <w:jc w:val="right"/>
              <w:rPr>
                <w:rFonts w:ascii="Arial" w:hAnsi="Arial" w:cs="Arial" w:eastAsia="Arial" w:hint="default"/>
                <w:sz w:val="14"/>
                <w:szCs w:val="14"/>
              </w:rPr>
            </w:pPr>
            <w:r>
              <w:rPr>
                <w:rFonts w:ascii="Arial"/>
                <w:spacing w:val="-1"/>
                <w:sz w:val="14"/>
              </w:rPr>
              <w:t>26,775,590,138</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spacing w:val="-1"/>
                <w:sz w:val="14"/>
              </w:rPr>
              <w:t>824,415,632</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spacing w:val="-1"/>
                <w:sz w:val="14"/>
              </w:rPr>
              <w:t>23,525,010,902</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6"/>
              <w:jc w:val="right"/>
              <w:rPr>
                <w:rFonts w:ascii="Arial" w:hAnsi="Arial" w:cs="Arial" w:eastAsia="Arial" w:hint="default"/>
                <w:sz w:val="14"/>
                <w:szCs w:val="14"/>
              </w:rPr>
            </w:pPr>
            <w:r>
              <w:rPr>
                <w:rFonts w:ascii="Arial"/>
                <w:spacing w:val="-1"/>
                <w:sz w:val="14"/>
              </w:rPr>
              <w:t>(24,329,887)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5"/>
              <w:jc w:val="right"/>
              <w:rPr>
                <w:rFonts w:ascii="Arial" w:hAnsi="Arial" w:cs="Arial" w:eastAsia="Arial" w:hint="default"/>
                <w:sz w:val="14"/>
                <w:szCs w:val="14"/>
              </w:rPr>
            </w:pPr>
            <w:r>
              <w:rPr>
                <w:rFonts w:ascii="Arial"/>
                <w:spacing w:val="-1"/>
                <w:sz w:val="14"/>
              </w:rPr>
              <w:t>139,937,030,085</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right"/>
              <w:rPr>
                <w:rFonts w:ascii="Arial" w:hAnsi="Arial" w:cs="Arial" w:eastAsia="Arial" w:hint="default"/>
                <w:sz w:val="14"/>
                <w:szCs w:val="14"/>
              </w:rPr>
            </w:pPr>
            <w:r>
              <w:rPr>
                <w:rFonts w:ascii="Arial"/>
                <w:spacing w:val="-1"/>
                <w:sz w:val="14"/>
              </w:rPr>
              <w:t>212,234,313,265</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5"/>
              <w:jc w:val="right"/>
              <w:rPr>
                <w:rFonts w:ascii="Arial" w:hAnsi="Arial" w:cs="Arial" w:eastAsia="Arial" w:hint="default"/>
                <w:sz w:val="14"/>
                <w:szCs w:val="14"/>
              </w:rPr>
            </w:pPr>
            <w:r>
              <w:rPr>
                <w:rFonts w:ascii="Arial"/>
                <w:spacing w:val="-1"/>
                <w:sz w:val="14"/>
              </w:rPr>
              <w:t>(14,556,023)</w:t>
            </w:r>
          </w:p>
        </w:tc>
      </w:tr>
    </w:tbl>
    <w:p>
      <w:pPr>
        <w:spacing w:line="240" w:lineRule="auto" w:before="1"/>
        <w:rPr>
          <w:rFonts w:ascii="黑体" w:hAnsi="黑体" w:cs="黑体" w:eastAsia="黑体" w:hint="default"/>
          <w:sz w:val="14"/>
          <w:szCs w:val="14"/>
        </w:rPr>
      </w:pPr>
    </w:p>
    <w:p>
      <w:pPr>
        <w:spacing w:before="38"/>
        <w:ind w:left="122" w:right="0" w:firstLine="0"/>
        <w:jc w:val="left"/>
        <w:rPr>
          <w:rFonts w:ascii="黑体" w:hAnsi="黑体" w:cs="黑体" w:eastAsia="黑体" w:hint="default"/>
          <w:sz w:val="20"/>
          <w:szCs w:val="20"/>
        </w:rPr>
      </w:pPr>
      <w:r>
        <w:rPr>
          <w:rFonts w:ascii="黑体" w:hAnsi="黑体" w:cs="黑体" w:eastAsia="黑体" w:hint="default"/>
          <w:sz w:val="20"/>
          <w:szCs w:val="20"/>
        </w:rPr>
        <w:t>后附财务报表附注为财务报表的组成部分。</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26"/>
          <w:szCs w:val="26"/>
        </w:rPr>
      </w:pPr>
    </w:p>
    <w:p>
      <w:pPr>
        <w:pStyle w:val="BodyText"/>
        <w:tabs>
          <w:tab w:pos="5679" w:val="left" w:leader="none"/>
          <w:tab w:pos="11040" w:val="left" w:leader="none"/>
        </w:tabs>
        <w:spacing w:line="240" w:lineRule="auto"/>
        <w:ind w:left="122" w:right="0"/>
        <w:jc w:val="left"/>
        <w:rPr>
          <w:rFonts w:ascii="黑体" w:hAnsi="黑体" w:cs="黑体" w:eastAsia="黑体" w:hint="default"/>
        </w:rPr>
      </w:pPr>
      <w:r>
        <w:rPr>
          <w:rFonts w:ascii="黑体" w:hAnsi="黑体" w:cs="黑体" w:eastAsia="黑体" w:hint="default"/>
          <w:w w:val="95"/>
        </w:rPr>
        <w:t>董事长：常小兵</w:t>
        <w:tab/>
        <w:t>财务负责人：张健</w:t>
        <w:tab/>
      </w:r>
      <w:r>
        <w:rPr>
          <w:rFonts w:ascii="黑体" w:hAnsi="黑体" w:cs="黑体" w:eastAsia="黑体" w:hint="default"/>
        </w:rPr>
        <w:t>财务部总经理：李张挺</w:t>
      </w:r>
    </w:p>
    <w:p>
      <w:pPr>
        <w:spacing w:after="0" w:line="240" w:lineRule="auto"/>
        <w:jc w:val="left"/>
        <w:rPr>
          <w:rFonts w:ascii="黑体" w:hAnsi="黑体" w:cs="黑体" w:eastAsia="黑体" w:hint="default"/>
        </w:rPr>
        <w:sectPr>
          <w:headerReference w:type="default" r:id="rId34"/>
          <w:footerReference w:type="default" r:id="rId35"/>
          <w:pgSz w:w="16840" w:h="11910" w:orient="landscape"/>
          <w:pgMar w:header="0" w:footer="472" w:top="1080" w:bottom="660" w:left="880" w:right="440"/>
          <w:pgNumType w:start="59"/>
        </w:sectPr>
      </w:pPr>
    </w:p>
    <w:p>
      <w:pPr>
        <w:pStyle w:val="BodyText"/>
        <w:spacing w:line="240" w:lineRule="auto" w:before="9"/>
        <w:ind w:left="101" w:right="0"/>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2"/>
        <w:rPr>
          <w:rFonts w:ascii="黑体" w:hAnsi="黑体" w:cs="黑体" w:eastAsia="黑体" w:hint="default"/>
          <w:sz w:val="19"/>
          <w:szCs w:val="19"/>
        </w:rPr>
      </w:pPr>
    </w:p>
    <w:p>
      <w:pPr>
        <w:pStyle w:val="BodyText"/>
        <w:spacing w:line="294" w:lineRule="exact"/>
        <w:ind w:left="101"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12"/>
        </w:rPr>
        <w:t> </w:t>
      </w:r>
      <w:r>
        <w:rPr>
          <w:rFonts w:ascii="黑体" w:hAnsi="黑体" w:cs="黑体" w:eastAsia="黑体" w:hint="default"/>
        </w:rPr>
        <w:t>年度公司股东权益变动表</w:t>
      </w:r>
    </w:p>
    <w:p>
      <w:pPr>
        <w:pStyle w:val="BodyText"/>
        <w:spacing w:line="278" w:lineRule="exact"/>
        <w:ind w:left="101" w:right="0"/>
        <w:jc w:val="left"/>
        <w:rPr>
          <w:rFonts w:ascii="黑体" w:hAnsi="黑体" w:cs="黑体" w:eastAsia="黑体" w:hint="default"/>
        </w:rPr>
      </w:pPr>
      <w:r>
        <w:rPr>
          <w:rFonts w:ascii="黑体" w:hAnsi="黑体" w:cs="黑体" w:eastAsia="黑体" w:hint="default"/>
        </w:rPr>
        <w:t>（除特别注明外，金额单位为人民币元）</w:t>
      </w:r>
    </w:p>
    <w:p>
      <w:pPr>
        <w:spacing w:line="240" w:lineRule="auto" w:before="13"/>
        <w:rPr>
          <w:rFonts w:ascii="黑体" w:hAnsi="黑体" w:cs="黑体" w:eastAsia="黑体"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4618"/>
        <w:gridCol w:w="750"/>
        <w:gridCol w:w="1910"/>
        <w:gridCol w:w="2004"/>
        <w:gridCol w:w="1918"/>
        <w:gridCol w:w="1970"/>
        <w:gridCol w:w="1993"/>
      </w:tblGrid>
      <w:tr>
        <w:trPr>
          <w:trHeight w:val="262"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3"/>
              <w:jc w:val="center"/>
              <w:rPr>
                <w:rFonts w:ascii="黑体" w:hAnsi="黑体" w:cs="黑体" w:eastAsia="黑体" w:hint="default"/>
                <w:sz w:val="19"/>
                <w:szCs w:val="19"/>
              </w:rPr>
            </w:pPr>
            <w:r>
              <w:rPr>
                <w:rFonts w:ascii="黑体" w:hAnsi="黑体" w:cs="黑体" w:eastAsia="黑体" w:hint="default"/>
                <w:sz w:val="19"/>
                <w:szCs w:val="19"/>
              </w:rPr>
              <w:t>项目</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5"/>
              <w:jc w:val="center"/>
              <w:rPr>
                <w:rFonts w:ascii="黑体" w:hAnsi="黑体" w:cs="黑体" w:eastAsia="黑体" w:hint="default"/>
                <w:sz w:val="19"/>
                <w:szCs w:val="19"/>
              </w:rPr>
            </w:pPr>
            <w:r>
              <w:rPr>
                <w:rFonts w:ascii="黑体" w:hAnsi="黑体" w:cs="黑体" w:eastAsia="黑体" w:hint="default"/>
                <w:sz w:val="19"/>
                <w:szCs w:val="19"/>
              </w:rPr>
              <w:t>附注</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2"/>
              <w:jc w:val="center"/>
              <w:rPr>
                <w:rFonts w:ascii="黑体" w:hAnsi="黑体" w:cs="黑体" w:eastAsia="黑体" w:hint="default"/>
                <w:sz w:val="19"/>
                <w:szCs w:val="19"/>
              </w:rPr>
            </w:pPr>
            <w:r>
              <w:rPr>
                <w:rFonts w:ascii="黑体" w:hAnsi="黑体" w:cs="黑体" w:eastAsia="黑体" w:hint="default"/>
                <w:sz w:val="19"/>
                <w:szCs w:val="19"/>
              </w:rPr>
              <w:t>股本</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613" w:right="0"/>
              <w:jc w:val="left"/>
              <w:rPr>
                <w:rFonts w:ascii="黑体" w:hAnsi="黑体" w:cs="黑体" w:eastAsia="黑体" w:hint="default"/>
                <w:sz w:val="19"/>
                <w:szCs w:val="19"/>
              </w:rPr>
            </w:pPr>
            <w:r>
              <w:rPr>
                <w:rFonts w:ascii="黑体" w:hAnsi="黑体" w:cs="黑体" w:eastAsia="黑体" w:hint="default"/>
                <w:sz w:val="19"/>
                <w:szCs w:val="19"/>
              </w:rPr>
              <w:t>资本公积</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570" w:right="0"/>
              <w:jc w:val="left"/>
              <w:rPr>
                <w:rFonts w:ascii="黑体" w:hAnsi="黑体" w:cs="黑体" w:eastAsia="黑体" w:hint="default"/>
                <w:sz w:val="19"/>
                <w:szCs w:val="19"/>
              </w:rPr>
            </w:pPr>
            <w:r>
              <w:rPr>
                <w:rFonts w:ascii="黑体" w:hAnsi="黑体" w:cs="黑体" w:eastAsia="黑体" w:hint="default"/>
                <w:sz w:val="19"/>
                <w:szCs w:val="19"/>
              </w:rPr>
              <w:t>盈余公积</w:t>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500" w:right="0"/>
              <w:jc w:val="left"/>
              <w:rPr>
                <w:rFonts w:ascii="黑体" w:hAnsi="黑体" w:cs="黑体" w:eastAsia="黑体" w:hint="default"/>
                <w:sz w:val="19"/>
                <w:szCs w:val="19"/>
              </w:rPr>
            </w:pPr>
            <w:r>
              <w:rPr>
                <w:rFonts w:ascii="黑体" w:hAnsi="黑体" w:cs="黑体" w:eastAsia="黑体" w:hint="default"/>
                <w:sz w:val="19"/>
                <w:szCs w:val="19"/>
              </w:rPr>
              <w:t>未分配利润</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417" w:right="0"/>
              <w:jc w:val="left"/>
              <w:rPr>
                <w:rFonts w:ascii="黑体" w:hAnsi="黑体" w:cs="黑体" w:eastAsia="黑体" w:hint="default"/>
                <w:sz w:val="19"/>
                <w:szCs w:val="19"/>
              </w:rPr>
            </w:pPr>
            <w:r>
              <w:rPr>
                <w:rFonts w:ascii="黑体" w:hAnsi="黑体" w:cs="黑体" w:eastAsia="黑体" w:hint="default"/>
                <w:sz w:val="19"/>
                <w:szCs w:val="19"/>
              </w:rPr>
              <w:t>股东权益合计</w:t>
            </w:r>
          </w:p>
        </w:tc>
      </w:tr>
      <w:tr>
        <w:trPr>
          <w:trHeight w:val="262"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19"/>
                <w:szCs w:val="19"/>
              </w:rPr>
            </w:pPr>
            <w:r>
              <w:rPr>
                <w:rFonts w:ascii="Arial" w:hAnsi="Arial" w:cs="Arial" w:eastAsia="Arial" w:hint="default"/>
                <w:sz w:val="19"/>
                <w:szCs w:val="19"/>
              </w:rPr>
              <w:t>2011</w:t>
            </w:r>
            <w:r>
              <w:rPr>
                <w:rFonts w:ascii="Arial" w:hAnsi="Arial" w:cs="Arial" w:eastAsia="Arial" w:hint="default"/>
                <w:spacing w:val="-6"/>
                <w:sz w:val="19"/>
                <w:szCs w:val="19"/>
              </w:rPr>
              <w:t> </w:t>
            </w:r>
            <w:r>
              <w:rPr>
                <w:rFonts w:ascii="宋体" w:hAnsi="宋体" w:cs="宋体" w:eastAsia="宋体" w:hint="default"/>
                <w:sz w:val="19"/>
                <w:szCs w:val="19"/>
              </w:rPr>
              <w:t>年</w:t>
            </w:r>
            <w:r>
              <w:rPr>
                <w:rFonts w:ascii="宋体" w:hAnsi="宋体" w:cs="宋体" w:eastAsia="宋体" w:hint="default"/>
                <w:spacing w:val="-48"/>
                <w:sz w:val="19"/>
                <w:szCs w:val="19"/>
              </w:rPr>
              <w:t> </w:t>
            </w:r>
            <w:r>
              <w:rPr>
                <w:rFonts w:ascii="Arial" w:hAnsi="Arial" w:cs="Arial" w:eastAsia="Arial" w:hint="default"/>
                <w:sz w:val="19"/>
                <w:szCs w:val="19"/>
              </w:rPr>
              <w:t>1</w:t>
            </w:r>
            <w:r>
              <w:rPr>
                <w:rFonts w:ascii="Arial" w:hAnsi="Arial" w:cs="Arial" w:eastAsia="Arial" w:hint="default"/>
                <w:spacing w:val="-6"/>
                <w:sz w:val="19"/>
                <w:szCs w:val="19"/>
              </w:rPr>
              <w:t> </w:t>
            </w:r>
            <w:r>
              <w:rPr>
                <w:rFonts w:ascii="宋体" w:hAnsi="宋体" w:cs="宋体" w:eastAsia="宋体" w:hint="default"/>
                <w:sz w:val="19"/>
                <w:szCs w:val="19"/>
              </w:rPr>
              <w:t>月</w:t>
            </w:r>
            <w:r>
              <w:rPr>
                <w:rFonts w:ascii="宋体" w:hAnsi="宋体" w:cs="宋体" w:eastAsia="宋体" w:hint="default"/>
                <w:spacing w:val="-50"/>
                <w:sz w:val="19"/>
                <w:szCs w:val="19"/>
              </w:rPr>
              <w:t> </w:t>
            </w:r>
            <w:r>
              <w:rPr>
                <w:rFonts w:ascii="Arial" w:hAnsi="Arial" w:cs="Arial" w:eastAsia="Arial" w:hint="default"/>
                <w:sz w:val="19"/>
                <w:szCs w:val="19"/>
              </w:rPr>
              <w:t>1</w:t>
            </w:r>
            <w:r>
              <w:rPr>
                <w:rFonts w:ascii="Arial" w:hAnsi="Arial" w:cs="Arial" w:eastAsia="Arial" w:hint="default"/>
                <w:spacing w:val="-6"/>
                <w:sz w:val="19"/>
                <w:szCs w:val="19"/>
              </w:rPr>
              <w:t> </w:t>
            </w:r>
            <w:r>
              <w:rPr>
                <w:rFonts w:ascii="宋体" w:hAnsi="宋体" w:cs="宋体" w:eastAsia="宋体" w:hint="default"/>
                <w:sz w:val="19"/>
                <w:szCs w:val="19"/>
              </w:rPr>
              <w:t>日年初余额</w:t>
            </w:r>
          </w:p>
        </w:tc>
        <w:tc>
          <w:tcPr>
            <w:tcW w:w="750" w:type="dxa"/>
            <w:tcBorders>
              <w:top w:val="single" w:sz="6" w:space="0" w:color="000000"/>
              <w:left w:val="single" w:sz="6" w:space="0" w:color="000000"/>
              <w:bottom w:val="single" w:sz="6" w:space="0" w:color="000000"/>
              <w:right w:val="single" w:sz="6" w:space="0" w:color="000000"/>
            </w:tcBorders>
          </w:tcPr>
          <w:p>
            <w:pP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9"/>
              <w:jc w:val="right"/>
              <w:rPr>
                <w:rFonts w:ascii="Arial" w:hAnsi="Arial" w:cs="Arial" w:eastAsia="Arial" w:hint="default"/>
                <w:sz w:val="19"/>
                <w:szCs w:val="19"/>
              </w:rPr>
            </w:pPr>
            <w:r>
              <w:rPr>
                <w:rFonts w:ascii="Arial"/>
                <w:w w:val="95"/>
                <w:sz w:val="19"/>
              </w:rPr>
              <w:t>21,196,596,395</w:t>
            </w:r>
            <w:r>
              <w:rPr>
                <w:rFonts w:ascii="Arial"/>
                <w:sz w:val="19"/>
              </w:rPr>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5"/>
              <w:jc w:val="right"/>
              <w:rPr>
                <w:rFonts w:ascii="Arial" w:hAnsi="Arial" w:cs="Arial" w:eastAsia="Arial" w:hint="default"/>
                <w:sz w:val="19"/>
                <w:szCs w:val="19"/>
              </w:rPr>
            </w:pPr>
            <w:r>
              <w:rPr>
                <w:rFonts w:ascii="Arial"/>
                <w:w w:val="95"/>
                <w:sz w:val="19"/>
              </w:rPr>
              <w:t>17,111,103,108</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6"/>
              <w:jc w:val="right"/>
              <w:rPr>
                <w:rFonts w:ascii="Arial" w:hAnsi="Arial" w:cs="Arial" w:eastAsia="Arial" w:hint="default"/>
                <w:sz w:val="19"/>
                <w:szCs w:val="19"/>
              </w:rPr>
            </w:pPr>
            <w:r>
              <w:rPr>
                <w:rFonts w:ascii="Arial"/>
                <w:w w:val="95"/>
                <w:sz w:val="19"/>
              </w:rPr>
              <w:t>684,955,035</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4"/>
              <w:jc w:val="right"/>
              <w:rPr>
                <w:rFonts w:ascii="Arial" w:hAnsi="Arial" w:cs="Arial" w:eastAsia="Arial" w:hint="default"/>
                <w:sz w:val="19"/>
                <w:szCs w:val="19"/>
              </w:rPr>
            </w:pPr>
            <w:r>
              <w:rPr>
                <w:rFonts w:ascii="Arial"/>
                <w:w w:val="95"/>
                <w:sz w:val="19"/>
              </w:rPr>
              <w:t>4,351,980</w:t>
            </w:r>
            <w:r>
              <w:rPr>
                <w:rFonts w:ascii="Arial"/>
                <w:sz w:val="19"/>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9"/>
              <w:jc w:val="right"/>
              <w:rPr>
                <w:rFonts w:ascii="Arial" w:hAnsi="Arial" w:cs="Arial" w:eastAsia="Arial" w:hint="default"/>
                <w:sz w:val="19"/>
                <w:szCs w:val="19"/>
              </w:rPr>
            </w:pPr>
            <w:r>
              <w:rPr>
                <w:rFonts w:ascii="Arial"/>
                <w:w w:val="95"/>
                <w:sz w:val="19"/>
              </w:rPr>
              <w:t>38,997,006,518</w:t>
            </w:r>
            <w:r>
              <w:rPr>
                <w:rFonts w:ascii="Arial"/>
                <w:sz w:val="19"/>
              </w:rPr>
            </w:r>
          </w:p>
        </w:tc>
      </w:tr>
      <w:tr>
        <w:trPr>
          <w:trHeight w:val="260"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112" w:right="0"/>
              <w:jc w:val="left"/>
              <w:rPr>
                <w:rFonts w:ascii="宋体" w:hAnsi="宋体" w:cs="宋体" w:eastAsia="宋体" w:hint="default"/>
                <w:sz w:val="19"/>
                <w:szCs w:val="19"/>
              </w:rPr>
            </w:pPr>
            <w:r>
              <w:rPr>
                <w:rFonts w:ascii="宋体" w:hAnsi="宋体" w:cs="宋体" w:eastAsia="宋体" w:hint="default"/>
                <w:sz w:val="19"/>
                <w:szCs w:val="19"/>
              </w:rPr>
              <w:t>（一）净利润</w:t>
            </w:r>
          </w:p>
        </w:tc>
        <w:tc>
          <w:tcPr>
            <w:tcW w:w="750" w:type="dxa"/>
            <w:tcBorders>
              <w:top w:val="single" w:sz="6" w:space="0" w:color="000000"/>
              <w:left w:val="single" w:sz="6" w:space="0" w:color="000000"/>
              <w:bottom w:val="single" w:sz="6" w:space="0" w:color="000000"/>
              <w:right w:val="single" w:sz="6" w:space="0" w:color="000000"/>
            </w:tcBorders>
          </w:tcPr>
          <w:p>
            <w:pP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29"/>
              <w:jc w:val="right"/>
              <w:rPr>
                <w:rFonts w:ascii="Arial" w:hAnsi="Arial" w:cs="Arial" w:eastAsia="Arial" w:hint="default"/>
                <w:sz w:val="19"/>
                <w:szCs w:val="19"/>
              </w:rPr>
            </w:pPr>
            <w:r>
              <w:rPr>
                <w:rFonts w:ascii="Arial"/>
                <w:w w:val="99"/>
                <w:sz w:val="19"/>
              </w:rPr>
              <w:t>-</w:t>
            </w:r>
            <w:r>
              <w:rPr>
                <w:rFonts w:ascii="Arial"/>
                <w:sz w:val="19"/>
              </w:rPr>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25"/>
              <w:jc w:val="right"/>
              <w:rPr>
                <w:rFonts w:ascii="Arial" w:hAnsi="Arial" w:cs="Arial" w:eastAsia="Arial" w:hint="default"/>
                <w:sz w:val="19"/>
                <w:szCs w:val="19"/>
              </w:rPr>
            </w:pPr>
            <w:r>
              <w:rPr>
                <w:rFonts w:ascii="Arial"/>
                <w:w w:val="99"/>
                <w:sz w:val="19"/>
              </w:rPr>
              <w:t>-</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26"/>
              <w:jc w:val="right"/>
              <w:rPr>
                <w:rFonts w:ascii="Arial" w:hAnsi="Arial" w:cs="Arial" w:eastAsia="Arial" w:hint="default"/>
                <w:sz w:val="19"/>
                <w:szCs w:val="19"/>
              </w:rPr>
            </w:pPr>
            <w:r>
              <w:rPr>
                <w:rFonts w:ascii="Arial"/>
                <w:w w:val="99"/>
                <w:sz w:val="19"/>
              </w:rPr>
              <w:t>-</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44"/>
              <w:jc w:val="right"/>
              <w:rPr>
                <w:rFonts w:ascii="Arial" w:hAnsi="Arial" w:cs="Arial" w:eastAsia="Arial" w:hint="default"/>
                <w:sz w:val="19"/>
                <w:szCs w:val="19"/>
              </w:rPr>
            </w:pPr>
            <w:r>
              <w:rPr>
                <w:rFonts w:ascii="Arial"/>
                <w:w w:val="95"/>
                <w:sz w:val="19"/>
              </w:rPr>
              <w:t>615,402,212</w:t>
            </w:r>
            <w:r>
              <w:rPr>
                <w:rFonts w:ascii="Arial"/>
                <w:sz w:val="19"/>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49"/>
              <w:jc w:val="right"/>
              <w:rPr>
                <w:rFonts w:ascii="Arial" w:hAnsi="Arial" w:cs="Arial" w:eastAsia="Arial" w:hint="default"/>
                <w:sz w:val="19"/>
                <w:szCs w:val="19"/>
              </w:rPr>
            </w:pPr>
            <w:r>
              <w:rPr>
                <w:rFonts w:ascii="Arial"/>
                <w:w w:val="95"/>
                <w:sz w:val="19"/>
              </w:rPr>
              <w:t>615,402,212</w:t>
            </w:r>
            <w:r>
              <w:rPr>
                <w:rFonts w:ascii="Arial"/>
                <w:sz w:val="19"/>
              </w:rPr>
            </w:r>
          </w:p>
        </w:tc>
      </w:tr>
      <w:tr>
        <w:trPr>
          <w:trHeight w:val="262"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12" w:right="0"/>
              <w:jc w:val="left"/>
              <w:rPr>
                <w:rFonts w:ascii="宋体" w:hAnsi="宋体" w:cs="宋体" w:eastAsia="宋体" w:hint="default"/>
                <w:sz w:val="19"/>
                <w:szCs w:val="19"/>
              </w:rPr>
            </w:pPr>
            <w:r>
              <w:rPr>
                <w:rFonts w:ascii="宋体" w:hAnsi="宋体" w:cs="宋体" w:eastAsia="宋体" w:hint="default"/>
                <w:sz w:val="19"/>
                <w:szCs w:val="19"/>
              </w:rPr>
              <w:t>（二）利润分配</w:t>
            </w:r>
          </w:p>
        </w:tc>
        <w:tc>
          <w:tcPr>
            <w:tcW w:w="750" w:type="dxa"/>
            <w:tcBorders>
              <w:top w:val="single" w:sz="6" w:space="0" w:color="000000"/>
              <w:left w:val="single" w:sz="6" w:space="0" w:color="000000"/>
              <w:bottom w:val="single" w:sz="6" w:space="0" w:color="000000"/>
              <w:right w:val="single" w:sz="6" w:space="0" w:color="000000"/>
            </w:tcBorders>
          </w:tcPr>
          <w:p>
            <w:pPr/>
          </w:p>
        </w:tc>
        <w:tc>
          <w:tcPr>
            <w:tcW w:w="1910"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62"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493"/>
              <w:jc w:val="right"/>
              <w:rPr>
                <w:rFonts w:ascii="宋体" w:hAnsi="宋体" w:cs="宋体" w:eastAsia="宋体" w:hint="default"/>
                <w:sz w:val="19"/>
                <w:szCs w:val="19"/>
              </w:rPr>
            </w:pPr>
            <w:r>
              <w:rPr>
                <w:rFonts w:ascii="Arial" w:hAnsi="Arial" w:cs="Arial" w:eastAsia="Arial" w:hint="default"/>
                <w:w w:val="95"/>
                <w:sz w:val="19"/>
                <w:szCs w:val="19"/>
              </w:rPr>
              <w:t>1.</w:t>
            </w:r>
            <w:r>
              <w:rPr>
                <w:rFonts w:ascii="宋体" w:hAnsi="宋体" w:cs="宋体" w:eastAsia="宋体" w:hint="default"/>
                <w:w w:val="95"/>
                <w:sz w:val="19"/>
                <w:szCs w:val="19"/>
              </w:rPr>
              <w:t>提取盈余公积－法定公积金</w:t>
            </w:r>
            <w:r>
              <w:rPr>
                <w:rFonts w:ascii="宋体" w:hAnsi="宋体" w:cs="宋体" w:eastAsia="宋体" w:hint="default"/>
                <w:sz w:val="19"/>
                <w:szCs w:val="19"/>
              </w:rPr>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4"/>
              <w:jc w:val="center"/>
              <w:rPr>
                <w:rFonts w:ascii="Arial" w:hAnsi="Arial" w:cs="Arial" w:eastAsia="Arial" w:hint="default"/>
                <w:sz w:val="19"/>
                <w:szCs w:val="19"/>
              </w:rPr>
            </w:pPr>
            <w:r>
              <w:rPr>
                <w:rFonts w:ascii="宋体" w:hAnsi="宋体" w:cs="宋体" w:eastAsia="宋体" w:hint="default"/>
                <w:sz w:val="19"/>
                <w:szCs w:val="19"/>
              </w:rPr>
              <w:t>五</w:t>
            </w:r>
            <w:r>
              <w:rPr>
                <w:rFonts w:ascii="Arial" w:hAnsi="Arial" w:cs="Arial" w:eastAsia="Arial" w:hint="default"/>
                <w:sz w:val="19"/>
                <w:szCs w:val="19"/>
              </w:rPr>
              <w:t>(33)</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9"/>
              <w:jc w:val="right"/>
              <w:rPr>
                <w:rFonts w:ascii="Arial" w:hAnsi="Arial" w:cs="Arial" w:eastAsia="Arial" w:hint="default"/>
                <w:sz w:val="19"/>
                <w:szCs w:val="19"/>
              </w:rPr>
            </w:pPr>
            <w:r>
              <w:rPr>
                <w:rFonts w:ascii="Arial"/>
                <w:w w:val="99"/>
                <w:sz w:val="19"/>
              </w:rPr>
              <w:t>-</w:t>
            </w:r>
            <w:r>
              <w:rPr>
                <w:rFonts w:ascii="Arial"/>
                <w:sz w:val="19"/>
              </w:rPr>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5"/>
              <w:jc w:val="right"/>
              <w:rPr>
                <w:rFonts w:ascii="Arial" w:hAnsi="Arial" w:cs="Arial" w:eastAsia="Arial" w:hint="default"/>
                <w:sz w:val="19"/>
                <w:szCs w:val="19"/>
              </w:rPr>
            </w:pPr>
            <w:r>
              <w:rPr>
                <w:rFonts w:ascii="Arial"/>
                <w:w w:val="99"/>
                <w:sz w:val="19"/>
              </w:rPr>
              <w:t>-</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6"/>
              <w:jc w:val="right"/>
              <w:rPr>
                <w:rFonts w:ascii="Arial" w:hAnsi="Arial" w:cs="Arial" w:eastAsia="Arial" w:hint="default"/>
                <w:sz w:val="19"/>
                <w:szCs w:val="19"/>
              </w:rPr>
            </w:pPr>
            <w:r>
              <w:rPr>
                <w:rFonts w:ascii="Arial"/>
                <w:w w:val="95"/>
                <w:sz w:val="19"/>
              </w:rPr>
              <w:t>61,540,221</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2"/>
              <w:jc w:val="right"/>
              <w:rPr>
                <w:rFonts w:ascii="Arial" w:hAnsi="Arial" w:cs="Arial" w:eastAsia="Arial" w:hint="default"/>
                <w:sz w:val="19"/>
                <w:szCs w:val="19"/>
              </w:rPr>
            </w:pPr>
            <w:r>
              <w:rPr>
                <w:rFonts w:ascii="Arial"/>
                <w:w w:val="95"/>
                <w:sz w:val="19"/>
              </w:rPr>
              <w:t>(61,540,221)</w:t>
            </w:r>
            <w:r>
              <w:rPr>
                <w:rFonts w:ascii="Arial"/>
                <w:sz w:val="19"/>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9"/>
              <w:jc w:val="right"/>
              <w:rPr>
                <w:rFonts w:ascii="Arial" w:hAnsi="Arial" w:cs="Arial" w:eastAsia="Arial" w:hint="default"/>
                <w:sz w:val="19"/>
                <w:szCs w:val="19"/>
              </w:rPr>
            </w:pPr>
            <w:r>
              <w:rPr>
                <w:rFonts w:ascii="Arial"/>
                <w:w w:val="99"/>
                <w:sz w:val="19"/>
              </w:rPr>
              <w:t>-</w:t>
            </w:r>
            <w:r>
              <w:rPr>
                <w:rFonts w:ascii="Arial"/>
                <w:sz w:val="19"/>
              </w:rPr>
            </w:r>
          </w:p>
        </w:tc>
      </w:tr>
      <w:tr>
        <w:trPr>
          <w:trHeight w:val="262"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670" w:right="0"/>
              <w:jc w:val="left"/>
              <w:rPr>
                <w:rFonts w:ascii="宋体" w:hAnsi="宋体" w:cs="宋体" w:eastAsia="宋体" w:hint="default"/>
                <w:sz w:val="19"/>
                <w:szCs w:val="19"/>
              </w:rPr>
            </w:pPr>
            <w:r>
              <w:rPr>
                <w:rFonts w:ascii="Arial" w:hAnsi="Arial" w:cs="Arial" w:eastAsia="Arial" w:hint="default"/>
                <w:sz w:val="19"/>
                <w:szCs w:val="19"/>
              </w:rPr>
              <w:t>2.</w:t>
            </w:r>
            <w:r>
              <w:rPr>
                <w:rFonts w:ascii="宋体" w:hAnsi="宋体" w:cs="宋体" w:eastAsia="宋体" w:hint="default"/>
                <w:sz w:val="19"/>
                <w:szCs w:val="19"/>
              </w:rPr>
              <w:t>向股东分派的普通股股利</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4"/>
              <w:jc w:val="center"/>
              <w:rPr>
                <w:rFonts w:ascii="Arial" w:hAnsi="Arial" w:cs="Arial" w:eastAsia="Arial" w:hint="default"/>
                <w:sz w:val="19"/>
                <w:szCs w:val="19"/>
              </w:rPr>
            </w:pPr>
            <w:r>
              <w:rPr>
                <w:rFonts w:ascii="宋体" w:hAnsi="宋体" w:cs="宋体" w:eastAsia="宋体" w:hint="default"/>
                <w:sz w:val="19"/>
                <w:szCs w:val="19"/>
              </w:rPr>
              <w:t>五</w:t>
            </w:r>
            <w:r>
              <w:rPr>
                <w:rFonts w:ascii="Arial" w:hAnsi="Arial" w:cs="Arial" w:eastAsia="Arial" w:hint="default"/>
                <w:sz w:val="19"/>
                <w:szCs w:val="19"/>
              </w:rPr>
              <w:t>(34)</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9"/>
              <w:jc w:val="right"/>
              <w:rPr>
                <w:rFonts w:ascii="Arial" w:hAnsi="Arial" w:cs="Arial" w:eastAsia="Arial" w:hint="default"/>
                <w:sz w:val="19"/>
                <w:szCs w:val="19"/>
              </w:rPr>
            </w:pPr>
            <w:r>
              <w:rPr>
                <w:rFonts w:ascii="Arial"/>
                <w:w w:val="99"/>
                <w:sz w:val="19"/>
              </w:rPr>
              <w:t>-</w:t>
            </w:r>
            <w:r>
              <w:rPr>
                <w:rFonts w:ascii="Arial"/>
                <w:sz w:val="19"/>
              </w:rPr>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5"/>
              <w:jc w:val="right"/>
              <w:rPr>
                <w:rFonts w:ascii="Arial" w:hAnsi="Arial" w:cs="Arial" w:eastAsia="Arial" w:hint="default"/>
                <w:sz w:val="19"/>
                <w:szCs w:val="19"/>
              </w:rPr>
            </w:pPr>
            <w:r>
              <w:rPr>
                <w:rFonts w:ascii="Arial"/>
                <w:w w:val="99"/>
                <w:sz w:val="19"/>
              </w:rPr>
              <w:t>-</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6"/>
              <w:jc w:val="right"/>
              <w:rPr>
                <w:rFonts w:ascii="Arial" w:hAnsi="Arial" w:cs="Arial" w:eastAsia="Arial" w:hint="default"/>
                <w:sz w:val="19"/>
                <w:szCs w:val="19"/>
              </w:rPr>
            </w:pPr>
            <w:r>
              <w:rPr>
                <w:rFonts w:ascii="Arial"/>
                <w:w w:val="99"/>
                <w:sz w:val="19"/>
              </w:rPr>
              <w:t>-</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2"/>
              <w:jc w:val="right"/>
              <w:rPr>
                <w:rFonts w:ascii="Arial" w:hAnsi="Arial" w:cs="Arial" w:eastAsia="Arial" w:hint="default"/>
                <w:sz w:val="19"/>
                <w:szCs w:val="19"/>
              </w:rPr>
            </w:pPr>
            <w:r>
              <w:rPr>
                <w:rFonts w:ascii="Arial"/>
                <w:w w:val="95"/>
                <w:sz w:val="19"/>
              </w:rPr>
              <w:t>(551,111,506)</w:t>
            </w:r>
            <w:r>
              <w:rPr>
                <w:rFonts w:ascii="Arial"/>
                <w:sz w:val="19"/>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7"/>
              <w:jc w:val="right"/>
              <w:rPr>
                <w:rFonts w:ascii="Arial" w:hAnsi="Arial" w:cs="Arial" w:eastAsia="Arial" w:hint="default"/>
                <w:sz w:val="19"/>
                <w:szCs w:val="19"/>
              </w:rPr>
            </w:pPr>
            <w:r>
              <w:rPr>
                <w:rFonts w:ascii="Arial"/>
                <w:w w:val="95"/>
                <w:sz w:val="19"/>
              </w:rPr>
              <w:t>(551,111,506)</w:t>
            </w:r>
            <w:r>
              <w:rPr>
                <w:rFonts w:ascii="Arial"/>
                <w:sz w:val="19"/>
              </w:rPr>
            </w:r>
          </w:p>
        </w:tc>
      </w:tr>
      <w:tr>
        <w:trPr>
          <w:trHeight w:val="262"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19"/>
                <w:szCs w:val="19"/>
              </w:rPr>
            </w:pPr>
            <w:r>
              <w:rPr>
                <w:rFonts w:ascii="Arial" w:hAnsi="Arial" w:cs="Arial" w:eastAsia="Arial" w:hint="default"/>
                <w:sz w:val="19"/>
                <w:szCs w:val="19"/>
              </w:rPr>
              <w:t>2011</w:t>
            </w:r>
            <w:r>
              <w:rPr>
                <w:rFonts w:ascii="Arial" w:hAnsi="Arial" w:cs="Arial" w:eastAsia="Arial" w:hint="default"/>
                <w:spacing w:val="-6"/>
                <w:sz w:val="19"/>
                <w:szCs w:val="19"/>
              </w:rPr>
              <w:t> </w:t>
            </w:r>
            <w:r>
              <w:rPr>
                <w:rFonts w:ascii="宋体" w:hAnsi="宋体" w:cs="宋体" w:eastAsia="宋体" w:hint="default"/>
                <w:sz w:val="19"/>
                <w:szCs w:val="19"/>
              </w:rPr>
              <w:t>年</w:t>
            </w:r>
            <w:r>
              <w:rPr>
                <w:rFonts w:ascii="宋体" w:hAnsi="宋体" w:cs="宋体" w:eastAsia="宋体" w:hint="default"/>
                <w:spacing w:val="-48"/>
                <w:sz w:val="19"/>
                <w:szCs w:val="19"/>
              </w:rPr>
              <w:t> </w:t>
            </w:r>
            <w:r>
              <w:rPr>
                <w:rFonts w:ascii="Arial" w:hAnsi="Arial" w:cs="Arial" w:eastAsia="Arial" w:hint="default"/>
                <w:sz w:val="19"/>
                <w:szCs w:val="19"/>
              </w:rPr>
              <w:t>12</w:t>
            </w:r>
            <w:r>
              <w:rPr>
                <w:rFonts w:ascii="Arial" w:hAnsi="Arial" w:cs="Arial" w:eastAsia="Arial" w:hint="default"/>
                <w:spacing w:val="-6"/>
                <w:sz w:val="19"/>
                <w:szCs w:val="19"/>
              </w:rPr>
              <w:t> </w:t>
            </w:r>
            <w:r>
              <w:rPr>
                <w:rFonts w:ascii="宋体" w:hAnsi="宋体" w:cs="宋体" w:eastAsia="宋体" w:hint="default"/>
                <w:sz w:val="19"/>
                <w:szCs w:val="19"/>
              </w:rPr>
              <w:t>月</w:t>
            </w:r>
            <w:r>
              <w:rPr>
                <w:rFonts w:ascii="宋体" w:hAnsi="宋体" w:cs="宋体" w:eastAsia="宋体" w:hint="default"/>
                <w:spacing w:val="-50"/>
                <w:sz w:val="19"/>
                <w:szCs w:val="19"/>
              </w:rPr>
              <w:t> </w:t>
            </w:r>
            <w:r>
              <w:rPr>
                <w:rFonts w:ascii="Arial" w:hAnsi="Arial" w:cs="Arial" w:eastAsia="Arial" w:hint="default"/>
                <w:sz w:val="19"/>
                <w:szCs w:val="19"/>
              </w:rPr>
              <w:t>31</w:t>
            </w:r>
            <w:r>
              <w:rPr>
                <w:rFonts w:ascii="Arial" w:hAnsi="Arial" w:cs="Arial" w:eastAsia="Arial" w:hint="default"/>
                <w:spacing w:val="-6"/>
                <w:sz w:val="19"/>
                <w:szCs w:val="19"/>
              </w:rPr>
              <w:t> </w:t>
            </w:r>
            <w:r>
              <w:rPr>
                <w:rFonts w:ascii="宋体" w:hAnsi="宋体" w:cs="宋体" w:eastAsia="宋体" w:hint="default"/>
                <w:sz w:val="19"/>
                <w:szCs w:val="19"/>
              </w:rPr>
              <w:t>日年末余额</w:t>
            </w:r>
          </w:p>
        </w:tc>
        <w:tc>
          <w:tcPr>
            <w:tcW w:w="750" w:type="dxa"/>
            <w:tcBorders>
              <w:top w:val="single" w:sz="6" w:space="0" w:color="000000"/>
              <w:left w:val="single" w:sz="6" w:space="0" w:color="000000"/>
              <w:bottom w:val="single" w:sz="6" w:space="0" w:color="000000"/>
              <w:right w:val="single" w:sz="6" w:space="0" w:color="000000"/>
            </w:tcBorders>
          </w:tcPr>
          <w:p>
            <w:pP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9"/>
              <w:jc w:val="right"/>
              <w:rPr>
                <w:rFonts w:ascii="Arial" w:hAnsi="Arial" w:cs="Arial" w:eastAsia="Arial" w:hint="default"/>
                <w:sz w:val="19"/>
                <w:szCs w:val="19"/>
              </w:rPr>
            </w:pPr>
            <w:r>
              <w:rPr>
                <w:rFonts w:ascii="Arial"/>
                <w:w w:val="95"/>
                <w:sz w:val="19"/>
              </w:rPr>
              <w:t>21,196,596,395</w:t>
            </w:r>
            <w:r>
              <w:rPr>
                <w:rFonts w:ascii="Arial"/>
                <w:sz w:val="19"/>
              </w:rPr>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5"/>
              <w:jc w:val="right"/>
              <w:rPr>
                <w:rFonts w:ascii="Arial" w:hAnsi="Arial" w:cs="Arial" w:eastAsia="Arial" w:hint="default"/>
                <w:sz w:val="19"/>
                <w:szCs w:val="19"/>
              </w:rPr>
            </w:pPr>
            <w:r>
              <w:rPr>
                <w:rFonts w:ascii="Arial"/>
                <w:w w:val="95"/>
                <w:sz w:val="19"/>
              </w:rPr>
              <w:t>17,111,103,108</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6"/>
              <w:jc w:val="right"/>
              <w:rPr>
                <w:rFonts w:ascii="Arial" w:hAnsi="Arial" w:cs="Arial" w:eastAsia="Arial" w:hint="default"/>
                <w:sz w:val="19"/>
                <w:szCs w:val="19"/>
              </w:rPr>
            </w:pPr>
            <w:r>
              <w:rPr>
                <w:rFonts w:ascii="Arial"/>
                <w:w w:val="95"/>
                <w:sz w:val="19"/>
              </w:rPr>
              <w:t>746,495,256</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4"/>
              <w:jc w:val="right"/>
              <w:rPr>
                <w:rFonts w:ascii="Arial" w:hAnsi="Arial" w:cs="Arial" w:eastAsia="Arial" w:hint="default"/>
                <w:sz w:val="19"/>
                <w:szCs w:val="19"/>
              </w:rPr>
            </w:pPr>
            <w:r>
              <w:rPr>
                <w:rFonts w:ascii="Arial"/>
                <w:w w:val="95"/>
                <w:sz w:val="19"/>
              </w:rPr>
              <w:t>7,102,465</w:t>
            </w:r>
            <w:r>
              <w:rPr>
                <w:rFonts w:ascii="Arial"/>
                <w:sz w:val="19"/>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9"/>
              <w:jc w:val="right"/>
              <w:rPr>
                <w:rFonts w:ascii="Arial" w:hAnsi="Arial" w:cs="Arial" w:eastAsia="Arial" w:hint="default"/>
                <w:sz w:val="19"/>
                <w:szCs w:val="19"/>
              </w:rPr>
            </w:pPr>
            <w:r>
              <w:rPr>
                <w:rFonts w:ascii="Arial"/>
                <w:w w:val="95"/>
                <w:sz w:val="19"/>
              </w:rPr>
              <w:t>39,061,297,224</w:t>
            </w:r>
            <w:r>
              <w:rPr>
                <w:rFonts w:ascii="Arial"/>
                <w:sz w:val="19"/>
              </w:rPr>
            </w:r>
          </w:p>
        </w:tc>
      </w:tr>
      <w:tr>
        <w:trPr>
          <w:trHeight w:val="262"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112" w:right="0"/>
              <w:jc w:val="left"/>
              <w:rPr>
                <w:rFonts w:ascii="宋体" w:hAnsi="宋体" w:cs="宋体" w:eastAsia="宋体" w:hint="default"/>
                <w:sz w:val="19"/>
                <w:szCs w:val="19"/>
              </w:rPr>
            </w:pPr>
            <w:r>
              <w:rPr>
                <w:rFonts w:ascii="宋体" w:hAnsi="宋体" w:cs="宋体" w:eastAsia="宋体" w:hint="default"/>
                <w:sz w:val="19"/>
                <w:szCs w:val="19"/>
              </w:rPr>
              <w:t>（一）净利润</w:t>
            </w:r>
          </w:p>
        </w:tc>
        <w:tc>
          <w:tcPr>
            <w:tcW w:w="750" w:type="dxa"/>
            <w:tcBorders>
              <w:top w:val="single" w:sz="6" w:space="0" w:color="000000"/>
              <w:left w:val="single" w:sz="6" w:space="0" w:color="000000"/>
              <w:bottom w:val="single" w:sz="6" w:space="0" w:color="000000"/>
              <w:right w:val="single" w:sz="6" w:space="0" w:color="000000"/>
            </w:tcBorders>
          </w:tcPr>
          <w:p>
            <w:pP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9"/>
              <w:jc w:val="right"/>
              <w:rPr>
                <w:rFonts w:ascii="Arial" w:hAnsi="Arial" w:cs="Arial" w:eastAsia="Arial" w:hint="default"/>
                <w:sz w:val="19"/>
                <w:szCs w:val="19"/>
              </w:rPr>
            </w:pPr>
            <w:r>
              <w:rPr>
                <w:rFonts w:ascii="Arial"/>
                <w:w w:val="99"/>
                <w:sz w:val="19"/>
              </w:rPr>
              <w:t>-</w:t>
            </w:r>
            <w:r>
              <w:rPr>
                <w:rFonts w:ascii="Arial"/>
                <w:sz w:val="19"/>
              </w:rPr>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5"/>
              <w:jc w:val="right"/>
              <w:rPr>
                <w:rFonts w:ascii="Arial" w:hAnsi="Arial" w:cs="Arial" w:eastAsia="Arial" w:hint="default"/>
                <w:sz w:val="19"/>
                <w:szCs w:val="19"/>
              </w:rPr>
            </w:pPr>
            <w:r>
              <w:rPr>
                <w:rFonts w:ascii="Arial"/>
                <w:w w:val="99"/>
                <w:sz w:val="19"/>
              </w:rPr>
              <w:t>-</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6"/>
              <w:jc w:val="right"/>
              <w:rPr>
                <w:rFonts w:ascii="Arial" w:hAnsi="Arial" w:cs="Arial" w:eastAsia="Arial" w:hint="default"/>
                <w:sz w:val="19"/>
                <w:szCs w:val="19"/>
              </w:rPr>
            </w:pPr>
            <w:r>
              <w:rPr>
                <w:rFonts w:ascii="Arial"/>
                <w:w w:val="99"/>
                <w:sz w:val="19"/>
              </w:rPr>
              <w:t>-</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4"/>
              <w:jc w:val="right"/>
              <w:rPr>
                <w:rFonts w:ascii="Arial" w:hAnsi="Arial" w:cs="Arial" w:eastAsia="Arial" w:hint="default"/>
                <w:sz w:val="19"/>
                <w:szCs w:val="19"/>
              </w:rPr>
            </w:pPr>
            <w:r>
              <w:rPr>
                <w:rFonts w:ascii="Arial"/>
                <w:w w:val="95"/>
                <w:sz w:val="19"/>
              </w:rPr>
              <w:t>779,203,755</w:t>
            </w:r>
            <w:r>
              <w:rPr>
                <w:rFonts w:ascii="Arial"/>
                <w:sz w:val="19"/>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57"/>
              <w:jc w:val="right"/>
              <w:rPr>
                <w:rFonts w:ascii="Arial" w:hAnsi="Arial" w:cs="Arial" w:eastAsia="Arial" w:hint="default"/>
                <w:sz w:val="19"/>
                <w:szCs w:val="19"/>
              </w:rPr>
            </w:pPr>
            <w:r>
              <w:rPr>
                <w:rFonts w:ascii="Arial"/>
                <w:w w:val="95"/>
                <w:sz w:val="19"/>
              </w:rPr>
              <w:t>779,203,755</w:t>
            </w:r>
            <w:r>
              <w:rPr>
                <w:rFonts w:ascii="Arial"/>
                <w:sz w:val="19"/>
              </w:rPr>
            </w:r>
          </w:p>
        </w:tc>
      </w:tr>
      <w:tr>
        <w:trPr>
          <w:trHeight w:val="260"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112" w:right="0"/>
              <w:jc w:val="left"/>
              <w:rPr>
                <w:rFonts w:ascii="宋体" w:hAnsi="宋体" w:cs="宋体" w:eastAsia="宋体" w:hint="default"/>
                <w:sz w:val="19"/>
                <w:szCs w:val="19"/>
              </w:rPr>
            </w:pPr>
            <w:r>
              <w:rPr>
                <w:rFonts w:ascii="宋体" w:hAnsi="宋体" w:cs="宋体" w:eastAsia="宋体" w:hint="default"/>
                <w:sz w:val="19"/>
                <w:szCs w:val="19"/>
              </w:rPr>
              <w:t>（二）利润分配</w:t>
            </w:r>
          </w:p>
        </w:tc>
        <w:tc>
          <w:tcPr>
            <w:tcW w:w="750" w:type="dxa"/>
            <w:tcBorders>
              <w:top w:val="single" w:sz="6" w:space="0" w:color="000000"/>
              <w:left w:val="single" w:sz="6" w:space="0" w:color="000000"/>
              <w:bottom w:val="single" w:sz="6" w:space="0" w:color="000000"/>
              <w:right w:val="single" w:sz="6" w:space="0" w:color="000000"/>
            </w:tcBorders>
          </w:tcPr>
          <w:p>
            <w:pPr/>
          </w:p>
        </w:tc>
        <w:tc>
          <w:tcPr>
            <w:tcW w:w="1910"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62"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493"/>
              <w:jc w:val="right"/>
              <w:rPr>
                <w:rFonts w:ascii="宋体" w:hAnsi="宋体" w:cs="宋体" w:eastAsia="宋体" w:hint="default"/>
                <w:sz w:val="19"/>
                <w:szCs w:val="19"/>
              </w:rPr>
            </w:pPr>
            <w:r>
              <w:rPr>
                <w:rFonts w:ascii="Arial" w:hAnsi="Arial" w:cs="Arial" w:eastAsia="Arial" w:hint="default"/>
                <w:w w:val="95"/>
                <w:sz w:val="19"/>
                <w:szCs w:val="19"/>
              </w:rPr>
              <w:t>1.</w:t>
            </w:r>
            <w:r>
              <w:rPr>
                <w:rFonts w:ascii="宋体" w:hAnsi="宋体" w:cs="宋体" w:eastAsia="宋体" w:hint="default"/>
                <w:w w:val="95"/>
                <w:sz w:val="19"/>
                <w:szCs w:val="19"/>
              </w:rPr>
              <w:t>提取盈余公积－法定公积金</w:t>
            </w:r>
            <w:r>
              <w:rPr>
                <w:rFonts w:ascii="宋体" w:hAnsi="宋体" w:cs="宋体" w:eastAsia="宋体" w:hint="default"/>
                <w:sz w:val="19"/>
                <w:szCs w:val="19"/>
              </w:rPr>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4"/>
              <w:jc w:val="center"/>
              <w:rPr>
                <w:rFonts w:ascii="Arial" w:hAnsi="Arial" w:cs="Arial" w:eastAsia="Arial" w:hint="default"/>
                <w:sz w:val="19"/>
                <w:szCs w:val="19"/>
              </w:rPr>
            </w:pPr>
            <w:r>
              <w:rPr>
                <w:rFonts w:ascii="宋体" w:hAnsi="宋体" w:cs="宋体" w:eastAsia="宋体" w:hint="default"/>
                <w:sz w:val="19"/>
                <w:szCs w:val="19"/>
              </w:rPr>
              <w:t>五</w:t>
            </w:r>
            <w:r>
              <w:rPr>
                <w:rFonts w:ascii="Arial" w:hAnsi="Arial" w:cs="Arial" w:eastAsia="Arial" w:hint="default"/>
                <w:sz w:val="19"/>
                <w:szCs w:val="19"/>
              </w:rPr>
              <w:t>(33)</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9"/>
              <w:jc w:val="right"/>
              <w:rPr>
                <w:rFonts w:ascii="Arial" w:hAnsi="Arial" w:cs="Arial" w:eastAsia="Arial" w:hint="default"/>
                <w:sz w:val="19"/>
                <w:szCs w:val="19"/>
              </w:rPr>
            </w:pPr>
            <w:r>
              <w:rPr>
                <w:rFonts w:ascii="Arial"/>
                <w:w w:val="99"/>
                <w:sz w:val="19"/>
              </w:rPr>
              <w:t>-</w:t>
            </w:r>
            <w:r>
              <w:rPr>
                <w:rFonts w:ascii="Arial"/>
                <w:sz w:val="19"/>
              </w:rPr>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5"/>
              <w:jc w:val="right"/>
              <w:rPr>
                <w:rFonts w:ascii="Arial" w:hAnsi="Arial" w:cs="Arial" w:eastAsia="Arial" w:hint="default"/>
                <w:sz w:val="19"/>
                <w:szCs w:val="19"/>
              </w:rPr>
            </w:pPr>
            <w:r>
              <w:rPr>
                <w:rFonts w:ascii="Arial"/>
                <w:w w:val="99"/>
                <w:sz w:val="19"/>
              </w:rPr>
              <w:t>-</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6"/>
              <w:jc w:val="right"/>
              <w:rPr>
                <w:rFonts w:ascii="Arial" w:hAnsi="Arial" w:cs="Arial" w:eastAsia="Arial" w:hint="default"/>
                <w:sz w:val="19"/>
                <w:szCs w:val="19"/>
              </w:rPr>
            </w:pPr>
            <w:r>
              <w:rPr>
                <w:rFonts w:ascii="Arial"/>
                <w:w w:val="95"/>
                <w:sz w:val="19"/>
              </w:rPr>
              <w:t>77,920,376</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2"/>
              <w:jc w:val="right"/>
              <w:rPr>
                <w:rFonts w:ascii="Arial" w:hAnsi="Arial" w:cs="Arial" w:eastAsia="Arial" w:hint="default"/>
                <w:sz w:val="19"/>
                <w:szCs w:val="19"/>
              </w:rPr>
            </w:pPr>
            <w:r>
              <w:rPr>
                <w:rFonts w:ascii="Arial"/>
                <w:w w:val="95"/>
                <w:sz w:val="19"/>
              </w:rPr>
              <w:t>(77,920,376)</w:t>
            </w:r>
            <w:r>
              <w:rPr>
                <w:rFonts w:ascii="Arial"/>
                <w:sz w:val="19"/>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58"/>
              <w:jc w:val="right"/>
              <w:rPr>
                <w:rFonts w:ascii="Arial" w:hAnsi="Arial" w:cs="Arial" w:eastAsia="Arial" w:hint="default"/>
                <w:sz w:val="19"/>
                <w:szCs w:val="19"/>
              </w:rPr>
            </w:pPr>
            <w:r>
              <w:rPr>
                <w:rFonts w:ascii="Arial"/>
                <w:w w:val="99"/>
                <w:sz w:val="19"/>
              </w:rPr>
              <w:t>-</w:t>
            </w:r>
            <w:r>
              <w:rPr>
                <w:rFonts w:ascii="Arial"/>
                <w:sz w:val="19"/>
              </w:rPr>
            </w:r>
          </w:p>
        </w:tc>
      </w:tr>
      <w:tr>
        <w:trPr>
          <w:trHeight w:val="262"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670" w:right="0"/>
              <w:jc w:val="left"/>
              <w:rPr>
                <w:rFonts w:ascii="宋体" w:hAnsi="宋体" w:cs="宋体" w:eastAsia="宋体" w:hint="default"/>
                <w:sz w:val="19"/>
                <w:szCs w:val="19"/>
              </w:rPr>
            </w:pPr>
            <w:r>
              <w:rPr>
                <w:rFonts w:ascii="Arial" w:hAnsi="Arial" w:cs="Arial" w:eastAsia="Arial" w:hint="default"/>
                <w:sz w:val="19"/>
                <w:szCs w:val="19"/>
              </w:rPr>
              <w:t>2.</w:t>
            </w:r>
            <w:r>
              <w:rPr>
                <w:rFonts w:ascii="宋体" w:hAnsi="宋体" w:cs="宋体" w:eastAsia="宋体" w:hint="default"/>
                <w:sz w:val="19"/>
                <w:szCs w:val="19"/>
              </w:rPr>
              <w:t>向股东分派的普通股股利</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4"/>
              <w:jc w:val="center"/>
              <w:rPr>
                <w:rFonts w:ascii="Arial" w:hAnsi="Arial" w:cs="Arial" w:eastAsia="Arial" w:hint="default"/>
                <w:sz w:val="19"/>
                <w:szCs w:val="19"/>
              </w:rPr>
            </w:pPr>
            <w:r>
              <w:rPr>
                <w:rFonts w:ascii="宋体" w:hAnsi="宋体" w:cs="宋体" w:eastAsia="宋体" w:hint="default"/>
                <w:sz w:val="19"/>
                <w:szCs w:val="19"/>
              </w:rPr>
              <w:t>五</w:t>
            </w:r>
            <w:r>
              <w:rPr>
                <w:rFonts w:ascii="Arial" w:hAnsi="Arial" w:cs="Arial" w:eastAsia="Arial" w:hint="default"/>
                <w:sz w:val="19"/>
                <w:szCs w:val="19"/>
              </w:rPr>
              <w:t>(34)</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9"/>
              <w:jc w:val="right"/>
              <w:rPr>
                <w:rFonts w:ascii="Arial" w:hAnsi="Arial" w:cs="Arial" w:eastAsia="Arial" w:hint="default"/>
                <w:sz w:val="19"/>
                <w:szCs w:val="19"/>
              </w:rPr>
            </w:pPr>
            <w:r>
              <w:rPr>
                <w:rFonts w:ascii="Arial"/>
                <w:w w:val="99"/>
                <w:sz w:val="19"/>
              </w:rPr>
              <w:t>-</w:t>
            </w:r>
            <w:r>
              <w:rPr>
                <w:rFonts w:ascii="Arial"/>
                <w:sz w:val="19"/>
              </w:rPr>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5"/>
              <w:jc w:val="right"/>
              <w:rPr>
                <w:rFonts w:ascii="Arial" w:hAnsi="Arial" w:cs="Arial" w:eastAsia="Arial" w:hint="default"/>
                <w:sz w:val="19"/>
                <w:szCs w:val="19"/>
              </w:rPr>
            </w:pPr>
            <w:r>
              <w:rPr>
                <w:rFonts w:ascii="Arial"/>
                <w:w w:val="99"/>
                <w:sz w:val="19"/>
              </w:rPr>
              <w:t>-</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6"/>
              <w:jc w:val="right"/>
              <w:rPr>
                <w:rFonts w:ascii="Arial" w:hAnsi="Arial" w:cs="Arial" w:eastAsia="Arial" w:hint="default"/>
                <w:sz w:val="19"/>
                <w:szCs w:val="19"/>
              </w:rPr>
            </w:pPr>
            <w:r>
              <w:rPr>
                <w:rFonts w:ascii="Arial"/>
                <w:w w:val="99"/>
                <w:sz w:val="19"/>
              </w:rPr>
              <w:t>-</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1"/>
              <w:jc w:val="right"/>
              <w:rPr>
                <w:rFonts w:ascii="Arial" w:hAnsi="Arial" w:cs="Arial" w:eastAsia="Arial" w:hint="default"/>
                <w:sz w:val="19"/>
                <w:szCs w:val="19"/>
              </w:rPr>
            </w:pPr>
            <w:r>
              <w:rPr>
                <w:rFonts w:ascii="Arial"/>
                <w:w w:val="95"/>
                <w:sz w:val="19"/>
              </w:rPr>
              <w:t>(710,085,981)</w:t>
            </w:r>
            <w:r>
              <w:rPr>
                <w:rFonts w:ascii="Arial"/>
                <w:sz w:val="19"/>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4"/>
              <w:jc w:val="right"/>
              <w:rPr>
                <w:rFonts w:ascii="Arial" w:hAnsi="Arial" w:cs="Arial" w:eastAsia="Arial" w:hint="default"/>
                <w:sz w:val="19"/>
                <w:szCs w:val="19"/>
              </w:rPr>
            </w:pPr>
            <w:r>
              <w:rPr>
                <w:rFonts w:ascii="Arial"/>
                <w:w w:val="95"/>
                <w:sz w:val="19"/>
              </w:rPr>
              <w:t>(710,085,981)</w:t>
            </w:r>
            <w:r>
              <w:rPr>
                <w:rFonts w:ascii="Arial"/>
                <w:sz w:val="19"/>
              </w:rPr>
            </w:r>
          </w:p>
        </w:tc>
      </w:tr>
      <w:tr>
        <w:trPr>
          <w:trHeight w:val="260" w:hRule="exact"/>
        </w:trPr>
        <w:tc>
          <w:tcPr>
            <w:tcW w:w="461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宋体" w:hAnsi="宋体" w:cs="宋体" w:eastAsia="宋体" w:hint="default"/>
                <w:sz w:val="19"/>
                <w:szCs w:val="19"/>
              </w:rPr>
            </w:pPr>
            <w:r>
              <w:rPr>
                <w:rFonts w:ascii="Arial" w:hAnsi="Arial" w:cs="Arial" w:eastAsia="Arial" w:hint="default"/>
                <w:sz w:val="19"/>
                <w:szCs w:val="19"/>
              </w:rPr>
              <w:t>2012</w:t>
            </w:r>
            <w:r>
              <w:rPr>
                <w:rFonts w:ascii="Arial" w:hAnsi="Arial" w:cs="Arial" w:eastAsia="Arial" w:hint="default"/>
                <w:spacing w:val="-6"/>
                <w:sz w:val="19"/>
                <w:szCs w:val="19"/>
              </w:rPr>
              <w:t> </w:t>
            </w:r>
            <w:r>
              <w:rPr>
                <w:rFonts w:ascii="宋体" w:hAnsi="宋体" w:cs="宋体" w:eastAsia="宋体" w:hint="default"/>
                <w:sz w:val="19"/>
                <w:szCs w:val="19"/>
              </w:rPr>
              <w:t>年</w:t>
            </w:r>
            <w:r>
              <w:rPr>
                <w:rFonts w:ascii="宋体" w:hAnsi="宋体" w:cs="宋体" w:eastAsia="宋体" w:hint="default"/>
                <w:spacing w:val="-48"/>
                <w:sz w:val="19"/>
                <w:szCs w:val="19"/>
              </w:rPr>
              <w:t> </w:t>
            </w:r>
            <w:r>
              <w:rPr>
                <w:rFonts w:ascii="Arial" w:hAnsi="Arial" w:cs="Arial" w:eastAsia="Arial" w:hint="default"/>
                <w:sz w:val="19"/>
                <w:szCs w:val="19"/>
              </w:rPr>
              <w:t>12</w:t>
            </w:r>
            <w:r>
              <w:rPr>
                <w:rFonts w:ascii="Arial" w:hAnsi="Arial" w:cs="Arial" w:eastAsia="Arial" w:hint="default"/>
                <w:spacing w:val="-6"/>
                <w:sz w:val="19"/>
                <w:szCs w:val="19"/>
              </w:rPr>
              <w:t> </w:t>
            </w:r>
            <w:r>
              <w:rPr>
                <w:rFonts w:ascii="宋体" w:hAnsi="宋体" w:cs="宋体" w:eastAsia="宋体" w:hint="default"/>
                <w:sz w:val="19"/>
                <w:szCs w:val="19"/>
              </w:rPr>
              <w:t>月</w:t>
            </w:r>
            <w:r>
              <w:rPr>
                <w:rFonts w:ascii="宋体" w:hAnsi="宋体" w:cs="宋体" w:eastAsia="宋体" w:hint="default"/>
                <w:spacing w:val="-50"/>
                <w:sz w:val="19"/>
                <w:szCs w:val="19"/>
              </w:rPr>
              <w:t> </w:t>
            </w:r>
            <w:r>
              <w:rPr>
                <w:rFonts w:ascii="Arial" w:hAnsi="Arial" w:cs="Arial" w:eastAsia="Arial" w:hint="default"/>
                <w:sz w:val="19"/>
                <w:szCs w:val="19"/>
              </w:rPr>
              <w:t>31</w:t>
            </w:r>
            <w:r>
              <w:rPr>
                <w:rFonts w:ascii="Arial" w:hAnsi="Arial" w:cs="Arial" w:eastAsia="Arial" w:hint="default"/>
                <w:spacing w:val="-6"/>
                <w:sz w:val="19"/>
                <w:szCs w:val="19"/>
              </w:rPr>
              <w:t> </w:t>
            </w:r>
            <w:r>
              <w:rPr>
                <w:rFonts w:ascii="宋体" w:hAnsi="宋体" w:cs="宋体" w:eastAsia="宋体" w:hint="default"/>
                <w:sz w:val="19"/>
                <w:szCs w:val="19"/>
              </w:rPr>
              <w:t>日年末余额</w:t>
            </w:r>
          </w:p>
        </w:tc>
        <w:tc>
          <w:tcPr>
            <w:tcW w:w="750" w:type="dxa"/>
            <w:tcBorders>
              <w:top w:val="single" w:sz="6" w:space="0" w:color="000000"/>
              <w:left w:val="single" w:sz="6" w:space="0" w:color="000000"/>
              <w:bottom w:val="single" w:sz="6" w:space="0" w:color="000000"/>
              <w:right w:val="single" w:sz="6" w:space="0" w:color="000000"/>
            </w:tcBorders>
          </w:tcPr>
          <w:p>
            <w:pP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9"/>
              <w:jc w:val="right"/>
              <w:rPr>
                <w:rFonts w:ascii="Arial" w:hAnsi="Arial" w:cs="Arial" w:eastAsia="Arial" w:hint="default"/>
                <w:sz w:val="19"/>
                <w:szCs w:val="19"/>
              </w:rPr>
            </w:pPr>
            <w:r>
              <w:rPr>
                <w:rFonts w:ascii="Arial"/>
                <w:w w:val="95"/>
                <w:sz w:val="19"/>
              </w:rPr>
              <w:t>21,196,596,395</w:t>
            </w:r>
            <w:r>
              <w:rPr>
                <w:rFonts w:ascii="Arial"/>
                <w:sz w:val="19"/>
              </w:rPr>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5"/>
              <w:jc w:val="right"/>
              <w:rPr>
                <w:rFonts w:ascii="Arial" w:hAnsi="Arial" w:cs="Arial" w:eastAsia="Arial" w:hint="default"/>
                <w:sz w:val="19"/>
                <w:szCs w:val="19"/>
              </w:rPr>
            </w:pPr>
            <w:r>
              <w:rPr>
                <w:rFonts w:ascii="Arial"/>
                <w:w w:val="95"/>
                <w:sz w:val="19"/>
              </w:rPr>
              <w:t>17,111,103,108</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6"/>
              <w:jc w:val="right"/>
              <w:rPr>
                <w:rFonts w:ascii="Arial" w:hAnsi="Arial" w:cs="Arial" w:eastAsia="Arial" w:hint="default"/>
                <w:sz w:val="19"/>
                <w:szCs w:val="19"/>
              </w:rPr>
            </w:pPr>
            <w:r>
              <w:rPr>
                <w:rFonts w:ascii="Arial"/>
                <w:w w:val="95"/>
                <w:sz w:val="19"/>
              </w:rPr>
              <w:t>824,415,632</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1"/>
              <w:jc w:val="right"/>
              <w:rPr>
                <w:rFonts w:ascii="Arial" w:hAnsi="Arial" w:cs="Arial" w:eastAsia="Arial" w:hint="default"/>
                <w:sz w:val="19"/>
                <w:szCs w:val="19"/>
              </w:rPr>
            </w:pPr>
            <w:r>
              <w:rPr>
                <w:rFonts w:ascii="Arial"/>
                <w:w w:val="95"/>
                <w:sz w:val="19"/>
              </w:rPr>
              <w:t>(1,700,137)</w:t>
            </w:r>
            <w:r>
              <w:rPr>
                <w:rFonts w:ascii="Arial"/>
                <w:sz w:val="19"/>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58"/>
              <w:jc w:val="right"/>
              <w:rPr>
                <w:rFonts w:ascii="Arial" w:hAnsi="Arial" w:cs="Arial" w:eastAsia="Arial" w:hint="default"/>
                <w:sz w:val="19"/>
                <w:szCs w:val="19"/>
              </w:rPr>
            </w:pPr>
            <w:r>
              <w:rPr>
                <w:rFonts w:ascii="Arial"/>
                <w:w w:val="95"/>
                <w:sz w:val="19"/>
              </w:rPr>
              <w:t>39,130,414,998</w:t>
            </w:r>
            <w:r>
              <w:rPr>
                <w:rFonts w:ascii="Arial"/>
                <w:sz w:val="19"/>
              </w:rPr>
            </w:r>
          </w:p>
        </w:tc>
      </w:tr>
    </w:tbl>
    <w:p>
      <w:pPr>
        <w:spacing w:line="240" w:lineRule="auto" w:before="1"/>
        <w:rPr>
          <w:rFonts w:ascii="黑体" w:hAnsi="黑体" w:cs="黑体" w:eastAsia="黑体" w:hint="default"/>
          <w:sz w:val="14"/>
          <w:szCs w:val="14"/>
        </w:rPr>
      </w:pPr>
    </w:p>
    <w:p>
      <w:pPr>
        <w:spacing w:before="38"/>
        <w:ind w:left="107" w:right="0" w:firstLine="0"/>
        <w:jc w:val="left"/>
        <w:rPr>
          <w:rFonts w:ascii="黑体" w:hAnsi="黑体" w:cs="黑体" w:eastAsia="黑体" w:hint="default"/>
          <w:sz w:val="20"/>
          <w:szCs w:val="20"/>
        </w:rPr>
      </w:pPr>
      <w:r>
        <w:rPr>
          <w:rFonts w:ascii="黑体" w:hAnsi="黑体" w:cs="黑体" w:eastAsia="黑体" w:hint="default"/>
          <w:sz w:val="20"/>
          <w:szCs w:val="20"/>
        </w:rPr>
        <w:t>后附财务报表附注为财务报表的组成部分。</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28"/>
          <w:szCs w:val="28"/>
        </w:rPr>
      </w:pPr>
    </w:p>
    <w:p>
      <w:pPr>
        <w:pStyle w:val="BodyText"/>
        <w:tabs>
          <w:tab w:pos="5679" w:val="left" w:leader="none"/>
          <w:tab w:pos="11040" w:val="left" w:leader="none"/>
        </w:tabs>
        <w:spacing w:line="240" w:lineRule="auto"/>
        <w:ind w:left="122" w:right="0"/>
        <w:jc w:val="left"/>
        <w:rPr>
          <w:rFonts w:ascii="黑体" w:hAnsi="黑体" w:cs="黑体" w:eastAsia="黑体" w:hint="default"/>
        </w:rPr>
      </w:pPr>
      <w:r>
        <w:rPr>
          <w:rFonts w:ascii="黑体" w:hAnsi="黑体" w:cs="黑体" w:eastAsia="黑体" w:hint="default"/>
          <w:w w:val="95"/>
        </w:rPr>
        <w:t>董事长：常小兵</w:t>
        <w:tab/>
        <w:t>财务负责人：张健</w:t>
        <w:tab/>
      </w:r>
      <w:r>
        <w:rPr>
          <w:rFonts w:ascii="黑体" w:hAnsi="黑体" w:cs="黑体" w:eastAsia="黑体" w:hint="default"/>
        </w:rPr>
        <w:t>财务部总经理：李张挺</w:t>
      </w:r>
    </w:p>
    <w:p>
      <w:pPr>
        <w:spacing w:after="0" w:line="240" w:lineRule="auto"/>
        <w:jc w:val="left"/>
        <w:rPr>
          <w:rFonts w:ascii="黑体" w:hAnsi="黑体" w:cs="黑体" w:eastAsia="黑体" w:hint="default"/>
        </w:rPr>
        <w:sectPr>
          <w:headerReference w:type="default" r:id="rId36"/>
          <w:footerReference w:type="default" r:id="rId37"/>
          <w:pgSz w:w="16840" w:h="11910" w:orient="landscape"/>
          <w:pgMar w:header="0" w:footer="472" w:top="1080" w:bottom="660" w:left="880" w:right="560"/>
          <w:pgNumType w:start="60"/>
        </w:sectPr>
      </w:pPr>
    </w:p>
    <w:p>
      <w:pPr>
        <w:pStyle w:val="BodyText"/>
        <w:spacing w:line="240" w:lineRule="auto" w:before="5"/>
        <w:ind w:left="118" w:right="5567"/>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2"/>
        <w:rPr>
          <w:rFonts w:ascii="黑体" w:hAnsi="黑体" w:cs="黑体" w:eastAsia="黑体" w:hint="default"/>
          <w:sz w:val="19"/>
          <w:szCs w:val="19"/>
        </w:rPr>
      </w:pPr>
    </w:p>
    <w:p>
      <w:pPr>
        <w:pStyle w:val="BodyText"/>
        <w:spacing w:line="287" w:lineRule="exact"/>
        <w:ind w:left="118" w:right="5567"/>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left="118" w:right="5567"/>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tabs>
          <w:tab w:pos="536" w:val="left" w:leader="none"/>
        </w:tabs>
        <w:spacing w:line="465" w:lineRule="auto"/>
        <w:ind w:left="104" w:right="5567" w:firstLine="14"/>
        <w:jc w:val="left"/>
        <w:rPr>
          <w:rFonts w:ascii="黑体" w:hAnsi="黑体" w:cs="黑体" w:eastAsia="黑体" w:hint="default"/>
        </w:rPr>
      </w:pPr>
      <w:r>
        <w:rPr>
          <w:rFonts w:ascii="黑体" w:hAnsi="黑体" w:cs="黑体" w:eastAsia="黑体" w:hint="default"/>
        </w:rPr>
        <w:t>（除特别注明外，金额单位为人民币元）</w:t>
      </w:r>
      <w:r>
        <w:rPr>
          <w:rFonts w:ascii="黑体" w:hAnsi="黑体" w:cs="黑体" w:eastAsia="黑体" w:hint="default"/>
          <w:w w:val="99"/>
        </w:rPr>
        <w:t> </w:t>
      </w:r>
      <w:r>
        <w:rPr>
          <w:rFonts w:ascii="黑体" w:hAnsi="黑体" w:cs="黑体" w:eastAsia="黑体" w:hint="default"/>
          <w:w w:val="95"/>
        </w:rPr>
        <w:t>一</w:t>
        <w:tab/>
      </w:r>
      <w:r>
        <w:rPr>
          <w:rFonts w:ascii="黑体" w:hAnsi="黑体" w:cs="黑体" w:eastAsia="黑体" w:hint="default"/>
        </w:rPr>
        <w:t>公司简介</w:t>
      </w:r>
    </w:p>
    <w:p>
      <w:pPr>
        <w:pStyle w:val="BodyText"/>
        <w:spacing w:line="240" w:lineRule="auto" w:before="43"/>
        <w:ind w:left="122" w:right="28"/>
        <w:jc w:val="left"/>
      </w:pPr>
      <w:r>
        <w:rPr>
          <w:rFonts w:ascii="Arial" w:hAnsi="Arial" w:cs="Arial" w:eastAsia="Arial" w:hint="default"/>
        </w:rPr>
        <w:t>1</w:t>
      </w:r>
      <w:r>
        <w:rPr/>
        <w:t>、</w:t>
      </w:r>
      <w:r>
        <w:rPr>
          <w:spacing w:val="-46"/>
        </w:rPr>
        <w:t> </w:t>
      </w:r>
      <w:r>
        <w:rPr/>
        <w:t>中国联合网络通信股份有限公司简介</w:t>
      </w:r>
    </w:p>
    <w:p>
      <w:pPr>
        <w:spacing w:line="240" w:lineRule="auto" w:before="2"/>
        <w:rPr>
          <w:rFonts w:ascii="宋体" w:hAnsi="宋体" w:cs="宋体" w:eastAsia="宋体" w:hint="default"/>
          <w:sz w:val="20"/>
          <w:szCs w:val="20"/>
        </w:rPr>
      </w:pPr>
    </w:p>
    <w:p>
      <w:pPr>
        <w:pStyle w:val="BodyText"/>
        <w:spacing w:line="286" w:lineRule="exact"/>
        <w:ind w:left="538" w:right="28"/>
        <w:jc w:val="left"/>
        <w:rPr>
          <w:rFonts w:ascii="Arial" w:hAnsi="Arial" w:cs="Arial" w:eastAsia="Arial" w:hint="default"/>
        </w:rPr>
      </w:pPr>
      <w:r>
        <w:rPr>
          <w:spacing w:val="2"/>
        </w:rPr>
        <w:t>中国联合网络通信股份有限公司（“本公司”）是根据国务院批准的重组方案，由中国联合</w:t>
      </w:r>
      <w:r>
        <w:rPr>
          <w:w w:val="99"/>
        </w:rPr>
        <w:t> </w:t>
      </w:r>
      <w:r>
        <w:rPr>
          <w:spacing w:val="-10"/>
        </w:rPr>
        <w:t>网络通信集团有限公司（“联通集团”）以其于中国联通（</w:t>
      </w:r>
      <w:r>
        <w:rPr>
          <w:rFonts w:ascii="Arial" w:hAnsi="Arial" w:cs="Arial" w:eastAsia="Arial" w:hint="default"/>
          <w:spacing w:val="-10"/>
        </w:rPr>
        <w:t>BVI</w:t>
      </w:r>
      <w:r>
        <w:rPr>
          <w:spacing w:val="-10"/>
        </w:rPr>
        <w:t>）有限公司（“联通</w:t>
      </w:r>
      <w:r>
        <w:rPr>
          <w:spacing w:val="-49"/>
        </w:rPr>
        <w:t> </w:t>
      </w:r>
      <w:r>
        <w:rPr>
          <w:rFonts w:ascii="Arial" w:hAnsi="Arial" w:cs="Arial" w:eastAsia="Arial" w:hint="default"/>
        </w:rPr>
        <w:t>BVI </w:t>
      </w:r>
      <w:r>
        <w:rPr>
          <w:spacing w:val="-11"/>
        </w:rPr>
        <w:t>公司”）</w:t>
      </w:r>
      <w:r>
        <w:rPr>
          <w:spacing w:val="-108"/>
        </w:rPr>
        <w:t> </w:t>
      </w:r>
      <w:r>
        <w:rPr>
          <w:spacing w:val="-108"/>
        </w:rPr>
      </w:r>
      <w:r>
        <w:rPr>
          <w:w w:val="95"/>
        </w:rPr>
        <w:t>的  </w:t>
      </w:r>
      <w:r>
        <w:rPr>
          <w:rFonts w:ascii="Arial" w:hAnsi="Arial" w:cs="Arial" w:eastAsia="Arial" w:hint="default"/>
          <w:w w:val="95"/>
        </w:rPr>
        <w:t>51%</w:t>
      </w:r>
      <w:r>
        <w:rPr>
          <w:w w:val="95"/>
        </w:rPr>
        <w:t>股权投资所对应的经评估的净资产出资，并联合其他四家发起单位以现金出资于 </w:t>
      </w:r>
      <w:r>
        <w:rPr>
          <w:spacing w:val="57"/>
          <w:w w:val="95"/>
        </w:rPr>
        <w:t> </w:t>
      </w:r>
      <w:r>
        <w:rPr>
          <w:rFonts w:ascii="Arial" w:hAnsi="Arial" w:cs="Arial" w:eastAsia="Arial" w:hint="default"/>
          <w:w w:val="95"/>
        </w:rPr>
        <w:t>2001</w:t>
      </w:r>
      <w:r>
        <w:rPr>
          <w:rFonts w:ascii="Arial" w:hAnsi="Arial" w:cs="Arial" w:eastAsia="Arial" w:hint="default"/>
        </w:rPr>
      </w:r>
    </w:p>
    <w:p>
      <w:pPr>
        <w:pStyle w:val="BodyText"/>
        <w:spacing w:line="265" w:lineRule="exact"/>
        <w:ind w:left="538" w:right="28"/>
        <w:jc w:val="left"/>
      </w:pPr>
      <w:r>
        <w:rPr/>
        <w:t>年</w:t>
      </w:r>
      <w:r>
        <w:rPr>
          <w:spacing w:val="-48"/>
        </w:rPr>
        <w:t> </w:t>
      </w:r>
      <w:r>
        <w:rPr>
          <w:rFonts w:ascii="Arial" w:hAnsi="Arial" w:cs="Arial" w:eastAsia="Arial" w:hint="default"/>
        </w:rPr>
        <w:t>12</w:t>
      </w:r>
      <w:r>
        <w:rPr>
          <w:rFonts w:ascii="Arial" w:hAnsi="Arial" w:cs="Arial" w:eastAsia="Arial" w:hint="default"/>
          <w:spacing w:val="2"/>
        </w:rPr>
        <w:t> </w:t>
      </w:r>
      <w:r>
        <w:rPr/>
        <w:t>月</w:t>
      </w:r>
      <w:r>
        <w:rPr>
          <w:spacing w:val="-48"/>
        </w:rPr>
        <w:t> </w:t>
      </w:r>
      <w:r>
        <w:rPr>
          <w:rFonts w:ascii="Arial" w:hAnsi="Arial" w:cs="Arial" w:eastAsia="Arial" w:hint="default"/>
        </w:rPr>
        <w:t>31</w:t>
      </w:r>
      <w:r>
        <w:rPr>
          <w:rFonts w:ascii="Arial" w:hAnsi="Arial" w:cs="Arial" w:eastAsia="Arial" w:hint="default"/>
          <w:spacing w:val="2"/>
        </w:rPr>
        <w:t> </w:t>
      </w:r>
      <w:r>
        <w:rPr/>
        <w:t>日在中华人民共和国（“中国”）成立的股份有限公司，经批准的经营范围为从</w:t>
      </w:r>
    </w:p>
    <w:p>
      <w:pPr>
        <w:pStyle w:val="BodyText"/>
        <w:spacing w:line="230" w:lineRule="auto" w:before="1"/>
        <w:ind w:left="538" w:right="101"/>
        <w:jc w:val="left"/>
      </w:pPr>
      <w:r>
        <w:rPr/>
        <w:t>事国（境）内外电信行业的投资。本公司目前只直接持有对联通 </w:t>
      </w:r>
      <w:r>
        <w:rPr>
          <w:rFonts w:ascii="Arial" w:hAnsi="Arial" w:cs="Arial" w:eastAsia="Arial" w:hint="default"/>
        </w:rPr>
        <w:t>BVI</w:t>
      </w:r>
      <w:r>
        <w:rPr>
          <w:rFonts w:ascii="Arial" w:hAnsi="Arial" w:cs="Arial" w:eastAsia="Arial" w:hint="default"/>
          <w:spacing w:val="4"/>
        </w:rPr>
        <w:t> </w:t>
      </w:r>
      <w:r>
        <w:rPr/>
        <w:t>公司的股权投资。本公</w:t>
      </w:r>
      <w:r>
        <w:rPr>
          <w:w w:val="99"/>
        </w:rPr>
        <w:t> </w:t>
      </w:r>
      <w:r>
        <w:rPr/>
        <w:t>司通过联通</w:t>
      </w:r>
      <w:r>
        <w:rPr>
          <w:spacing w:val="-52"/>
        </w:rPr>
        <w:t> </w:t>
      </w:r>
      <w:r>
        <w:rPr>
          <w:rFonts w:ascii="Arial" w:hAnsi="Arial" w:cs="Arial" w:eastAsia="Arial" w:hint="default"/>
        </w:rPr>
        <w:t>BVI</w:t>
      </w:r>
      <w:r>
        <w:rPr>
          <w:rFonts w:ascii="Arial" w:hAnsi="Arial" w:cs="Arial" w:eastAsia="Arial" w:hint="default"/>
          <w:spacing w:val="-4"/>
        </w:rPr>
        <w:t> </w:t>
      </w:r>
      <w:r>
        <w:rPr>
          <w:spacing w:val="-8"/>
        </w:rPr>
        <w:t>公司及其子公司中国联合网络通信（香港）股份有限公司（“联通红筹公司”）</w:t>
      </w:r>
      <w:r>
        <w:rPr>
          <w:w w:val="99"/>
        </w:rPr>
        <w:t> </w:t>
      </w:r>
      <w:r>
        <w:rPr>
          <w:spacing w:val="2"/>
        </w:rPr>
        <w:t>控股中国联合网络通信有限公司（“联通运营公司”），联通运营公司是一家在中国境内提</w:t>
      </w:r>
      <w:r>
        <w:rPr>
          <w:w w:val="99"/>
        </w:rPr>
        <w:t> </w:t>
      </w:r>
      <w:r>
        <w:rPr>
          <w:spacing w:val="2"/>
        </w:rPr>
        <w:t>供综合电信服务的大型电信公司，其主营业务为在中国境内提供移动和固网语音及相关增值</w:t>
      </w:r>
      <w:r>
        <w:rPr>
          <w:spacing w:val="-108"/>
        </w:rPr>
        <w:t> </w:t>
      </w:r>
      <w:r>
        <w:rPr>
          <w:spacing w:val="-108"/>
        </w:rPr>
      </w:r>
      <w:r>
        <w:rPr/>
        <w:t>服务、宽带及其他互联网相关服务、信息通信技术服务以及商务及数据通信服务。</w:t>
      </w:r>
      <w:r>
        <w:rPr>
          <w:rFonts w:ascii="Arial" w:hAnsi="Arial" w:cs="Arial" w:eastAsia="Arial" w:hint="default"/>
        </w:rPr>
        <w:t>GSM</w:t>
      </w:r>
      <w:r>
        <w:rPr>
          <w:rFonts w:ascii="Arial" w:hAnsi="Arial" w:cs="Arial" w:eastAsia="Arial" w:hint="default"/>
          <w:spacing w:val="-18"/>
        </w:rPr>
        <w:t> </w:t>
      </w:r>
      <w:r>
        <w:rPr/>
        <w:t>移动</w:t>
      </w:r>
      <w:r>
        <w:rPr>
          <w:w w:val="99"/>
        </w:rPr>
        <w:t> </w:t>
      </w:r>
      <w:r>
        <w:rPr/>
        <w:t>语音、</w:t>
      </w:r>
      <w:r>
        <w:rPr>
          <w:rFonts w:ascii="Arial" w:hAnsi="Arial" w:cs="Arial" w:eastAsia="Arial" w:hint="default"/>
        </w:rPr>
        <w:t>WCDMA</w:t>
      </w:r>
      <w:r>
        <w:rPr>
          <w:rFonts w:ascii="Arial" w:hAnsi="Arial" w:cs="Arial" w:eastAsia="Arial" w:hint="default"/>
          <w:spacing w:val="41"/>
        </w:rPr>
        <w:t> </w:t>
      </w:r>
      <w:r>
        <w:rPr/>
        <w:t>移动语音及相关增值服务以下称为“移动业务”。除移动业务外，上述其他</w:t>
      </w:r>
      <w:r>
        <w:rPr>
          <w:w w:val="99"/>
        </w:rPr>
        <w:t> </w:t>
      </w:r>
      <w:r>
        <w:rPr/>
        <w:t>业务以下统称为“固网业务”。</w:t>
      </w:r>
    </w:p>
    <w:p>
      <w:pPr>
        <w:spacing w:line="240" w:lineRule="auto" w:before="2"/>
        <w:rPr>
          <w:rFonts w:ascii="宋体" w:hAnsi="宋体" w:cs="宋体" w:eastAsia="宋体" w:hint="default"/>
          <w:sz w:val="19"/>
          <w:szCs w:val="19"/>
        </w:rPr>
      </w:pPr>
    </w:p>
    <w:p>
      <w:pPr>
        <w:pStyle w:val="BodyText"/>
        <w:spacing w:line="295" w:lineRule="exact"/>
        <w:ind w:left="538" w:right="28"/>
        <w:jc w:val="left"/>
      </w:pPr>
      <w:r>
        <w:rPr/>
        <w:t>于</w:t>
      </w:r>
      <w:r>
        <w:rPr>
          <w:spacing w:val="-45"/>
        </w:rPr>
        <w:t> </w:t>
      </w:r>
      <w:r>
        <w:rPr>
          <w:rFonts w:ascii="Arial" w:hAnsi="Arial" w:cs="Arial" w:eastAsia="Arial" w:hint="default"/>
        </w:rPr>
        <w:t>2002</w:t>
      </w:r>
      <w:r>
        <w:rPr>
          <w:rFonts w:ascii="Arial" w:hAnsi="Arial" w:cs="Arial" w:eastAsia="Arial" w:hint="default"/>
          <w:spacing w:val="4"/>
        </w:rPr>
        <w:t> </w:t>
      </w:r>
      <w:r>
        <w:rPr/>
        <w:t>年</w:t>
      </w:r>
      <w:r>
        <w:rPr>
          <w:spacing w:val="-46"/>
        </w:rPr>
        <w:t> </w:t>
      </w:r>
      <w:r>
        <w:rPr>
          <w:rFonts w:ascii="Arial" w:hAnsi="Arial" w:cs="Arial" w:eastAsia="Arial" w:hint="default"/>
        </w:rPr>
        <w:t>9</w:t>
      </w:r>
      <w:r>
        <w:rPr>
          <w:rFonts w:ascii="Arial" w:hAnsi="Arial" w:cs="Arial" w:eastAsia="Arial" w:hint="default"/>
          <w:spacing w:val="4"/>
        </w:rPr>
        <w:t> </w:t>
      </w:r>
      <w:r>
        <w:rPr/>
        <w:t>月</w:t>
      </w:r>
      <w:r>
        <w:rPr>
          <w:spacing w:val="-45"/>
        </w:rPr>
        <w:t> </w:t>
      </w:r>
      <w:r>
        <w:rPr>
          <w:rFonts w:ascii="Arial" w:hAnsi="Arial" w:cs="Arial" w:eastAsia="Arial" w:hint="default"/>
        </w:rPr>
        <w:t>20</w:t>
      </w:r>
      <w:r>
        <w:rPr>
          <w:rFonts w:ascii="Arial" w:hAnsi="Arial" w:cs="Arial" w:eastAsia="Arial" w:hint="default"/>
          <w:spacing w:val="4"/>
        </w:rPr>
        <w:t> </w:t>
      </w:r>
      <w:r>
        <w:rPr/>
        <w:t>日，本公司向社会公开发行人民币普通股股票</w:t>
      </w:r>
      <w:r>
        <w:rPr>
          <w:spacing w:val="-43"/>
        </w:rPr>
        <w:t> </w:t>
      </w:r>
      <w:r>
        <w:rPr>
          <w:rFonts w:ascii="Arial" w:hAnsi="Arial" w:cs="Arial" w:eastAsia="Arial" w:hint="default"/>
        </w:rPr>
        <w:t>50</w:t>
      </w:r>
      <w:r>
        <w:rPr>
          <w:rFonts w:ascii="Arial" w:hAnsi="Arial" w:cs="Arial" w:eastAsia="Arial" w:hint="default"/>
          <w:spacing w:val="4"/>
        </w:rPr>
        <w:t> </w:t>
      </w:r>
      <w:r>
        <w:rPr/>
        <w:t>亿股。上述股票公开发</w:t>
      </w:r>
    </w:p>
    <w:p>
      <w:pPr>
        <w:pStyle w:val="BodyText"/>
        <w:spacing w:line="225" w:lineRule="auto" w:before="6"/>
        <w:ind w:left="538" w:right="212"/>
        <w:jc w:val="both"/>
      </w:pPr>
      <w:r>
        <w:rPr/>
        <w:t>行后，本公司的股本增至</w:t>
      </w:r>
      <w:r>
        <w:rPr>
          <w:spacing w:val="-55"/>
        </w:rPr>
        <w:t> </w:t>
      </w:r>
      <w:r>
        <w:rPr>
          <w:rFonts w:ascii="Arial" w:hAnsi="Arial" w:cs="Arial" w:eastAsia="Arial" w:hint="default"/>
        </w:rPr>
        <w:t>19,696,596,395</w:t>
      </w:r>
      <w:r>
        <w:rPr>
          <w:rFonts w:ascii="Arial" w:hAnsi="Arial" w:cs="Arial" w:eastAsia="Arial" w:hint="default"/>
          <w:spacing w:val="-8"/>
        </w:rPr>
        <w:t> </w:t>
      </w:r>
      <w:r>
        <w:rPr/>
        <w:t>元。于</w:t>
      </w:r>
      <w:r>
        <w:rPr>
          <w:spacing w:val="-57"/>
        </w:rPr>
        <w:t> </w:t>
      </w:r>
      <w:r>
        <w:rPr>
          <w:rFonts w:ascii="Arial" w:hAnsi="Arial" w:cs="Arial" w:eastAsia="Arial" w:hint="default"/>
        </w:rPr>
        <w:t>2002</w:t>
      </w:r>
      <w:r>
        <w:rPr>
          <w:rFonts w:ascii="Arial" w:hAnsi="Arial" w:cs="Arial" w:eastAsia="Arial" w:hint="default"/>
          <w:spacing w:val="-7"/>
        </w:rPr>
        <w:t> </w:t>
      </w:r>
      <w:r>
        <w:rPr/>
        <w:t>年</w:t>
      </w:r>
      <w:r>
        <w:rPr>
          <w:spacing w:val="-57"/>
        </w:rPr>
        <w:t> </w:t>
      </w:r>
      <w:r>
        <w:rPr>
          <w:rFonts w:ascii="Arial" w:hAnsi="Arial" w:cs="Arial" w:eastAsia="Arial" w:hint="default"/>
        </w:rPr>
        <w:t>10</w:t>
      </w:r>
      <w:r>
        <w:rPr>
          <w:rFonts w:ascii="Arial" w:hAnsi="Arial" w:cs="Arial" w:eastAsia="Arial" w:hint="default"/>
          <w:spacing w:val="-8"/>
        </w:rPr>
        <w:t> </w:t>
      </w:r>
      <w:r>
        <w:rPr/>
        <w:t>月</w:t>
      </w:r>
      <w:r>
        <w:rPr>
          <w:spacing w:val="-57"/>
        </w:rPr>
        <w:t> </w:t>
      </w:r>
      <w:r>
        <w:rPr>
          <w:rFonts w:ascii="Arial" w:hAnsi="Arial" w:cs="Arial" w:eastAsia="Arial" w:hint="default"/>
        </w:rPr>
        <w:t>11</w:t>
      </w:r>
      <w:r>
        <w:rPr>
          <w:rFonts w:ascii="Arial" w:hAnsi="Arial" w:cs="Arial" w:eastAsia="Arial" w:hint="default"/>
          <w:spacing w:val="-8"/>
        </w:rPr>
        <w:t> </w:t>
      </w:r>
      <w:r>
        <w:rPr/>
        <w:t>日，本公司以募集资金扣</w:t>
      </w:r>
      <w:r>
        <w:rPr>
          <w:w w:val="99"/>
        </w:rPr>
        <w:t> </w:t>
      </w:r>
      <w:r>
        <w:rPr/>
        <w:t>除发行费用后的全额向联通集团增购其持有的联通</w:t>
      </w:r>
      <w:r>
        <w:rPr>
          <w:spacing w:val="-56"/>
        </w:rPr>
        <w:t> </w:t>
      </w:r>
      <w:r>
        <w:rPr>
          <w:rFonts w:ascii="Arial" w:hAnsi="Arial" w:cs="Arial" w:eastAsia="Arial" w:hint="default"/>
        </w:rPr>
        <w:t>BVI</w:t>
      </w:r>
      <w:r>
        <w:rPr>
          <w:rFonts w:ascii="Arial" w:hAnsi="Arial" w:cs="Arial" w:eastAsia="Arial" w:hint="default"/>
          <w:spacing w:val="-8"/>
        </w:rPr>
        <w:t> </w:t>
      </w:r>
      <w:r>
        <w:rPr/>
        <w:t>公司的</w:t>
      </w:r>
      <w:r>
        <w:rPr>
          <w:spacing w:val="-57"/>
        </w:rPr>
        <w:t> </w:t>
      </w:r>
      <w:r>
        <w:rPr>
          <w:rFonts w:ascii="Arial" w:hAnsi="Arial" w:cs="Arial" w:eastAsia="Arial" w:hint="default"/>
          <w:spacing w:val="-5"/>
        </w:rPr>
        <w:t>22.84%</w:t>
      </w:r>
      <w:r>
        <w:rPr>
          <w:spacing w:val="-5"/>
        </w:rPr>
        <w:t>的股权。收购交易完成</w:t>
      </w:r>
      <w:r>
        <w:rPr>
          <w:w w:val="99"/>
        </w:rPr>
        <w:t> </w:t>
      </w:r>
      <w:r>
        <w:rPr/>
        <w:t>后，本公司对联通</w:t>
      </w:r>
      <w:r>
        <w:rPr>
          <w:spacing w:val="-58"/>
        </w:rPr>
        <w:t> </w:t>
      </w:r>
      <w:r>
        <w:rPr>
          <w:rFonts w:ascii="Arial" w:hAnsi="Arial" w:cs="Arial" w:eastAsia="Arial" w:hint="default"/>
        </w:rPr>
        <w:t>BVI</w:t>
      </w:r>
      <w:r>
        <w:rPr>
          <w:rFonts w:ascii="Arial" w:hAnsi="Arial" w:cs="Arial" w:eastAsia="Arial" w:hint="default"/>
          <w:spacing w:val="-9"/>
        </w:rPr>
        <w:t> </w:t>
      </w:r>
      <w:r>
        <w:rPr/>
        <w:t>公司持股比例由原来的</w:t>
      </w:r>
      <w:r>
        <w:rPr>
          <w:spacing w:val="-57"/>
        </w:rPr>
        <w:t> </w:t>
      </w:r>
      <w:r>
        <w:rPr>
          <w:rFonts w:ascii="Arial" w:hAnsi="Arial" w:cs="Arial" w:eastAsia="Arial" w:hint="default"/>
        </w:rPr>
        <w:t>51%</w:t>
      </w:r>
      <w:r>
        <w:rPr/>
        <w:t>增至</w:t>
      </w:r>
      <w:r>
        <w:rPr>
          <w:spacing w:val="-59"/>
        </w:rPr>
        <w:t> </w:t>
      </w:r>
      <w:r>
        <w:rPr>
          <w:rFonts w:ascii="Arial" w:hAnsi="Arial" w:cs="Arial" w:eastAsia="Arial" w:hint="default"/>
        </w:rPr>
        <w:t>73.84%</w:t>
      </w:r>
      <w:r>
        <w:rPr/>
        <w:t>。</w:t>
      </w:r>
    </w:p>
    <w:p>
      <w:pPr>
        <w:spacing w:line="240" w:lineRule="auto" w:before="2"/>
        <w:rPr>
          <w:rFonts w:ascii="宋体" w:hAnsi="宋体" w:cs="宋体" w:eastAsia="宋体" w:hint="default"/>
          <w:sz w:val="18"/>
          <w:szCs w:val="18"/>
        </w:rPr>
      </w:pPr>
    </w:p>
    <w:p>
      <w:pPr>
        <w:pStyle w:val="BodyText"/>
        <w:spacing w:line="295" w:lineRule="exact"/>
        <w:ind w:left="538" w:right="28"/>
        <w:jc w:val="left"/>
      </w:pPr>
      <w:r>
        <w:rPr/>
        <w:t>于</w:t>
      </w:r>
      <w:r>
        <w:rPr>
          <w:spacing w:val="-45"/>
        </w:rPr>
        <w:t> </w:t>
      </w:r>
      <w:r>
        <w:rPr>
          <w:rFonts w:ascii="Arial" w:hAnsi="Arial" w:cs="Arial" w:eastAsia="Arial" w:hint="default"/>
        </w:rPr>
        <w:t>2004</w:t>
      </w:r>
      <w:r>
        <w:rPr>
          <w:rFonts w:ascii="Arial" w:hAnsi="Arial" w:cs="Arial" w:eastAsia="Arial" w:hint="default"/>
          <w:spacing w:val="4"/>
        </w:rPr>
        <w:t> </w:t>
      </w:r>
      <w:r>
        <w:rPr/>
        <w:t>年</w:t>
      </w:r>
      <w:r>
        <w:rPr>
          <w:spacing w:val="-46"/>
        </w:rPr>
        <w:t> </w:t>
      </w:r>
      <w:r>
        <w:rPr>
          <w:rFonts w:ascii="Arial" w:hAnsi="Arial" w:cs="Arial" w:eastAsia="Arial" w:hint="default"/>
        </w:rPr>
        <w:t>7</w:t>
      </w:r>
      <w:r>
        <w:rPr>
          <w:rFonts w:ascii="Arial" w:hAnsi="Arial" w:cs="Arial" w:eastAsia="Arial" w:hint="default"/>
          <w:spacing w:val="4"/>
        </w:rPr>
        <w:t> </w:t>
      </w:r>
      <w:r>
        <w:rPr/>
        <w:t>月</w:t>
      </w:r>
      <w:r>
        <w:rPr>
          <w:spacing w:val="-45"/>
        </w:rPr>
        <w:t> </w:t>
      </w:r>
      <w:r>
        <w:rPr>
          <w:rFonts w:ascii="Arial" w:hAnsi="Arial" w:cs="Arial" w:eastAsia="Arial" w:hint="default"/>
        </w:rPr>
        <w:t>26</w:t>
      </w:r>
      <w:r>
        <w:rPr>
          <w:rFonts w:ascii="Arial" w:hAnsi="Arial" w:cs="Arial" w:eastAsia="Arial" w:hint="default"/>
          <w:spacing w:val="4"/>
        </w:rPr>
        <w:t> </w:t>
      </w:r>
      <w:r>
        <w:rPr/>
        <w:t>日，本公司完成了</w:t>
      </w:r>
      <w:r>
        <w:rPr>
          <w:spacing w:val="-45"/>
        </w:rPr>
        <w:t> </w:t>
      </w:r>
      <w:r>
        <w:rPr>
          <w:rFonts w:ascii="Arial" w:hAnsi="Arial" w:cs="Arial" w:eastAsia="Arial" w:hint="default"/>
        </w:rPr>
        <w:t>15</w:t>
      </w:r>
      <w:r>
        <w:rPr>
          <w:rFonts w:ascii="Arial" w:hAnsi="Arial" w:cs="Arial" w:eastAsia="Arial" w:hint="default"/>
          <w:spacing w:val="4"/>
        </w:rPr>
        <w:t> </w:t>
      </w:r>
      <w:r>
        <w:rPr/>
        <w:t>亿股人民币普通股的配售工作，股本增加至人民币</w:t>
      </w:r>
    </w:p>
    <w:p>
      <w:pPr>
        <w:pStyle w:val="BodyText"/>
        <w:spacing w:line="225" w:lineRule="auto" w:before="6"/>
        <w:ind w:left="538" w:right="211"/>
        <w:jc w:val="both"/>
      </w:pPr>
      <w:r>
        <w:rPr>
          <w:rFonts w:ascii="Arial" w:hAnsi="Arial" w:cs="Arial" w:eastAsia="Arial" w:hint="default"/>
        </w:rPr>
        <w:t>21,196,596,395</w:t>
      </w:r>
      <w:r>
        <w:rPr>
          <w:rFonts w:ascii="Arial" w:hAnsi="Arial" w:cs="Arial" w:eastAsia="Arial" w:hint="default"/>
          <w:spacing w:val="30"/>
        </w:rPr>
        <w:t> </w:t>
      </w:r>
      <w:r>
        <w:rPr/>
        <w:t>元。同日，根据董事会及股东大会决定的募集资金用途，本公司将配售募集</w:t>
      </w:r>
      <w:r>
        <w:rPr>
          <w:w w:val="99"/>
        </w:rPr>
        <w:t> </w:t>
      </w:r>
      <w:r>
        <w:rPr/>
        <w:t>资金扣除发行费用后的全额支付予联通集团收购其持有的联通 </w:t>
      </w:r>
      <w:r>
        <w:rPr>
          <w:rFonts w:ascii="Arial" w:hAnsi="Arial" w:cs="Arial" w:eastAsia="Arial" w:hint="default"/>
        </w:rPr>
        <w:t>BVI </w:t>
      </w:r>
      <w:r>
        <w:rPr/>
        <w:t>公司的</w:t>
      </w:r>
      <w:r>
        <w:rPr>
          <w:spacing w:val="-76"/>
        </w:rPr>
        <w:t> </w:t>
      </w:r>
      <w:r>
        <w:rPr>
          <w:rFonts w:ascii="Arial" w:hAnsi="Arial" w:cs="Arial" w:eastAsia="Arial" w:hint="default"/>
        </w:rPr>
        <w:t>8.26%</w:t>
      </w:r>
      <w:r>
        <w:rPr/>
        <w:t>的股权。收</w:t>
      </w:r>
      <w:r>
        <w:rPr>
          <w:w w:val="99"/>
        </w:rPr>
        <w:t> </w:t>
      </w:r>
      <w:r>
        <w:rPr/>
        <w:t>购交易完成后，本公司对联通</w:t>
      </w:r>
      <w:r>
        <w:rPr>
          <w:spacing w:val="-59"/>
        </w:rPr>
        <w:t> </w:t>
      </w:r>
      <w:r>
        <w:rPr>
          <w:rFonts w:ascii="Arial" w:hAnsi="Arial" w:cs="Arial" w:eastAsia="Arial" w:hint="default"/>
        </w:rPr>
        <w:t>BVI</w:t>
      </w:r>
      <w:r>
        <w:rPr>
          <w:rFonts w:ascii="Arial" w:hAnsi="Arial" w:cs="Arial" w:eastAsia="Arial" w:hint="default"/>
          <w:spacing w:val="-10"/>
        </w:rPr>
        <w:t> </w:t>
      </w:r>
      <w:r>
        <w:rPr/>
        <w:t>公司的持股比例上升至</w:t>
      </w:r>
      <w:r>
        <w:rPr>
          <w:spacing w:val="-58"/>
        </w:rPr>
        <w:t> </w:t>
      </w:r>
      <w:r>
        <w:rPr>
          <w:rFonts w:ascii="Arial" w:hAnsi="Arial" w:cs="Arial" w:eastAsia="Arial" w:hint="default"/>
        </w:rPr>
        <w:t>82.10%</w:t>
      </w:r>
      <w:r>
        <w:rPr/>
        <w:t>。</w:t>
      </w:r>
    </w:p>
    <w:p>
      <w:pPr>
        <w:spacing w:line="240" w:lineRule="auto" w:before="6"/>
        <w:rPr>
          <w:rFonts w:ascii="宋体" w:hAnsi="宋体" w:cs="宋体" w:eastAsia="宋体" w:hint="default"/>
          <w:sz w:val="16"/>
          <w:szCs w:val="16"/>
        </w:rPr>
      </w:pPr>
    </w:p>
    <w:p>
      <w:pPr>
        <w:pStyle w:val="BodyText"/>
        <w:spacing w:line="294" w:lineRule="exact"/>
        <w:ind w:left="538" w:right="28"/>
        <w:jc w:val="left"/>
      </w:pPr>
      <w:r>
        <w:rPr/>
        <w:t>于</w:t>
      </w:r>
      <w:r>
        <w:rPr>
          <w:spacing w:val="-57"/>
        </w:rPr>
        <w:t> </w:t>
      </w:r>
      <w:r>
        <w:rPr>
          <w:rFonts w:ascii="Arial" w:hAnsi="Arial" w:cs="Arial" w:eastAsia="Arial" w:hint="default"/>
        </w:rPr>
        <w:t>2006</w:t>
      </w:r>
      <w:r>
        <w:rPr>
          <w:rFonts w:ascii="Arial" w:hAnsi="Arial" w:cs="Arial" w:eastAsia="Arial" w:hint="default"/>
          <w:spacing w:val="-8"/>
        </w:rPr>
        <w:t> </w:t>
      </w:r>
      <w:r>
        <w:rPr/>
        <w:t>年</w:t>
      </w:r>
      <w:r>
        <w:rPr>
          <w:spacing w:val="-57"/>
        </w:rPr>
        <w:t> </w:t>
      </w:r>
      <w:r>
        <w:rPr>
          <w:rFonts w:ascii="Arial" w:hAnsi="Arial" w:cs="Arial" w:eastAsia="Arial" w:hint="default"/>
        </w:rPr>
        <w:t>5</w:t>
      </w:r>
      <w:r>
        <w:rPr>
          <w:rFonts w:ascii="Arial" w:hAnsi="Arial" w:cs="Arial" w:eastAsia="Arial" w:hint="default"/>
          <w:spacing w:val="-8"/>
        </w:rPr>
        <w:t> </w:t>
      </w:r>
      <w:r>
        <w:rPr/>
        <w:t>月</w:t>
      </w:r>
      <w:r>
        <w:rPr>
          <w:spacing w:val="-57"/>
        </w:rPr>
        <w:t> </w:t>
      </w:r>
      <w:r>
        <w:rPr>
          <w:rFonts w:ascii="Arial" w:hAnsi="Arial" w:cs="Arial" w:eastAsia="Arial" w:hint="default"/>
        </w:rPr>
        <w:t>18</w:t>
      </w:r>
      <w:r>
        <w:rPr>
          <w:rFonts w:ascii="Arial" w:hAnsi="Arial" w:cs="Arial" w:eastAsia="Arial" w:hint="default"/>
          <w:spacing w:val="-8"/>
        </w:rPr>
        <w:t> </w:t>
      </w:r>
      <w:r>
        <w:rPr>
          <w:spacing w:val="-3"/>
        </w:rPr>
        <w:t>日，本公司完成了同年</w:t>
      </w:r>
      <w:r>
        <w:rPr>
          <w:spacing w:val="-57"/>
        </w:rPr>
        <w:t> </w:t>
      </w:r>
      <w:r>
        <w:rPr>
          <w:rFonts w:ascii="Arial" w:hAnsi="Arial" w:cs="Arial" w:eastAsia="Arial" w:hint="default"/>
        </w:rPr>
        <w:t>5</w:t>
      </w:r>
      <w:r>
        <w:rPr>
          <w:rFonts w:ascii="Arial" w:hAnsi="Arial" w:cs="Arial" w:eastAsia="Arial" w:hint="default"/>
          <w:spacing w:val="-8"/>
        </w:rPr>
        <w:t> </w:t>
      </w:r>
      <w:r>
        <w:rPr/>
        <w:t>月</w:t>
      </w:r>
      <w:r>
        <w:rPr>
          <w:spacing w:val="-56"/>
        </w:rPr>
        <w:t> </w:t>
      </w:r>
      <w:r>
        <w:rPr>
          <w:rFonts w:ascii="Arial" w:hAnsi="Arial" w:cs="Arial" w:eastAsia="Arial" w:hint="default"/>
        </w:rPr>
        <w:t>11</w:t>
      </w:r>
      <w:r>
        <w:rPr>
          <w:rFonts w:ascii="Arial" w:hAnsi="Arial" w:cs="Arial" w:eastAsia="Arial" w:hint="default"/>
          <w:spacing w:val="-8"/>
        </w:rPr>
        <w:t> </w:t>
      </w:r>
      <w:r>
        <w:rPr/>
        <w:t>日经本公司股东大会批准的股权分置方案，</w:t>
      </w:r>
    </w:p>
    <w:p>
      <w:pPr>
        <w:pStyle w:val="BodyText"/>
        <w:spacing w:line="408" w:lineRule="auto"/>
        <w:ind w:left="538" w:right="219"/>
        <w:jc w:val="left"/>
      </w:pPr>
      <w:r>
        <w:rPr/>
        <w:t>因实施股权分置方案而限售的普通股截至</w:t>
      </w:r>
      <w:r>
        <w:rPr>
          <w:spacing w:val="-56"/>
        </w:rPr>
        <w:t> </w:t>
      </w:r>
      <w:r>
        <w:rPr>
          <w:rFonts w:ascii="Arial" w:hAnsi="Arial" w:cs="Arial" w:eastAsia="Arial" w:hint="default"/>
        </w:rPr>
        <w:t>2009</w:t>
      </w:r>
      <w:r>
        <w:rPr>
          <w:rFonts w:ascii="Arial" w:hAnsi="Arial" w:cs="Arial" w:eastAsia="Arial" w:hint="default"/>
          <w:spacing w:val="-9"/>
        </w:rPr>
        <w:t> </w:t>
      </w:r>
      <w:r>
        <w:rPr/>
        <w:t>年</w:t>
      </w:r>
      <w:r>
        <w:rPr>
          <w:spacing w:val="-58"/>
        </w:rPr>
        <w:t> </w:t>
      </w:r>
      <w:r>
        <w:rPr>
          <w:rFonts w:ascii="Arial" w:hAnsi="Arial" w:cs="Arial" w:eastAsia="Arial" w:hint="default"/>
        </w:rPr>
        <w:t>5</w:t>
      </w:r>
      <w:r>
        <w:rPr>
          <w:rFonts w:ascii="Arial" w:hAnsi="Arial" w:cs="Arial" w:eastAsia="Arial" w:hint="default"/>
          <w:spacing w:val="-9"/>
        </w:rPr>
        <w:t> </w:t>
      </w:r>
      <w:r>
        <w:rPr/>
        <w:t>月</w:t>
      </w:r>
      <w:r>
        <w:rPr>
          <w:spacing w:val="-58"/>
        </w:rPr>
        <w:t> </w:t>
      </w:r>
      <w:r>
        <w:rPr>
          <w:rFonts w:ascii="Arial" w:hAnsi="Arial" w:cs="Arial" w:eastAsia="Arial" w:hint="default"/>
        </w:rPr>
        <w:t>19</w:t>
      </w:r>
      <w:r>
        <w:rPr>
          <w:rFonts w:ascii="Arial" w:hAnsi="Arial" w:cs="Arial" w:eastAsia="Arial" w:hint="default"/>
          <w:spacing w:val="-9"/>
        </w:rPr>
        <w:t> </w:t>
      </w:r>
      <w:r>
        <w:rPr/>
        <w:t>日已全部解除限售可于市场流通。</w:t>
      </w:r>
      <w:r>
        <w:rPr>
          <w:w w:val="99"/>
        </w:rPr>
        <w:t> </w:t>
      </w:r>
      <w:r>
        <w:rPr/>
        <w:t>于下文中本公司及本公司之子公司（详情请参见附注四）统称“本集团”。</w:t>
      </w:r>
    </w:p>
    <w:p>
      <w:pPr>
        <w:pStyle w:val="BodyText"/>
        <w:spacing w:line="240" w:lineRule="auto" w:before="95"/>
        <w:ind w:left="118" w:right="28"/>
        <w:jc w:val="left"/>
      </w:pPr>
      <w:r>
        <w:rPr>
          <w:rFonts w:ascii="Arial" w:hAnsi="Arial" w:cs="Arial" w:eastAsia="Arial" w:hint="default"/>
        </w:rPr>
        <w:t>2</w:t>
      </w:r>
      <w:r>
        <w:rPr/>
        <w:t>、</w:t>
      </w:r>
      <w:r>
        <w:rPr>
          <w:spacing w:val="-45"/>
        </w:rPr>
        <w:t> </w:t>
      </w:r>
      <w:r>
        <w:rPr/>
        <w:t>联通运营公司收购联通新时空通信有限公司（“联通新时空”）</w:t>
      </w:r>
      <w:r>
        <w:rPr>
          <w:rFonts w:ascii="Arial" w:hAnsi="Arial" w:cs="Arial" w:eastAsia="Arial" w:hint="default"/>
        </w:rPr>
        <w:t>100%</w:t>
      </w:r>
      <w:r>
        <w:rPr/>
        <w:t>股权</w:t>
      </w:r>
    </w:p>
    <w:p>
      <w:pPr>
        <w:spacing w:line="240" w:lineRule="auto" w:before="2"/>
        <w:rPr>
          <w:rFonts w:ascii="宋体" w:hAnsi="宋体" w:cs="宋体" w:eastAsia="宋体" w:hint="default"/>
          <w:sz w:val="20"/>
          <w:szCs w:val="20"/>
        </w:rPr>
      </w:pPr>
    </w:p>
    <w:p>
      <w:pPr>
        <w:pStyle w:val="BodyText"/>
        <w:spacing w:line="286" w:lineRule="exact"/>
        <w:ind w:left="524" w:right="211"/>
        <w:jc w:val="both"/>
      </w:pPr>
      <w:r>
        <w:rPr/>
        <w:t>于</w:t>
      </w:r>
      <w:r>
        <w:rPr>
          <w:spacing w:val="-53"/>
        </w:rPr>
        <w:t> </w:t>
      </w:r>
      <w:r>
        <w:rPr>
          <w:rFonts w:ascii="Arial" w:hAnsi="Arial" w:cs="Arial" w:eastAsia="Arial" w:hint="default"/>
        </w:rPr>
        <w:t>2012</w:t>
      </w:r>
      <w:r>
        <w:rPr>
          <w:rFonts w:ascii="Arial" w:hAnsi="Arial" w:cs="Arial" w:eastAsia="Arial" w:hint="default"/>
          <w:spacing w:val="-4"/>
        </w:rPr>
        <w:t> </w:t>
      </w:r>
      <w:r>
        <w:rPr/>
        <w:t>年</w:t>
      </w:r>
      <w:r>
        <w:rPr>
          <w:spacing w:val="-53"/>
        </w:rPr>
        <w:t> </w:t>
      </w:r>
      <w:r>
        <w:rPr>
          <w:rFonts w:ascii="Arial" w:hAnsi="Arial" w:cs="Arial" w:eastAsia="Arial" w:hint="default"/>
        </w:rPr>
        <w:t>11</w:t>
      </w:r>
      <w:r>
        <w:rPr>
          <w:rFonts w:ascii="Arial" w:hAnsi="Arial" w:cs="Arial" w:eastAsia="Arial" w:hint="default"/>
          <w:spacing w:val="-4"/>
        </w:rPr>
        <w:t> </w:t>
      </w:r>
      <w:r>
        <w:rPr/>
        <w:t>月</w:t>
      </w:r>
      <w:r>
        <w:rPr>
          <w:spacing w:val="-53"/>
        </w:rPr>
        <w:t> </w:t>
      </w:r>
      <w:r>
        <w:rPr>
          <w:rFonts w:ascii="Arial" w:hAnsi="Arial" w:cs="Arial" w:eastAsia="Arial" w:hint="default"/>
        </w:rPr>
        <w:t>21</w:t>
      </w:r>
      <w:r>
        <w:rPr>
          <w:rFonts w:ascii="Arial" w:hAnsi="Arial" w:cs="Arial" w:eastAsia="Arial" w:hint="default"/>
          <w:spacing w:val="-4"/>
        </w:rPr>
        <w:t> </w:t>
      </w:r>
      <w:r>
        <w:rPr>
          <w:spacing w:val="-4"/>
        </w:rPr>
        <w:t>日，联通运营公司与联通集团签订了股权转让协议。根据该协议，联通运</w:t>
      </w:r>
      <w:r>
        <w:rPr>
          <w:w w:val="99"/>
        </w:rPr>
        <w:t> </w:t>
      </w:r>
      <w:r>
        <w:rPr/>
        <w:t>营公司向联通集团收购联通新时空的</w:t>
      </w:r>
      <w:r>
        <w:rPr>
          <w:spacing w:val="-50"/>
        </w:rPr>
        <w:t> </w:t>
      </w:r>
      <w:r>
        <w:rPr>
          <w:rFonts w:ascii="Arial" w:hAnsi="Arial" w:cs="Arial" w:eastAsia="Arial" w:hint="default"/>
        </w:rPr>
        <w:t>100%</w:t>
      </w:r>
      <w:r>
        <w:rPr/>
        <w:t>股权，收购对价约人民币</w:t>
      </w:r>
      <w:r>
        <w:rPr>
          <w:spacing w:val="-48"/>
        </w:rPr>
        <w:t> </w:t>
      </w:r>
      <w:r>
        <w:rPr>
          <w:rFonts w:ascii="Arial" w:hAnsi="Arial" w:cs="Arial" w:eastAsia="Arial" w:hint="default"/>
        </w:rPr>
        <w:t>121.66</w:t>
      </w:r>
      <w:r>
        <w:rPr>
          <w:rFonts w:ascii="Arial" w:hAnsi="Arial" w:cs="Arial" w:eastAsia="Arial" w:hint="default"/>
          <w:spacing w:val="-1"/>
        </w:rPr>
        <w:t> </w:t>
      </w:r>
      <w:r>
        <w:rPr/>
        <w:t>亿元。联通新时</w:t>
      </w:r>
      <w:r>
        <w:rPr>
          <w:w w:val="99"/>
        </w:rPr>
        <w:t> </w:t>
      </w:r>
      <w:r>
        <w:rPr/>
        <w:t>空的主营业务为向联通运营公司租赁其于中国南方</w:t>
      </w:r>
      <w:r>
        <w:rPr>
          <w:spacing w:val="-73"/>
        </w:rPr>
        <w:t> </w:t>
      </w:r>
      <w:r>
        <w:rPr>
          <w:rFonts w:ascii="Arial" w:hAnsi="Arial" w:cs="Arial" w:eastAsia="Arial" w:hint="default"/>
        </w:rPr>
        <w:t>21</w:t>
      </w:r>
      <w:r>
        <w:rPr>
          <w:rFonts w:ascii="Arial" w:hAnsi="Arial" w:cs="Arial" w:eastAsia="Arial" w:hint="default"/>
          <w:spacing w:val="-24"/>
        </w:rPr>
        <w:t> </w:t>
      </w:r>
      <w:r>
        <w:rPr/>
        <w:t>省的固定电信网络（“南方固定电信网</w:t>
      </w:r>
    </w:p>
    <w:p>
      <w:pPr>
        <w:pStyle w:val="BodyText"/>
        <w:spacing w:line="274" w:lineRule="exact"/>
        <w:ind w:left="524" w:right="28"/>
        <w:jc w:val="left"/>
      </w:pPr>
      <w:r>
        <w:rPr/>
        <w:t>络”）。于</w:t>
      </w:r>
      <w:r>
        <w:rPr>
          <w:spacing w:val="-56"/>
        </w:rPr>
        <w:t> </w:t>
      </w:r>
      <w:r>
        <w:rPr>
          <w:rFonts w:ascii="Arial" w:hAnsi="Arial" w:cs="Arial" w:eastAsia="Arial" w:hint="default"/>
        </w:rPr>
        <w:t>2012</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26</w:t>
      </w:r>
      <w:r>
        <w:rPr>
          <w:rFonts w:ascii="Arial" w:hAnsi="Arial" w:cs="Arial" w:eastAsia="Arial" w:hint="default"/>
          <w:spacing w:val="-8"/>
        </w:rPr>
        <w:t> </w:t>
      </w:r>
      <w:r>
        <w:rPr/>
        <w:t>日，该收购的所有前提条件均已达成，该收购交易完成。</w:t>
      </w:r>
    </w:p>
    <w:p>
      <w:pPr>
        <w:spacing w:line="240" w:lineRule="auto" w:before="13"/>
        <w:rPr>
          <w:rFonts w:ascii="宋体" w:hAnsi="宋体" w:cs="宋体" w:eastAsia="宋体" w:hint="default"/>
          <w:sz w:val="17"/>
          <w:szCs w:val="17"/>
        </w:rPr>
      </w:pPr>
    </w:p>
    <w:p>
      <w:pPr>
        <w:pStyle w:val="BodyText"/>
        <w:spacing w:line="240" w:lineRule="auto"/>
        <w:ind w:left="118" w:right="5567"/>
        <w:jc w:val="left"/>
      </w:pPr>
      <w:r>
        <w:rPr>
          <w:rFonts w:ascii="Arial" w:hAnsi="Arial" w:cs="Arial" w:eastAsia="Arial" w:hint="default"/>
        </w:rPr>
        <w:t>3</w:t>
      </w:r>
      <w:r>
        <w:rPr/>
        <w:t>、</w:t>
      </w:r>
      <w:r>
        <w:rPr>
          <w:spacing w:val="-41"/>
        </w:rPr>
        <w:t> </w:t>
      </w:r>
      <w:r>
        <w:rPr/>
        <w:t>宽带在线合并联通新时讯</w:t>
      </w:r>
    </w:p>
    <w:p>
      <w:pPr>
        <w:spacing w:line="240" w:lineRule="auto" w:before="7"/>
        <w:rPr>
          <w:rFonts w:ascii="宋体" w:hAnsi="宋体" w:cs="宋体" w:eastAsia="宋体" w:hint="default"/>
          <w:sz w:val="16"/>
          <w:szCs w:val="16"/>
        </w:rPr>
      </w:pPr>
    </w:p>
    <w:p>
      <w:pPr>
        <w:pStyle w:val="BodyText"/>
        <w:spacing w:line="235" w:lineRule="auto"/>
        <w:ind w:left="524" w:right="28"/>
        <w:jc w:val="left"/>
      </w:pPr>
      <w:r>
        <w:rPr/>
        <w:t>于</w:t>
      </w:r>
      <w:r>
        <w:rPr>
          <w:spacing w:val="-54"/>
        </w:rPr>
        <w:t> </w:t>
      </w:r>
      <w:r>
        <w:rPr>
          <w:rFonts w:ascii="Arial" w:hAnsi="Arial" w:cs="Arial" w:eastAsia="Arial" w:hint="default"/>
        </w:rPr>
        <w:t>2011</w:t>
      </w:r>
      <w:r>
        <w:rPr>
          <w:rFonts w:ascii="Arial" w:hAnsi="Arial" w:cs="Arial" w:eastAsia="Arial" w:hint="default"/>
          <w:spacing w:val="-4"/>
        </w:rPr>
        <w:t> </w:t>
      </w:r>
      <w:r>
        <w:rPr/>
        <w:t>年</w:t>
      </w:r>
      <w:r>
        <w:rPr>
          <w:spacing w:val="-52"/>
        </w:rPr>
        <w:t> </w:t>
      </w:r>
      <w:r>
        <w:rPr>
          <w:rFonts w:ascii="Arial" w:hAnsi="Arial" w:cs="Arial" w:eastAsia="Arial" w:hint="default"/>
        </w:rPr>
        <w:t>12</w:t>
      </w:r>
      <w:r>
        <w:rPr>
          <w:rFonts w:ascii="Arial" w:hAnsi="Arial" w:cs="Arial" w:eastAsia="Arial" w:hint="default"/>
          <w:spacing w:val="-5"/>
        </w:rPr>
        <w:t> </w:t>
      </w:r>
      <w:r>
        <w:rPr/>
        <w:t>月</w:t>
      </w:r>
      <w:r>
        <w:rPr>
          <w:spacing w:val="-54"/>
        </w:rPr>
        <w:t> </w:t>
      </w:r>
      <w:r>
        <w:rPr>
          <w:rFonts w:ascii="Arial" w:hAnsi="Arial" w:cs="Arial" w:eastAsia="Arial" w:hint="default"/>
        </w:rPr>
        <w:t>1</w:t>
      </w:r>
      <w:r>
        <w:rPr>
          <w:rFonts w:ascii="Arial" w:hAnsi="Arial" w:cs="Arial" w:eastAsia="Arial" w:hint="default"/>
          <w:spacing w:val="-5"/>
        </w:rPr>
        <w:t> </w:t>
      </w:r>
      <w:r>
        <w:rPr/>
        <w:t>日，联通运营公司的全资子公司联通宽带在线有限公司（“宽带在线”）</w:t>
      </w:r>
      <w:r>
        <w:rPr>
          <w:w w:val="99"/>
        </w:rPr>
        <w:t> </w:t>
      </w:r>
      <w:r>
        <w:rPr>
          <w:spacing w:val="-3"/>
        </w:rPr>
        <w:t>与联通集团及联通集团的全资子公司联通新时讯通信有限公司（“联通新时讯”）签订了《关</w:t>
      </w:r>
      <w:r>
        <w:rPr>
          <w:w w:val="99"/>
        </w:rPr>
        <w:t> </w:t>
      </w:r>
      <w:r>
        <w:rPr>
          <w:w w:val="95"/>
        </w:rPr>
        <w:t>于联通宽带在线有限公司吸收合并联通新时讯通信有限公司》（“收购联通新时讯协议”）。</w:t>
      </w:r>
      <w:r>
        <w:rPr>
          <w:spacing w:val="14"/>
          <w:w w:val="95"/>
        </w:rPr>
        <w:t> </w:t>
      </w:r>
      <w:r>
        <w:rPr>
          <w:spacing w:val="14"/>
          <w:w w:val="95"/>
        </w:rPr>
      </w:r>
      <w:r>
        <w:rPr>
          <w:spacing w:val="-3"/>
        </w:rPr>
        <w:t>根据此协议，宽带在线向联通集团收购其全资持有的联通新时讯的全部资产、负债、权益、业</w:t>
      </w:r>
      <w:r>
        <w:rPr>
          <w:w w:val="99"/>
        </w:rPr>
        <w:t> </w:t>
      </w:r>
      <w:r>
        <w:rPr/>
        <w:t>务和人员等，收购对价约人民币</w:t>
      </w:r>
      <w:r>
        <w:rPr>
          <w:spacing w:val="-60"/>
        </w:rPr>
        <w:t> </w:t>
      </w:r>
      <w:r>
        <w:rPr>
          <w:rFonts w:ascii="Arial" w:hAnsi="Arial" w:cs="Arial" w:eastAsia="Arial" w:hint="default"/>
        </w:rPr>
        <w:t>1.58</w:t>
      </w:r>
      <w:r>
        <w:rPr>
          <w:rFonts w:ascii="Arial" w:hAnsi="Arial" w:cs="Arial" w:eastAsia="Arial" w:hint="default"/>
          <w:spacing w:val="-12"/>
        </w:rPr>
        <w:t> </w:t>
      </w:r>
      <w:r>
        <w:rPr/>
        <w:t>亿元，该交易于同日完成。</w:t>
      </w:r>
    </w:p>
    <w:p>
      <w:pPr>
        <w:spacing w:line="240" w:lineRule="auto" w:before="1"/>
        <w:rPr>
          <w:rFonts w:ascii="宋体" w:hAnsi="宋体" w:cs="宋体" w:eastAsia="宋体" w:hint="default"/>
          <w:sz w:val="18"/>
          <w:szCs w:val="18"/>
        </w:rPr>
      </w:pPr>
    </w:p>
    <w:p>
      <w:pPr>
        <w:pStyle w:val="BodyText"/>
        <w:spacing w:line="240" w:lineRule="auto"/>
        <w:ind w:left="118" w:right="28"/>
        <w:jc w:val="left"/>
      </w:pPr>
      <w:r>
        <w:rPr>
          <w:rFonts w:ascii="Arial" w:hAnsi="Arial" w:cs="Arial" w:eastAsia="Arial" w:hint="default"/>
        </w:rPr>
        <w:t>4</w:t>
      </w:r>
      <w:r>
        <w:rPr/>
        <w:t>、</w:t>
      </w:r>
      <w:r>
        <w:rPr>
          <w:spacing w:val="-37"/>
        </w:rPr>
        <w:t> </w:t>
      </w:r>
      <w:r>
        <w:rPr/>
        <w:t>本财务报表由本公司董事会于</w:t>
      </w:r>
      <w:r>
        <w:rPr>
          <w:spacing w:val="-56"/>
        </w:rPr>
        <w:t> </w:t>
      </w:r>
      <w:r>
        <w:rPr>
          <w:rFonts w:ascii="Arial" w:hAnsi="Arial" w:cs="Arial" w:eastAsia="Arial" w:hint="default"/>
        </w:rPr>
        <w:t>2013</w:t>
      </w:r>
      <w:r>
        <w:rPr>
          <w:rFonts w:ascii="Arial" w:hAnsi="Arial" w:cs="Arial" w:eastAsia="Arial" w:hint="default"/>
          <w:spacing w:val="-8"/>
        </w:rPr>
        <w:t> </w:t>
      </w:r>
      <w:r>
        <w:rPr/>
        <w:t>年</w:t>
      </w:r>
      <w:r>
        <w:rPr>
          <w:spacing w:val="-57"/>
        </w:rPr>
        <w:t> </w:t>
      </w:r>
      <w:r>
        <w:rPr>
          <w:rFonts w:ascii="Arial" w:hAnsi="Arial" w:cs="Arial" w:eastAsia="Arial" w:hint="default"/>
        </w:rPr>
        <w:t>3</w:t>
      </w:r>
      <w:r>
        <w:rPr>
          <w:rFonts w:ascii="Arial" w:hAnsi="Arial" w:cs="Arial" w:eastAsia="Arial" w:hint="default"/>
          <w:spacing w:val="-8"/>
        </w:rPr>
        <w:t> </w:t>
      </w:r>
      <w:r>
        <w:rPr/>
        <w:t>月</w:t>
      </w:r>
      <w:r>
        <w:rPr>
          <w:spacing w:val="-57"/>
        </w:rPr>
        <w:t> </w:t>
      </w:r>
      <w:r>
        <w:rPr>
          <w:rFonts w:ascii="Arial" w:hAnsi="Arial" w:cs="Arial" w:eastAsia="Arial" w:hint="default"/>
        </w:rPr>
        <w:t>21</w:t>
      </w:r>
      <w:r>
        <w:rPr>
          <w:rFonts w:ascii="Arial" w:hAnsi="Arial" w:cs="Arial" w:eastAsia="Arial" w:hint="default"/>
          <w:spacing w:val="-8"/>
        </w:rPr>
        <w:t> </w:t>
      </w:r>
      <w:r>
        <w:rPr/>
        <w:t>日批准报出。</w:t>
      </w:r>
    </w:p>
    <w:p>
      <w:pPr>
        <w:spacing w:after="0" w:line="240" w:lineRule="auto"/>
        <w:jc w:val="left"/>
        <w:sectPr>
          <w:headerReference w:type="default" r:id="rId38"/>
          <w:footerReference w:type="default" r:id="rId39"/>
          <w:pgSz w:w="11910" w:h="16840"/>
          <w:pgMar w:header="0" w:footer="593" w:top="880" w:bottom="780" w:left="1440" w:right="820"/>
          <w:pgNumType w:start="61"/>
        </w:sectPr>
      </w:pPr>
    </w:p>
    <w:p>
      <w:pPr>
        <w:spacing w:line="240" w:lineRule="auto" w:before="9"/>
        <w:rPr>
          <w:rFonts w:ascii="宋体" w:hAnsi="宋体" w:cs="宋体" w:eastAsia="宋体" w:hint="default"/>
          <w:sz w:val="16"/>
          <w:szCs w:val="16"/>
        </w:rPr>
      </w:pPr>
    </w:p>
    <w:p>
      <w:pPr>
        <w:pStyle w:val="BodyText"/>
        <w:spacing w:line="240" w:lineRule="auto" w:before="31"/>
        <w:ind w:left="118" w:right="5567"/>
        <w:jc w:val="left"/>
        <w:rPr>
          <w:rFonts w:ascii="黑体" w:hAnsi="黑体" w:cs="黑体" w:eastAsia="黑体" w:hint="default"/>
        </w:rPr>
      </w:pPr>
      <w:r>
        <w:rPr>
          <w:rFonts w:ascii="黑体" w:hAnsi="黑体" w:cs="黑体" w:eastAsia="黑体" w:hint="default"/>
        </w:rPr>
        <w:t>二</w:t>
      </w:r>
      <w:r>
        <w:rPr>
          <w:rFonts w:ascii="黑体" w:hAnsi="黑体" w:cs="黑体" w:eastAsia="黑体" w:hint="default"/>
          <w:spacing w:val="83"/>
        </w:rPr>
        <w:t> </w:t>
      </w:r>
      <w:r>
        <w:rPr>
          <w:rFonts w:ascii="黑体" w:hAnsi="黑体" w:cs="黑体" w:eastAsia="黑体" w:hint="default"/>
        </w:rPr>
        <w:t>重要会计政策和会计估计</w:t>
      </w:r>
    </w:p>
    <w:p>
      <w:pPr>
        <w:spacing w:line="240" w:lineRule="auto" w:before="2"/>
        <w:rPr>
          <w:rFonts w:ascii="黑体" w:hAnsi="黑体" w:cs="黑体" w:eastAsia="黑体" w:hint="default"/>
          <w:sz w:val="19"/>
          <w:szCs w:val="19"/>
        </w:rPr>
      </w:pPr>
    </w:p>
    <w:p>
      <w:pPr>
        <w:pStyle w:val="BodyText"/>
        <w:spacing w:line="240" w:lineRule="auto"/>
        <w:ind w:left="118" w:right="5567"/>
        <w:jc w:val="left"/>
      </w:pPr>
      <w:r>
        <w:rPr>
          <w:rFonts w:ascii="Arial" w:hAnsi="Arial" w:cs="Arial" w:eastAsia="Arial" w:hint="default"/>
        </w:rPr>
        <w:t>1</w:t>
      </w:r>
      <w:r>
        <w:rPr/>
        <w:t>、</w:t>
      </w:r>
      <w:r>
        <w:rPr>
          <w:spacing w:val="-40"/>
        </w:rPr>
        <w:t> </w:t>
      </w:r>
      <w:r>
        <w:rPr/>
        <w:t>财务报表的编制基础</w:t>
      </w:r>
    </w:p>
    <w:p>
      <w:pPr>
        <w:spacing w:line="240" w:lineRule="auto" w:before="4"/>
        <w:rPr>
          <w:rFonts w:ascii="宋体" w:hAnsi="宋体" w:cs="宋体" w:eastAsia="宋体" w:hint="default"/>
          <w:sz w:val="18"/>
          <w:szCs w:val="18"/>
        </w:rPr>
      </w:pPr>
    </w:p>
    <w:p>
      <w:pPr>
        <w:pStyle w:val="BodyText"/>
        <w:spacing w:line="235" w:lineRule="auto"/>
        <w:ind w:left="538" w:right="210"/>
        <w:jc w:val="both"/>
      </w:pPr>
      <w:r>
        <w:rPr>
          <w:spacing w:val="2"/>
        </w:rPr>
        <w:t>本财务报表按照财政部于</w:t>
      </w:r>
      <w:r>
        <w:rPr>
          <w:rFonts w:ascii="Arial" w:hAnsi="Arial" w:cs="Arial" w:eastAsia="Arial" w:hint="default"/>
          <w:spacing w:val="2"/>
        </w:rPr>
        <w:t>2006</w:t>
      </w:r>
      <w:r>
        <w:rPr>
          <w:spacing w:val="2"/>
        </w:rPr>
        <w:t>年</w:t>
      </w:r>
      <w:r>
        <w:rPr>
          <w:rFonts w:ascii="Arial" w:hAnsi="Arial" w:cs="Arial" w:eastAsia="Arial" w:hint="default"/>
          <w:spacing w:val="2"/>
        </w:rPr>
        <w:t>2</w:t>
      </w:r>
      <w:r>
        <w:rPr>
          <w:spacing w:val="2"/>
        </w:rPr>
        <w:t>月</w:t>
      </w:r>
      <w:r>
        <w:rPr>
          <w:rFonts w:ascii="Arial" w:hAnsi="Arial" w:cs="Arial" w:eastAsia="Arial" w:hint="default"/>
          <w:spacing w:val="2"/>
        </w:rPr>
        <w:t>15</w:t>
      </w:r>
      <w:r>
        <w:rPr>
          <w:spacing w:val="2"/>
        </w:rPr>
        <w:t>日颁布的《企业会计准则—基本准则》和</w:t>
      </w:r>
      <w:r>
        <w:rPr>
          <w:rFonts w:ascii="Arial" w:hAnsi="Arial" w:cs="Arial" w:eastAsia="Arial" w:hint="default"/>
          <w:spacing w:val="2"/>
        </w:rPr>
        <w:t>38</w:t>
      </w:r>
      <w:r>
        <w:rPr>
          <w:spacing w:val="2"/>
        </w:rPr>
        <w:t>项具体会</w:t>
      </w:r>
      <w:r>
        <w:rPr>
          <w:spacing w:val="2"/>
          <w:w w:val="99"/>
        </w:rPr>
        <w:t> </w:t>
      </w:r>
      <w:r>
        <w:rPr>
          <w:spacing w:val="2"/>
        </w:rPr>
        <w:t>计准则、其后颁布的企业会计准则应用指南、企业会计准则解释及其他相关规定（以下合称</w:t>
      </w:r>
      <w:r>
        <w:rPr>
          <w:w w:val="99"/>
        </w:rPr>
        <w:t> </w:t>
      </w:r>
      <w:r>
        <w:rPr>
          <w:spacing w:val="2"/>
        </w:rPr>
        <w:t>“企业会计准则”）以及中国证券监督管理委员会《公开发行证券的公司信息披露编报规则</w:t>
      </w:r>
      <w:r>
        <w:rPr>
          <w:w w:val="99"/>
        </w:rPr>
        <w:t> </w:t>
      </w:r>
      <w:r>
        <w:rPr/>
        <w:t>第</w:t>
      </w:r>
      <w:r>
        <w:rPr>
          <w:rFonts w:ascii="Arial" w:hAnsi="Arial" w:cs="Arial" w:eastAsia="Arial" w:hint="default"/>
        </w:rPr>
        <w:t>15</w:t>
      </w:r>
      <w:r>
        <w:rPr/>
        <w:t>号—财务报告的一般规定》（</w:t>
      </w:r>
      <w:r>
        <w:rPr>
          <w:rFonts w:ascii="Arial" w:hAnsi="Arial" w:cs="Arial" w:eastAsia="Arial" w:hint="default"/>
        </w:rPr>
        <w:t>2010</w:t>
      </w:r>
      <w:r>
        <w:rPr/>
        <w:t>年修订）的披露规定编制。</w:t>
      </w:r>
    </w:p>
    <w:p>
      <w:pPr>
        <w:spacing w:line="240" w:lineRule="auto" w:before="10"/>
        <w:rPr>
          <w:rFonts w:ascii="宋体" w:hAnsi="宋体" w:cs="宋体" w:eastAsia="宋体" w:hint="default"/>
          <w:sz w:val="15"/>
          <w:szCs w:val="15"/>
        </w:rPr>
      </w:pPr>
    </w:p>
    <w:p>
      <w:pPr>
        <w:pStyle w:val="BodyText"/>
        <w:spacing w:line="240" w:lineRule="auto"/>
        <w:ind w:left="146" w:right="5567"/>
        <w:jc w:val="left"/>
      </w:pPr>
      <w:r>
        <w:rPr>
          <w:rFonts w:ascii="Arial" w:hAnsi="Arial" w:cs="Arial" w:eastAsia="Arial" w:hint="default"/>
        </w:rPr>
        <w:t>(a)</w:t>
      </w:r>
      <w:r>
        <w:rPr>
          <w:rFonts w:ascii="Arial" w:hAnsi="Arial" w:cs="Arial" w:eastAsia="Arial" w:hint="default"/>
          <w:spacing w:val="56"/>
        </w:rPr>
        <w:t> </w:t>
      </w:r>
      <w:r>
        <w:rPr/>
        <w:t>收购联通新时空</w:t>
      </w:r>
    </w:p>
    <w:p>
      <w:pPr>
        <w:spacing w:line="240" w:lineRule="auto" w:before="11"/>
        <w:rPr>
          <w:rFonts w:ascii="宋体" w:hAnsi="宋体" w:cs="宋体" w:eastAsia="宋体" w:hint="default"/>
          <w:sz w:val="18"/>
          <w:szCs w:val="18"/>
        </w:rPr>
      </w:pPr>
    </w:p>
    <w:p>
      <w:pPr>
        <w:pStyle w:val="BodyText"/>
        <w:spacing w:line="286" w:lineRule="exact"/>
        <w:ind w:left="538" w:right="28"/>
        <w:jc w:val="left"/>
      </w:pPr>
      <w:r>
        <w:rPr/>
        <w:t>如附注一</w:t>
      </w:r>
      <w:r>
        <w:rPr>
          <w:rFonts w:ascii="Arial" w:hAnsi="Arial" w:cs="Arial" w:eastAsia="Arial" w:hint="default"/>
        </w:rPr>
        <w:t>(2)</w:t>
      </w:r>
      <w:r>
        <w:rPr/>
        <w:t>所述，于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26</w:t>
      </w:r>
      <w:r>
        <w:rPr/>
        <w:t>日，联通运营公司以约人民币</w:t>
      </w:r>
      <w:r>
        <w:rPr>
          <w:rFonts w:ascii="Arial" w:hAnsi="Arial" w:cs="Arial" w:eastAsia="Arial" w:hint="default"/>
        </w:rPr>
        <w:t>121.66</w:t>
      </w:r>
      <w:r>
        <w:rPr/>
        <w:t>亿元现金完成收购联</w:t>
      </w:r>
      <w:r>
        <w:rPr>
          <w:w w:val="99"/>
        </w:rPr>
        <w:t> </w:t>
      </w:r>
      <w:r>
        <w:rPr/>
        <w:t>通新时空。</w:t>
      </w:r>
    </w:p>
    <w:p>
      <w:pPr>
        <w:spacing w:line="240" w:lineRule="auto" w:before="3"/>
        <w:rPr>
          <w:rFonts w:ascii="宋体" w:hAnsi="宋体" w:cs="宋体" w:eastAsia="宋体" w:hint="default"/>
          <w:sz w:val="19"/>
          <w:szCs w:val="19"/>
        </w:rPr>
      </w:pPr>
    </w:p>
    <w:p>
      <w:pPr>
        <w:pStyle w:val="BodyText"/>
        <w:spacing w:line="286" w:lineRule="exact"/>
        <w:ind w:left="538" w:right="28"/>
        <w:jc w:val="left"/>
      </w:pPr>
      <w:r>
        <w:rPr>
          <w:spacing w:val="-1"/>
          <w:w w:val="95"/>
        </w:rPr>
        <w:t>根据《企业会计准则第</w:t>
      </w:r>
      <w:r>
        <w:rPr>
          <w:rFonts w:ascii="Arial" w:hAnsi="Arial" w:cs="Arial" w:eastAsia="Arial" w:hint="default"/>
          <w:spacing w:val="-1"/>
          <w:w w:val="95"/>
        </w:rPr>
        <w:t>20</w:t>
      </w:r>
      <w:r>
        <w:rPr>
          <w:spacing w:val="-1"/>
          <w:w w:val="95"/>
        </w:rPr>
        <w:t>号—企业合并》及其相关应用指南和准则解释，业务一般具有投入、</w:t>
      </w:r>
      <w:r>
        <w:rPr>
          <w:spacing w:val="19"/>
          <w:w w:val="95"/>
        </w:rPr>
        <w:t> </w:t>
      </w:r>
      <w:r>
        <w:rPr>
          <w:spacing w:val="19"/>
          <w:w w:val="95"/>
        </w:rPr>
      </w:r>
      <w:r>
        <w:rPr>
          <w:spacing w:val="2"/>
        </w:rPr>
        <w:t>加工处理过程和产出能力。业务是指企业内部某些生产经营活动或资产的组合，能够独立计</w:t>
      </w:r>
      <w:r>
        <w:rPr>
          <w:w w:val="99"/>
        </w:rPr>
        <w:t> </w:t>
      </w:r>
      <w:r>
        <w:rPr/>
        <w:t>算其成本费用或所产生的收入。</w:t>
      </w:r>
    </w:p>
    <w:p>
      <w:pPr>
        <w:spacing w:line="240" w:lineRule="auto" w:before="3"/>
        <w:rPr>
          <w:rFonts w:ascii="宋体" w:hAnsi="宋体" w:cs="宋体" w:eastAsia="宋体" w:hint="default"/>
          <w:sz w:val="19"/>
          <w:szCs w:val="19"/>
        </w:rPr>
      </w:pPr>
    </w:p>
    <w:p>
      <w:pPr>
        <w:pStyle w:val="BodyText"/>
        <w:spacing w:line="286" w:lineRule="exact"/>
        <w:ind w:left="538" w:right="213"/>
        <w:jc w:val="both"/>
      </w:pPr>
      <w:r>
        <w:rPr>
          <w:spacing w:val="2"/>
        </w:rPr>
        <w:t>联通新时空不符合业务的定义，因为其主要构成为南方固定电信网络资产、现金及相关资产</w:t>
      </w:r>
      <w:r>
        <w:rPr>
          <w:w w:val="99"/>
        </w:rPr>
        <w:t> </w:t>
      </w:r>
      <w:r>
        <w:rPr>
          <w:spacing w:val="2"/>
        </w:rPr>
        <w:t>与债务。联通新时空缺少诸如牌照、用户群体、管理团队及人力资源等其他投入和加工处理</w:t>
      </w:r>
      <w:r>
        <w:rPr>
          <w:w w:val="99"/>
        </w:rPr>
        <w:t> </w:t>
      </w:r>
      <w:r>
        <w:rPr>
          <w:spacing w:val="2"/>
        </w:rPr>
        <w:t>过程，以运营固网电信业务。除运营固网电信业务外，尽管联通新时空可通过签订电信网络</w:t>
      </w:r>
      <w:r>
        <w:rPr>
          <w:spacing w:val="-106"/>
        </w:rPr>
        <w:t> </w:t>
      </w:r>
      <w:r>
        <w:rPr>
          <w:spacing w:val="-106"/>
        </w:rPr>
      </w:r>
      <w:r>
        <w:rPr/>
        <w:t>资产租赁合同获取经济回报，但目前市场上不存在合适的承租人。</w:t>
      </w:r>
    </w:p>
    <w:p>
      <w:pPr>
        <w:spacing w:line="240" w:lineRule="auto" w:before="3"/>
        <w:rPr>
          <w:rFonts w:ascii="宋体" w:hAnsi="宋体" w:cs="宋体" w:eastAsia="宋体" w:hint="default"/>
          <w:sz w:val="19"/>
          <w:szCs w:val="19"/>
        </w:rPr>
      </w:pPr>
    </w:p>
    <w:p>
      <w:pPr>
        <w:pStyle w:val="BodyText"/>
        <w:spacing w:line="286" w:lineRule="exact"/>
        <w:ind w:left="538" w:right="28"/>
        <w:jc w:val="left"/>
      </w:pPr>
      <w:r>
        <w:rPr/>
        <w:t>因此根据《企业会计准则第</w:t>
      </w:r>
      <w:r>
        <w:rPr>
          <w:rFonts w:ascii="Arial" w:hAnsi="Arial" w:cs="Arial" w:eastAsia="Arial" w:hint="default"/>
        </w:rPr>
        <w:t>4</w:t>
      </w:r>
      <w:r>
        <w:rPr/>
        <w:t>号—固定资产》，本集团将收购联通新时空在购买期间视为资产</w:t>
      </w:r>
      <w:r>
        <w:rPr>
          <w:w w:val="99"/>
        </w:rPr>
        <w:t> </w:t>
      </w:r>
      <w:r>
        <w:rPr>
          <w:spacing w:val="-1"/>
        </w:rPr>
        <w:t>收购进行会计处理。于交易完成日，因本次收购而计入本集团资产负债表的资产和负债如下：</w:t>
      </w:r>
    </w:p>
    <w:p>
      <w:pPr>
        <w:spacing w:line="240" w:lineRule="auto" w:before="6"/>
        <w:rPr>
          <w:rFonts w:ascii="宋体" w:hAnsi="宋体" w:cs="宋体" w:eastAsia="宋体" w:hint="default"/>
          <w:sz w:val="23"/>
          <w:szCs w:val="23"/>
        </w:rPr>
      </w:pPr>
    </w:p>
    <w:tbl>
      <w:tblPr>
        <w:tblW w:w="0" w:type="auto"/>
        <w:jc w:val="left"/>
        <w:tblInd w:w="486" w:type="dxa"/>
        <w:tblLayout w:type="fixed"/>
        <w:tblCellMar>
          <w:top w:w="0" w:type="dxa"/>
          <w:left w:w="0" w:type="dxa"/>
          <w:bottom w:w="0" w:type="dxa"/>
          <w:right w:w="0" w:type="dxa"/>
        </w:tblCellMar>
        <w:tblLook w:val="01E0"/>
      </w:tblPr>
      <w:tblGrid>
        <w:gridCol w:w="7449"/>
        <w:gridCol w:w="1454"/>
      </w:tblGrid>
      <w:tr>
        <w:trPr>
          <w:trHeight w:val="260" w:hRule="exact"/>
        </w:trPr>
        <w:tc>
          <w:tcPr>
            <w:tcW w:w="7449" w:type="dxa"/>
            <w:tcBorders>
              <w:top w:val="nil" w:sz="6" w:space="0" w:color="auto"/>
              <w:left w:val="nil" w:sz="6" w:space="0" w:color="auto"/>
              <w:bottom w:val="nil" w:sz="6" w:space="0" w:color="auto"/>
              <w:right w:val="nil" w:sz="6" w:space="0" w:color="auto"/>
            </w:tcBorders>
          </w:tcPr>
          <w:p>
            <w:pPr>
              <w:pStyle w:val="TableParagraph"/>
              <w:spacing w:line="220" w:lineRule="exact"/>
              <w:ind w:left="200" w:right="0"/>
              <w:jc w:val="left"/>
              <w:rPr>
                <w:rFonts w:ascii="宋体" w:hAnsi="宋体" w:cs="宋体" w:eastAsia="宋体" w:hint="default"/>
                <w:sz w:val="22"/>
                <w:szCs w:val="22"/>
              </w:rPr>
            </w:pPr>
            <w:r>
              <w:rPr>
                <w:rFonts w:ascii="宋体" w:hAnsi="宋体" w:cs="宋体" w:eastAsia="宋体" w:hint="default"/>
                <w:sz w:val="22"/>
                <w:szCs w:val="22"/>
              </w:rPr>
              <w:t>（单位：人民币百万元）</w:t>
            </w:r>
          </w:p>
        </w:tc>
        <w:tc>
          <w:tcPr>
            <w:tcW w:w="1454" w:type="dxa"/>
            <w:tcBorders>
              <w:top w:val="nil" w:sz="6" w:space="0" w:color="auto"/>
              <w:left w:val="nil" w:sz="6" w:space="0" w:color="auto"/>
              <w:bottom w:val="nil" w:sz="6" w:space="0" w:color="auto"/>
              <w:right w:val="nil" w:sz="6" w:space="0" w:color="auto"/>
            </w:tcBorders>
          </w:tcPr>
          <w:p>
            <w:pPr/>
          </w:p>
        </w:tc>
      </w:tr>
      <w:tr>
        <w:trPr>
          <w:trHeight w:val="313" w:hRule="exact"/>
        </w:trPr>
        <w:tc>
          <w:tcPr>
            <w:tcW w:w="7449" w:type="dxa"/>
            <w:tcBorders>
              <w:top w:val="nil" w:sz="6" w:space="0" w:color="auto"/>
              <w:left w:val="nil" w:sz="6" w:space="0" w:color="auto"/>
              <w:bottom w:val="nil" w:sz="6" w:space="0" w:color="auto"/>
              <w:right w:val="nil" w:sz="6" w:space="0" w:color="auto"/>
            </w:tcBorders>
          </w:tcPr>
          <w:p>
            <w:pPr>
              <w:pStyle w:val="TableParagraph"/>
              <w:spacing w:line="260" w:lineRule="exact"/>
              <w:ind w:left="200"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3"/>
              <w:jc w:val="right"/>
              <w:rPr>
                <w:rFonts w:ascii="Arial" w:hAnsi="Arial" w:cs="Arial" w:eastAsia="Arial" w:hint="default"/>
                <w:sz w:val="22"/>
                <w:szCs w:val="22"/>
              </w:rPr>
            </w:pPr>
            <w:r>
              <w:rPr>
                <w:rFonts w:ascii="Arial"/>
                <w:w w:val="95"/>
                <w:sz w:val="22"/>
              </w:rPr>
              <w:t>1,852</w:t>
            </w:r>
            <w:r>
              <w:rPr>
                <w:rFonts w:ascii="Arial"/>
                <w:sz w:val="22"/>
              </w:rPr>
            </w:r>
          </w:p>
        </w:tc>
      </w:tr>
      <w:tr>
        <w:trPr>
          <w:trHeight w:val="300" w:hRule="exact"/>
        </w:trPr>
        <w:tc>
          <w:tcPr>
            <w:tcW w:w="7449"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其他流动资产</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13"/>
              <w:jc w:val="right"/>
              <w:rPr>
                <w:rFonts w:ascii="Arial" w:hAnsi="Arial" w:cs="Arial" w:eastAsia="Arial" w:hint="default"/>
                <w:sz w:val="22"/>
                <w:szCs w:val="22"/>
              </w:rPr>
            </w:pPr>
            <w:r>
              <w:rPr>
                <w:rFonts w:ascii="Arial"/>
                <w:w w:val="95"/>
                <w:sz w:val="22"/>
              </w:rPr>
              <w:t>735</w:t>
            </w:r>
            <w:r>
              <w:rPr>
                <w:rFonts w:ascii="Arial"/>
                <w:sz w:val="22"/>
              </w:rPr>
            </w:r>
          </w:p>
        </w:tc>
      </w:tr>
      <w:tr>
        <w:trPr>
          <w:trHeight w:val="300" w:hRule="exact"/>
        </w:trPr>
        <w:tc>
          <w:tcPr>
            <w:tcW w:w="7449"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2"/>
                <w:szCs w:val="22"/>
              </w:rPr>
            </w:pPr>
            <w:r>
              <w:rPr>
                <w:rFonts w:ascii="宋体" w:hAnsi="宋体" w:cs="宋体" w:eastAsia="宋体" w:hint="default"/>
                <w:sz w:val="22"/>
                <w:szCs w:val="22"/>
              </w:rPr>
              <w:t>固定资产</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13"/>
              <w:jc w:val="right"/>
              <w:rPr>
                <w:rFonts w:ascii="Arial" w:hAnsi="Arial" w:cs="Arial" w:eastAsia="Arial" w:hint="default"/>
                <w:sz w:val="22"/>
                <w:szCs w:val="22"/>
              </w:rPr>
            </w:pPr>
            <w:r>
              <w:rPr>
                <w:rFonts w:ascii="Arial"/>
                <w:w w:val="95"/>
                <w:sz w:val="22"/>
              </w:rPr>
              <w:t>12,090</w:t>
            </w:r>
            <w:r>
              <w:rPr>
                <w:rFonts w:ascii="Arial"/>
                <w:sz w:val="22"/>
              </w:rPr>
            </w:r>
          </w:p>
        </w:tc>
      </w:tr>
      <w:tr>
        <w:trPr>
          <w:trHeight w:val="300" w:hRule="exact"/>
        </w:trPr>
        <w:tc>
          <w:tcPr>
            <w:tcW w:w="7449"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2"/>
                <w:szCs w:val="22"/>
              </w:rPr>
            </w:pPr>
            <w:r>
              <w:rPr>
                <w:rFonts w:ascii="宋体" w:hAnsi="宋体" w:cs="宋体" w:eastAsia="宋体" w:hint="default"/>
                <w:sz w:val="22"/>
                <w:szCs w:val="22"/>
              </w:rPr>
              <w:t>递延所得税资产</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13"/>
              <w:jc w:val="right"/>
              <w:rPr>
                <w:rFonts w:ascii="Arial" w:hAnsi="Arial" w:cs="Arial" w:eastAsia="Arial" w:hint="default"/>
                <w:sz w:val="22"/>
                <w:szCs w:val="22"/>
              </w:rPr>
            </w:pPr>
            <w:r>
              <w:rPr>
                <w:rFonts w:ascii="Arial"/>
                <w:w w:val="95"/>
                <w:sz w:val="22"/>
              </w:rPr>
              <w:t>780</w:t>
            </w:r>
            <w:r>
              <w:rPr>
                <w:rFonts w:ascii="Arial"/>
                <w:sz w:val="22"/>
              </w:rPr>
            </w:r>
          </w:p>
        </w:tc>
      </w:tr>
      <w:tr>
        <w:trPr>
          <w:trHeight w:val="300" w:hRule="exact"/>
        </w:trPr>
        <w:tc>
          <w:tcPr>
            <w:tcW w:w="7449"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其他非流动资产</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13"/>
              <w:jc w:val="right"/>
              <w:rPr>
                <w:rFonts w:ascii="Arial" w:hAnsi="Arial" w:cs="Arial" w:eastAsia="Arial" w:hint="default"/>
                <w:sz w:val="22"/>
                <w:szCs w:val="22"/>
              </w:rPr>
            </w:pPr>
            <w:r>
              <w:rPr>
                <w:rFonts w:ascii="Arial"/>
                <w:w w:val="95"/>
                <w:sz w:val="22"/>
              </w:rPr>
              <w:t>181</w:t>
            </w:r>
            <w:r>
              <w:rPr>
                <w:rFonts w:ascii="Arial"/>
                <w:sz w:val="22"/>
              </w:rPr>
            </w:r>
          </w:p>
        </w:tc>
      </w:tr>
      <w:tr>
        <w:trPr>
          <w:trHeight w:val="300" w:hRule="exact"/>
        </w:trPr>
        <w:tc>
          <w:tcPr>
            <w:tcW w:w="7449"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0"/>
              <w:jc w:val="right"/>
              <w:rPr>
                <w:rFonts w:ascii="Arial" w:hAnsi="Arial" w:cs="Arial" w:eastAsia="Arial" w:hint="default"/>
                <w:sz w:val="22"/>
                <w:szCs w:val="22"/>
              </w:rPr>
            </w:pPr>
            <w:r>
              <w:rPr>
                <w:rFonts w:ascii="Arial"/>
                <w:w w:val="95"/>
                <w:sz w:val="22"/>
              </w:rPr>
              <w:t>(1,173)</w:t>
            </w:r>
            <w:r>
              <w:rPr>
                <w:rFonts w:ascii="Arial"/>
                <w:sz w:val="22"/>
              </w:rPr>
            </w:r>
          </w:p>
        </w:tc>
      </w:tr>
      <w:tr>
        <w:trPr>
          <w:trHeight w:val="300" w:hRule="exact"/>
        </w:trPr>
        <w:tc>
          <w:tcPr>
            <w:tcW w:w="7449"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0"/>
              <w:jc w:val="right"/>
              <w:rPr>
                <w:rFonts w:ascii="Arial" w:hAnsi="Arial" w:cs="Arial" w:eastAsia="Arial" w:hint="default"/>
                <w:sz w:val="22"/>
                <w:szCs w:val="22"/>
              </w:rPr>
            </w:pPr>
            <w:r>
              <w:rPr>
                <w:rFonts w:ascii="Arial"/>
                <w:w w:val="95"/>
                <w:sz w:val="22"/>
              </w:rPr>
              <w:t>(2,097)</w:t>
            </w:r>
            <w:r>
              <w:rPr>
                <w:rFonts w:ascii="Arial"/>
                <w:sz w:val="22"/>
              </w:rPr>
            </w:r>
          </w:p>
        </w:tc>
      </w:tr>
      <w:tr>
        <w:trPr>
          <w:trHeight w:val="320" w:hRule="exact"/>
        </w:trPr>
        <w:tc>
          <w:tcPr>
            <w:tcW w:w="7449"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其他流动负债</w:t>
            </w:r>
          </w:p>
        </w:tc>
        <w:tc>
          <w:tcPr>
            <w:tcW w:w="1454" w:type="dxa"/>
            <w:tcBorders>
              <w:top w:val="nil" w:sz="6" w:space="0" w:color="auto"/>
              <w:left w:val="nil" w:sz="6" w:space="0" w:color="auto"/>
              <w:bottom w:val="nil" w:sz="6" w:space="0" w:color="auto"/>
              <w:right w:val="nil" w:sz="6" w:space="0" w:color="auto"/>
            </w:tcBorders>
          </w:tcPr>
          <w:p>
            <w:pPr>
              <w:pStyle w:val="TableParagraph"/>
              <w:tabs>
                <w:tab w:pos="1006" w:val="left" w:leader="none"/>
              </w:tabs>
              <w:spacing w:line="240" w:lineRule="auto" w:before="25"/>
              <w:ind w:right="4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(17)</w:t>
            </w:r>
            <w:r>
              <w:rPr>
                <w:rFonts w:ascii="Arial"/>
                <w:w w:val="95"/>
                <w:sz w:val="22"/>
              </w:rPr>
            </w:r>
            <w:r>
              <w:rPr>
                <w:rFonts w:ascii="Arial"/>
                <w:sz w:val="22"/>
              </w:rPr>
            </w:r>
          </w:p>
        </w:tc>
      </w:tr>
      <w:tr>
        <w:trPr>
          <w:trHeight w:val="444" w:hRule="exact"/>
        </w:trPr>
        <w:tc>
          <w:tcPr>
            <w:tcW w:w="7449"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3"/>
              <w:jc w:val="right"/>
              <w:rPr>
                <w:rFonts w:ascii="Arial" w:hAnsi="Arial" w:cs="Arial" w:eastAsia="Arial" w:hint="default"/>
                <w:sz w:val="22"/>
                <w:szCs w:val="22"/>
              </w:rPr>
            </w:pPr>
            <w:r>
              <w:rPr>
                <w:rFonts w:ascii="Arial"/>
                <w:w w:val="95"/>
                <w:sz w:val="22"/>
              </w:rPr>
              <w:t>12,351</w:t>
            </w:r>
            <w:r>
              <w:rPr>
                <w:rFonts w:ascii="Arial"/>
                <w:sz w:val="22"/>
              </w:rPr>
            </w:r>
          </w:p>
        </w:tc>
      </w:tr>
      <w:tr>
        <w:trPr>
          <w:trHeight w:val="458" w:hRule="exact"/>
        </w:trPr>
        <w:tc>
          <w:tcPr>
            <w:tcW w:w="7449"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00" w:right="0"/>
              <w:jc w:val="left"/>
              <w:rPr>
                <w:rFonts w:ascii="宋体" w:hAnsi="宋体" w:cs="宋体" w:eastAsia="宋体" w:hint="default"/>
                <w:sz w:val="22"/>
                <w:szCs w:val="22"/>
              </w:rPr>
            </w:pPr>
            <w:r>
              <w:rPr>
                <w:rFonts w:ascii="宋体" w:hAnsi="宋体" w:cs="宋体" w:eastAsia="宋体" w:hint="default"/>
                <w:sz w:val="22"/>
                <w:szCs w:val="22"/>
              </w:rPr>
              <w:t>评估基准日至收购交易完成日利润归属于联通集团产生的应付款项</w:t>
            </w:r>
          </w:p>
        </w:tc>
        <w:tc>
          <w:tcPr>
            <w:tcW w:w="1454" w:type="dxa"/>
            <w:tcBorders>
              <w:top w:val="nil" w:sz="6" w:space="0" w:color="auto"/>
              <w:left w:val="nil" w:sz="6" w:space="0" w:color="auto"/>
              <w:bottom w:val="nil" w:sz="6" w:space="0" w:color="auto"/>
              <w:right w:val="nil" w:sz="6" w:space="0" w:color="auto"/>
            </w:tcBorders>
          </w:tcPr>
          <w:p>
            <w:pPr>
              <w:pStyle w:val="TableParagraph"/>
              <w:tabs>
                <w:tab w:pos="884" w:val="left" w:leader="none"/>
              </w:tabs>
              <w:spacing w:line="240" w:lineRule="auto" w:before="175"/>
              <w:ind w:right="4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(185)</w:t>
            </w:r>
            <w:r>
              <w:rPr>
                <w:rFonts w:ascii="Arial"/>
                <w:w w:val="95"/>
                <w:sz w:val="22"/>
              </w:rPr>
            </w:r>
            <w:r>
              <w:rPr>
                <w:rFonts w:ascii="Arial"/>
                <w:sz w:val="22"/>
              </w:rPr>
            </w:r>
          </w:p>
        </w:tc>
      </w:tr>
      <w:tr>
        <w:trPr>
          <w:trHeight w:val="311" w:hRule="exact"/>
        </w:trPr>
        <w:tc>
          <w:tcPr>
            <w:tcW w:w="7449"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宋体" w:hAnsi="宋体" w:cs="宋体" w:eastAsia="宋体" w:hint="default"/>
                <w:sz w:val="22"/>
                <w:szCs w:val="22"/>
              </w:rPr>
              <w:t>收购价</w:t>
            </w:r>
          </w:p>
        </w:tc>
        <w:tc>
          <w:tcPr>
            <w:tcW w:w="1454" w:type="dxa"/>
            <w:tcBorders>
              <w:top w:val="nil" w:sz="6" w:space="0" w:color="auto"/>
              <w:left w:val="nil" w:sz="6" w:space="0" w:color="auto"/>
              <w:bottom w:val="single" w:sz="17" w:space="0" w:color="000000"/>
              <w:right w:val="nil" w:sz="6" w:space="0" w:color="auto"/>
            </w:tcBorders>
          </w:tcPr>
          <w:p>
            <w:pPr>
              <w:pStyle w:val="TableParagraph"/>
              <w:spacing w:line="240" w:lineRule="auto" w:before="32"/>
              <w:ind w:right="113"/>
              <w:jc w:val="right"/>
              <w:rPr>
                <w:rFonts w:ascii="Arial" w:hAnsi="Arial" w:cs="Arial" w:eastAsia="Arial" w:hint="default"/>
                <w:sz w:val="22"/>
                <w:szCs w:val="22"/>
              </w:rPr>
            </w:pPr>
            <w:r>
              <w:rPr>
                <w:rFonts w:ascii="Arial"/>
                <w:w w:val="95"/>
                <w:sz w:val="22"/>
              </w:rPr>
              <w:t>12,166</w:t>
            </w:r>
            <w:r>
              <w:rPr>
                <w:rFonts w:ascii="Arial"/>
                <w:sz w:val="22"/>
              </w:rPr>
            </w:r>
          </w:p>
        </w:tc>
      </w:tr>
    </w:tbl>
    <w:p>
      <w:pPr>
        <w:spacing w:after="0" w:line="240" w:lineRule="auto"/>
        <w:jc w:val="right"/>
        <w:rPr>
          <w:rFonts w:ascii="Arial" w:hAnsi="Arial" w:cs="Arial" w:eastAsia="Arial" w:hint="default"/>
          <w:sz w:val="22"/>
          <w:szCs w:val="22"/>
        </w:rPr>
        <w:sectPr>
          <w:headerReference w:type="default" r:id="rId40"/>
          <w:pgSz w:w="11910" w:h="16840"/>
          <w:pgMar w:header="967" w:footer="593" w:top="2000" w:bottom="780" w:left="1440" w:right="820"/>
        </w:sectPr>
      </w:pPr>
    </w:p>
    <w:p>
      <w:pPr>
        <w:spacing w:line="240" w:lineRule="auto" w:before="9"/>
        <w:rPr>
          <w:rFonts w:ascii="宋体" w:hAnsi="宋体" w:cs="宋体" w:eastAsia="宋体" w:hint="default"/>
          <w:sz w:val="16"/>
          <w:szCs w:val="16"/>
        </w:rPr>
      </w:pPr>
    </w:p>
    <w:p>
      <w:pPr>
        <w:pStyle w:val="BodyText"/>
        <w:spacing w:line="240" w:lineRule="auto" w:before="31"/>
        <w:ind w:left="118" w:right="5567"/>
        <w:jc w:val="left"/>
        <w:rPr>
          <w:rFonts w:ascii="黑体" w:hAnsi="黑体" w:cs="黑体" w:eastAsia="黑体" w:hint="default"/>
        </w:rPr>
      </w:pPr>
      <w:r>
        <w:rPr>
          <w:rFonts w:ascii="黑体" w:hAnsi="黑体" w:cs="黑体" w:eastAsia="黑体" w:hint="default"/>
        </w:rPr>
        <w:t>二</w:t>
      </w:r>
      <w:r>
        <w:rPr>
          <w:rFonts w:ascii="黑体" w:hAnsi="黑体" w:cs="黑体" w:eastAsia="黑体" w:hint="default"/>
          <w:spacing w:val="82"/>
        </w:rPr>
        <w:t> </w:t>
      </w:r>
      <w:r>
        <w:rPr>
          <w:rFonts w:ascii="黑体" w:hAnsi="黑体" w:cs="黑体" w:eastAsia="黑体" w:hint="default"/>
        </w:rPr>
        <w:t>重要会计政策和会计估计（续）</w:t>
      </w:r>
    </w:p>
    <w:p>
      <w:pPr>
        <w:spacing w:line="240" w:lineRule="auto" w:before="2"/>
        <w:rPr>
          <w:rFonts w:ascii="黑体" w:hAnsi="黑体" w:cs="黑体" w:eastAsia="黑体" w:hint="default"/>
          <w:sz w:val="19"/>
          <w:szCs w:val="19"/>
        </w:rPr>
      </w:pPr>
    </w:p>
    <w:p>
      <w:pPr>
        <w:pStyle w:val="BodyText"/>
        <w:spacing w:line="240" w:lineRule="auto"/>
        <w:ind w:left="118" w:right="5567"/>
        <w:jc w:val="left"/>
      </w:pPr>
      <w:r>
        <w:rPr>
          <w:rFonts w:ascii="Arial" w:hAnsi="Arial" w:cs="Arial" w:eastAsia="Arial" w:hint="default"/>
        </w:rPr>
        <w:t>1</w:t>
      </w:r>
      <w:r>
        <w:rPr/>
        <w:t>、</w:t>
      </w:r>
      <w:r>
        <w:rPr>
          <w:spacing w:val="-41"/>
        </w:rPr>
        <w:t> </w:t>
      </w:r>
      <w:r>
        <w:rPr/>
        <w:t>财务报表的编制基础（续）</w:t>
      </w:r>
    </w:p>
    <w:p>
      <w:pPr>
        <w:spacing w:line="240" w:lineRule="auto" w:before="9"/>
        <w:rPr>
          <w:rFonts w:ascii="宋体" w:hAnsi="宋体" w:cs="宋体" w:eastAsia="宋体" w:hint="default"/>
          <w:sz w:val="15"/>
          <w:szCs w:val="15"/>
        </w:rPr>
      </w:pPr>
    </w:p>
    <w:p>
      <w:pPr>
        <w:pStyle w:val="BodyText"/>
        <w:spacing w:line="240" w:lineRule="auto"/>
        <w:ind w:left="146" w:right="5567"/>
        <w:jc w:val="left"/>
      </w:pPr>
      <w:r>
        <w:rPr>
          <w:rFonts w:ascii="Arial" w:hAnsi="Arial" w:cs="Arial" w:eastAsia="Arial" w:hint="default"/>
        </w:rPr>
        <w:t>(b)</w:t>
      </w:r>
      <w:r>
        <w:rPr>
          <w:rFonts w:ascii="Arial" w:hAnsi="Arial" w:cs="Arial" w:eastAsia="Arial" w:hint="default"/>
          <w:spacing w:val="58"/>
        </w:rPr>
        <w:t> </w:t>
      </w:r>
      <w:r>
        <w:rPr/>
        <w:t>企业合并</w:t>
      </w:r>
    </w:p>
    <w:p>
      <w:pPr>
        <w:spacing w:line="240" w:lineRule="auto" w:before="7"/>
        <w:rPr>
          <w:rFonts w:ascii="宋体" w:hAnsi="宋体" w:cs="宋体" w:eastAsia="宋体" w:hint="default"/>
          <w:sz w:val="17"/>
          <w:szCs w:val="17"/>
        </w:rPr>
      </w:pPr>
    </w:p>
    <w:p>
      <w:pPr>
        <w:pStyle w:val="BodyText"/>
        <w:spacing w:line="230" w:lineRule="auto"/>
        <w:ind w:left="538" w:right="208"/>
        <w:jc w:val="both"/>
      </w:pPr>
      <w:r>
        <w:rPr/>
        <w:t>如附注一</w:t>
      </w:r>
      <w:r>
        <w:rPr>
          <w:rFonts w:ascii="Arial" w:hAnsi="Arial" w:cs="Arial" w:eastAsia="Arial" w:hint="default"/>
        </w:rPr>
        <w:t>(3)</w:t>
      </w:r>
      <w:r>
        <w:rPr/>
        <w:t>所述，于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1</w:t>
      </w:r>
      <w:r>
        <w:rPr/>
        <w:t>日，宽带在线完成了对联通新时讯的合并。宽带在线和联</w:t>
      </w:r>
      <w:r>
        <w:rPr>
          <w:spacing w:val="-53"/>
        </w:rPr>
        <w:t> </w:t>
      </w:r>
      <w:r>
        <w:rPr>
          <w:spacing w:val="-53"/>
        </w:rPr>
      </w:r>
      <w:r>
        <w:rPr>
          <w:spacing w:val="2"/>
        </w:rPr>
        <w:t>通新时讯在合并前及合并后的最终控制方均为联通集团，因此，本集团认为宽带在线对联通</w:t>
      </w:r>
      <w:r>
        <w:rPr>
          <w:spacing w:val="-104"/>
        </w:rPr>
        <w:t> </w:t>
      </w:r>
      <w:r>
        <w:rPr>
          <w:spacing w:val="-104"/>
        </w:rPr>
      </w:r>
      <w:r>
        <w:rPr/>
        <w:t>新时讯的合并属于同一控制下的企业合并，并依照《企业会计准则第</w:t>
      </w:r>
      <w:r>
        <w:rPr>
          <w:rFonts w:ascii="Arial" w:hAnsi="Arial" w:cs="Arial" w:eastAsia="Arial" w:hint="default"/>
        </w:rPr>
        <w:t>20</w:t>
      </w:r>
      <w:r>
        <w:rPr/>
        <w:t>号－企业合并》中关</w:t>
      </w:r>
      <w:r>
        <w:rPr>
          <w:spacing w:val="-55"/>
        </w:rPr>
        <w:t> </w:t>
      </w:r>
      <w:r>
        <w:rPr>
          <w:spacing w:val="-55"/>
        </w:rPr>
      </w:r>
      <w:r>
        <w:rPr>
          <w:spacing w:val="2"/>
        </w:rPr>
        <w:t>于同一控制下企业合并的规定对宽带在线合并联通新时讯进行会计处理和披露。联通新时讯</w:t>
      </w:r>
      <w:r>
        <w:rPr>
          <w:spacing w:val="-105"/>
        </w:rPr>
        <w:t> </w:t>
      </w:r>
      <w:r>
        <w:rPr>
          <w:spacing w:val="-105"/>
        </w:rPr>
      </w:r>
      <w:r>
        <w:rPr>
          <w:spacing w:val="2"/>
        </w:rPr>
        <w:t>的资产及负债将按其合并日财务账面价值并入本集团的合并财务报表当中，同时视同合并后</w:t>
      </w:r>
      <w:r>
        <w:rPr>
          <w:spacing w:val="-107"/>
        </w:rPr>
        <w:t> </w:t>
      </w:r>
      <w:r>
        <w:rPr>
          <w:spacing w:val="-107"/>
        </w:rPr>
      </w:r>
      <w:r>
        <w:rPr/>
        <w:t>的报告主体在以前期间一直存在。因此，本集团</w:t>
      </w:r>
      <w:r>
        <w:rPr>
          <w:rFonts w:ascii="Arial" w:hAnsi="Arial" w:cs="Arial" w:eastAsia="Arial" w:hint="default"/>
        </w:rPr>
        <w:t>2012</w:t>
      </w:r>
      <w:r>
        <w:rPr/>
        <w:t>年度合并财务报表的比较数据已包含联</w:t>
      </w:r>
      <w:r>
        <w:rPr>
          <w:spacing w:val="-89"/>
        </w:rPr>
        <w:t> </w:t>
      </w:r>
      <w:r>
        <w:rPr>
          <w:spacing w:val="-89"/>
        </w:rPr>
      </w:r>
      <w:r>
        <w:rPr/>
        <w:t>通新时讯合并当年年初至合并日（即</w:t>
      </w:r>
      <w:r>
        <w:rPr>
          <w:rFonts w:ascii="Arial" w:hAnsi="Arial" w:cs="Arial" w:eastAsia="Arial" w:hint="default"/>
        </w:rPr>
        <w:t>2011</w:t>
      </w:r>
      <w:r>
        <w:rPr/>
        <w:t>年</w:t>
      </w:r>
      <w:r>
        <w:rPr>
          <w:rFonts w:ascii="Arial" w:hAnsi="Arial" w:cs="Arial" w:eastAsia="Arial" w:hint="default"/>
        </w:rPr>
        <w:t>1</w:t>
      </w:r>
      <w:r>
        <w:rPr/>
        <w:t>月</w:t>
      </w:r>
      <w:r>
        <w:rPr>
          <w:rFonts w:ascii="Arial" w:hAnsi="Arial" w:cs="Arial" w:eastAsia="Arial" w:hint="default"/>
        </w:rPr>
        <w:t>1</w:t>
      </w:r>
      <w:r>
        <w:rPr/>
        <w:t>日至</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1</w:t>
      </w:r>
      <w:r>
        <w:rPr/>
        <w:t>日）的现金流量和经营成</w:t>
      </w:r>
      <w:r>
        <w:rPr>
          <w:spacing w:val="-89"/>
        </w:rPr>
        <w:t> </w:t>
      </w:r>
      <w:r>
        <w:rPr>
          <w:spacing w:val="-89"/>
        </w:rPr>
      </w:r>
      <w:r>
        <w:rPr/>
        <w:t>果。</w:t>
      </w:r>
    </w:p>
    <w:p>
      <w:pPr>
        <w:spacing w:line="240" w:lineRule="auto" w:before="1"/>
        <w:rPr>
          <w:rFonts w:ascii="宋体" w:hAnsi="宋体" w:cs="宋体" w:eastAsia="宋体" w:hint="default"/>
          <w:sz w:val="17"/>
          <w:szCs w:val="17"/>
        </w:rPr>
      </w:pPr>
    </w:p>
    <w:p>
      <w:pPr>
        <w:pStyle w:val="BodyText"/>
        <w:spacing w:line="240" w:lineRule="auto"/>
        <w:ind w:left="146" w:right="5567"/>
        <w:jc w:val="left"/>
      </w:pPr>
      <w:r>
        <w:rPr>
          <w:rFonts w:ascii="Arial" w:hAnsi="Arial" w:cs="Arial" w:eastAsia="Arial" w:hint="default"/>
        </w:rPr>
        <w:t>(c) </w:t>
      </w:r>
      <w:r>
        <w:rPr>
          <w:rFonts w:ascii="Arial" w:hAnsi="Arial" w:cs="Arial" w:eastAsia="Arial" w:hint="default"/>
          <w:spacing w:val="8"/>
        </w:rPr>
        <w:t> </w:t>
      </w:r>
      <w:r>
        <w:rPr/>
        <w:t>合并报表</w:t>
      </w:r>
    </w:p>
    <w:p>
      <w:pPr>
        <w:spacing w:line="240" w:lineRule="auto" w:before="11"/>
        <w:rPr>
          <w:rFonts w:ascii="宋体" w:hAnsi="宋体" w:cs="宋体" w:eastAsia="宋体" w:hint="default"/>
          <w:sz w:val="17"/>
          <w:szCs w:val="17"/>
        </w:rPr>
      </w:pPr>
    </w:p>
    <w:p>
      <w:pPr>
        <w:pStyle w:val="BodyText"/>
        <w:spacing w:line="225" w:lineRule="auto"/>
        <w:ind w:left="538" w:right="28"/>
        <w:jc w:val="left"/>
      </w:pPr>
      <w:r>
        <w:rPr/>
        <w:t>于</w:t>
      </w:r>
      <w:r>
        <w:rPr>
          <w:spacing w:val="-57"/>
        </w:rPr>
        <w:t> </w:t>
      </w:r>
      <w:r>
        <w:rPr>
          <w:rFonts w:ascii="Arial" w:hAnsi="Arial" w:cs="Arial" w:eastAsia="Arial" w:hint="default"/>
        </w:rPr>
        <w:t>2008</w:t>
      </w:r>
      <w:r>
        <w:rPr>
          <w:rFonts w:ascii="Arial" w:hAnsi="Arial" w:cs="Arial" w:eastAsia="Arial" w:hint="default"/>
          <w:spacing w:val="-8"/>
        </w:rPr>
        <w:t> </w:t>
      </w:r>
      <w:r>
        <w:rPr/>
        <w:t>年</w:t>
      </w:r>
      <w:r>
        <w:rPr>
          <w:spacing w:val="-57"/>
        </w:rPr>
        <w:t> </w:t>
      </w:r>
      <w:r>
        <w:rPr>
          <w:rFonts w:ascii="Arial" w:hAnsi="Arial" w:cs="Arial" w:eastAsia="Arial" w:hint="default"/>
        </w:rPr>
        <w:t>10</w:t>
      </w:r>
      <w:r>
        <w:rPr>
          <w:rFonts w:ascii="Arial" w:hAnsi="Arial" w:cs="Arial" w:eastAsia="Arial" w:hint="default"/>
          <w:spacing w:val="-8"/>
        </w:rPr>
        <w:t> </w:t>
      </w:r>
      <w:r>
        <w:rPr/>
        <w:t>月</w:t>
      </w:r>
      <w:r>
        <w:rPr>
          <w:spacing w:val="-57"/>
        </w:rPr>
        <w:t> </w:t>
      </w:r>
      <w:r>
        <w:rPr>
          <w:rFonts w:ascii="Arial" w:hAnsi="Arial" w:cs="Arial" w:eastAsia="Arial" w:hint="default"/>
        </w:rPr>
        <w:t>15</w:t>
      </w:r>
      <w:r>
        <w:rPr>
          <w:rFonts w:ascii="Arial" w:hAnsi="Arial" w:cs="Arial" w:eastAsia="Arial" w:hint="default"/>
          <w:spacing w:val="-8"/>
        </w:rPr>
        <w:t> </w:t>
      </w:r>
      <w:r>
        <w:rPr>
          <w:spacing w:val="-7"/>
        </w:rPr>
        <w:t>日，联通红筹公司与中国网通集团（香港）有限公司（“网通红筹公司”）</w:t>
      </w:r>
      <w:r>
        <w:rPr>
          <w:w w:val="99"/>
        </w:rPr>
        <w:t> </w:t>
      </w:r>
      <w:r>
        <w:rPr/>
        <w:t>以协议安排通过换股方式完成了两家公司的合并。交易完成后，本公司所属子公司联通 </w:t>
      </w:r>
      <w:r>
        <w:rPr>
          <w:rFonts w:ascii="Arial" w:hAnsi="Arial" w:cs="Arial" w:eastAsia="Arial" w:hint="default"/>
        </w:rPr>
        <w:t>BVI</w:t>
      </w:r>
      <w:r>
        <w:rPr>
          <w:rFonts w:ascii="Arial" w:hAnsi="Arial" w:cs="Arial" w:eastAsia="Arial" w:hint="default"/>
          <w:spacing w:val="-6"/>
        </w:rPr>
        <w:t> </w:t>
      </w:r>
      <w:r>
        <w:rPr/>
        <w:t>公司对联通红筹公司的持股比例由合并前的</w:t>
      </w:r>
      <w:r>
        <w:rPr>
          <w:spacing w:val="-43"/>
        </w:rPr>
        <w:t> </w:t>
      </w:r>
      <w:r>
        <w:rPr>
          <w:rFonts w:ascii="Arial" w:hAnsi="Arial" w:cs="Arial" w:eastAsia="Arial" w:hint="default"/>
        </w:rPr>
        <w:t>71.17%</w:t>
      </w:r>
      <w:r>
        <w:rPr/>
        <w:t>（于</w:t>
      </w:r>
      <w:r>
        <w:rPr>
          <w:spacing w:val="-45"/>
        </w:rPr>
        <w:t> </w:t>
      </w:r>
      <w:r>
        <w:rPr>
          <w:rFonts w:ascii="Arial" w:hAnsi="Arial" w:cs="Arial" w:eastAsia="Arial" w:hint="default"/>
        </w:rPr>
        <w:t>2008</w:t>
      </w:r>
      <w:r>
        <w:rPr>
          <w:rFonts w:ascii="Arial" w:hAnsi="Arial" w:cs="Arial" w:eastAsia="Arial" w:hint="default"/>
          <w:spacing w:val="5"/>
        </w:rPr>
        <w:t> </w:t>
      </w:r>
      <w:r>
        <w:rPr/>
        <w:t>年</w:t>
      </w:r>
      <w:r>
        <w:rPr>
          <w:spacing w:val="-45"/>
        </w:rPr>
        <w:t> </w:t>
      </w:r>
      <w:r>
        <w:rPr>
          <w:rFonts w:ascii="Arial" w:hAnsi="Arial" w:cs="Arial" w:eastAsia="Arial" w:hint="default"/>
        </w:rPr>
        <w:t>9</w:t>
      </w:r>
      <w:r>
        <w:rPr>
          <w:rFonts w:ascii="Arial" w:hAnsi="Arial" w:cs="Arial" w:eastAsia="Arial" w:hint="default"/>
          <w:spacing w:val="4"/>
        </w:rPr>
        <w:t> </w:t>
      </w:r>
      <w:r>
        <w:rPr/>
        <w:t>月</w:t>
      </w:r>
      <w:r>
        <w:rPr>
          <w:spacing w:val="-44"/>
        </w:rPr>
        <w:t> </w:t>
      </w:r>
      <w:r>
        <w:rPr>
          <w:rFonts w:ascii="Arial" w:hAnsi="Arial" w:cs="Arial" w:eastAsia="Arial" w:hint="default"/>
        </w:rPr>
        <w:t>30</w:t>
      </w:r>
      <w:r>
        <w:rPr>
          <w:rFonts w:ascii="Arial" w:hAnsi="Arial" w:cs="Arial" w:eastAsia="Arial" w:hint="default"/>
          <w:spacing w:val="4"/>
        </w:rPr>
        <w:t> </w:t>
      </w:r>
      <w:r>
        <w:rPr/>
        <w:t>日）下降为合并后</w:t>
      </w:r>
      <w:r>
        <w:rPr>
          <w:w w:val="99"/>
        </w:rPr>
        <w:t> </w:t>
      </w:r>
      <w:r>
        <w:rPr/>
        <w:t>的</w:t>
      </w:r>
      <w:r>
        <w:rPr>
          <w:spacing w:val="-58"/>
        </w:rPr>
        <w:t> </w:t>
      </w:r>
      <w:r>
        <w:rPr>
          <w:rFonts w:ascii="Arial" w:hAnsi="Arial" w:cs="Arial" w:eastAsia="Arial" w:hint="default"/>
        </w:rPr>
        <w:t>40.92%</w:t>
      </w:r>
      <w:r>
        <w:rPr/>
        <w:t>。</w:t>
      </w:r>
    </w:p>
    <w:p>
      <w:pPr>
        <w:spacing w:line="240" w:lineRule="auto" w:before="5"/>
        <w:rPr>
          <w:rFonts w:ascii="宋体" w:hAnsi="宋体" w:cs="宋体" w:eastAsia="宋体" w:hint="default"/>
          <w:sz w:val="19"/>
          <w:szCs w:val="19"/>
        </w:rPr>
      </w:pPr>
    </w:p>
    <w:p>
      <w:pPr>
        <w:pStyle w:val="BodyText"/>
        <w:spacing w:line="225" w:lineRule="auto"/>
        <w:ind w:left="538" w:right="211"/>
        <w:jc w:val="both"/>
      </w:pPr>
      <w:r>
        <w:rPr>
          <w:spacing w:val="-12"/>
          <w:w w:val="99"/>
        </w:rPr>
        <w:t>为确保联通</w:t>
      </w:r>
      <w:r>
        <w:rPr>
          <w:rFonts w:ascii="Arial" w:hAnsi="Arial" w:cs="Arial" w:eastAsia="Arial" w:hint="default"/>
          <w:spacing w:val="-12"/>
          <w:w w:val="99"/>
        </w:rPr>
        <w:t>BVI</w:t>
      </w:r>
      <w:r>
        <w:rPr>
          <w:spacing w:val="-12"/>
          <w:w w:val="99"/>
        </w:rPr>
        <w:t>公司对联通红筹公司的控制，联通</w:t>
      </w:r>
      <w:r>
        <w:rPr>
          <w:rFonts w:ascii="Arial" w:hAnsi="Arial" w:cs="Arial" w:eastAsia="Arial" w:hint="default"/>
          <w:spacing w:val="-12"/>
          <w:w w:val="99"/>
        </w:rPr>
        <w:t>BVI</w:t>
      </w:r>
      <w:r>
        <w:rPr>
          <w:spacing w:val="-12"/>
          <w:w w:val="99"/>
        </w:rPr>
        <w:t>公司和中国联通集团（</w:t>
      </w:r>
      <w:r>
        <w:rPr>
          <w:rFonts w:ascii="Arial" w:hAnsi="Arial" w:cs="Arial" w:eastAsia="Arial" w:hint="default"/>
          <w:spacing w:val="-12"/>
          <w:w w:val="99"/>
        </w:rPr>
        <w:t>BVI</w:t>
      </w:r>
      <w:r>
        <w:rPr>
          <w:spacing w:val="-12"/>
          <w:w w:val="99"/>
        </w:rPr>
        <w:t>）有限公司（“联</w:t>
      </w:r>
      <w:r>
        <w:rPr>
          <w:spacing w:val="-76"/>
          <w:w w:val="99"/>
        </w:rPr>
        <w:t> </w:t>
      </w:r>
      <w:r>
        <w:rPr>
          <w:spacing w:val="-76"/>
          <w:w w:val="99"/>
        </w:rPr>
      </w:r>
      <w:r>
        <w:rPr>
          <w:spacing w:val="-1"/>
        </w:rPr>
        <w:t>通集团</w:t>
      </w:r>
      <w:r>
        <w:rPr>
          <w:rFonts w:ascii="Arial" w:hAnsi="Arial" w:cs="Arial" w:eastAsia="Arial" w:hint="default"/>
          <w:spacing w:val="-1"/>
        </w:rPr>
        <w:t>BVI</w:t>
      </w:r>
      <w:r>
        <w:rPr>
          <w:spacing w:val="-1"/>
        </w:rPr>
        <w:t>公司”，联通红筹公司另一股东，于联通红筹公司和网通红筹公司合并后持有联通</w:t>
      </w:r>
      <w:r>
        <w:rPr>
          <w:w w:val="99"/>
        </w:rPr>
        <w:t> </w:t>
      </w:r>
      <w:r>
        <w:rPr>
          <w:spacing w:val="-3"/>
        </w:rPr>
        <w:t>红筹公司约</w:t>
      </w:r>
      <w:r>
        <w:rPr>
          <w:rFonts w:ascii="Arial" w:hAnsi="Arial" w:cs="Arial" w:eastAsia="Arial" w:hint="default"/>
          <w:spacing w:val="-3"/>
        </w:rPr>
        <w:t>29.49%</w:t>
      </w:r>
      <w:r>
        <w:rPr>
          <w:spacing w:val="-3"/>
        </w:rPr>
        <w:t>的股份，原名为中国网通集团（</w:t>
      </w:r>
      <w:r>
        <w:rPr>
          <w:rFonts w:ascii="Arial" w:hAnsi="Arial" w:cs="Arial" w:eastAsia="Arial" w:hint="default"/>
          <w:spacing w:val="-3"/>
        </w:rPr>
        <w:t>BVI</w:t>
      </w:r>
      <w:r>
        <w:rPr>
          <w:spacing w:val="-3"/>
        </w:rPr>
        <w:t>）有限公司，于</w:t>
      </w:r>
      <w:r>
        <w:rPr>
          <w:rFonts w:ascii="Arial" w:hAnsi="Arial" w:cs="Arial" w:eastAsia="Arial" w:hint="default"/>
          <w:spacing w:val="-3"/>
        </w:rPr>
        <w:t>2012</w:t>
      </w:r>
      <w:r>
        <w:rPr>
          <w:spacing w:val="-3"/>
        </w:rPr>
        <w:t>年</w:t>
      </w:r>
      <w:r>
        <w:rPr>
          <w:rFonts w:ascii="Arial" w:hAnsi="Arial" w:cs="Arial" w:eastAsia="Arial" w:hint="default"/>
          <w:spacing w:val="-3"/>
        </w:rPr>
        <w:t>8</w:t>
      </w:r>
      <w:r>
        <w:rPr>
          <w:spacing w:val="-3"/>
        </w:rPr>
        <w:t>月</w:t>
      </w:r>
      <w:r>
        <w:rPr>
          <w:rFonts w:ascii="Arial" w:hAnsi="Arial" w:cs="Arial" w:eastAsia="Arial" w:hint="default"/>
          <w:spacing w:val="-3"/>
        </w:rPr>
        <w:t>10</w:t>
      </w:r>
      <w:r>
        <w:rPr>
          <w:spacing w:val="-3"/>
        </w:rPr>
        <w:t>日进行了</w:t>
      </w:r>
      <w:r>
        <w:rPr>
          <w:spacing w:val="-83"/>
        </w:rPr>
        <w:t> </w:t>
      </w:r>
      <w:r>
        <w:rPr>
          <w:spacing w:val="-6"/>
        </w:rPr>
        <w:t>公司名称变更）于</w:t>
      </w:r>
      <w:r>
        <w:rPr>
          <w:rFonts w:ascii="Arial" w:hAnsi="Arial" w:cs="Arial" w:eastAsia="Arial" w:hint="default"/>
          <w:spacing w:val="-6"/>
        </w:rPr>
        <w:t>2008</w:t>
      </w:r>
      <w:r>
        <w:rPr>
          <w:spacing w:val="-6"/>
        </w:rPr>
        <w:t>年</w:t>
      </w:r>
      <w:r>
        <w:rPr>
          <w:rFonts w:ascii="Arial" w:hAnsi="Arial" w:cs="Arial" w:eastAsia="Arial" w:hint="default"/>
          <w:spacing w:val="-6"/>
        </w:rPr>
        <w:t>9</w:t>
      </w:r>
      <w:r>
        <w:rPr>
          <w:spacing w:val="-6"/>
        </w:rPr>
        <w:t>月</w:t>
      </w:r>
      <w:r>
        <w:rPr>
          <w:rFonts w:ascii="Arial" w:hAnsi="Arial" w:cs="Arial" w:eastAsia="Arial" w:hint="default"/>
          <w:spacing w:val="-6"/>
        </w:rPr>
        <w:t>22</w:t>
      </w:r>
      <w:r>
        <w:rPr>
          <w:spacing w:val="-6"/>
        </w:rPr>
        <w:t>日签订了《一致行动方协议》，同时联通集团</w:t>
      </w:r>
      <w:r>
        <w:rPr>
          <w:rFonts w:ascii="Arial" w:hAnsi="Arial" w:cs="Arial" w:eastAsia="Arial" w:hint="default"/>
          <w:spacing w:val="-6"/>
        </w:rPr>
        <w:t>BVI</w:t>
      </w:r>
      <w:r>
        <w:rPr>
          <w:spacing w:val="-6"/>
        </w:rPr>
        <w:t>公司还于</w:t>
      </w:r>
      <w:r>
        <w:rPr>
          <w:rFonts w:ascii="Arial" w:hAnsi="Arial" w:cs="Arial" w:eastAsia="Arial" w:hint="default"/>
          <w:spacing w:val="-6"/>
        </w:rPr>
        <w:t>2008</w:t>
      </w:r>
      <w:r>
        <w:rPr>
          <w:rFonts w:ascii="Arial" w:hAnsi="Arial" w:cs="Arial" w:eastAsia="Arial" w:hint="default"/>
          <w:w w:val="99"/>
        </w:rPr>
        <w:t> </w:t>
      </w:r>
      <w:r>
        <w:rPr>
          <w:spacing w:val="4"/>
        </w:rPr>
        <w:t>年</w:t>
      </w:r>
      <w:r>
        <w:rPr>
          <w:rFonts w:ascii="Arial" w:hAnsi="Arial" w:cs="Arial" w:eastAsia="Arial" w:hint="default"/>
          <w:spacing w:val="4"/>
        </w:rPr>
        <w:t>10</w:t>
      </w:r>
      <w:r>
        <w:rPr>
          <w:spacing w:val="4"/>
        </w:rPr>
        <w:t>月</w:t>
      </w:r>
      <w:r>
        <w:rPr>
          <w:rFonts w:ascii="Arial" w:hAnsi="Arial" w:cs="Arial" w:eastAsia="Arial" w:hint="default"/>
          <w:spacing w:val="4"/>
        </w:rPr>
        <w:t>15</w:t>
      </w:r>
      <w:r>
        <w:rPr>
          <w:spacing w:val="4"/>
        </w:rPr>
        <w:t>日向联通</w:t>
      </w:r>
      <w:r>
        <w:rPr>
          <w:rFonts w:ascii="Arial" w:hAnsi="Arial" w:cs="Arial" w:eastAsia="Arial" w:hint="default"/>
          <w:spacing w:val="4"/>
        </w:rPr>
        <w:t>BVI</w:t>
      </w:r>
      <w:r>
        <w:rPr>
          <w:spacing w:val="4"/>
        </w:rPr>
        <w:t>公司发出函件确认其持有的对联通红筹公司的表决权将由联通</w:t>
      </w:r>
      <w:r>
        <w:rPr>
          <w:rFonts w:ascii="Arial" w:hAnsi="Arial" w:cs="Arial" w:eastAsia="Arial" w:hint="default"/>
          <w:spacing w:val="4"/>
        </w:rPr>
        <w:t>BVI</w:t>
      </w:r>
      <w:r>
        <w:rPr>
          <w:spacing w:val="4"/>
        </w:rPr>
        <w:t>公</w:t>
      </w:r>
      <w:r>
        <w:rPr>
          <w:spacing w:val="-92"/>
        </w:rPr>
        <w:t> </w:t>
      </w:r>
      <w:r>
        <w:rPr/>
        <w:t>司控制，并且未经联通</w:t>
      </w:r>
      <w:r>
        <w:rPr>
          <w:rFonts w:ascii="Arial" w:hAnsi="Arial" w:cs="Arial" w:eastAsia="Arial" w:hint="default"/>
        </w:rPr>
        <w:t>BVI</w:t>
      </w:r>
      <w:r>
        <w:rPr/>
        <w:t>公司的事先批准，联通集团</w:t>
      </w:r>
      <w:r>
        <w:rPr>
          <w:rFonts w:ascii="Arial" w:hAnsi="Arial" w:cs="Arial" w:eastAsia="Arial" w:hint="default"/>
        </w:rPr>
        <w:t>BVI</w:t>
      </w:r>
      <w:r>
        <w:rPr/>
        <w:t>公司将不会提呈任何决议，以供在</w:t>
      </w:r>
      <w:r>
        <w:rPr>
          <w:spacing w:val="-91"/>
        </w:rPr>
        <w:t> </w:t>
      </w:r>
      <w:r>
        <w:rPr>
          <w:spacing w:val="-91"/>
        </w:rPr>
      </w:r>
      <w:r>
        <w:rPr/>
        <w:t>任何联通红筹公司的股东大会上审议。</w:t>
      </w:r>
    </w:p>
    <w:p>
      <w:pPr>
        <w:spacing w:line="240" w:lineRule="auto" w:before="12"/>
        <w:rPr>
          <w:rFonts w:ascii="宋体" w:hAnsi="宋体" w:cs="宋体" w:eastAsia="宋体" w:hint="default"/>
          <w:sz w:val="19"/>
          <w:szCs w:val="19"/>
        </w:rPr>
      </w:pPr>
    </w:p>
    <w:p>
      <w:pPr>
        <w:pStyle w:val="BodyText"/>
        <w:spacing w:line="232" w:lineRule="auto"/>
        <w:ind w:left="538" w:right="209"/>
        <w:jc w:val="both"/>
        <w:rPr>
          <w:rFonts w:ascii="Arial" w:hAnsi="Arial" w:cs="Arial" w:eastAsia="Arial" w:hint="default"/>
        </w:rPr>
      </w:pPr>
      <w:r>
        <w:rPr>
          <w:spacing w:val="2"/>
        </w:rPr>
        <w:t>因此，根据上述《一致行动方协议》和确认函件，在联通红筹公司和网通红筹公司合并完成</w:t>
      </w:r>
      <w:r>
        <w:rPr>
          <w:w w:val="99"/>
        </w:rPr>
        <w:t> </w:t>
      </w:r>
      <w:r>
        <w:rPr>
          <w:spacing w:val="2"/>
        </w:rPr>
        <w:t>后，本公司通过联通</w:t>
      </w:r>
      <w:r>
        <w:rPr>
          <w:rFonts w:ascii="Arial" w:hAnsi="Arial" w:cs="Arial" w:eastAsia="Arial" w:hint="default"/>
          <w:spacing w:val="2"/>
        </w:rPr>
        <w:t>BVI</w:t>
      </w:r>
      <w:r>
        <w:rPr>
          <w:spacing w:val="2"/>
        </w:rPr>
        <w:t>公司实际控制了联通红筹公司约</w:t>
      </w:r>
      <w:r>
        <w:rPr>
          <w:rFonts w:ascii="Arial" w:hAnsi="Arial" w:cs="Arial" w:eastAsia="Arial" w:hint="default"/>
          <w:spacing w:val="2"/>
        </w:rPr>
        <w:t>70.41%</w:t>
      </w:r>
      <w:r>
        <w:rPr>
          <w:spacing w:val="2"/>
        </w:rPr>
        <w:t>表决权股份。此外，由于联</w:t>
      </w:r>
      <w:r>
        <w:rPr>
          <w:w w:val="99"/>
        </w:rPr>
        <w:t> </w:t>
      </w:r>
      <w:r>
        <w:rPr>
          <w:spacing w:val="-9"/>
          <w:w w:val="99"/>
        </w:rPr>
        <w:t>通红筹公司回购韩国</w:t>
      </w:r>
      <w:r>
        <w:rPr>
          <w:rFonts w:ascii="Arial" w:hAnsi="Arial" w:cs="Arial" w:eastAsia="Arial" w:hint="default"/>
          <w:spacing w:val="-9"/>
          <w:w w:val="99"/>
        </w:rPr>
        <w:t>SK</w:t>
      </w:r>
      <w:r>
        <w:rPr>
          <w:spacing w:val="-9"/>
          <w:w w:val="99"/>
        </w:rPr>
        <w:t>电讯株式会社（“</w:t>
      </w:r>
      <w:r>
        <w:rPr>
          <w:rFonts w:ascii="Arial" w:hAnsi="Arial" w:cs="Arial" w:eastAsia="Arial" w:hint="default"/>
          <w:spacing w:val="-9"/>
          <w:w w:val="99"/>
        </w:rPr>
        <w:t>SKT</w:t>
      </w:r>
      <w:r>
        <w:rPr>
          <w:spacing w:val="-9"/>
          <w:w w:val="99"/>
        </w:rPr>
        <w:t>”）持有的联通红筹公司股份及与</w:t>
      </w:r>
      <w:r>
        <w:rPr>
          <w:rFonts w:ascii="Arial" w:hAnsi="Arial" w:cs="Arial" w:eastAsia="Arial" w:hint="default"/>
          <w:spacing w:val="-9"/>
          <w:w w:val="99"/>
        </w:rPr>
        <w:t>Telefónica,</w:t>
      </w:r>
      <w:r>
        <w:rPr>
          <w:rFonts w:ascii="Arial" w:hAnsi="Arial" w:cs="Arial" w:eastAsia="Arial" w:hint="default"/>
          <w:spacing w:val="16"/>
          <w:w w:val="99"/>
        </w:rPr>
        <w:t> </w:t>
      </w:r>
      <w:r>
        <w:rPr>
          <w:rFonts w:ascii="Arial" w:hAnsi="Arial" w:cs="Arial" w:eastAsia="Arial" w:hint="default"/>
          <w:w w:val="99"/>
        </w:rPr>
        <w:t>S.A.</w:t>
      </w:r>
      <w:r>
        <w:rPr>
          <w:rFonts w:ascii="Arial" w:hAnsi="Arial" w:cs="Arial" w:eastAsia="Arial" w:hint="default"/>
        </w:rPr>
      </w:r>
    </w:p>
    <w:p>
      <w:pPr>
        <w:pStyle w:val="BodyText"/>
        <w:spacing w:line="225" w:lineRule="auto"/>
        <w:ind w:left="538" w:right="210"/>
        <w:jc w:val="both"/>
      </w:pPr>
      <w:r>
        <w:rPr/>
        <w:t>（“西班牙电信”）互相投资（详见附注二</w:t>
      </w:r>
      <w:r>
        <w:rPr>
          <w:rFonts w:ascii="Arial" w:hAnsi="Arial" w:cs="Arial" w:eastAsia="Arial" w:hint="default"/>
        </w:rPr>
        <w:t>(32)(b)(iii)</w:t>
      </w:r>
      <w:r>
        <w:rPr/>
        <w:t>）和西班牙电信将其持有的联通红筹公</w:t>
      </w:r>
      <w:r>
        <w:rPr>
          <w:w w:val="99"/>
        </w:rPr>
        <w:t> </w:t>
      </w:r>
      <w:r>
        <w:rPr>
          <w:spacing w:val="-1"/>
        </w:rPr>
        <w:t>司股份转让予联通集团</w:t>
      </w:r>
      <w:r>
        <w:rPr>
          <w:rFonts w:ascii="Arial" w:hAnsi="Arial" w:cs="Arial" w:eastAsia="Arial" w:hint="default"/>
          <w:spacing w:val="-1"/>
        </w:rPr>
        <w:t>BVI</w:t>
      </w:r>
      <w:r>
        <w:rPr>
          <w:spacing w:val="-1"/>
        </w:rPr>
        <w:t>公司（详见附注五</w:t>
      </w:r>
      <w:r>
        <w:rPr>
          <w:rFonts w:ascii="Arial" w:hAnsi="Arial" w:cs="Arial" w:eastAsia="Arial" w:hint="default"/>
          <w:spacing w:val="-1"/>
        </w:rPr>
        <w:t>(35)</w:t>
      </w:r>
      <w:r>
        <w:rPr>
          <w:spacing w:val="-1"/>
        </w:rPr>
        <w:t>），联通</w:t>
      </w:r>
      <w:r>
        <w:rPr>
          <w:rFonts w:ascii="Arial" w:hAnsi="Arial" w:cs="Arial" w:eastAsia="Arial" w:hint="default"/>
          <w:spacing w:val="-1"/>
        </w:rPr>
        <w:t>BVI</w:t>
      </w:r>
      <w:r>
        <w:rPr>
          <w:spacing w:val="-1"/>
        </w:rPr>
        <w:t>公司和联通集团</w:t>
      </w:r>
      <w:r>
        <w:rPr>
          <w:rFonts w:ascii="Arial" w:hAnsi="Arial" w:cs="Arial" w:eastAsia="Arial" w:hint="default"/>
          <w:spacing w:val="-1"/>
        </w:rPr>
        <w:t>BVI</w:t>
      </w:r>
      <w:r>
        <w:rPr>
          <w:spacing w:val="-1"/>
        </w:rPr>
        <w:t>公司对联通</w:t>
      </w:r>
      <w:r>
        <w:rPr>
          <w:w w:val="99"/>
        </w:rPr>
        <w:t> </w:t>
      </w:r>
      <w:r>
        <w:rPr/>
        <w:t>红筹公司持股比例增加至</w:t>
      </w:r>
      <w:r>
        <w:rPr>
          <w:rFonts w:ascii="Arial" w:hAnsi="Arial" w:cs="Arial" w:eastAsia="Arial" w:hint="default"/>
        </w:rPr>
        <w:t>75.57%</w:t>
      </w:r>
      <w:r>
        <w:rPr/>
        <w:t>表决权股份（其中联通</w:t>
      </w:r>
      <w:r>
        <w:rPr>
          <w:rFonts w:ascii="Arial" w:hAnsi="Arial" w:cs="Arial" w:eastAsia="Arial" w:hint="default"/>
        </w:rPr>
        <w:t>BVI</w:t>
      </w:r>
      <w:r>
        <w:rPr/>
        <w:t>公司的持股比例为</w:t>
      </w:r>
      <w:r>
        <w:rPr>
          <w:rFonts w:ascii="Arial" w:hAnsi="Arial" w:cs="Arial" w:eastAsia="Arial" w:hint="default"/>
        </w:rPr>
        <w:t>41.27%</w:t>
      </w:r>
      <w:r>
        <w:rPr/>
        <w:t>，联通</w:t>
      </w:r>
      <w:r>
        <w:rPr>
          <w:spacing w:val="1"/>
          <w:w w:val="99"/>
        </w:rPr>
        <w:t> </w:t>
      </w:r>
      <w:r>
        <w:rPr>
          <w:spacing w:val="-1"/>
        </w:rPr>
        <w:t>集团</w:t>
      </w:r>
      <w:r>
        <w:rPr>
          <w:rFonts w:ascii="Arial" w:hAnsi="Arial" w:cs="Arial" w:eastAsia="Arial" w:hint="default"/>
          <w:spacing w:val="-1"/>
        </w:rPr>
        <w:t>BVI</w:t>
      </w:r>
      <w:r>
        <w:rPr>
          <w:spacing w:val="-1"/>
        </w:rPr>
        <w:t>公司的持股比例为</w:t>
      </w:r>
      <w:r>
        <w:rPr>
          <w:rFonts w:ascii="Arial" w:hAnsi="Arial" w:cs="Arial" w:eastAsia="Arial" w:hint="default"/>
          <w:spacing w:val="-1"/>
        </w:rPr>
        <w:t>34.30%</w:t>
      </w:r>
      <w:r>
        <w:rPr>
          <w:spacing w:val="-1"/>
        </w:rPr>
        <w:t>），故联通</w:t>
      </w:r>
      <w:r>
        <w:rPr>
          <w:rFonts w:ascii="Arial" w:hAnsi="Arial" w:cs="Arial" w:eastAsia="Arial" w:hint="default"/>
          <w:spacing w:val="-1"/>
        </w:rPr>
        <w:t>BVI</w:t>
      </w:r>
      <w:r>
        <w:rPr>
          <w:spacing w:val="-1"/>
        </w:rPr>
        <w:t>公司仍控制联通红筹公司，联通红筹公司亦</w:t>
      </w:r>
      <w:r>
        <w:rPr>
          <w:w w:val="99"/>
        </w:rPr>
        <w:t> </w:t>
      </w:r>
      <w:r>
        <w:rPr/>
        <w:t>继续被纳入本公司的合并财务报表范围。</w:t>
      </w:r>
    </w:p>
    <w:p>
      <w:pPr>
        <w:spacing w:after="0" w:line="225" w:lineRule="auto"/>
        <w:jc w:val="both"/>
        <w:sectPr>
          <w:headerReference w:type="default" r:id="rId41"/>
          <w:pgSz w:w="11910" w:h="16840"/>
          <w:pgMar w:header="967" w:footer="593" w:top="2000" w:bottom="780" w:left="1440" w:right="820"/>
        </w:sectPr>
      </w:pPr>
    </w:p>
    <w:p>
      <w:pPr>
        <w:spacing w:line="240" w:lineRule="auto" w:before="12"/>
        <w:rPr>
          <w:rFonts w:ascii="宋体" w:hAnsi="宋体" w:cs="宋体" w:eastAsia="宋体" w:hint="default"/>
          <w:sz w:val="14"/>
          <w:szCs w:val="14"/>
        </w:rPr>
      </w:pPr>
    </w:p>
    <w:p>
      <w:pPr>
        <w:pStyle w:val="BodyText"/>
        <w:spacing w:line="240" w:lineRule="auto" w:before="31"/>
        <w:ind w:left="118" w:right="5567"/>
        <w:jc w:val="left"/>
      </w:pPr>
      <w:r>
        <w:rPr>
          <w:rFonts w:ascii="Arial" w:hAnsi="Arial" w:cs="Arial" w:eastAsia="Arial" w:hint="default"/>
        </w:rPr>
        <w:t>1</w:t>
      </w:r>
      <w:r>
        <w:rPr/>
        <w:t>、</w:t>
      </w:r>
      <w:r>
        <w:rPr>
          <w:spacing w:val="-41"/>
        </w:rPr>
        <w:t> </w:t>
      </w:r>
      <w:r>
        <w:rPr/>
        <w:t>财务报表的编制基础（续）</w:t>
      </w:r>
    </w:p>
    <w:p>
      <w:pPr>
        <w:spacing w:line="240" w:lineRule="auto" w:before="11"/>
        <w:rPr>
          <w:rFonts w:ascii="宋体" w:hAnsi="宋体" w:cs="宋体" w:eastAsia="宋体" w:hint="default"/>
          <w:sz w:val="15"/>
          <w:szCs w:val="15"/>
        </w:rPr>
      </w:pPr>
    </w:p>
    <w:p>
      <w:pPr>
        <w:pStyle w:val="BodyText"/>
        <w:spacing w:line="240" w:lineRule="auto"/>
        <w:ind w:left="118" w:right="5567"/>
        <w:jc w:val="left"/>
      </w:pPr>
      <w:r>
        <w:rPr>
          <w:rFonts w:ascii="Arial" w:hAnsi="Arial" w:cs="Arial" w:eastAsia="Arial" w:hint="default"/>
        </w:rPr>
        <w:t>(d) </w:t>
      </w:r>
      <w:r>
        <w:rPr>
          <w:rFonts w:ascii="Arial" w:hAnsi="Arial" w:cs="Arial" w:eastAsia="Arial" w:hint="default"/>
          <w:spacing w:val="23"/>
        </w:rPr>
        <w:t> </w:t>
      </w:r>
      <w:r>
        <w:rPr/>
        <w:t>持续经营</w:t>
      </w:r>
    </w:p>
    <w:p>
      <w:pPr>
        <w:spacing w:line="240" w:lineRule="auto" w:before="11"/>
        <w:rPr>
          <w:rFonts w:ascii="宋体" w:hAnsi="宋体" w:cs="宋体" w:eastAsia="宋体" w:hint="default"/>
          <w:sz w:val="17"/>
          <w:szCs w:val="17"/>
        </w:rPr>
      </w:pPr>
    </w:p>
    <w:p>
      <w:pPr>
        <w:pStyle w:val="BodyText"/>
        <w:spacing w:line="225" w:lineRule="auto"/>
        <w:ind w:left="538" w:right="28"/>
        <w:jc w:val="left"/>
      </w:pPr>
      <w:r>
        <w:rPr>
          <w:spacing w:val="-2"/>
          <w:w w:val="95"/>
        </w:rPr>
        <w:t>于</w:t>
      </w:r>
      <w:r>
        <w:rPr>
          <w:rFonts w:ascii="Arial" w:hAnsi="Arial" w:cs="Arial" w:eastAsia="Arial" w:hint="default"/>
          <w:spacing w:val="-2"/>
          <w:w w:val="95"/>
        </w:rPr>
        <w:t>2012</w:t>
      </w:r>
      <w:r>
        <w:rPr>
          <w:spacing w:val="-2"/>
          <w:w w:val="95"/>
        </w:rPr>
        <w:t>年</w:t>
      </w:r>
      <w:r>
        <w:rPr>
          <w:rFonts w:ascii="Arial" w:hAnsi="Arial" w:cs="Arial" w:eastAsia="Arial" w:hint="default"/>
          <w:spacing w:val="-2"/>
          <w:w w:val="95"/>
        </w:rPr>
        <w:t>12</w:t>
      </w:r>
      <w:r>
        <w:rPr>
          <w:spacing w:val="-2"/>
          <w:w w:val="95"/>
        </w:rPr>
        <w:t>月</w:t>
      </w:r>
      <w:r>
        <w:rPr>
          <w:rFonts w:ascii="Arial" w:hAnsi="Arial" w:cs="Arial" w:eastAsia="Arial" w:hint="default"/>
          <w:spacing w:val="-2"/>
          <w:w w:val="95"/>
        </w:rPr>
        <w:t>31</w:t>
      </w:r>
      <w:r>
        <w:rPr>
          <w:spacing w:val="-2"/>
          <w:w w:val="95"/>
        </w:rPr>
        <w:t>日，本集团的流动负债超出流动资产约人民币</w:t>
      </w:r>
      <w:r>
        <w:rPr>
          <w:rFonts w:ascii="Arial" w:hAnsi="Arial" w:cs="Arial" w:eastAsia="Arial" w:hint="default"/>
          <w:spacing w:val="-2"/>
          <w:w w:val="95"/>
        </w:rPr>
        <w:t>2,536</w:t>
      </w:r>
      <w:r>
        <w:rPr>
          <w:spacing w:val="-2"/>
          <w:w w:val="95"/>
        </w:rPr>
        <w:t>亿元（</w:t>
      </w:r>
      <w:r>
        <w:rPr>
          <w:rFonts w:ascii="Arial" w:hAnsi="Arial" w:cs="Arial" w:eastAsia="Arial" w:hint="default"/>
          <w:spacing w:val="-2"/>
          <w:w w:val="95"/>
        </w:rPr>
        <w:t>2011</w:t>
      </w:r>
      <w:r>
        <w:rPr>
          <w:spacing w:val="-2"/>
          <w:w w:val="95"/>
        </w:rPr>
        <w:t>年</w:t>
      </w:r>
      <w:r>
        <w:rPr>
          <w:rFonts w:ascii="Arial" w:hAnsi="Arial" w:cs="Arial" w:eastAsia="Arial" w:hint="default"/>
          <w:spacing w:val="-2"/>
          <w:w w:val="95"/>
        </w:rPr>
        <w:t>12</w:t>
      </w:r>
      <w:r>
        <w:rPr>
          <w:spacing w:val="-2"/>
          <w:w w:val="95"/>
        </w:rPr>
        <w:t>月</w:t>
      </w:r>
      <w:r>
        <w:rPr>
          <w:rFonts w:ascii="Arial" w:hAnsi="Arial" w:cs="Arial" w:eastAsia="Arial" w:hint="default"/>
          <w:spacing w:val="-2"/>
          <w:w w:val="95"/>
        </w:rPr>
        <w:t>31</w:t>
      </w:r>
      <w:r>
        <w:rPr>
          <w:spacing w:val="-2"/>
          <w:w w:val="95"/>
        </w:rPr>
        <w:t>日：</w:t>
      </w:r>
      <w:r>
        <w:rPr>
          <w:spacing w:val="27"/>
          <w:w w:val="95"/>
        </w:rPr>
        <w:t> </w:t>
      </w:r>
      <w:r>
        <w:rPr/>
        <w:t>约人民币</w:t>
      </w:r>
      <w:r>
        <w:rPr>
          <w:rFonts w:ascii="Arial" w:hAnsi="Arial" w:cs="Arial" w:eastAsia="Arial" w:hint="default"/>
        </w:rPr>
        <w:t>1,746</w:t>
      </w:r>
      <w:r>
        <w:rPr/>
        <w:t>亿元）。考虑到当前全球经济环境，以及本集团在可预见的将来预计的资本支</w:t>
      </w:r>
      <w:r>
        <w:rPr>
          <w:w w:val="99"/>
        </w:rPr>
        <w:t> </w:t>
      </w:r>
      <w:r>
        <w:rPr/>
        <w:t>出，管理层综合考虑了本集团如下可获得的资金来源：</w:t>
      </w:r>
    </w:p>
    <w:p>
      <w:pPr>
        <w:spacing w:line="240" w:lineRule="auto" w:before="4"/>
        <w:rPr>
          <w:rFonts w:ascii="宋体" w:hAnsi="宋体" w:cs="宋体" w:eastAsia="宋体" w:hint="default"/>
          <w:sz w:val="19"/>
          <w:szCs w:val="19"/>
        </w:rPr>
      </w:pPr>
    </w:p>
    <w:p>
      <w:pPr>
        <w:pStyle w:val="BodyText"/>
        <w:spacing w:line="295" w:lineRule="exact"/>
        <w:ind w:left="566" w:right="0"/>
        <w:jc w:val="both"/>
      </w:pPr>
      <w:r>
        <w:rPr>
          <w:rFonts w:ascii="Symbol" w:hAnsi="Symbol" w:cs="Symbol" w:eastAsia="Symbol" w:hint="default"/>
        </w:rPr>
        <w:t></w:t>
      </w:r>
      <w:r>
        <w:rPr>
          <w:rFonts w:ascii="Symbol" w:hAnsi="Symbol" w:cs="Symbol" w:eastAsia="Symbol" w:hint="default"/>
          <w:spacing w:val="4"/>
        </w:rPr>
        <w:t></w:t>
      </w:r>
      <w:r>
        <w:rPr>
          <w:rFonts w:ascii="Times New Roman" w:hAnsi="Times New Roman" w:cs="Times New Roman" w:eastAsia="Times New Roman" w:hint="default"/>
          <w:spacing w:val="4"/>
        </w:rPr>
      </w:r>
      <w:r>
        <w:rPr/>
        <w:t>本集团从经营活动中持续取得的净现金流入；</w:t>
      </w:r>
    </w:p>
    <w:p>
      <w:pPr>
        <w:pStyle w:val="BodyText"/>
        <w:tabs>
          <w:tab w:pos="955" w:val="left" w:leader="none"/>
        </w:tabs>
        <w:spacing w:line="286" w:lineRule="exact" w:before="17"/>
        <w:ind w:left="959" w:right="209" w:hanging="393"/>
        <w:jc w:val="left"/>
      </w:pPr>
      <w:r>
        <w:rPr>
          <w:rFonts w:ascii="Symbol" w:hAnsi="Symbol" w:cs="Symbol" w:eastAsia="Symbol" w:hint="default"/>
          <w:w w:val="99"/>
        </w:rPr>
        <w:t></w:t>
      </w:r>
      <w:r>
        <w:rPr>
          <w:rFonts w:ascii="Times New Roman" w:hAnsi="Times New Roman" w:cs="Times New Roman" w:eastAsia="Times New Roman" w:hint="default"/>
          <w:w w:val="99"/>
        </w:rPr>
        <w:tab/>
      </w:r>
      <w:r>
        <w:rPr>
          <w:spacing w:val="-2"/>
          <w:w w:val="99"/>
        </w:rPr>
        <w:t>于</w:t>
      </w:r>
      <w:r>
        <w:rPr>
          <w:rFonts w:ascii="Arial" w:hAnsi="Arial" w:cs="Arial" w:eastAsia="Arial" w:hint="default"/>
          <w:spacing w:val="-2"/>
          <w:w w:val="99"/>
        </w:rPr>
        <w:t>2012</w:t>
      </w:r>
      <w:r>
        <w:rPr>
          <w:spacing w:val="-2"/>
          <w:w w:val="99"/>
        </w:rPr>
        <w:t>年</w:t>
      </w:r>
      <w:r>
        <w:rPr>
          <w:rFonts w:ascii="Arial" w:hAnsi="Arial" w:cs="Arial" w:eastAsia="Arial" w:hint="default"/>
          <w:spacing w:val="-2"/>
          <w:w w:val="99"/>
        </w:rPr>
        <w:t>12</w:t>
      </w:r>
      <w:r>
        <w:rPr>
          <w:spacing w:val="-2"/>
          <w:w w:val="99"/>
        </w:rPr>
        <w:t>月</w:t>
      </w:r>
      <w:r>
        <w:rPr>
          <w:rFonts w:ascii="Arial" w:hAnsi="Arial" w:cs="Arial" w:eastAsia="Arial" w:hint="default"/>
          <w:spacing w:val="-2"/>
          <w:w w:val="99"/>
        </w:rPr>
        <w:t>31</w:t>
      </w:r>
      <w:r>
        <w:rPr>
          <w:spacing w:val="-2"/>
          <w:w w:val="99"/>
        </w:rPr>
        <w:t>日，循环银行信贷额度和短期融资券授予发行额度约为人民币</w:t>
      </w:r>
      <w:r>
        <w:rPr>
          <w:rFonts w:ascii="Arial" w:hAnsi="Arial" w:cs="Arial" w:eastAsia="Arial" w:hint="default"/>
          <w:spacing w:val="-2"/>
          <w:w w:val="99"/>
        </w:rPr>
        <w:t>2,235</w:t>
      </w:r>
      <w:r>
        <w:rPr>
          <w:spacing w:val="-2"/>
          <w:w w:val="99"/>
        </w:rPr>
        <w:t>亿元</w:t>
      </w:r>
      <w:r>
        <w:rPr>
          <w:spacing w:val="-101"/>
          <w:w w:val="99"/>
        </w:rPr>
        <w:t> </w:t>
      </w:r>
      <w:r>
        <w:rPr/>
        <w:t>及未使用的额度约为人民币</w:t>
      </w:r>
      <w:r>
        <w:rPr>
          <w:rFonts w:ascii="Arial" w:hAnsi="Arial" w:cs="Arial" w:eastAsia="Arial" w:hint="default"/>
        </w:rPr>
        <w:t>1,163</w:t>
      </w:r>
      <w:r>
        <w:rPr/>
        <w:t>亿元；及</w:t>
      </w:r>
    </w:p>
    <w:p>
      <w:pPr>
        <w:pStyle w:val="BodyText"/>
        <w:spacing w:line="277" w:lineRule="exact"/>
        <w:ind w:left="566" w:right="0"/>
        <w:jc w:val="both"/>
      </w:pPr>
      <w:r>
        <w:rPr>
          <w:rFonts w:ascii="Symbol" w:hAnsi="Symbol" w:cs="Symbol" w:eastAsia="Symbol" w:hint="default"/>
        </w:rPr>
        <w:t></w:t>
      </w:r>
      <w:r>
        <w:rPr>
          <w:rFonts w:ascii="Symbol" w:hAnsi="Symbol" w:cs="Symbol" w:eastAsia="Symbol" w:hint="default"/>
          <w:spacing w:val="54"/>
        </w:rPr>
        <w:t></w:t>
      </w:r>
      <w:r>
        <w:rPr>
          <w:rFonts w:ascii="Times New Roman" w:hAnsi="Times New Roman" w:cs="Times New Roman" w:eastAsia="Times New Roman" w:hint="default"/>
          <w:spacing w:val="54"/>
        </w:rPr>
      </w:r>
      <w:r>
        <w:rPr/>
        <w:t>考虑到本集团的信贷记录，从国内银行和其他金融机构获得的其他融资渠道。</w:t>
      </w:r>
    </w:p>
    <w:p>
      <w:pPr>
        <w:spacing w:line="240" w:lineRule="auto" w:before="2"/>
        <w:rPr>
          <w:rFonts w:ascii="宋体" w:hAnsi="宋体" w:cs="宋体" w:eastAsia="宋体" w:hint="default"/>
          <w:sz w:val="20"/>
          <w:szCs w:val="20"/>
        </w:rPr>
      </w:pPr>
    </w:p>
    <w:p>
      <w:pPr>
        <w:pStyle w:val="BodyText"/>
        <w:spacing w:line="284" w:lineRule="exact"/>
        <w:ind w:left="566" w:right="276"/>
        <w:jc w:val="both"/>
      </w:pPr>
      <w:r>
        <w:rPr>
          <w:w w:val="95"/>
        </w:rPr>
        <w:t>此外，本集团相信能够通过短、中、长期方式筹集资金，并通过适当安排融资组合以保持合</w:t>
      </w:r>
      <w:r>
        <w:rPr>
          <w:spacing w:val="5"/>
          <w:w w:val="95"/>
        </w:rPr>
        <w:t> </w:t>
      </w:r>
      <w:r>
        <w:rPr/>
        <w:t>理的融资成本。</w:t>
      </w:r>
    </w:p>
    <w:p>
      <w:pPr>
        <w:spacing w:line="240" w:lineRule="auto" w:before="3"/>
        <w:rPr>
          <w:rFonts w:ascii="宋体" w:hAnsi="宋体" w:cs="宋体" w:eastAsia="宋体" w:hint="default"/>
          <w:sz w:val="17"/>
          <w:szCs w:val="17"/>
        </w:rPr>
      </w:pPr>
    </w:p>
    <w:p>
      <w:pPr>
        <w:pStyle w:val="BodyText"/>
        <w:spacing w:line="287" w:lineRule="exact"/>
        <w:ind w:left="566" w:right="0"/>
        <w:jc w:val="both"/>
      </w:pPr>
      <w:r>
        <w:rPr/>
        <w:t>基于以上考虑，董事会认为本集团有足够的资金以满足营运资金和偿债所需。因此，本集团</w:t>
      </w:r>
    </w:p>
    <w:p>
      <w:pPr>
        <w:pStyle w:val="BodyText"/>
        <w:spacing w:line="302" w:lineRule="exact"/>
        <w:ind w:left="566" w:right="0"/>
        <w:jc w:val="both"/>
      </w:pPr>
      <w:r>
        <w:rPr>
          <w:rFonts w:ascii="Arial" w:hAnsi="Arial" w:cs="Arial" w:eastAsia="Arial" w:hint="default"/>
        </w:rPr>
        <w:t>2012</w:t>
      </w:r>
      <w:r>
        <w:rPr/>
        <w:t>年度的财务报表仍按持续经营基础编制。</w:t>
      </w:r>
    </w:p>
    <w:p>
      <w:pPr>
        <w:spacing w:line="240" w:lineRule="auto" w:before="12"/>
        <w:rPr>
          <w:rFonts w:ascii="宋体" w:hAnsi="宋体" w:cs="宋体" w:eastAsia="宋体" w:hint="default"/>
          <w:sz w:val="17"/>
          <w:szCs w:val="17"/>
        </w:rPr>
      </w:pPr>
    </w:p>
    <w:p>
      <w:pPr>
        <w:pStyle w:val="BodyText"/>
        <w:spacing w:line="240" w:lineRule="auto"/>
        <w:ind w:left="118" w:right="5567"/>
        <w:jc w:val="left"/>
      </w:pPr>
      <w:r>
        <w:rPr>
          <w:rFonts w:ascii="Arial" w:hAnsi="Arial" w:cs="Arial" w:eastAsia="Arial" w:hint="default"/>
        </w:rPr>
        <w:t>2</w:t>
      </w:r>
      <w:r>
        <w:rPr/>
        <w:t>、</w:t>
      </w:r>
      <w:r>
        <w:rPr>
          <w:spacing w:val="-41"/>
        </w:rPr>
        <w:t> </w:t>
      </w:r>
      <w:r>
        <w:rPr/>
        <w:t>遵循企业会计准则的声明</w:t>
      </w:r>
    </w:p>
    <w:p>
      <w:pPr>
        <w:spacing w:line="240" w:lineRule="auto" w:before="2"/>
        <w:rPr>
          <w:rFonts w:ascii="宋体" w:hAnsi="宋体" w:cs="宋体" w:eastAsia="宋体" w:hint="default"/>
          <w:sz w:val="20"/>
          <w:szCs w:val="20"/>
        </w:rPr>
      </w:pPr>
    </w:p>
    <w:p>
      <w:pPr>
        <w:pStyle w:val="BodyText"/>
        <w:spacing w:line="286" w:lineRule="exact"/>
        <w:ind w:left="538" w:right="210"/>
        <w:jc w:val="both"/>
      </w:pPr>
      <w:r>
        <w:rPr>
          <w:spacing w:val="-1"/>
        </w:rPr>
        <w:t>本公司</w:t>
      </w:r>
      <w:r>
        <w:rPr>
          <w:rFonts w:ascii="Arial" w:hAnsi="Arial" w:cs="Arial" w:eastAsia="Arial" w:hint="default"/>
          <w:spacing w:val="-1"/>
        </w:rPr>
        <w:t>2012</w:t>
      </w:r>
      <w:r>
        <w:rPr>
          <w:spacing w:val="-1"/>
        </w:rPr>
        <w:t>年度的财务报表符合企业会计准则的要求，真实、完整地反映了本公司</w:t>
      </w:r>
      <w:r>
        <w:rPr>
          <w:rFonts w:ascii="Arial" w:hAnsi="Arial" w:cs="Arial" w:eastAsia="Arial" w:hint="default"/>
          <w:spacing w:val="-1"/>
        </w:rPr>
        <w:t>2012</w:t>
      </w:r>
      <w:r>
        <w:rPr>
          <w:spacing w:val="-1"/>
        </w:rPr>
        <w:t>年</w:t>
      </w:r>
      <w:r>
        <w:rPr>
          <w:rFonts w:ascii="Arial" w:hAnsi="Arial" w:cs="Arial" w:eastAsia="Arial" w:hint="default"/>
          <w:spacing w:val="-1"/>
        </w:rPr>
        <w:t>12</w:t>
      </w:r>
      <w:r>
        <w:rPr>
          <w:rFonts w:ascii="Arial" w:hAnsi="Arial" w:cs="Arial" w:eastAsia="Arial" w:hint="default"/>
          <w:spacing w:val="-58"/>
        </w:rPr>
        <w:t> </w:t>
      </w:r>
      <w:r>
        <w:rPr/>
        <w:t>月</w:t>
      </w:r>
      <w:r>
        <w:rPr>
          <w:rFonts w:ascii="Arial" w:hAnsi="Arial" w:cs="Arial" w:eastAsia="Arial" w:hint="default"/>
        </w:rPr>
        <w:t>31</w:t>
      </w:r>
      <w:r>
        <w:rPr/>
        <w:t>日的合并及公司财务状况以及</w:t>
      </w:r>
      <w:r>
        <w:rPr>
          <w:rFonts w:ascii="Arial" w:hAnsi="Arial" w:cs="Arial" w:eastAsia="Arial" w:hint="default"/>
        </w:rPr>
        <w:t>2012</w:t>
      </w:r>
      <w:r>
        <w:rPr/>
        <w:t>年度的合并及公司经营成果和现金流量等有关信息。</w:t>
      </w:r>
    </w:p>
    <w:p>
      <w:pPr>
        <w:spacing w:line="240" w:lineRule="auto" w:before="1"/>
        <w:rPr>
          <w:rFonts w:ascii="宋体" w:hAnsi="宋体" w:cs="宋体" w:eastAsia="宋体" w:hint="default"/>
          <w:sz w:val="17"/>
          <w:szCs w:val="17"/>
        </w:rPr>
      </w:pPr>
    </w:p>
    <w:p>
      <w:pPr>
        <w:pStyle w:val="BodyText"/>
        <w:spacing w:line="240" w:lineRule="auto"/>
        <w:ind w:left="118" w:right="5567"/>
        <w:jc w:val="left"/>
      </w:pPr>
      <w:r>
        <w:rPr>
          <w:rFonts w:ascii="Arial" w:hAnsi="Arial" w:cs="Arial" w:eastAsia="Arial" w:hint="default"/>
        </w:rPr>
        <w:t>3</w:t>
      </w:r>
      <w:r>
        <w:rPr/>
        <w:t>、</w:t>
      </w:r>
      <w:r>
        <w:rPr>
          <w:spacing w:val="-38"/>
        </w:rPr>
        <w:t> </w:t>
      </w:r>
      <w:r>
        <w:rPr/>
        <w:t>会计年度</w:t>
      </w:r>
    </w:p>
    <w:p>
      <w:pPr>
        <w:spacing w:line="240" w:lineRule="auto" w:before="13"/>
        <w:rPr>
          <w:rFonts w:ascii="宋体" w:hAnsi="宋体" w:cs="宋体" w:eastAsia="宋体" w:hint="default"/>
          <w:sz w:val="17"/>
          <w:szCs w:val="17"/>
        </w:rPr>
      </w:pPr>
    </w:p>
    <w:p>
      <w:pPr>
        <w:pStyle w:val="BodyText"/>
        <w:spacing w:line="240" w:lineRule="auto"/>
        <w:ind w:left="538" w:right="0"/>
        <w:jc w:val="both"/>
      </w:pPr>
      <w:r>
        <w:rPr/>
        <w:t>会计年度为公历</w:t>
      </w:r>
      <w:r>
        <w:rPr>
          <w:rFonts w:ascii="Arial" w:hAnsi="Arial" w:cs="Arial" w:eastAsia="Arial" w:hint="default"/>
        </w:rPr>
        <w:t>1</w:t>
      </w:r>
      <w:r>
        <w:rPr/>
        <w:t>月</w:t>
      </w:r>
      <w:r>
        <w:rPr>
          <w:rFonts w:ascii="Arial" w:hAnsi="Arial" w:cs="Arial" w:eastAsia="Arial" w:hint="default"/>
        </w:rPr>
        <w:t>1</w:t>
      </w:r>
      <w:r>
        <w:rPr/>
        <w:t>日起至</w:t>
      </w:r>
      <w:r>
        <w:rPr>
          <w:rFonts w:ascii="Arial" w:hAnsi="Arial" w:cs="Arial" w:eastAsia="Arial" w:hint="default"/>
        </w:rPr>
        <w:t>12</w:t>
      </w:r>
      <w:r>
        <w:rPr/>
        <w:t>月</w:t>
      </w:r>
      <w:r>
        <w:rPr>
          <w:rFonts w:ascii="Arial" w:hAnsi="Arial" w:cs="Arial" w:eastAsia="Arial" w:hint="default"/>
        </w:rPr>
        <w:t>31</w:t>
      </w:r>
      <w:r>
        <w:rPr/>
        <w:t>日止。</w:t>
      </w:r>
    </w:p>
    <w:p>
      <w:pPr>
        <w:spacing w:line="240" w:lineRule="auto" w:before="12"/>
        <w:rPr>
          <w:rFonts w:ascii="宋体" w:hAnsi="宋体" w:cs="宋体" w:eastAsia="宋体" w:hint="default"/>
          <w:sz w:val="17"/>
          <w:szCs w:val="17"/>
        </w:rPr>
      </w:pPr>
    </w:p>
    <w:p>
      <w:pPr>
        <w:pStyle w:val="BodyText"/>
        <w:spacing w:line="424" w:lineRule="auto"/>
        <w:ind w:left="538" w:right="3018" w:hanging="420"/>
        <w:jc w:val="left"/>
      </w:pPr>
      <w:r>
        <w:rPr>
          <w:rFonts w:ascii="Arial" w:hAnsi="Arial" w:cs="Arial" w:eastAsia="Arial" w:hint="default"/>
        </w:rPr>
        <w:t>4</w:t>
      </w:r>
      <w:r>
        <w:rPr/>
        <w:t>、</w:t>
      </w:r>
      <w:r>
        <w:rPr>
          <w:spacing w:val="-36"/>
        </w:rPr>
        <w:t> </w:t>
      </w:r>
      <w:r>
        <w:rPr/>
        <w:t>记账本位币</w:t>
      </w:r>
      <w:r>
        <w:rPr>
          <w:w w:val="99"/>
        </w:rPr>
        <w:t> </w:t>
      </w:r>
      <w:r>
        <w:rPr>
          <w:w w:val="95"/>
        </w:rPr>
        <w:t>本集团除个别境外子公司外，以人民币为记账本位币。</w:t>
      </w:r>
      <w:r>
        <w:rPr/>
      </w:r>
    </w:p>
    <w:p>
      <w:pPr>
        <w:pStyle w:val="BodyText"/>
        <w:spacing w:line="240" w:lineRule="auto" w:before="80"/>
        <w:ind w:left="118" w:right="5567"/>
        <w:jc w:val="left"/>
      </w:pPr>
      <w:r>
        <w:rPr>
          <w:rFonts w:ascii="Arial" w:hAnsi="Arial" w:cs="Arial" w:eastAsia="Arial" w:hint="default"/>
        </w:rPr>
        <w:t>5</w:t>
      </w:r>
      <w:r>
        <w:rPr/>
        <w:t>、</w:t>
      </w:r>
      <w:r>
        <w:rPr>
          <w:spacing w:val="-38"/>
        </w:rPr>
        <w:t> </w:t>
      </w:r>
      <w:r>
        <w:rPr/>
        <w:t>企业合并</w:t>
      </w:r>
    </w:p>
    <w:p>
      <w:pPr>
        <w:spacing w:line="240" w:lineRule="auto" w:before="13"/>
        <w:rPr>
          <w:rFonts w:ascii="宋体" w:hAnsi="宋体" w:cs="宋体" w:eastAsia="宋体" w:hint="default"/>
          <w:sz w:val="17"/>
          <w:szCs w:val="17"/>
        </w:rPr>
      </w:pPr>
    </w:p>
    <w:p>
      <w:pPr>
        <w:pStyle w:val="BodyText"/>
        <w:spacing w:line="240" w:lineRule="auto"/>
        <w:ind w:left="118" w:right="5567"/>
        <w:jc w:val="left"/>
      </w:pPr>
      <w:r>
        <w:rPr>
          <w:rFonts w:ascii="Arial" w:hAnsi="Arial" w:cs="Arial" w:eastAsia="Arial" w:hint="default"/>
        </w:rPr>
        <w:t>(a) </w:t>
      </w:r>
      <w:r>
        <w:rPr>
          <w:rFonts w:ascii="Arial" w:hAnsi="Arial" w:cs="Arial" w:eastAsia="Arial" w:hint="default"/>
          <w:spacing w:val="22"/>
        </w:rPr>
        <w:t> </w:t>
      </w:r>
      <w:r>
        <w:rPr/>
        <w:t>同一控制下的企业合并</w:t>
      </w:r>
    </w:p>
    <w:p>
      <w:pPr>
        <w:spacing w:line="240" w:lineRule="auto" w:before="2"/>
        <w:rPr>
          <w:rFonts w:ascii="宋体" w:hAnsi="宋体" w:cs="宋体" w:eastAsia="宋体" w:hint="default"/>
          <w:sz w:val="18"/>
          <w:szCs w:val="18"/>
        </w:rPr>
      </w:pPr>
    </w:p>
    <w:p>
      <w:pPr>
        <w:pStyle w:val="BodyText"/>
        <w:spacing w:line="237" w:lineRule="auto"/>
        <w:ind w:left="538" w:right="208"/>
        <w:jc w:val="both"/>
      </w:pPr>
      <w:r>
        <w:rPr>
          <w:spacing w:val="2"/>
        </w:rPr>
        <w:t>合并方支付的合并对价及取得的净资产均按账面价值计量。合并方取得的净资产账面价值与</w:t>
      </w:r>
      <w:r>
        <w:rPr>
          <w:spacing w:val="-106"/>
        </w:rPr>
        <w:t> </w:t>
      </w:r>
      <w:r>
        <w:rPr>
          <w:spacing w:val="-106"/>
        </w:rPr>
      </w:r>
      <w:r>
        <w:rPr>
          <w:spacing w:val="2"/>
        </w:rPr>
        <w:t>支付的合并对价账面价值的差额，调整资本公积（股本溢价）；资本公积（股本溢价）不足</w:t>
      </w:r>
      <w:r>
        <w:rPr>
          <w:spacing w:val="-102"/>
        </w:rPr>
        <w:t> </w:t>
      </w:r>
      <w:r>
        <w:rPr>
          <w:spacing w:val="-102"/>
        </w:rPr>
      </w:r>
      <w:r>
        <w:rPr>
          <w:spacing w:val="2"/>
        </w:rPr>
        <w:t>以冲减的，调整留存收益。为进行企业合并发生的直接相关费用于发生时计入当期损益。为</w:t>
      </w:r>
      <w:r>
        <w:rPr>
          <w:spacing w:val="-104"/>
        </w:rPr>
        <w:t> </w:t>
      </w:r>
      <w:r>
        <w:rPr>
          <w:spacing w:val="-104"/>
        </w:rPr>
      </w:r>
      <w:r>
        <w:rPr>
          <w:spacing w:val="2"/>
        </w:rPr>
        <w:t>企业合并而发行权益性证券或债务性证券的交易费用，计入权益性证券或债务性证券的初始</w:t>
      </w:r>
      <w:r>
        <w:rPr>
          <w:w w:val="99"/>
        </w:rPr>
        <w:t> </w:t>
      </w:r>
      <w:r>
        <w:rPr/>
        <w:t>确认金额。</w:t>
      </w:r>
    </w:p>
    <w:p>
      <w:pPr>
        <w:spacing w:line="240" w:lineRule="auto" w:before="3"/>
        <w:rPr>
          <w:rFonts w:ascii="宋体" w:hAnsi="宋体" w:cs="宋体" w:eastAsia="宋体" w:hint="default"/>
          <w:sz w:val="21"/>
          <w:szCs w:val="21"/>
        </w:rPr>
      </w:pPr>
    </w:p>
    <w:p>
      <w:pPr>
        <w:pStyle w:val="BodyText"/>
        <w:spacing w:line="286" w:lineRule="exact"/>
        <w:ind w:left="538" w:right="218"/>
        <w:jc w:val="both"/>
      </w:pPr>
      <w:r>
        <w:rPr/>
        <w:t>本集团执行企业会计准则（</w:t>
      </w:r>
      <w:r>
        <w:rPr>
          <w:rFonts w:ascii="Arial" w:hAnsi="Arial" w:cs="Arial" w:eastAsia="Arial" w:hint="default"/>
        </w:rPr>
        <w:t>2007</w:t>
      </w:r>
      <w:r>
        <w:rPr/>
        <w:t>年</w:t>
      </w:r>
      <w:r>
        <w:rPr>
          <w:rFonts w:ascii="Arial" w:hAnsi="Arial" w:cs="Arial" w:eastAsia="Arial" w:hint="default"/>
        </w:rPr>
        <w:t>1</w:t>
      </w:r>
      <w:r>
        <w:rPr/>
        <w:t>月</w:t>
      </w:r>
      <w:r>
        <w:rPr>
          <w:rFonts w:ascii="Arial" w:hAnsi="Arial" w:cs="Arial" w:eastAsia="Arial" w:hint="default"/>
        </w:rPr>
        <w:t>1</w:t>
      </w:r>
      <w:r>
        <w:rPr/>
        <w:t>日，“首次执行日”）前的同一控制下的企业收购，</w:t>
      </w:r>
      <w:r>
        <w:rPr>
          <w:w w:val="99"/>
        </w:rPr>
        <w:t> </w:t>
      </w:r>
      <w:r>
        <w:rPr>
          <w:spacing w:val="2"/>
        </w:rPr>
        <w:t>所支付的合并对价与所收购的改制企业经评估的净资产的账面价值的差额根据《企业会计准</w:t>
      </w:r>
      <w:r>
        <w:rPr>
          <w:w w:val="99"/>
        </w:rPr>
        <w:t> </w:t>
      </w:r>
      <w:r>
        <w:rPr/>
        <w:t>则</w:t>
      </w:r>
      <w:r>
        <w:rPr>
          <w:rFonts w:ascii="Arial" w:hAnsi="Arial" w:cs="Arial" w:eastAsia="Arial" w:hint="default"/>
        </w:rPr>
        <w:t>38</w:t>
      </w:r>
      <w:r>
        <w:rPr/>
        <w:t>号－首次执行企业会计准则》的要求已经于首次执行日追溯调整了本集团的留存收益。</w:t>
      </w:r>
    </w:p>
    <w:p>
      <w:pPr>
        <w:spacing w:after="0" w:line="286" w:lineRule="exact"/>
        <w:jc w:val="both"/>
        <w:sectPr>
          <w:headerReference w:type="default" r:id="rId42"/>
          <w:pgSz w:w="11910" w:h="16840"/>
          <w:pgMar w:header="967" w:footer="593" w:top="2820" w:bottom="780" w:left="1440" w:right="820"/>
        </w:sectPr>
      </w:pPr>
    </w:p>
    <w:p>
      <w:pPr>
        <w:spacing w:line="240" w:lineRule="auto" w:before="12"/>
        <w:rPr>
          <w:rFonts w:ascii="宋体" w:hAnsi="宋体" w:cs="宋体" w:eastAsia="宋体" w:hint="default"/>
          <w:sz w:val="14"/>
          <w:szCs w:val="14"/>
        </w:rPr>
      </w:pPr>
    </w:p>
    <w:p>
      <w:pPr>
        <w:pStyle w:val="BodyText"/>
        <w:spacing w:line="240" w:lineRule="auto" w:before="31"/>
        <w:ind w:left="118" w:right="3270"/>
        <w:jc w:val="left"/>
      </w:pPr>
      <w:r>
        <w:rPr>
          <w:rFonts w:ascii="Arial" w:hAnsi="Arial" w:cs="Arial" w:eastAsia="Arial" w:hint="default"/>
        </w:rPr>
        <w:t>5</w:t>
      </w:r>
      <w:r>
        <w:rPr/>
        <w:t>、</w:t>
      </w:r>
      <w:r>
        <w:rPr>
          <w:spacing w:val="-39"/>
        </w:rPr>
        <w:t> </w:t>
      </w:r>
      <w:r>
        <w:rPr/>
        <w:t>企业合并（续）</w:t>
      </w:r>
    </w:p>
    <w:p>
      <w:pPr>
        <w:spacing w:line="240" w:lineRule="auto" w:before="0"/>
        <w:rPr>
          <w:rFonts w:ascii="宋体" w:hAnsi="宋体" w:cs="宋体" w:eastAsia="宋体" w:hint="default"/>
          <w:sz w:val="18"/>
          <w:szCs w:val="18"/>
        </w:rPr>
      </w:pPr>
    </w:p>
    <w:p>
      <w:pPr>
        <w:pStyle w:val="BodyText"/>
        <w:spacing w:line="240" w:lineRule="auto"/>
        <w:ind w:left="118" w:right="3270"/>
        <w:jc w:val="left"/>
      </w:pPr>
      <w:r>
        <w:rPr>
          <w:rFonts w:ascii="Arial" w:hAnsi="Arial" w:cs="Arial" w:eastAsia="Arial" w:hint="default"/>
        </w:rPr>
        <w:t>(b) </w:t>
      </w:r>
      <w:r>
        <w:rPr>
          <w:rFonts w:ascii="Arial" w:hAnsi="Arial" w:cs="Arial" w:eastAsia="Arial" w:hint="default"/>
          <w:spacing w:val="22"/>
        </w:rPr>
        <w:t> </w:t>
      </w:r>
      <w:r>
        <w:rPr/>
        <w:t>非同一控制下的企业合并</w:t>
      </w:r>
    </w:p>
    <w:p>
      <w:pPr>
        <w:spacing w:line="240" w:lineRule="auto" w:before="1"/>
        <w:rPr>
          <w:rFonts w:ascii="宋体" w:hAnsi="宋体" w:cs="宋体" w:eastAsia="宋体" w:hint="default"/>
          <w:sz w:val="18"/>
          <w:szCs w:val="18"/>
        </w:rPr>
      </w:pPr>
    </w:p>
    <w:p>
      <w:pPr>
        <w:pStyle w:val="BodyText"/>
        <w:spacing w:line="237" w:lineRule="auto"/>
        <w:ind w:left="538" w:right="112"/>
        <w:jc w:val="both"/>
      </w:pPr>
      <w:r>
        <w:rPr>
          <w:spacing w:val="2"/>
        </w:rPr>
        <w:t>购买方发生的合并成本及在合并中取得的可辨认净资产按购买日的公允价值计量。合并成本</w:t>
      </w:r>
      <w:r>
        <w:rPr>
          <w:w w:val="99"/>
        </w:rPr>
        <w:t> </w:t>
      </w:r>
      <w:r>
        <w:rPr>
          <w:spacing w:val="2"/>
        </w:rPr>
        <w:t>大于合并中取得的被购买方于购买日可辨认净资产公允价值份额的差额，确认为商誉；合并</w:t>
      </w:r>
      <w:r>
        <w:rPr>
          <w:w w:val="99"/>
        </w:rPr>
        <w:t> </w:t>
      </w:r>
      <w:r>
        <w:rPr>
          <w:spacing w:val="2"/>
        </w:rPr>
        <w:t>成本小于合并中取得的被购买方可辨认净资产公允价值份额的差额，计入当期损益。为进行</w:t>
      </w:r>
      <w:r>
        <w:rPr>
          <w:spacing w:val="-105"/>
        </w:rPr>
        <w:t> </w:t>
      </w:r>
      <w:r>
        <w:rPr>
          <w:spacing w:val="-105"/>
        </w:rPr>
      </w:r>
      <w:r>
        <w:rPr>
          <w:spacing w:val="2"/>
        </w:rPr>
        <w:t>企业合并发生的直接相关费用于发生时计入当期损益。为企业合并而发行权益性证券或债务</w:t>
      </w:r>
      <w:r>
        <w:rPr>
          <w:spacing w:val="-108"/>
        </w:rPr>
        <w:t> </w:t>
      </w:r>
      <w:r>
        <w:rPr>
          <w:spacing w:val="-108"/>
        </w:rPr>
      </w:r>
      <w:r>
        <w:rPr/>
        <w:t>性证券的交易费用，计入权益性证券或债务性证券的初始确认金额。</w:t>
      </w:r>
    </w:p>
    <w:p>
      <w:pPr>
        <w:spacing w:line="240" w:lineRule="auto" w:before="3"/>
        <w:rPr>
          <w:rFonts w:ascii="宋体" w:hAnsi="宋体" w:cs="宋体" w:eastAsia="宋体" w:hint="default"/>
          <w:sz w:val="19"/>
          <w:szCs w:val="19"/>
        </w:rPr>
      </w:pPr>
    </w:p>
    <w:p>
      <w:pPr>
        <w:pStyle w:val="BodyText"/>
        <w:spacing w:line="424" w:lineRule="auto"/>
        <w:ind w:left="538" w:right="3270" w:hanging="420"/>
        <w:jc w:val="left"/>
      </w:pPr>
      <w:r>
        <w:rPr>
          <w:rFonts w:ascii="Arial" w:hAnsi="Arial" w:cs="Arial" w:eastAsia="Arial" w:hint="default"/>
        </w:rPr>
        <w:t>6</w:t>
      </w:r>
      <w:r>
        <w:rPr/>
        <w:t>、</w:t>
      </w:r>
      <w:r>
        <w:rPr>
          <w:spacing w:val="-36"/>
        </w:rPr>
        <w:t> </w:t>
      </w:r>
      <w:r>
        <w:rPr/>
        <w:t>合并财务报表的编制方法</w:t>
      </w:r>
      <w:r>
        <w:rPr>
          <w:w w:val="99"/>
        </w:rPr>
        <w:t> </w:t>
      </w:r>
      <w:r>
        <w:rPr/>
        <w:t>编制合并财务报表时，合并范围包括本公司及全部子公司。</w:t>
      </w:r>
    </w:p>
    <w:p>
      <w:pPr>
        <w:pStyle w:val="BodyText"/>
        <w:spacing w:line="237" w:lineRule="auto" w:before="83"/>
        <w:ind w:left="538" w:right="114"/>
        <w:jc w:val="both"/>
      </w:pPr>
      <w:r>
        <w:rPr>
          <w:spacing w:val="2"/>
        </w:rPr>
        <w:t>从取得子公司的实际控制权之日起，本集团开始将其纳入合并范围；从丧失实际控制权之日</w:t>
      </w:r>
      <w:r>
        <w:rPr>
          <w:w w:val="99"/>
        </w:rPr>
        <w:t> </w:t>
      </w:r>
      <w:r>
        <w:rPr>
          <w:spacing w:val="2"/>
        </w:rPr>
        <w:t>起停止纳入合并范围。对于同一控制下企业合并取得的子公司，自其与本公司同受最终控制</w:t>
      </w:r>
      <w:r>
        <w:rPr>
          <w:spacing w:val="-107"/>
        </w:rPr>
        <w:t> </w:t>
      </w:r>
      <w:r>
        <w:rPr>
          <w:spacing w:val="-107"/>
        </w:rPr>
      </w:r>
      <w:r>
        <w:rPr>
          <w:spacing w:val="2"/>
        </w:rPr>
        <w:t>方控制之日起纳入本公司合并范围，并将其在合并日前实现的净利润在合并利润表中单列项</w:t>
      </w:r>
      <w:r>
        <w:rPr>
          <w:w w:val="99"/>
        </w:rPr>
        <w:t> </w:t>
      </w:r>
      <w:r>
        <w:rPr/>
        <w:t>目反映。</w:t>
      </w:r>
    </w:p>
    <w:p>
      <w:pPr>
        <w:spacing w:line="240" w:lineRule="auto" w:before="5"/>
        <w:rPr>
          <w:rFonts w:ascii="宋体" w:hAnsi="宋体" w:cs="宋体" w:eastAsia="宋体" w:hint="default"/>
          <w:sz w:val="21"/>
          <w:szCs w:val="21"/>
        </w:rPr>
      </w:pPr>
    </w:p>
    <w:p>
      <w:pPr>
        <w:pStyle w:val="BodyText"/>
        <w:spacing w:line="286" w:lineRule="exact"/>
        <w:ind w:left="538" w:right="121"/>
        <w:jc w:val="both"/>
      </w:pPr>
      <w:r>
        <w:rPr>
          <w:spacing w:val="2"/>
        </w:rPr>
        <w:t>在编制合并财务报表时，子公司与本公司采用的会计政策或会计期间不一致的，按照本公司</w:t>
      </w:r>
      <w:r>
        <w:rPr>
          <w:w w:val="99"/>
        </w:rPr>
        <w:t> </w:t>
      </w:r>
      <w:r>
        <w:rPr>
          <w:spacing w:val="2"/>
        </w:rPr>
        <w:t>的会计政策和会计期间对子公司财务报表进行必要的调整。对于非同一控制下企业合并取得</w:t>
      </w:r>
      <w:r>
        <w:rPr>
          <w:w w:val="99"/>
        </w:rPr>
        <w:t> </w:t>
      </w:r>
      <w:r>
        <w:rPr/>
        <w:t>的子公司，以购买日可辨认净资产公允价值为基础对其财务报表进行调整。</w:t>
      </w:r>
    </w:p>
    <w:p>
      <w:pPr>
        <w:spacing w:line="240" w:lineRule="auto" w:before="3"/>
        <w:rPr>
          <w:rFonts w:ascii="宋体" w:hAnsi="宋体" w:cs="宋体" w:eastAsia="宋体" w:hint="default"/>
          <w:sz w:val="19"/>
          <w:szCs w:val="19"/>
        </w:rPr>
      </w:pPr>
    </w:p>
    <w:p>
      <w:pPr>
        <w:pStyle w:val="BodyText"/>
        <w:spacing w:line="286" w:lineRule="exact"/>
        <w:ind w:left="538" w:right="121"/>
        <w:jc w:val="both"/>
      </w:pPr>
      <w:r>
        <w:rPr>
          <w:spacing w:val="2"/>
        </w:rPr>
        <w:t>集团内所有重大往来余额、交易及未实现利润在合并财务报表编制时予以抵销。子公司的股</w:t>
      </w:r>
      <w:r>
        <w:rPr>
          <w:w w:val="99"/>
        </w:rPr>
        <w:t> </w:t>
      </w:r>
      <w:r>
        <w:rPr>
          <w:spacing w:val="2"/>
        </w:rPr>
        <w:t>东权益及当期净损益中不属于本公司所拥有的部分分别作为少数股东权益及少数股东损益在</w:t>
      </w:r>
      <w:r>
        <w:rPr>
          <w:w w:val="99"/>
        </w:rPr>
        <w:t> </w:t>
      </w:r>
      <w:r>
        <w:rPr/>
        <w:t>合并财务报表中股东权益及净利润项下单独列示。</w:t>
      </w:r>
    </w:p>
    <w:p>
      <w:pPr>
        <w:pStyle w:val="BodyText"/>
        <w:spacing w:line="240" w:lineRule="auto" w:before="194"/>
        <w:ind w:left="118" w:right="3270"/>
        <w:jc w:val="left"/>
      </w:pPr>
      <w:r>
        <w:rPr>
          <w:rFonts w:ascii="Arial" w:hAnsi="Arial" w:cs="Arial" w:eastAsia="Arial" w:hint="default"/>
        </w:rPr>
        <w:t>7</w:t>
      </w:r>
      <w:r>
        <w:rPr/>
        <w:t>、</w:t>
      </w:r>
      <w:r>
        <w:rPr>
          <w:spacing w:val="-39"/>
        </w:rPr>
        <w:t> </w:t>
      </w:r>
      <w:r>
        <w:rPr/>
        <w:t>现金及现金等价物</w:t>
      </w:r>
    </w:p>
    <w:p>
      <w:pPr>
        <w:spacing w:line="240" w:lineRule="auto" w:before="11"/>
        <w:rPr>
          <w:rFonts w:ascii="宋体" w:hAnsi="宋体" w:cs="宋体" w:eastAsia="宋体" w:hint="default"/>
          <w:sz w:val="18"/>
          <w:szCs w:val="18"/>
        </w:rPr>
      </w:pPr>
    </w:p>
    <w:p>
      <w:pPr>
        <w:pStyle w:val="BodyText"/>
        <w:spacing w:line="286" w:lineRule="exact"/>
        <w:ind w:left="538" w:right="111"/>
        <w:jc w:val="both"/>
      </w:pPr>
      <w:r>
        <w:rPr>
          <w:spacing w:val="-1"/>
        </w:rPr>
        <w:t>现金及现金等价物是指库存现金，可随时用于支付的存款，以及持有的期限短（一般不超过</w:t>
      </w:r>
      <w:r>
        <w:rPr>
          <w:rFonts w:ascii="Arial" w:hAnsi="Arial" w:cs="Arial" w:eastAsia="Arial" w:hint="default"/>
          <w:spacing w:val="-1"/>
        </w:rPr>
        <w:t>3</w:t>
      </w:r>
      <w:r>
        <w:rPr>
          <w:rFonts w:ascii="Arial" w:hAnsi="Arial" w:cs="Arial" w:eastAsia="Arial" w:hint="default"/>
          <w:w w:val="99"/>
        </w:rPr>
        <w:t> </w:t>
      </w:r>
      <w:r>
        <w:rPr/>
        <w:t>个月）、流动性强、易于转换为已知金额现金、价值变动风险很小的投资。</w:t>
      </w:r>
    </w:p>
    <w:p>
      <w:pPr>
        <w:pStyle w:val="BodyText"/>
        <w:spacing w:line="240" w:lineRule="auto" w:before="194"/>
        <w:ind w:left="118" w:right="3270"/>
        <w:jc w:val="left"/>
      </w:pPr>
      <w:r>
        <w:rPr>
          <w:rFonts w:ascii="Arial" w:hAnsi="Arial" w:cs="Arial" w:eastAsia="Arial" w:hint="default"/>
        </w:rPr>
        <w:t>8</w:t>
      </w:r>
      <w:r>
        <w:rPr/>
        <w:t>、</w:t>
      </w:r>
      <w:r>
        <w:rPr>
          <w:spacing w:val="-38"/>
        </w:rPr>
        <w:t> </w:t>
      </w:r>
      <w:r>
        <w:rPr/>
        <w:t>外币折算</w:t>
      </w:r>
    </w:p>
    <w:p>
      <w:pPr>
        <w:pStyle w:val="BodyText"/>
        <w:spacing w:line="240" w:lineRule="auto" w:before="189"/>
        <w:ind w:left="118" w:right="3270"/>
        <w:jc w:val="left"/>
      </w:pPr>
      <w:r>
        <w:rPr>
          <w:rFonts w:ascii="Arial" w:hAnsi="Arial" w:cs="Arial" w:eastAsia="Arial" w:hint="default"/>
        </w:rPr>
        <w:t>(a) </w:t>
      </w:r>
      <w:r>
        <w:rPr>
          <w:rFonts w:ascii="Arial" w:hAnsi="Arial" w:cs="Arial" w:eastAsia="Arial" w:hint="default"/>
          <w:spacing w:val="24"/>
        </w:rPr>
        <w:t> </w:t>
      </w:r>
      <w:r>
        <w:rPr/>
        <w:t>外币交易</w:t>
      </w:r>
    </w:p>
    <w:p>
      <w:pPr>
        <w:spacing w:line="240" w:lineRule="auto" w:before="9"/>
        <w:rPr>
          <w:rFonts w:ascii="宋体" w:hAnsi="宋体" w:cs="宋体" w:eastAsia="宋体" w:hint="default"/>
          <w:sz w:val="16"/>
          <w:szCs w:val="16"/>
        </w:rPr>
      </w:pPr>
    </w:p>
    <w:p>
      <w:pPr>
        <w:pStyle w:val="BodyText"/>
        <w:spacing w:line="240" w:lineRule="auto"/>
        <w:ind w:left="538" w:right="0"/>
        <w:jc w:val="both"/>
      </w:pPr>
      <w:r>
        <w:rPr/>
        <w:t>外币交易按交易发生日的即期汇率将外币金额折算为人民币入账。</w:t>
      </w:r>
    </w:p>
    <w:p>
      <w:pPr>
        <w:spacing w:line="240" w:lineRule="auto" w:before="5"/>
        <w:rPr>
          <w:rFonts w:ascii="宋体" w:hAnsi="宋体" w:cs="宋体" w:eastAsia="宋体" w:hint="default"/>
          <w:sz w:val="19"/>
          <w:szCs w:val="19"/>
        </w:rPr>
      </w:pPr>
    </w:p>
    <w:p>
      <w:pPr>
        <w:pStyle w:val="BodyText"/>
        <w:spacing w:line="237" w:lineRule="auto"/>
        <w:ind w:left="538" w:right="117"/>
        <w:jc w:val="both"/>
      </w:pPr>
      <w:r>
        <w:rPr>
          <w:spacing w:val="2"/>
        </w:rPr>
        <w:t>于资产负债表日，外币货币性项目采用资产负债表日的即期汇率折算为人民币。为购建符合</w:t>
      </w:r>
      <w:r>
        <w:rPr>
          <w:w w:val="99"/>
        </w:rPr>
        <w:t> </w:t>
      </w:r>
      <w:r>
        <w:rPr>
          <w:spacing w:val="2"/>
        </w:rPr>
        <w:t>借款费用资本化条件的资产而借入的外币专门借款产生的汇兑差额在资本化期间内予以资本</w:t>
      </w:r>
      <w:r>
        <w:rPr>
          <w:w w:val="99"/>
        </w:rPr>
        <w:t> </w:t>
      </w:r>
      <w:r>
        <w:rPr>
          <w:spacing w:val="2"/>
        </w:rPr>
        <w:t>化；其他汇兑差额直接计入当期损益。以历史成本计量的外币非货币性项目，于资产负债表</w:t>
      </w:r>
      <w:r>
        <w:rPr>
          <w:w w:val="99"/>
        </w:rPr>
        <w:t> </w:t>
      </w:r>
      <w:r>
        <w:rPr>
          <w:spacing w:val="2"/>
        </w:rPr>
        <w:t>日采用交易发生日的即期汇率折算。以公允价值计量的外币非货币性项目，采用公允价值确</w:t>
      </w:r>
      <w:r>
        <w:rPr>
          <w:w w:val="99"/>
        </w:rPr>
        <w:t> </w:t>
      </w:r>
      <w:r>
        <w:rPr/>
        <w:t>定日的即期汇率折算。汇率变动对现金的影响额，在现金流量表中单独列示。</w:t>
      </w:r>
    </w:p>
    <w:p>
      <w:pPr>
        <w:spacing w:after="0" w:line="237" w:lineRule="auto"/>
        <w:jc w:val="both"/>
        <w:sectPr>
          <w:headerReference w:type="default" r:id="rId43"/>
          <w:pgSz w:w="11910" w:h="16840"/>
          <w:pgMar w:header="967" w:footer="593" w:top="2820" w:bottom="780" w:left="1440" w:right="920"/>
        </w:sectPr>
      </w:pPr>
    </w:p>
    <w:p>
      <w:pPr>
        <w:spacing w:line="240" w:lineRule="auto" w:before="12"/>
        <w:rPr>
          <w:rFonts w:ascii="宋体" w:hAnsi="宋体" w:cs="宋体" w:eastAsia="宋体" w:hint="default"/>
          <w:sz w:val="14"/>
          <w:szCs w:val="14"/>
        </w:rPr>
      </w:pPr>
    </w:p>
    <w:p>
      <w:pPr>
        <w:pStyle w:val="BodyText"/>
        <w:spacing w:line="240" w:lineRule="auto" w:before="31"/>
        <w:ind w:left="118" w:right="3270"/>
        <w:jc w:val="left"/>
      </w:pPr>
      <w:r>
        <w:rPr>
          <w:rFonts w:ascii="Arial" w:hAnsi="Arial" w:cs="Arial" w:eastAsia="Arial" w:hint="default"/>
        </w:rPr>
        <w:t>8</w:t>
      </w:r>
      <w:r>
        <w:rPr/>
        <w:t>、</w:t>
      </w:r>
      <w:r>
        <w:rPr>
          <w:spacing w:val="-39"/>
        </w:rPr>
        <w:t> </w:t>
      </w:r>
      <w:r>
        <w:rPr/>
        <w:t>外币折算（续）</w:t>
      </w:r>
    </w:p>
    <w:p>
      <w:pPr>
        <w:pStyle w:val="BodyText"/>
        <w:spacing w:line="240" w:lineRule="auto" w:before="193"/>
        <w:ind w:left="118" w:right="3270"/>
        <w:jc w:val="left"/>
      </w:pPr>
      <w:r>
        <w:rPr>
          <w:rFonts w:ascii="Arial" w:hAnsi="Arial" w:cs="Arial" w:eastAsia="Arial" w:hint="default"/>
        </w:rPr>
        <w:t>(b) </w:t>
      </w:r>
      <w:r>
        <w:rPr>
          <w:rFonts w:ascii="Arial" w:hAnsi="Arial" w:cs="Arial" w:eastAsia="Arial" w:hint="default"/>
          <w:spacing w:val="22"/>
        </w:rPr>
        <w:t> </w:t>
      </w:r>
      <w:r>
        <w:rPr/>
        <w:t>外币财务报表的折算</w:t>
      </w:r>
    </w:p>
    <w:p>
      <w:pPr>
        <w:spacing w:line="240" w:lineRule="auto" w:before="12"/>
        <w:rPr>
          <w:rFonts w:ascii="宋体" w:hAnsi="宋体" w:cs="宋体" w:eastAsia="宋体" w:hint="default"/>
          <w:sz w:val="16"/>
          <w:szCs w:val="16"/>
        </w:rPr>
      </w:pPr>
    </w:p>
    <w:p>
      <w:pPr>
        <w:pStyle w:val="BodyText"/>
        <w:spacing w:line="237" w:lineRule="auto"/>
        <w:ind w:left="538" w:right="119"/>
        <w:jc w:val="both"/>
      </w:pPr>
      <w:r>
        <w:rPr>
          <w:spacing w:val="2"/>
        </w:rPr>
        <w:t>境外经营的子公司资产负债表中的资产和负债项目，采用资产负债表日的即期汇率折算，股</w:t>
      </w:r>
      <w:r>
        <w:rPr>
          <w:w w:val="99"/>
        </w:rPr>
        <w:t> </w:t>
      </w:r>
      <w:r>
        <w:rPr>
          <w:spacing w:val="2"/>
        </w:rPr>
        <w:t>东权益中除未分配利润项目外，其他项目采用发生时的即期汇率折算。境外经营的子公司利</w:t>
      </w:r>
      <w:r>
        <w:rPr>
          <w:w w:val="99"/>
        </w:rPr>
        <w:t> </w:t>
      </w:r>
      <w:r>
        <w:rPr>
          <w:spacing w:val="2"/>
        </w:rPr>
        <w:t>润表中的收入与费用项目，采用交易发生日的即期汇率之近似汇率折算。上述折算产生的外</w:t>
      </w:r>
      <w:r>
        <w:rPr>
          <w:w w:val="99"/>
        </w:rPr>
        <w:t> </w:t>
      </w:r>
      <w:r>
        <w:rPr>
          <w:spacing w:val="2"/>
        </w:rPr>
        <w:t>币报表折算差额，在股东权益中以单独项目列示。境外经营的子公司现金流量项目，采用现</w:t>
      </w:r>
      <w:r>
        <w:rPr>
          <w:w w:val="99"/>
        </w:rPr>
        <w:t> </w:t>
      </w:r>
      <w:r>
        <w:rPr>
          <w:spacing w:val="2"/>
        </w:rPr>
        <w:t>金流量发生日的即期汇率之近似汇率折算。汇率变动对现金的影响额，在现金流量表中单独</w:t>
      </w:r>
      <w:r>
        <w:rPr>
          <w:w w:val="99"/>
        </w:rPr>
        <w:t> </w:t>
      </w:r>
      <w:r>
        <w:rPr/>
        <w:t>列示。</w:t>
      </w:r>
    </w:p>
    <w:p>
      <w:pPr>
        <w:spacing w:line="240" w:lineRule="auto" w:before="12"/>
        <w:rPr>
          <w:rFonts w:ascii="宋体" w:hAnsi="宋体" w:cs="宋体" w:eastAsia="宋体" w:hint="default"/>
          <w:sz w:val="16"/>
          <w:szCs w:val="16"/>
        </w:rPr>
      </w:pPr>
    </w:p>
    <w:p>
      <w:pPr>
        <w:pStyle w:val="BodyText"/>
        <w:spacing w:line="240" w:lineRule="auto"/>
        <w:ind w:left="118" w:right="3270"/>
        <w:jc w:val="left"/>
      </w:pPr>
      <w:r>
        <w:rPr>
          <w:rFonts w:ascii="Arial" w:hAnsi="Arial" w:cs="Arial" w:eastAsia="Arial" w:hint="default"/>
        </w:rPr>
        <w:t>9</w:t>
      </w:r>
      <w:r>
        <w:rPr/>
        <w:t>、</w:t>
      </w:r>
      <w:r>
        <w:rPr>
          <w:spacing w:val="-38"/>
        </w:rPr>
        <w:t> </w:t>
      </w:r>
      <w:r>
        <w:rPr/>
        <w:t>金融工具</w:t>
      </w:r>
    </w:p>
    <w:p>
      <w:pPr>
        <w:pStyle w:val="BodyText"/>
        <w:spacing w:line="240" w:lineRule="auto" w:before="176"/>
        <w:ind w:left="118" w:right="3270"/>
        <w:jc w:val="left"/>
      </w:pPr>
      <w:r>
        <w:rPr>
          <w:rFonts w:ascii="Arial" w:hAnsi="Arial" w:cs="Arial" w:eastAsia="Arial" w:hint="default"/>
        </w:rPr>
        <w:t>(a) </w:t>
      </w:r>
      <w:r>
        <w:rPr>
          <w:rFonts w:ascii="Arial" w:hAnsi="Arial" w:cs="Arial" w:eastAsia="Arial" w:hint="default"/>
          <w:spacing w:val="24"/>
        </w:rPr>
        <w:t> </w:t>
      </w:r>
      <w:r>
        <w:rPr/>
        <w:t>金融资产</w:t>
      </w:r>
    </w:p>
    <w:p>
      <w:pPr>
        <w:pStyle w:val="BodyText"/>
        <w:spacing w:line="240" w:lineRule="auto" w:before="189"/>
        <w:ind w:left="118" w:right="3270"/>
        <w:jc w:val="left"/>
      </w:pPr>
      <w:r>
        <w:rPr>
          <w:rFonts w:ascii="Arial" w:hAnsi="Arial" w:cs="Arial" w:eastAsia="Arial" w:hint="default"/>
        </w:rPr>
        <w:t>(1) </w:t>
      </w:r>
      <w:r>
        <w:rPr>
          <w:rFonts w:ascii="Arial" w:hAnsi="Arial" w:cs="Arial" w:eastAsia="Arial" w:hint="default"/>
          <w:spacing w:val="24"/>
        </w:rPr>
        <w:t> </w:t>
      </w:r>
      <w:r>
        <w:rPr/>
        <w:t>金融资产分类</w:t>
      </w:r>
    </w:p>
    <w:p>
      <w:pPr>
        <w:spacing w:line="240" w:lineRule="auto" w:before="12"/>
        <w:rPr>
          <w:rFonts w:ascii="宋体" w:hAnsi="宋体" w:cs="宋体" w:eastAsia="宋体" w:hint="default"/>
          <w:sz w:val="16"/>
          <w:szCs w:val="16"/>
        </w:rPr>
      </w:pPr>
    </w:p>
    <w:p>
      <w:pPr>
        <w:pStyle w:val="BodyText"/>
        <w:spacing w:line="237" w:lineRule="auto"/>
        <w:ind w:left="538" w:right="114"/>
        <w:jc w:val="both"/>
      </w:pPr>
      <w:r>
        <w:rPr>
          <w:spacing w:val="2"/>
        </w:rPr>
        <w:t>金融资产于初始确认时分类为：以公允价值计量且其变动计入当期损益的金融资产、应收款</w:t>
      </w:r>
      <w:r>
        <w:rPr>
          <w:w w:val="99"/>
        </w:rPr>
        <w:t> </w:t>
      </w:r>
      <w:r>
        <w:rPr>
          <w:spacing w:val="2"/>
        </w:rPr>
        <w:t>项、可供出售金融资产和持有至到期投资。金融资产的分类取决于本集团对金融资产的持有</w:t>
      </w:r>
      <w:r>
        <w:rPr>
          <w:spacing w:val="-107"/>
        </w:rPr>
        <w:t> </w:t>
      </w:r>
      <w:r>
        <w:rPr>
          <w:spacing w:val="-107"/>
        </w:rPr>
      </w:r>
      <w:r>
        <w:rPr/>
        <w:t>意图和持有能力。</w:t>
      </w:r>
    </w:p>
    <w:p>
      <w:pPr>
        <w:spacing w:line="240" w:lineRule="auto" w:before="3"/>
        <w:rPr>
          <w:rFonts w:ascii="宋体" w:hAnsi="宋体" w:cs="宋体" w:eastAsia="宋体" w:hint="default"/>
          <w:sz w:val="19"/>
          <w:szCs w:val="19"/>
        </w:rPr>
      </w:pPr>
    </w:p>
    <w:p>
      <w:pPr>
        <w:pStyle w:val="BodyText"/>
        <w:spacing w:line="240" w:lineRule="auto"/>
        <w:ind w:left="538" w:right="0"/>
        <w:jc w:val="both"/>
      </w:pPr>
      <w:r>
        <w:rPr>
          <w:rFonts w:ascii="Arial" w:hAnsi="Arial" w:cs="Arial" w:eastAsia="Arial" w:hint="default"/>
        </w:rPr>
        <w:t>(i)  </w:t>
      </w:r>
      <w:r>
        <w:rPr>
          <w:rFonts w:ascii="Arial" w:hAnsi="Arial" w:cs="Arial" w:eastAsia="Arial" w:hint="default"/>
          <w:spacing w:val="28"/>
        </w:rPr>
        <w:t> </w:t>
      </w:r>
      <w:r>
        <w:rPr/>
        <w:t>以公允价值计量且其变动计入当期损益的金融资产</w:t>
      </w:r>
    </w:p>
    <w:p>
      <w:pPr>
        <w:spacing w:line="240" w:lineRule="auto" w:before="0"/>
        <w:rPr>
          <w:rFonts w:ascii="宋体" w:hAnsi="宋体" w:cs="宋体" w:eastAsia="宋体" w:hint="default"/>
          <w:sz w:val="16"/>
          <w:szCs w:val="16"/>
        </w:rPr>
      </w:pPr>
    </w:p>
    <w:p>
      <w:pPr>
        <w:pStyle w:val="BodyText"/>
        <w:spacing w:line="286" w:lineRule="exact"/>
        <w:ind w:left="965" w:right="123"/>
        <w:jc w:val="both"/>
      </w:pPr>
      <w:r>
        <w:rPr>
          <w:spacing w:val="2"/>
        </w:rPr>
        <w:t>以公允价值计量且其变动计入当期损益的金融资产包括持有目的为短期内出售的金融资</w:t>
      </w:r>
      <w:r>
        <w:rPr>
          <w:spacing w:val="-99"/>
        </w:rPr>
        <w:t> </w:t>
      </w:r>
      <w:r>
        <w:rPr>
          <w:spacing w:val="-99"/>
        </w:rPr>
      </w:r>
      <w:r>
        <w:rPr/>
        <w:t>产，该资产在资产负债表中以交易性金融资产列示。</w:t>
      </w:r>
    </w:p>
    <w:p>
      <w:pPr>
        <w:spacing w:line="240" w:lineRule="auto" w:before="2"/>
        <w:rPr>
          <w:rFonts w:ascii="宋体" w:hAnsi="宋体" w:cs="宋体" w:eastAsia="宋体" w:hint="default"/>
          <w:sz w:val="17"/>
          <w:szCs w:val="17"/>
        </w:rPr>
      </w:pPr>
    </w:p>
    <w:p>
      <w:pPr>
        <w:pStyle w:val="ListParagraph"/>
        <w:numPr>
          <w:ilvl w:val="0"/>
          <w:numId w:val="1"/>
        </w:numPr>
        <w:tabs>
          <w:tab w:pos="956" w:val="left" w:leader="none"/>
        </w:tabs>
        <w:spacing w:line="240" w:lineRule="auto" w:before="0" w:after="0"/>
        <w:ind w:left="955" w:right="0" w:hanging="417"/>
        <w:jc w:val="both"/>
        <w:rPr>
          <w:rFonts w:ascii="宋体" w:hAnsi="宋体" w:cs="宋体" w:eastAsia="宋体" w:hint="default"/>
          <w:sz w:val="22"/>
          <w:szCs w:val="22"/>
        </w:rPr>
      </w:pPr>
      <w:r>
        <w:rPr>
          <w:rFonts w:ascii="宋体" w:hAnsi="宋体" w:cs="宋体" w:eastAsia="宋体" w:hint="default"/>
          <w:sz w:val="22"/>
          <w:szCs w:val="22"/>
        </w:rPr>
        <w:t>应收款项</w:t>
      </w:r>
    </w:p>
    <w:p>
      <w:pPr>
        <w:spacing w:line="240" w:lineRule="auto" w:before="12"/>
        <w:rPr>
          <w:rFonts w:ascii="宋体" w:hAnsi="宋体" w:cs="宋体" w:eastAsia="宋体" w:hint="default"/>
          <w:sz w:val="17"/>
          <w:szCs w:val="17"/>
        </w:rPr>
      </w:pPr>
    </w:p>
    <w:p>
      <w:pPr>
        <w:pStyle w:val="BodyText"/>
        <w:spacing w:line="240" w:lineRule="auto"/>
        <w:ind w:left="965" w:right="0"/>
        <w:jc w:val="both"/>
      </w:pPr>
      <w:r>
        <w:rPr/>
        <w:t>应收款项是指在活跃市场中没有报价、回收金额固定或可确定的非衍生金融资产。</w:t>
      </w:r>
    </w:p>
    <w:p>
      <w:pPr>
        <w:spacing w:line="240" w:lineRule="auto" w:before="3"/>
        <w:rPr>
          <w:rFonts w:ascii="宋体" w:hAnsi="宋体" w:cs="宋体" w:eastAsia="宋体" w:hint="default"/>
          <w:sz w:val="19"/>
          <w:szCs w:val="19"/>
        </w:rPr>
      </w:pPr>
    </w:p>
    <w:p>
      <w:pPr>
        <w:pStyle w:val="BodyText"/>
        <w:spacing w:line="240" w:lineRule="auto"/>
        <w:ind w:left="538" w:right="0"/>
        <w:jc w:val="both"/>
      </w:pPr>
      <w:r>
        <w:rPr>
          <w:rFonts w:ascii="Arial" w:hAnsi="Arial" w:cs="Arial" w:eastAsia="Arial" w:hint="default"/>
        </w:rPr>
        <w:t>(iii)</w:t>
      </w:r>
      <w:r>
        <w:rPr>
          <w:rFonts w:ascii="Arial" w:hAnsi="Arial" w:cs="Arial" w:eastAsia="Arial" w:hint="default"/>
          <w:spacing w:val="58"/>
        </w:rPr>
        <w:t> </w:t>
      </w:r>
      <w:r>
        <w:rPr/>
        <w:t>可供出售金融资产</w:t>
      </w:r>
    </w:p>
    <w:p>
      <w:pPr>
        <w:spacing w:line="240" w:lineRule="auto" w:before="0"/>
        <w:rPr>
          <w:rFonts w:ascii="宋体" w:hAnsi="宋体" w:cs="宋体" w:eastAsia="宋体" w:hint="default"/>
          <w:sz w:val="16"/>
          <w:szCs w:val="16"/>
        </w:rPr>
      </w:pPr>
    </w:p>
    <w:p>
      <w:pPr>
        <w:pStyle w:val="BodyText"/>
        <w:spacing w:line="286" w:lineRule="exact"/>
        <w:ind w:left="965" w:right="118"/>
        <w:jc w:val="both"/>
      </w:pPr>
      <w:r>
        <w:rPr>
          <w:spacing w:val="2"/>
        </w:rPr>
        <w:t>可供出售金融资产包括初始确认时即被指定为可供出售的非衍生金融资产及未被划分为</w:t>
      </w:r>
      <w:r>
        <w:rPr>
          <w:spacing w:val="-99"/>
        </w:rPr>
        <w:t> </w:t>
      </w:r>
      <w:r>
        <w:rPr>
          <w:spacing w:val="-99"/>
        </w:rPr>
      </w:r>
      <w:r>
        <w:rPr>
          <w:spacing w:val="2"/>
          <w:w w:val="95"/>
        </w:rPr>
        <w:t>其他类的金融资产。自资产负债表日起</w:t>
      </w:r>
      <w:r>
        <w:rPr>
          <w:rFonts w:ascii="Arial" w:hAnsi="Arial" w:cs="Arial" w:eastAsia="Arial" w:hint="default"/>
          <w:spacing w:val="2"/>
          <w:w w:val="95"/>
        </w:rPr>
        <w:t>12</w:t>
      </w:r>
      <w:r>
        <w:rPr>
          <w:spacing w:val="2"/>
          <w:w w:val="95"/>
        </w:rPr>
        <w:t>个月内将出售的可供出售金融资产在资产负债</w:t>
      </w:r>
      <w:r>
        <w:rPr>
          <w:spacing w:val="92"/>
          <w:w w:val="95"/>
        </w:rPr>
        <w:t> </w:t>
      </w:r>
      <w:r>
        <w:rPr>
          <w:spacing w:val="92"/>
          <w:w w:val="95"/>
        </w:rPr>
      </w:r>
      <w:r>
        <w:rPr/>
        <w:t>表中列示为其他流动资产。</w:t>
      </w:r>
    </w:p>
    <w:p>
      <w:pPr>
        <w:spacing w:line="240" w:lineRule="auto" w:before="1"/>
        <w:rPr>
          <w:rFonts w:ascii="宋体" w:hAnsi="宋体" w:cs="宋体" w:eastAsia="宋体" w:hint="default"/>
          <w:sz w:val="17"/>
          <w:szCs w:val="17"/>
        </w:rPr>
      </w:pPr>
    </w:p>
    <w:p>
      <w:pPr>
        <w:pStyle w:val="BodyText"/>
        <w:spacing w:line="240" w:lineRule="auto"/>
        <w:ind w:left="538" w:right="0"/>
        <w:jc w:val="both"/>
      </w:pPr>
      <w:r>
        <w:rPr>
          <w:rFonts w:ascii="Arial" w:hAnsi="Arial" w:cs="Arial" w:eastAsia="Arial" w:hint="default"/>
        </w:rPr>
        <w:t>(iv)</w:t>
      </w:r>
      <w:r>
        <w:rPr>
          <w:rFonts w:ascii="Arial" w:hAnsi="Arial" w:cs="Arial" w:eastAsia="Arial" w:hint="default"/>
          <w:spacing w:val="46"/>
        </w:rPr>
        <w:t> </w:t>
      </w:r>
      <w:r>
        <w:rPr/>
        <w:t>持有至到期投资</w:t>
      </w:r>
    </w:p>
    <w:p>
      <w:pPr>
        <w:spacing w:line="240" w:lineRule="auto" w:before="10"/>
        <w:rPr>
          <w:rFonts w:ascii="宋体" w:hAnsi="宋体" w:cs="宋体" w:eastAsia="宋体" w:hint="default"/>
          <w:sz w:val="18"/>
          <w:szCs w:val="18"/>
        </w:rPr>
      </w:pPr>
    </w:p>
    <w:p>
      <w:pPr>
        <w:pStyle w:val="BodyText"/>
        <w:spacing w:line="230" w:lineRule="auto"/>
        <w:ind w:left="965" w:right="112"/>
        <w:jc w:val="both"/>
      </w:pPr>
      <w:r>
        <w:rPr>
          <w:spacing w:val="2"/>
        </w:rPr>
        <w:t>持有至到期投资是指到期日固定、回收金额固定或可确定，且管理层有明确意图和能力</w:t>
      </w:r>
      <w:r>
        <w:rPr>
          <w:spacing w:val="-99"/>
        </w:rPr>
        <w:t> </w:t>
      </w:r>
      <w:r>
        <w:rPr>
          <w:spacing w:val="-99"/>
        </w:rPr>
      </w:r>
      <w:r>
        <w:rPr/>
        <w:t>持有至到期的非衍生金融资产。取得时期限超过</w:t>
      </w:r>
      <w:r>
        <w:rPr>
          <w:rFonts w:ascii="Arial" w:hAnsi="Arial" w:cs="Arial" w:eastAsia="Arial" w:hint="default"/>
        </w:rPr>
        <w:t>12</w:t>
      </w:r>
      <w:r>
        <w:rPr/>
        <w:t>个月但自资产负债表日起</w:t>
      </w:r>
      <w:r>
        <w:rPr>
          <w:rFonts w:ascii="Arial" w:hAnsi="Arial" w:cs="Arial" w:eastAsia="Arial" w:hint="default"/>
        </w:rPr>
        <w:t>12</w:t>
      </w:r>
      <w:r>
        <w:rPr/>
        <w:t>个月（含</w:t>
      </w:r>
      <w:r>
        <w:rPr>
          <w:spacing w:val="-72"/>
        </w:rPr>
        <w:t> </w:t>
      </w:r>
      <w:r>
        <w:rPr>
          <w:spacing w:val="-72"/>
        </w:rPr>
      </w:r>
      <w:r>
        <w:rPr>
          <w:rFonts w:ascii="Arial" w:hAnsi="Arial" w:cs="Arial" w:eastAsia="Arial" w:hint="default"/>
        </w:rPr>
        <w:t>12</w:t>
      </w:r>
      <w:r>
        <w:rPr/>
        <w:t>个月）内到期的持有至到期投资，列示为一年内到期的非流动资产；取得时期限在</w:t>
      </w:r>
      <w:r>
        <w:rPr>
          <w:rFonts w:ascii="Arial" w:hAnsi="Arial" w:cs="Arial" w:eastAsia="Arial" w:hint="default"/>
        </w:rPr>
        <w:t>12</w:t>
      </w:r>
      <w:r>
        <w:rPr>
          <w:rFonts w:ascii="Arial" w:hAnsi="Arial" w:cs="Arial" w:eastAsia="Arial" w:hint="default"/>
          <w:spacing w:val="-21"/>
        </w:rPr>
        <w:t> </w:t>
      </w:r>
      <w:r>
        <w:rPr/>
        <w:t>个月之内（含</w:t>
      </w:r>
      <w:r>
        <w:rPr>
          <w:rFonts w:ascii="Arial" w:hAnsi="Arial" w:cs="Arial" w:eastAsia="Arial" w:hint="default"/>
        </w:rPr>
        <w:t>12</w:t>
      </w:r>
      <w:r>
        <w:rPr/>
        <w:t>个月）的持有至到期投资，列示为其他流动资产。</w:t>
      </w:r>
    </w:p>
    <w:p>
      <w:pPr>
        <w:spacing w:after="0" w:line="230" w:lineRule="auto"/>
        <w:jc w:val="both"/>
        <w:sectPr>
          <w:headerReference w:type="default" r:id="rId44"/>
          <w:pgSz w:w="11910" w:h="16840"/>
          <w:pgMar w:header="967" w:footer="593" w:top="2820" w:bottom="780" w:left="1440" w:right="920"/>
        </w:sectPr>
      </w:pPr>
    </w:p>
    <w:p>
      <w:pPr>
        <w:spacing w:line="240" w:lineRule="auto" w:before="6"/>
        <w:rPr>
          <w:rFonts w:ascii="宋体" w:hAnsi="宋体" w:cs="宋体" w:eastAsia="宋体" w:hint="default"/>
          <w:sz w:val="12"/>
          <w:szCs w:val="12"/>
        </w:rPr>
      </w:pPr>
    </w:p>
    <w:p>
      <w:pPr>
        <w:pStyle w:val="BodyText"/>
        <w:spacing w:line="240" w:lineRule="auto" w:before="31"/>
        <w:ind w:left="118" w:right="5567"/>
        <w:jc w:val="left"/>
      </w:pPr>
      <w:r>
        <w:rPr>
          <w:rFonts w:ascii="Arial" w:hAnsi="Arial" w:cs="Arial" w:eastAsia="Arial" w:hint="default"/>
        </w:rPr>
        <w:t>(2) </w:t>
      </w:r>
      <w:r>
        <w:rPr>
          <w:rFonts w:ascii="Arial" w:hAnsi="Arial" w:cs="Arial" w:eastAsia="Arial" w:hint="default"/>
          <w:spacing w:val="24"/>
        </w:rPr>
        <w:t> </w:t>
      </w:r>
      <w:r>
        <w:rPr/>
        <w:t>确认和计量</w:t>
      </w:r>
    </w:p>
    <w:p>
      <w:pPr>
        <w:pStyle w:val="BodyText"/>
        <w:spacing w:line="237" w:lineRule="auto" w:before="168"/>
        <w:ind w:left="538" w:right="221"/>
        <w:jc w:val="both"/>
      </w:pPr>
      <w:r>
        <w:rPr>
          <w:spacing w:val="2"/>
        </w:rPr>
        <w:t>金融资产于本集团成为金融工具合同的一方时，按公允价值在资产负债表内确认。以公允价</w:t>
      </w:r>
      <w:r>
        <w:rPr>
          <w:w w:val="99"/>
        </w:rPr>
        <w:t> </w:t>
      </w:r>
      <w:r>
        <w:rPr>
          <w:spacing w:val="2"/>
        </w:rPr>
        <w:t>值计量且其变动计入当期损益的金融资产，取得时发生的相关交易费用直接计入当期损益。</w:t>
      </w:r>
      <w:r>
        <w:rPr>
          <w:w w:val="99"/>
        </w:rPr>
        <w:t> </w:t>
      </w:r>
      <w:r>
        <w:rPr/>
        <w:t>其他金融资产的相关交易费用计入初始确认金额。</w:t>
      </w:r>
    </w:p>
    <w:p>
      <w:pPr>
        <w:spacing w:line="240" w:lineRule="auto" w:before="5"/>
        <w:rPr>
          <w:rFonts w:ascii="宋体" w:hAnsi="宋体" w:cs="宋体" w:eastAsia="宋体" w:hint="default"/>
          <w:sz w:val="15"/>
          <w:szCs w:val="15"/>
        </w:rPr>
      </w:pPr>
    </w:p>
    <w:p>
      <w:pPr>
        <w:pStyle w:val="BodyText"/>
        <w:spacing w:line="237" w:lineRule="auto"/>
        <w:ind w:left="538" w:right="211"/>
        <w:jc w:val="both"/>
      </w:pPr>
      <w:r>
        <w:rPr>
          <w:spacing w:val="2"/>
        </w:rPr>
        <w:t>以公允价值计量且其变动计入当期损益的金融资产和可供出售金融资产按照公允价值进行后</w:t>
      </w:r>
      <w:r>
        <w:rPr>
          <w:w w:val="99"/>
        </w:rPr>
        <w:t> </w:t>
      </w:r>
      <w:r>
        <w:rPr>
          <w:spacing w:val="2"/>
        </w:rPr>
        <w:t>续计量，但在活跃市场中没有报价且其公允价值不能可靠计量的权益工具投资，按照成本计</w:t>
      </w:r>
      <w:r>
        <w:rPr>
          <w:w w:val="99"/>
        </w:rPr>
        <w:t> </w:t>
      </w:r>
      <w:r>
        <w:rPr/>
        <w:t>量；应收款项以及持有至到期投资采用实际利率法，以摊余成本计量。</w:t>
      </w:r>
    </w:p>
    <w:p>
      <w:pPr>
        <w:spacing w:line="240" w:lineRule="auto" w:before="5"/>
        <w:rPr>
          <w:rFonts w:ascii="宋体" w:hAnsi="宋体" w:cs="宋体" w:eastAsia="宋体" w:hint="default"/>
          <w:sz w:val="19"/>
          <w:szCs w:val="19"/>
        </w:rPr>
      </w:pPr>
    </w:p>
    <w:p>
      <w:pPr>
        <w:pStyle w:val="BodyText"/>
        <w:spacing w:line="237" w:lineRule="auto"/>
        <w:ind w:left="538" w:right="211"/>
        <w:jc w:val="both"/>
      </w:pPr>
      <w:r>
        <w:rPr>
          <w:spacing w:val="2"/>
        </w:rPr>
        <w:t>以公允价值计量且其变动计入当期损益的金融资产的公允价值变动作为公允价值变动损益计</w:t>
      </w:r>
      <w:r>
        <w:rPr>
          <w:spacing w:val="-104"/>
        </w:rPr>
        <w:t> </w:t>
      </w:r>
      <w:r>
        <w:rPr>
          <w:spacing w:val="-104"/>
        </w:rPr>
      </w:r>
      <w:r>
        <w:rPr>
          <w:spacing w:val="2"/>
        </w:rPr>
        <w:t>入当期损益；在资产持有期间所取得的利息或现金股利以及在处置时产生的处置损益，计入</w:t>
      </w:r>
      <w:r>
        <w:rPr>
          <w:w w:val="99"/>
        </w:rPr>
        <w:t> </w:t>
      </w:r>
      <w:r>
        <w:rPr/>
        <w:t>当期损益。</w:t>
      </w:r>
    </w:p>
    <w:p>
      <w:pPr>
        <w:spacing w:line="240" w:lineRule="auto" w:before="5"/>
        <w:rPr>
          <w:rFonts w:ascii="宋体" w:hAnsi="宋体" w:cs="宋体" w:eastAsia="宋体" w:hint="default"/>
          <w:sz w:val="15"/>
          <w:szCs w:val="15"/>
        </w:rPr>
      </w:pPr>
    </w:p>
    <w:p>
      <w:pPr>
        <w:pStyle w:val="BodyText"/>
        <w:spacing w:line="237" w:lineRule="auto"/>
        <w:ind w:left="538" w:right="28"/>
        <w:jc w:val="left"/>
      </w:pPr>
      <w:r>
        <w:rPr>
          <w:spacing w:val="2"/>
        </w:rPr>
        <w:t>除减值损失及外币货币性金融资产形成的汇兑损益外，可供出售金融资产公允价值变动计入</w:t>
      </w:r>
      <w:r>
        <w:rPr>
          <w:w w:val="99"/>
        </w:rPr>
        <w:t> </w:t>
      </w:r>
      <w:r>
        <w:rPr>
          <w:w w:val="95"/>
        </w:rPr>
        <w:t>股东权益，待该金融资产终止确认时，原直接计入权益的公允价值变动累计额转入当期损益。</w:t>
      </w:r>
      <w:r>
        <w:rPr>
          <w:spacing w:val="6"/>
          <w:w w:val="95"/>
        </w:rPr>
        <w:t> </w:t>
      </w:r>
      <w:r>
        <w:rPr>
          <w:spacing w:val="6"/>
          <w:w w:val="95"/>
        </w:rPr>
      </w:r>
      <w:r>
        <w:rPr>
          <w:spacing w:val="2"/>
        </w:rPr>
        <w:t>可供出售债务工具投资在持有期间按实际利率法计算的利息，以及被投资单位已宣告发放的</w:t>
      </w:r>
      <w:r>
        <w:rPr>
          <w:w w:val="99"/>
        </w:rPr>
        <w:t> </w:t>
      </w:r>
      <w:r>
        <w:rPr/>
        <w:t>与可供出售权益工具投资相关的现金股利，作为投资收益计入当期损益。</w:t>
      </w:r>
    </w:p>
    <w:p>
      <w:pPr>
        <w:spacing w:line="240" w:lineRule="auto" w:before="13"/>
        <w:rPr>
          <w:rFonts w:ascii="宋体" w:hAnsi="宋体" w:cs="宋体" w:eastAsia="宋体" w:hint="default"/>
          <w:sz w:val="16"/>
          <w:szCs w:val="16"/>
        </w:rPr>
      </w:pPr>
    </w:p>
    <w:p>
      <w:pPr>
        <w:pStyle w:val="BodyText"/>
        <w:spacing w:line="240" w:lineRule="auto"/>
        <w:ind w:left="118" w:right="5567"/>
        <w:jc w:val="left"/>
      </w:pPr>
      <w:r>
        <w:rPr>
          <w:rFonts w:ascii="Arial" w:hAnsi="Arial" w:cs="Arial" w:eastAsia="Arial" w:hint="default"/>
        </w:rPr>
        <w:t>(3) </w:t>
      </w:r>
      <w:r>
        <w:rPr>
          <w:rFonts w:ascii="Arial" w:hAnsi="Arial" w:cs="Arial" w:eastAsia="Arial" w:hint="default"/>
          <w:spacing w:val="24"/>
        </w:rPr>
        <w:t> </w:t>
      </w:r>
      <w:r>
        <w:rPr/>
        <w:t>金融资产减值</w:t>
      </w:r>
    </w:p>
    <w:p>
      <w:pPr>
        <w:spacing w:line="240" w:lineRule="auto" w:before="10"/>
        <w:rPr>
          <w:rFonts w:ascii="宋体" w:hAnsi="宋体" w:cs="宋体" w:eastAsia="宋体" w:hint="default"/>
          <w:sz w:val="18"/>
          <w:szCs w:val="18"/>
        </w:rPr>
      </w:pPr>
    </w:p>
    <w:p>
      <w:pPr>
        <w:pStyle w:val="BodyText"/>
        <w:spacing w:line="286" w:lineRule="exact"/>
        <w:ind w:left="538" w:right="221"/>
        <w:jc w:val="both"/>
      </w:pPr>
      <w:r>
        <w:rPr>
          <w:spacing w:val="2"/>
        </w:rPr>
        <w:t>除以公允价值计量且其变动计入当期损益的金融资产外，本集团于资产负债表日对金融资产</w:t>
      </w:r>
      <w:r>
        <w:rPr>
          <w:w w:val="99"/>
        </w:rPr>
        <w:t> </w:t>
      </w:r>
      <w:r>
        <w:rPr/>
        <w:t>的账面价值进行检查，如果有客观证据表明某项金融资产发生减值的，计提减值准备。</w:t>
      </w:r>
    </w:p>
    <w:p>
      <w:pPr>
        <w:spacing w:line="240" w:lineRule="auto" w:before="5"/>
        <w:rPr>
          <w:rFonts w:ascii="宋体" w:hAnsi="宋体" w:cs="宋体" w:eastAsia="宋体" w:hint="default"/>
          <w:sz w:val="17"/>
          <w:szCs w:val="17"/>
        </w:rPr>
      </w:pPr>
    </w:p>
    <w:p>
      <w:pPr>
        <w:pStyle w:val="BodyText"/>
        <w:spacing w:line="237" w:lineRule="auto"/>
        <w:ind w:left="538" w:right="108"/>
        <w:jc w:val="both"/>
      </w:pPr>
      <w:r>
        <w:rPr>
          <w:spacing w:val="2"/>
        </w:rPr>
        <w:t>以摊余成本计量的金融资产发生减值时，按预计未来现金流量（不包括尚未发生的未来信用</w:t>
      </w:r>
      <w:r>
        <w:rPr>
          <w:w w:val="99"/>
        </w:rPr>
        <w:t> </w:t>
      </w:r>
      <w:r>
        <w:rPr>
          <w:spacing w:val="2"/>
        </w:rPr>
        <w:t>损失）现值低于账面价值的差额，计提减值准备。如果有客观证据表明该金融资产价值已恢</w:t>
      </w:r>
      <w:r>
        <w:rPr>
          <w:w w:val="99"/>
        </w:rPr>
        <w:t> </w:t>
      </w:r>
      <w:r>
        <w:rPr>
          <w:spacing w:val="-1"/>
        </w:rPr>
        <w:t>复，且客观上与确认该损失后发生的事项有关，原确认的减值损失予以转回，计入当期损益。</w:t>
      </w:r>
    </w:p>
    <w:p>
      <w:pPr>
        <w:spacing w:line="240" w:lineRule="auto" w:before="10"/>
        <w:rPr>
          <w:rFonts w:ascii="宋体" w:hAnsi="宋体" w:cs="宋体" w:eastAsia="宋体" w:hint="default"/>
          <w:sz w:val="19"/>
          <w:szCs w:val="19"/>
        </w:rPr>
      </w:pPr>
    </w:p>
    <w:p>
      <w:pPr>
        <w:pStyle w:val="BodyText"/>
        <w:spacing w:line="232" w:lineRule="auto"/>
        <w:ind w:left="538" w:right="208"/>
        <w:jc w:val="both"/>
      </w:pPr>
      <w:r>
        <w:rPr>
          <w:spacing w:val="2"/>
        </w:rPr>
        <w:t>对于可供出售权益工具投资，发生减值的客观证据包括权益工具投资的公允价值发生严重或</w:t>
      </w:r>
      <w:r>
        <w:rPr>
          <w:w w:val="99"/>
        </w:rPr>
        <w:t> </w:t>
      </w:r>
      <w:r>
        <w:rPr>
          <w:spacing w:val="2"/>
        </w:rPr>
        <w:t>非暂时性下跌，公允价值低于其成本本身并不足以说明可供出售权益工具投资已发生减值，</w:t>
      </w:r>
      <w:r>
        <w:rPr>
          <w:w w:val="99"/>
        </w:rPr>
        <w:t> </w:t>
      </w:r>
      <w:r>
        <w:rPr>
          <w:spacing w:val="2"/>
        </w:rPr>
        <w:t>应综合相关因素进行判断。对于持有的以战略合作为主要目的、不因股价临时变动而做出售</w:t>
      </w:r>
      <w:r>
        <w:rPr>
          <w:w w:val="99"/>
        </w:rPr>
        <w:t> </w:t>
      </w:r>
      <w:r>
        <w:rPr>
          <w:spacing w:val="2"/>
        </w:rPr>
        <w:t>决定的可供出售权益工具投资，则对被投资单位基本运营情况进行分析：若被投资单位经营</w:t>
      </w:r>
      <w:r>
        <w:rPr>
          <w:w w:val="99"/>
        </w:rPr>
        <w:t> </w:t>
      </w:r>
      <w:r>
        <w:rPr>
          <w:spacing w:val="2"/>
        </w:rPr>
        <w:t>状况发生严重恶化，营业收入连续三年减少</w:t>
      </w:r>
      <w:r>
        <w:rPr>
          <w:rFonts w:ascii="Arial" w:hAnsi="Arial" w:cs="Arial" w:eastAsia="Arial" w:hint="default"/>
          <w:spacing w:val="2"/>
        </w:rPr>
        <w:t>10%</w:t>
      </w:r>
      <w:r>
        <w:rPr>
          <w:spacing w:val="2"/>
        </w:rPr>
        <w:t>以上，或息税折旧摊销前盈余连续三年减少</w:t>
      </w:r>
      <w:r>
        <w:rPr>
          <w:w w:val="99"/>
        </w:rPr>
        <w:t> </w:t>
      </w:r>
      <w:r>
        <w:rPr>
          <w:rFonts w:ascii="Arial" w:hAnsi="Arial" w:cs="Arial" w:eastAsia="Arial" w:hint="default"/>
        </w:rPr>
        <w:t>20%</w:t>
      </w:r>
      <w:r>
        <w:rPr>
          <w:rFonts w:ascii="Arial" w:hAnsi="Arial" w:cs="Arial" w:eastAsia="Arial" w:hint="default"/>
          <w:spacing w:val="23"/>
        </w:rPr>
        <w:t> </w:t>
      </w:r>
      <w:r>
        <w:rPr/>
        <w:t>以上，则表明其发生减值；对于以股价获利等为主要目的的可供出售权益工具投资，若</w:t>
      </w:r>
      <w:r>
        <w:rPr>
          <w:w w:val="99"/>
        </w:rPr>
        <w:t> </w:t>
      </w:r>
      <w:r>
        <w:rPr>
          <w:spacing w:val="2"/>
        </w:rPr>
        <w:t>该权益工具投资于资产负债表日的公允价值低于其初始投资成本超过</w:t>
      </w:r>
      <w:r>
        <w:rPr>
          <w:rFonts w:ascii="Arial" w:hAnsi="Arial" w:cs="Arial" w:eastAsia="Arial" w:hint="default"/>
          <w:spacing w:val="2"/>
        </w:rPr>
        <w:t>50%</w:t>
      </w:r>
      <w:r>
        <w:rPr>
          <w:spacing w:val="2"/>
        </w:rPr>
        <w:t>或低于其初始投资</w:t>
      </w:r>
      <w:r>
        <w:rPr>
          <w:w w:val="99"/>
        </w:rPr>
        <w:t> </w:t>
      </w:r>
      <w:r>
        <w:rPr/>
        <w:t>成本持续时间超过</w:t>
      </w:r>
      <w:r>
        <w:rPr>
          <w:rFonts w:ascii="Arial" w:hAnsi="Arial" w:cs="Arial" w:eastAsia="Arial" w:hint="default"/>
        </w:rPr>
        <w:t>24</w:t>
      </w:r>
      <w:r>
        <w:rPr/>
        <w:t>个月的，则表明其发生减值。</w:t>
      </w:r>
    </w:p>
    <w:p>
      <w:pPr>
        <w:spacing w:line="240" w:lineRule="auto" w:before="4"/>
        <w:rPr>
          <w:rFonts w:ascii="宋体" w:hAnsi="宋体" w:cs="宋体" w:eastAsia="宋体" w:hint="default"/>
          <w:sz w:val="18"/>
          <w:szCs w:val="18"/>
        </w:rPr>
      </w:pPr>
    </w:p>
    <w:p>
      <w:pPr>
        <w:pStyle w:val="BodyText"/>
        <w:spacing w:line="237" w:lineRule="auto"/>
        <w:ind w:left="538" w:right="28"/>
        <w:jc w:val="left"/>
      </w:pPr>
      <w:r>
        <w:rPr>
          <w:spacing w:val="2"/>
        </w:rPr>
        <w:t>可供出售金融资产发生减值时，原直接计入股东权益的因公允价值下降形成的累计损失予以</w:t>
      </w:r>
      <w:r>
        <w:rPr>
          <w:spacing w:val="-102"/>
        </w:rPr>
        <w:t> </w:t>
      </w:r>
      <w:r>
        <w:rPr>
          <w:spacing w:val="-102"/>
        </w:rPr>
      </w:r>
      <w:r>
        <w:rPr>
          <w:spacing w:val="2"/>
        </w:rPr>
        <w:t>转出并计入减值损失。对已确认减值损失的可供出售债务工具投资，在期后公允价值上升且</w:t>
      </w:r>
      <w:r>
        <w:rPr>
          <w:w w:val="99"/>
        </w:rPr>
        <w:t> </w:t>
      </w:r>
      <w:r>
        <w:rPr>
          <w:w w:val="95"/>
        </w:rPr>
        <w:t>客观上与确认原减值损失后发生的事项有关的，原确认的减值损失予以转回并计入当期损益。</w:t>
      </w:r>
      <w:r>
        <w:rPr>
          <w:spacing w:val="6"/>
          <w:w w:val="95"/>
        </w:rPr>
        <w:t> </w:t>
      </w:r>
      <w:r>
        <w:rPr>
          <w:spacing w:val="6"/>
          <w:w w:val="95"/>
        </w:rPr>
      </w:r>
      <w:r>
        <w:rPr/>
        <w:t>对已确认减值损失的可供出售权益工具投资，期后公允价值上升直接计入股东权益。</w:t>
      </w:r>
    </w:p>
    <w:p>
      <w:pPr>
        <w:spacing w:after="0" w:line="237" w:lineRule="auto"/>
        <w:jc w:val="left"/>
        <w:sectPr>
          <w:headerReference w:type="default" r:id="rId45"/>
          <w:pgSz w:w="11910" w:h="16840"/>
          <w:pgMar w:header="967" w:footer="593" w:top="3800" w:bottom="780" w:left="1440" w:right="820"/>
        </w:sectPr>
      </w:pPr>
    </w:p>
    <w:p>
      <w:pPr>
        <w:spacing w:line="240" w:lineRule="auto" w:before="6"/>
        <w:rPr>
          <w:rFonts w:ascii="宋体" w:hAnsi="宋体" w:cs="宋体" w:eastAsia="宋体" w:hint="default"/>
          <w:sz w:val="12"/>
          <w:szCs w:val="12"/>
        </w:rPr>
      </w:pPr>
    </w:p>
    <w:p>
      <w:pPr>
        <w:pStyle w:val="BodyText"/>
        <w:spacing w:line="240" w:lineRule="auto" w:before="31"/>
        <w:ind w:left="118" w:right="5567"/>
        <w:jc w:val="left"/>
      </w:pPr>
      <w:r>
        <w:rPr>
          <w:rFonts w:ascii="Arial" w:hAnsi="Arial" w:cs="Arial" w:eastAsia="Arial" w:hint="default"/>
        </w:rPr>
        <w:t>(4) </w:t>
      </w:r>
      <w:r>
        <w:rPr>
          <w:rFonts w:ascii="Arial" w:hAnsi="Arial" w:cs="Arial" w:eastAsia="Arial" w:hint="default"/>
          <w:spacing w:val="22"/>
        </w:rPr>
        <w:t> </w:t>
      </w:r>
      <w:r>
        <w:rPr/>
        <w:t>金融资产的终止确认</w:t>
      </w:r>
    </w:p>
    <w:p>
      <w:pPr>
        <w:spacing w:line="240" w:lineRule="auto" w:before="9"/>
        <w:rPr>
          <w:rFonts w:ascii="宋体" w:hAnsi="宋体" w:cs="宋体" w:eastAsia="宋体" w:hint="default"/>
          <w:sz w:val="16"/>
          <w:szCs w:val="16"/>
        </w:rPr>
      </w:pPr>
    </w:p>
    <w:p>
      <w:pPr>
        <w:pStyle w:val="BodyText"/>
        <w:spacing w:line="295" w:lineRule="exact"/>
        <w:ind w:left="538" w:right="0"/>
        <w:jc w:val="both"/>
      </w:pPr>
      <w:r>
        <w:rPr/>
        <w:t>金融资产满足下列条件之一的，予以终止确认：</w:t>
      </w:r>
      <w:r>
        <w:rPr>
          <w:rFonts w:ascii="Arial" w:hAnsi="Arial" w:cs="Arial" w:eastAsia="Arial" w:hint="default"/>
        </w:rPr>
        <w:t>(1)</w:t>
      </w:r>
      <w:r>
        <w:rPr/>
        <w:t>收取该金融资产现金流量的合同权利终止；</w:t>
      </w:r>
    </w:p>
    <w:p>
      <w:pPr>
        <w:pStyle w:val="BodyText"/>
        <w:spacing w:line="225" w:lineRule="auto" w:before="6"/>
        <w:ind w:left="538" w:right="221"/>
        <w:jc w:val="both"/>
      </w:pPr>
      <w:r>
        <w:rPr>
          <w:rFonts w:ascii="Arial" w:hAnsi="Arial" w:cs="Arial" w:eastAsia="Arial" w:hint="default"/>
        </w:rPr>
        <w:t>(2)</w:t>
      </w:r>
      <w:r>
        <w:rPr/>
        <w:t>该金融资产已转移，且本集团将金融资产所有权上几乎所有的风险和报酬转移给转入方；</w:t>
      </w:r>
      <w:r>
        <w:rPr>
          <w:spacing w:val="-100"/>
        </w:rPr>
        <w:t> </w:t>
      </w:r>
      <w:r>
        <w:rPr>
          <w:spacing w:val="-100"/>
        </w:rPr>
      </w:r>
      <w:r>
        <w:rPr/>
        <w:t>或者</w:t>
      </w:r>
      <w:r>
        <w:rPr>
          <w:rFonts w:ascii="Arial" w:hAnsi="Arial" w:cs="Arial" w:eastAsia="Arial" w:hint="default"/>
        </w:rPr>
        <w:t>(3)</w:t>
      </w:r>
      <w:r>
        <w:rPr/>
        <w:t>该金融资产已转移，虽然本集团既没有转移也没有保留金融资产所有权上几乎所有的</w:t>
      </w:r>
      <w:r>
        <w:rPr>
          <w:spacing w:val="-98"/>
        </w:rPr>
        <w:t> </w:t>
      </w:r>
      <w:r>
        <w:rPr>
          <w:spacing w:val="-98"/>
        </w:rPr>
      </w:r>
      <w:r>
        <w:rPr/>
        <w:t>风险和报酬，但是放弃了对该金融资产控制。</w:t>
      </w:r>
    </w:p>
    <w:p>
      <w:pPr>
        <w:spacing w:line="240" w:lineRule="auto" w:before="8"/>
        <w:rPr>
          <w:rFonts w:ascii="宋体" w:hAnsi="宋体" w:cs="宋体" w:eastAsia="宋体" w:hint="default"/>
          <w:sz w:val="21"/>
          <w:szCs w:val="21"/>
        </w:rPr>
      </w:pPr>
    </w:p>
    <w:p>
      <w:pPr>
        <w:pStyle w:val="BodyText"/>
        <w:spacing w:line="284" w:lineRule="exact"/>
        <w:ind w:left="538" w:right="221"/>
        <w:jc w:val="both"/>
      </w:pPr>
      <w:r>
        <w:rPr>
          <w:spacing w:val="2"/>
        </w:rPr>
        <w:t>金融资产终止确认时，其账面价值与收到的对价以及原直接计入股东权益的公允价值变动累</w:t>
      </w:r>
      <w:r>
        <w:rPr>
          <w:w w:val="99"/>
        </w:rPr>
        <w:t> </w:t>
      </w:r>
      <w:r>
        <w:rPr/>
        <w:t>计额之和的差额，计入当期损益。</w:t>
      </w:r>
    </w:p>
    <w:p>
      <w:pPr>
        <w:pStyle w:val="BodyText"/>
        <w:spacing w:line="240" w:lineRule="auto" w:before="196"/>
        <w:ind w:left="118" w:right="5567"/>
        <w:jc w:val="left"/>
      </w:pPr>
      <w:r>
        <w:rPr>
          <w:rFonts w:ascii="Arial" w:hAnsi="Arial" w:cs="Arial" w:eastAsia="Arial" w:hint="default"/>
        </w:rPr>
        <w:t>(b) </w:t>
      </w:r>
      <w:r>
        <w:rPr>
          <w:rFonts w:ascii="Arial" w:hAnsi="Arial" w:cs="Arial" w:eastAsia="Arial" w:hint="default"/>
          <w:spacing w:val="24"/>
        </w:rPr>
        <w:t> </w:t>
      </w:r>
      <w:r>
        <w:rPr/>
        <w:t>金融负债</w:t>
      </w:r>
    </w:p>
    <w:p>
      <w:pPr>
        <w:spacing w:line="240" w:lineRule="auto" w:before="11"/>
        <w:rPr>
          <w:rFonts w:ascii="宋体" w:hAnsi="宋体" w:cs="宋体" w:eastAsia="宋体" w:hint="default"/>
          <w:sz w:val="18"/>
          <w:szCs w:val="18"/>
        </w:rPr>
      </w:pPr>
    </w:p>
    <w:p>
      <w:pPr>
        <w:pStyle w:val="BodyText"/>
        <w:spacing w:line="286" w:lineRule="exact"/>
        <w:ind w:left="538" w:right="221"/>
        <w:jc w:val="both"/>
      </w:pPr>
      <w:r>
        <w:rPr>
          <w:spacing w:val="2"/>
        </w:rPr>
        <w:t>金融负债于初始确认时分类为以公允价值计量且其变动计入当期损益的金融负债和其他金融</w:t>
      </w:r>
      <w:r>
        <w:rPr>
          <w:w w:val="99"/>
        </w:rPr>
        <w:t> </w:t>
      </w:r>
      <w:r>
        <w:rPr/>
        <w:t>负债。本集团的金融负债主要为其他金融负债，包括应付款项、借款及应付债券等。</w:t>
      </w:r>
    </w:p>
    <w:p>
      <w:pPr>
        <w:spacing w:line="240" w:lineRule="auto" w:before="3"/>
        <w:rPr>
          <w:rFonts w:ascii="宋体" w:hAnsi="宋体" w:cs="宋体" w:eastAsia="宋体" w:hint="default"/>
          <w:sz w:val="19"/>
          <w:szCs w:val="19"/>
        </w:rPr>
      </w:pPr>
    </w:p>
    <w:p>
      <w:pPr>
        <w:pStyle w:val="BodyText"/>
        <w:spacing w:line="286" w:lineRule="exact"/>
        <w:ind w:left="538" w:right="221"/>
        <w:jc w:val="both"/>
      </w:pPr>
      <w:r>
        <w:rPr>
          <w:spacing w:val="2"/>
        </w:rPr>
        <w:t>应付款项包括应付账款、其他应付款等，以公允价值进行初始计量，并采用实际利率法按摊</w:t>
      </w:r>
      <w:r>
        <w:rPr>
          <w:w w:val="99"/>
        </w:rPr>
        <w:t> </w:t>
      </w:r>
      <w:r>
        <w:rPr/>
        <w:t>余成本进行后续计量。</w:t>
      </w:r>
    </w:p>
    <w:p>
      <w:pPr>
        <w:spacing w:line="240" w:lineRule="auto" w:before="6"/>
        <w:rPr>
          <w:rFonts w:ascii="宋体" w:hAnsi="宋体" w:cs="宋体" w:eastAsia="宋体" w:hint="default"/>
          <w:sz w:val="19"/>
          <w:szCs w:val="19"/>
        </w:rPr>
      </w:pPr>
    </w:p>
    <w:p>
      <w:pPr>
        <w:pStyle w:val="BodyText"/>
        <w:spacing w:line="284" w:lineRule="exact"/>
        <w:ind w:left="538" w:right="217"/>
        <w:jc w:val="both"/>
      </w:pPr>
      <w:r>
        <w:rPr>
          <w:spacing w:val="2"/>
        </w:rPr>
        <w:t>借款及应付债券（含短期融资券）按其公允价值扣除交易费用后的金额进行初始计量，并采</w:t>
      </w:r>
      <w:r>
        <w:rPr>
          <w:w w:val="99"/>
        </w:rPr>
        <w:t> </w:t>
      </w:r>
      <w:r>
        <w:rPr/>
        <w:t>用实际利率法按摊余成本进行后续计量。</w:t>
      </w:r>
    </w:p>
    <w:p>
      <w:pPr>
        <w:spacing w:line="240" w:lineRule="auto" w:before="5"/>
        <w:rPr>
          <w:rFonts w:ascii="宋体" w:hAnsi="宋体" w:cs="宋体" w:eastAsia="宋体" w:hint="default"/>
          <w:sz w:val="17"/>
          <w:szCs w:val="17"/>
        </w:rPr>
      </w:pPr>
    </w:p>
    <w:p>
      <w:pPr>
        <w:pStyle w:val="BodyText"/>
        <w:spacing w:line="237" w:lineRule="auto"/>
        <w:ind w:left="538" w:right="217"/>
        <w:jc w:val="both"/>
      </w:pPr>
      <w:r>
        <w:rPr>
          <w:spacing w:val="2"/>
        </w:rPr>
        <w:t>其他金融负债期限在一年以下（含一年）的，列示为流动负债；期限在一年以上但自资产负</w:t>
      </w:r>
      <w:r>
        <w:rPr>
          <w:w w:val="99"/>
        </w:rPr>
        <w:t> </w:t>
      </w:r>
      <w:r>
        <w:rPr>
          <w:spacing w:val="2"/>
        </w:rPr>
        <w:t>债表日起一年内（含一年）到期的，列示为一年内到期的非流动负债；其余列示为非流动负</w:t>
      </w:r>
      <w:r>
        <w:rPr>
          <w:w w:val="99"/>
        </w:rPr>
        <w:t> </w:t>
      </w:r>
      <w:r>
        <w:rPr/>
        <w:t>债。</w:t>
      </w:r>
    </w:p>
    <w:p>
      <w:pPr>
        <w:spacing w:line="240" w:lineRule="auto" w:before="5"/>
        <w:rPr>
          <w:rFonts w:ascii="宋体" w:hAnsi="宋体" w:cs="宋体" w:eastAsia="宋体" w:hint="default"/>
          <w:sz w:val="21"/>
          <w:szCs w:val="21"/>
        </w:rPr>
      </w:pPr>
    </w:p>
    <w:p>
      <w:pPr>
        <w:pStyle w:val="BodyText"/>
        <w:spacing w:line="286" w:lineRule="exact"/>
        <w:ind w:left="566" w:right="216"/>
        <w:jc w:val="both"/>
      </w:pPr>
      <w:r>
        <w:rPr/>
        <w:t>当金融负债的现时义务全部或部分已经解除时，终止确认该金融负债或义务已解除的部分。</w:t>
      </w:r>
      <w:r>
        <w:rPr>
          <w:spacing w:val="-67"/>
        </w:rPr>
        <w:t> </w:t>
      </w:r>
      <w:r>
        <w:rPr>
          <w:spacing w:val="-67"/>
        </w:rPr>
      </w:r>
      <w:r>
        <w:rPr/>
        <w:t>终止确认部分的账面价值与支付的对价之间的差额，计入当期损益。</w:t>
      </w:r>
    </w:p>
    <w:p>
      <w:pPr>
        <w:spacing w:line="240" w:lineRule="auto" w:before="4"/>
        <w:rPr>
          <w:rFonts w:ascii="宋体" w:hAnsi="宋体" w:cs="宋体" w:eastAsia="宋体" w:hint="default"/>
          <w:sz w:val="17"/>
          <w:szCs w:val="17"/>
        </w:rPr>
      </w:pPr>
    </w:p>
    <w:p>
      <w:pPr>
        <w:pStyle w:val="BodyText"/>
        <w:spacing w:line="237" w:lineRule="auto"/>
        <w:ind w:left="566" w:right="216"/>
        <w:jc w:val="both"/>
      </w:pPr>
      <w:r>
        <w:rPr/>
        <w:t>对于本集团发行的可按持有人的选择转换为股本的可转换债券（预计发行的股份数目不随其</w:t>
      </w:r>
      <w:r>
        <w:rPr>
          <w:spacing w:val="-60"/>
        </w:rPr>
        <w:t> </w:t>
      </w:r>
      <w:r>
        <w:rPr>
          <w:spacing w:val="-60"/>
        </w:rPr>
      </w:r>
      <w:r>
        <w:rPr/>
        <w:t>公允价值而改变），其公允价值被分拆为负债部分和权益部分，负债部分按没有股份转换选</w:t>
      </w:r>
      <w:r>
        <w:rPr>
          <w:spacing w:val="-67"/>
        </w:rPr>
        <w:t> </w:t>
      </w:r>
      <w:r>
        <w:rPr>
          <w:spacing w:val="-67"/>
        </w:rPr>
      </w:r>
      <w:r>
        <w:rPr>
          <w:spacing w:val="7"/>
        </w:rPr>
        <w:t>择权的相似负债的公允价值作为初始价值予以确认并根据期限列报于流动负债或非流动负</w:t>
      </w:r>
      <w:r>
        <w:rPr>
          <w:w w:val="99"/>
        </w:rPr>
        <w:t> </w:t>
      </w:r>
      <w:r>
        <w:rPr/>
        <w:t>债。权益部分按可转换债券的整体公允价值与负债部分的公允价值的差额作为初始确认，并</w:t>
      </w:r>
      <w:r>
        <w:rPr>
          <w:spacing w:val="-67"/>
        </w:rPr>
        <w:t> </w:t>
      </w:r>
      <w:r>
        <w:rPr>
          <w:spacing w:val="-67"/>
        </w:rPr>
      </w:r>
      <w:r>
        <w:rPr/>
        <w:t>计入股东权益项下。发行可转换债券发生的交易费用，在负债部分和权益部分之间按照各自</w:t>
      </w:r>
      <w:r>
        <w:rPr>
          <w:spacing w:val="-64"/>
        </w:rPr>
        <w:t> </w:t>
      </w:r>
      <w:r>
        <w:rPr>
          <w:spacing w:val="-64"/>
        </w:rPr>
      </w:r>
      <w:r>
        <w:rPr/>
        <w:t>的相对公允价值进行分摊。</w:t>
      </w:r>
    </w:p>
    <w:p>
      <w:pPr>
        <w:spacing w:line="240" w:lineRule="auto" w:before="5"/>
        <w:rPr>
          <w:rFonts w:ascii="宋体" w:hAnsi="宋体" w:cs="宋体" w:eastAsia="宋体" w:hint="default"/>
          <w:sz w:val="19"/>
          <w:szCs w:val="19"/>
        </w:rPr>
      </w:pPr>
    </w:p>
    <w:p>
      <w:pPr>
        <w:pStyle w:val="BodyText"/>
        <w:spacing w:line="237" w:lineRule="auto"/>
        <w:ind w:left="566" w:right="222"/>
        <w:jc w:val="both"/>
      </w:pPr>
      <w:r>
        <w:rPr/>
        <w:t>在完成初始确认后，可转换债券的负债组成部分以实际利率法按摊余成本进行后续计量。除</w:t>
      </w:r>
      <w:r>
        <w:rPr>
          <w:spacing w:val="-67"/>
        </w:rPr>
        <w:t> </w:t>
      </w:r>
      <w:r>
        <w:rPr>
          <w:spacing w:val="-67"/>
        </w:rPr>
      </w:r>
      <w:r>
        <w:rPr/>
        <w:t>非可转换债券的转换权被行使或者可转换债券到期，否则可转换债券的权益组成部分在初始</w:t>
      </w:r>
      <w:r>
        <w:rPr>
          <w:spacing w:val="-67"/>
        </w:rPr>
        <w:t> </w:t>
      </w:r>
      <w:r>
        <w:rPr>
          <w:spacing w:val="-67"/>
        </w:rPr>
      </w:r>
      <w:r>
        <w:rPr/>
        <w:t>确认后不再重新计量。</w:t>
      </w:r>
    </w:p>
    <w:p>
      <w:pPr>
        <w:spacing w:after="0" w:line="237" w:lineRule="auto"/>
        <w:jc w:val="both"/>
        <w:sectPr>
          <w:headerReference w:type="default" r:id="rId46"/>
          <w:pgSz w:w="11910" w:h="16840"/>
          <w:pgMar w:header="967" w:footer="593" w:top="3800" w:bottom="780" w:left="1440" w:right="820"/>
        </w:sectPr>
      </w:pPr>
    </w:p>
    <w:p>
      <w:pPr>
        <w:spacing w:line="240" w:lineRule="auto" w:before="6"/>
        <w:rPr>
          <w:rFonts w:ascii="宋体" w:hAnsi="宋体" w:cs="宋体" w:eastAsia="宋体" w:hint="default"/>
          <w:sz w:val="12"/>
          <w:szCs w:val="12"/>
        </w:rPr>
      </w:pPr>
    </w:p>
    <w:p>
      <w:pPr>
        <w:pStyle w:val="BodyText"/>
        <w:spacing w:line="240" w:lineRule="auto" w:before="31"/>
        <w:ind w:left="118" w:right="3270"/>
        <w:jc w:val="left"/>
      </w:pPr>
      <w:r>
        <w:rPr>
          <w:rFonts w:ascii="Arial" w:hAnsi="Arial" w:cs="Arial" w:eastAsia="Arial" w:hint="default"/>
        </w:rPr>
        <w:t>(c) </w:t>
      </w:r>
      <w:r>
        <w:rPr>
          <w:rFonts w:ascii="Arial" w:hAnsi="Arial" w:cs="Arial" w:eastAsia="Arial" w:hint="default"/>
          <w:spacing w:val="33"/>
        </w:rPr>
        <w:t> </w:t>
      </w:r>
      <w:r>
        <w:rPr/>
        <w:t>金融工具的公允价值确定</w:t>
      </w:r>
    </w:p>
    <w:p>
      <w:pPr>
        <w:spacing w:line="240" w:lineRule="auto" w:before="12"/>
        <w:rPr>
          <w:rFonts w:ascii="宋体" w:hAnsi="宋体" w:cs="宋体" w:eastAsia="宋体" w:hint="default"/>
          <w:sz w:val="16"/>
          <w:szCs w:val="16"/>
        </w:rPr>
      </w:pPr>
    </w:p>
    <w:p>
      <w:pPr>
        <w:pStyle w:val="BodyText"/>
        <w:spacing w:line="237" w:lineRule="auto"/>
        <w:ind w:left="566" w:right="119"/>
        <w:jc w:val="both"/>
      </w:pPr>
      <w:r>
        <w:rPr/>
        <w:t>存在活跃市场的金融工具，以活跃市场中的报价确定其公允价值。不存在活跃市场的金融工</w:t>
      </w:r>
      <w:r>
        <w:rPr>
          <w:spacing w:val="-65"/>
        </w:rPr>
        <w:t> </w:t>
      </w:r>
      <w:r>
        <w:rPr>
          <w:spacing w:val="-65"/>
        </w:rPr>
      </w:r>
      <w:r>
        <w:rPr/>
        <w:t>具，采用估值技术确定其公允价值。估值技术包括参考熟悉情况并自愿交易的各方最近进行</w:t>
      </w:r>
      <w:r>
        <w:rPr>
          <w:spacing w:val="-67"/>
        </w:rPr>
        <w:t> </w:t>
      </w:r>
      <w:r>
        <w:rPr>
          <w:spacing w:val="-67"/>
        </w:rPr>
      </w:r>
      <w:r>
        <w:rPr/>
        <w:t>的市场交易中使用的价格、参照实质上相同的其他金融资产的当前公允价值、现金流量折现</w:t>
      </w:r>
      <w:r>
        <w:rPr>
          <w:spacing w:val="-67"/>
        </w:rPr>
        <w:t> </w:t>
      </w:r>
      <w:r>
        <w:rPr>
          <w:spacing w:val="-67"/>
        </w:rPr>
      </w:r>
      <w:r>
        <w:rPr/>
        <w:t>法等。采用估值技术时，尽可能最大程度使用可观察到的市场参数，减少使用与本集团特定</w:t>
      </w:r>
      <w:r>
        <w:rPr>
          <w:spacing w:val="-67"/>
        </w:rPr>
        <w:t> </w:t>
      </w:r>
      <w:r>
        <w:rPr>
          <w:spacing w:val="-67"/>
        </w:rPr>
      </w:r>
      <w:r>
        <w:rPr/>
        <w:t>相关的参数。</w:t>
      </w:r>
    </w:p>
    <w:p>
      <w:pPr>
        <w:spacing w:line="240" w:lineRule="auto" w:before="12"/>
        <w:rPr>
          <w:rFonts w:ascii="宋体" w:hAnsi="宋体" w:cs="宋体" w:eastAsia="宋体" w:hint="default"/>
          <w:sz w:val="16"/>
          <w:szCs w:val="16"/>
        </w:rPr>
      </w:pPr>
    </w:p>
    <w:p>
      <w:pPr>
        <w:pStyle w:val="BodyText"/>
        <w:spacing w:line="240" w:lineRule="auto"/>
        <w:ind w:left="118" w:right="3270"/>
        <w:jc w:val="left"/>
      </w:pPr>
      <w:r>
        <w:rPr>
          <w:rFonts w:ascii="Arial" w:hAnsi="Arial" w:cs="Arial" w:eastAsia="Arial" w:hint="default"/>
        </w:rPr>
        <w:t>10</w:t>
      </w:r>
      <w:r>
        <w:rPr/>
        <w:t>、应收款项</w:t>
      </w:r>
    </w:p>
    <w:p>
      <w:pPr>
        <w:spacing w:line="240" w:lineRule="auto" w:before="11"/>
        <w:rPr>
          <w:rFonts w:ascii="宋体" w:hAnsi="宋体" w:cs="宋体" w:eastAsia="宋体" w:hint="default"/>
          <w:sz w:val="18"/>
          <w:szCs w:val="18"/>
        </w:rPr>
      </w:pPr>
    </w:p>
    <w:p>
      <w:pPr>
        <w:pStyle w:val="BodyText"/>
        <w:spacing w:line="286" w:lineRule="exact"/>
        <w:ind w:left="566" w:right="112"/>
        <w:jc w:val="both"/>
      </w:pPr>
      <w:r>
        <w:rPr/>
        <w:t>本集团的应收款项主要包括应收账款和其他应收款。本集团对外提供电信服务及其他劳务或</w:t>
      </w:r>
      <w:r>
        <w:rPr>
          <w:spacing w:val="-57"/>
        </w:rPr>
        <w:t> </w:t>
      </w:r>
      <w:r>
        <w:rPr>
          <w:spacing w:val="-57"/>
        </w:rPr>
      </w:r>
      <w:r>
        <w:rPr/>
        <w:t>销售通信产品以及其他日常经营活动形成的应收款项，按应收的合同或协议价款的公允价值</w:t>
      </w:r>
      <w:r>
        <w:rPr>
          <w:spacing w:val="-62"/>
        </w:rPr>
        <w:t> </w:t>
      </w:r>
      <w:r>
        <w:rPr>
          <w:spacing w:val="-62"/>
        </w:rPr>
      </w:r>
      <w:r>
        <w:rPr/>
        <w:t>作为初始确认金额。</w:t>
      </w:r>
    </w:p>
    <w:p>
      <w:pPr>
        <w:pStyle w:val="BodyText"/>
        <w:spacing w:line="240" w:lineRule="auto" w:before="194"/>
        <w:ind w:left="118" w:right="3270"/>
        <w:jc w:val="left"/>
      </w:pPr>
      <w:r>
        <w:rPr>
          <w:rFonts w:ascii="Arial" w:hAnsi="Arial" w:cs="Arial" w:eastAsia="Arial" w:hint="default"/>
        </w:rPr>
        <w:t>(a) </w:t>
      </w:r>
      <w:r>
        <w:rPr>
          <w:rFonts w:ascii="Arial" w:hAnsi="Arial" w:cs="Arial" w:eastAsia="Arial" w:hint="default"/>
          <w:spacing w:val="18"/>
        </w:rPr>
        <w:t> </w:t>
      </w:r>
      <w:r>
        <w:rPr/>
        <w:t>单项金额重大并单独计提坏账准备的应收款项</w:t>
      </w:r>
    </w:p>
    <w:p>
      <w:pPr>
        <w:spacing w:line="240" w:lineRule="auto" w:before="11"/>
        <w:rPr>
          <w:rFonts w:ascii="宋体" w:hAnsi="宋体" w:cs="宋体" w:eastAsia="宋体" w:hint="default"/>
          <w:sz w:val="18"/>
          <w:szCs w:val="18"/>
        </w:rPr>
      </w:pPr>
    </w:p>
    <w:p>
      <w:pPr>
        <w:pStyle w:val="BodyText"/>
        <w:spacing w:line="286" w:lineRule="exact"/>
        <w:ind w:left="566" w:right="122"/>
        <w:jc w:val="both"/>
      </w:pPr>
      <w:r>
        <w:rPr/>
        <w:t>对于单项金额重大的应收款项，单独进行减值测试，当存在客观证据表明本集团将无法按应</w:t>
      </w:r>
      <w:r>
        <w:rPr>
          <w:spacing w:val="-67"/>
        </w:rPr>
        <w:t> </w:t>
      </w:r>
      <w:r>
        <w:rPr>
          <w:spacing w:val="-67"/>
        </w:rPr>
      </w:r>
      <w:r>
        <w:rPr/>
        <w:t>收款项的原有条款收回所有款项时，计提坏账准备。</w:t>
      </w:r>
    </w:p>
    <w:p>
      <w:pPr>
        <w:spacing w:line="240" w:lineRule="auto" w:before="6"/>
        <w:rPr>
          <w:rFonts w:ascii="宋体" w:hAnsi="宋体" w:cs="宋体" w:eastAsia="宋体" w:hint="default"/>
          <w:sz w:val="19"/>
          <w:szCs w:val="19"/>
        </w:rPr>
      </w:pPr>
    </w:p>
    <w:p>
      <w:pPr>
        <w:pStyle w:val="BodyText"/>
        <w:spacing w:line="284" w:lineRule="exact"/>
        <w:ind w:left="566" w:right="122"/>
        <w:jc w:val="both"/>
      </w:pPr>
      <w:r>
        <w:rPr/>
        <w:t>本集团的用户主体为公众、商务及个人用户，因此，本集团结合实际经营情况确认单项金额</w:t>
      </w:r>
      <w:r>
        <w:rPr>
          <w:spacing w:val="-67"/>
        </w:rPr>
        <w:t> </w:t>
      </w:r>
      <w:r>
        <w:rPr>
          <w:spacing w:val="-67"/>
        </w:rPr>
      </w:r>
      <w:r>
        <w:rPr/>
        <w:t>重大的判断依据或金额标准。</w:t>
      </w:r>
    </w:p>
    <w:p>
      <w:pPr>
        <w:spacing w:line="240" w:lineRule="auto" w:before="5"/>
        <w:rPr>
          <w:rFonts w:ascii="宋体" w:hAnsi="宋体" w:cs="宋体" w:eastAsia="宋体" w:hint="default"/>
          <w:sz w:val="19"/>
          <w:szCs w:val="19"/>
        </w:rPr>
      </w:pPr>
    </w:p>
    <w:p>
      <w:pPr>
        <w:pStyle w:val="BodyText"/>
        <w:spacing w:line="286" w:lineRule="exact"/>
        <w:ind w:left="566" w:right="122"/>
        <w:jc w:val="both"/>
      </w:pPr>
      <w:r>
        <w:rPr/>
        <w:t>单项金额重大并单独计提坏账准备的计提方法为：根据应收款项的预计未来现金流量现值低</w:t>
      </w:r>
      <w:r>
        <w:rPr>
          <w:spacing w:val="-67"/>
        </w:rPr>
        <w:t> </w:t>
      </w:r>
      <w:r>
        <w:rPr>
          <w:spacing w:val="-67"/>
        </w:rPr>
      </w:r>
      <w:r>
        <w:rPr/>
        <w:t>于其账面价值的差额进行计提。</w:t>
      </w:r>
    </w:p>
    <w:p>
      <w:pPr>
        <w:pStyle w:val="BodyText"/>
        <w:tabs>
          <w:tab w:pos="595" w:val="left" w:leader="none"/>
        </w:tabs>
        <w:spacing w:line="240" w:lineRule="auto" w:before="194"/>
        <w:ind w:left="118" w:right="3270"/>
        <w:jc w:val="left"/>
      </w:pPr>
      <w:r>
        <w:rPr>
          <w:rFonts w:ascii="Arial" w:hAnsi="Arial" w:cs="Arial" w:eastAsia="Arial" w:hint="default"/>
          <w:w w:val="95"/>
        </w:rPr>
        <w:t>(b)</w:t>
        <w:tab/>
      </w:r>
      <w:r>
        <w:rPr/>
        <w:t>按组合计提坏账准备的应收款项</w:t>
      </w:r>
    </w:p>
    <w:p>
      <w:pPr>
        <w:spacing w:line="240" w:lineRule="auto" w:before="11"/>
        <w:rPr>
          <w:rFonts w:ascii="宋体" w:hAnsi="宋体" w:cs="宋体" w:eastAsia="宋体" w:hint="default"/>
          <w:sz w:val="18"/>
          <w:szCs w:val="18"/>
        </w:rPr>
      </w:pPr>
    </w:p>
    <w:p>
      <w:pPr>
        <w:pStyle w:val="BodyText"/>
        <w:spacing w:line="286" w:lineRule="exact"/>
        <w:ind w:left="595" w:right="111"/>
        <w:jc w:val="both"/>
      </w:pPr>
      <w:r>
        <w:rPr/>
        <w:t>对于单项金额不重大由一般用户使用电信服务产生的应收款项，与经上述单独减值测试后未</w:t>
      </w:r>
      <w:r>
        <w:rPr>
          <w:spacing w:val="-102"/>
        </w:rPr>
        <w:t> </w:t>
      </w:r>
      <w:r>
        <w:rPr>
          <w:spacing w:val="-102"/>
        </w:rPr>
      </w:r>
      <w:r>
        <w:rPr/>
        <w:t>计提坏账准备的应收款项一起按信用风险特征划分为若干组合，根据以前年度与之具有类似</w:t>
      </w:r>
      <w:r>
        <w:rPr>
          <w:w w:val="99"/>
        </w:rPr>
        <w:t> </w:t>
      </w:r>
      <w:r>
        <w:rPr/>
        <w:t>信用风险特征的应收款项组合的实际损失率为基础，结合现时情况确定应计提的坏账准备。</w:t>
      </w:r>
    </w:p>
    <w:p>
      <w:pPr>
        <w:spacing w:line="240" w:lineRule="auto" w:before="3"/>
        <w:rPr>
          <w:rFonts w:ascii="宋体" w:hAnsi="宋体" w:cs="宋体" w:eastAsia="宋体" w:hint="default"/>
          <w:sz w:val="19"/>
          <w:szCs w:val="19"/>
        </w:rPr>
      </w:pPr>
    </w:p>
    <w:p>
      <w:pPr>
        <w:pStyle w:val="BodyText"/>
        <w:spacing w:line="286" w:lineRule="exact"/>
        <w:ind w:left="595" w:right="111"/>
        <w:jc w:val="both"/>
      </w:pPr>
      <w:r>
        <w:rPr/>
        <w:t>本集团对除满足特定信用评估标准规定以外的个人用户授予的信用期一般为自账单之日起</w:t>
      </w:r>
      <w:r>
        <w:rPr>
          <w:rFonts w:ascii="Arial" w:hAnsi="Arial" w:cs="Arial" w:eastAsia="Arial" w:hint="default"/>
        </w:rPr>
        <w:t>30</w:t>
      </w:r>
      <w:r>
        <w:rPr>
          <w:rFonts w:ascii="Arial" w:hAnsi="Arial" w:cs="Arial" w:eastAsia="Arial" w:hint="default"/>
          <w:spacing w:val="1"/>
          <w:w w:val="99"/>
        </w:rPr>
        <w:t> </w:t>
      </w:r>
      <w:r>
        <w:rPr/>
        <w:t>天。本集团对公司用户授予的信用期是基于服务合同条款，一般不超过</w:t>
      </w:r>
      <w:r>
        <w:rPr>
          <w:rFonts w:ascii="Arial" w:hAnsi="Arial" w:cs="Arial" w:eastAsia="Arial" w:hint="default"/>
        </w:rPr>
        <w:t>1</w:t>
      </w:r>
      <w:r>
        <w:rPr/>
        <w:t>年。</w:t>
      </w:r>
    </w:p>
    <w:p>
      <w:pPr>
        <w:spacing w:line="240" w:lineRule="auto" w:before="3"/>
        <w:rPr>
          <w:rFonts w:ascii="宋体" w:hAnsi="宋体" w:cs="宋体" w:eastAsia="宋体" w:hint="default"/>
          <w:sz w:val="19"/>
          <w:szCs w:val="19"/>
        </w:rPr>
      </w:pPr>
    </w:p>
    <w:p>
      <w:pPr>
        <w:pStyle w:val="BodyText"/>
        <w:spacing w:line="286" w:lineRule="exact"/>
        <w:ind w:left="595" w:right="112"/>
        <w:jc w:val="both"/>
      </w:pPr>
      <w:r>
        <w:rPr/>
        <w:t>本集团根据以往经验、历史收款情况、用户信用度及收款趋势确定提取比例。本集团对除满</w:t>
      </w:r>
      <w:r>
        <w:rPr>
          <w:w w:val="99"/>
        </w:rPr>
        <w:t> </w:t>
      </w:r>
      <w:r>
        <w:rPr>
          <w:spacing w:val="-2"/>
          <w:w w:val="95"/>
        </w:rPr>
        <w:t>足特定信用评估标准规定以外的个人用户，就信用期结束后账龄超过</w:t>
      </w:r>
      <w:r>
        <w:rPr>
          <w:rFonts w:ascii="Arial" w:hAnsi="Arial" w:cs="Arial" w:eastAsia="Arial" w:hint="default"/>
          <w:spacing w:val="-2"/>
          <w:w w:val="95"/>
        </w:rPr>
        <w:t>3</w:t>
      </w:r>
      <w:r>
        <w:rPr>
          <w:spacing w:val="-2"/>
          <w:w w:val="95"/>
        </w:rPr>
        <w:t>个月的款项提取全额的</w:t>
      </w:r>
      <w:r>
        <w:rPr>
          <w:spacing w:val="15"/>
          <w:w w:val="95"/>
        </w:rPr>
        <w:t> </w:t>
      </w:r>
      <w:r>
        <w:rPr/>
        <w:t>坏账准备。</w:t>
      </w:r>
    </w:p>
    <w:p>
      <w:pPr>
        <w:spacing w:after="0" w:line="286" w:lineRule="exact"/>
        <w:jc w:val="both"/>
        <w:sectPr>
          <w:headerReference w:type="default" r:id="rId47"/>
          <w:pgSz w:w="11910" w:h="16840"/>
          <w:pgMar w:header="967" w:footer="593" w:top="3320" w:bottom="780" w:left="1440" w:right="920"/>
        </w:sectPr>
      </w:pPr>
    </w:p>
    <w:p>
      <w:pPr>
        <w:spacing w:line="240" w:lineRule="auto" w:before="9"/>
        <w:rPr>
          <w:rFonts w:ascii="宋体" w:hAnsi="宋体" w:cs="宋体" w:eastAsia="宋体" w:hint="default"/>
          <w:sz w:val="12"/>
          <w:szCs w:val="12"/>
        </w:rPr>
      </w:pPr>
    </w:p>
    <w:p>
      <w:pPr>
        <w:pStyle w:val="BodyText"/>
        <w:spacing w:line="240" w:lineRule="auto" w:before="31"/>
        <w:ind w:left="118" w:right="5273"/>
        <w:jc w:val="left"/>
      </w:pPr>
      <w:r>
        <w:rPr>
          <w:rFonts w:ascii="Arial" w:hAnsi="Arial" w:cs="Arial" w:eastAsia="Arial" w:hint="default"/>
        </w:rPr>
        <w:t>10</w:t>
      </w:r>
      <w:r>
        <w:rPr/>
        <w:t>、应收款项（续）</w:t>
      </w:r>
    </w:p>
    <w:p>
      <w:pPr>
        <w:pStyle w:val="BodyText"/>
        <w:tabs>
          <w:tab w:pos="595" w:val="left" w:leader="none"/>
        </w:tabs>
        <w:spacing w:line="412" w:lineRule="auto" w:before="190"/>
        <w:ind w:left="595" w:right="5273" w:hanging="477"/>
        <w:jc w:val="left"/>
      </w:pPr>
      <w:r>
        <w:rPr>
          <w:rFonts w:ascii="Arial" w:hAnsi="Arial" w:cs="Arial" w:eastAsia="Arial" w:hint="default"/>
          <w:w w:val="95"/>
        </w:rPr>
        <w:t>(b)</w:t>
        <w:tab/>
      </w:r>
      <w:r>
        <w:rPr>
          <w:w w:val="95"/>
        </w:rPr>
        <w:t>按组合计提坏账准备的应收款项（续）</w:t>
      </w:r>
      <w:r>
        <w:rPr>
          <w:spacing w:val="75"/>
          <w:w w:val="95"/>
        </w:rPr>
        <w:t> </w:t>
      </w:r>
      <w:r>
        <w:rPr/>
        <w:t>确定组合的依据如下：</w:t>
      </w:r>
    </w:p>
    <w:p>
      <w:pPr>
        <w:spacing w:line="240" w:lineRule="auto" w:before="3"/>
        <w:rPr>
          <w:rFonts w:ascii="宋体" w:hAnsi="宋体" w:cs="宋体" w:eastAsia="宋体" w:hint="default"/>
          <w:sz w:val="12"/>
          <w:szCs w:val="12"/>
        </w:rPr>
      </w:pPr>
    </w:p>
    <w:tbl>
      <w:tblPr>
        <w:tblW w:w="0" w:type="auto"/>
        <w:jc w:val="left"/>
        <w:tblInd w:w="417" w:type="dxa"/>
        <w:tblLayout w:type="fixed"/>
        <w:tblCellMar>
          <w:top w:w="0" w:type="dxa"/>
          <w:left w:w="0" w:type="dxa"/>
          <w:bottom w:w="0" w:type="dxa"/>
          <w:right w:w="0" w:type="dxa"/>
        </w:tblCellMar>
        <w:tblLook w:val="01E0"/>
      </w:tblPr>
      <w:tblGrid>
        <w:gridCol w:w="3980"/>
        <w:gridCol w:w="5101"/>
      </w:tblGrid>
      <w:tr>
        <w:trPr>
          <w:trHeight w:val="253" w:hRule="exact"/>
        </w:trPr>
        <w:tc>
          <w:tcPr>
            <w:tcW w:w="3980" w:type="dxa"/>
            <w:tcBorders>
              <w:top w:val="nil" w:sz="6" w:space="0" w:color="auto"/>
              <w:left w:val="nil" w:sz="6" w:space="0" w:color="auto"/>
              <w:bottom w:val="nil" w:sz="6" w:space="0" w:color="auto"/>
              <w:right w:val="nil" w:sz="6" w:space="0" w:color="auto"/>
            </w:tcBorders>
          </w:tcPr>
          <w:p>
            <w:pPr>
              <w:pStyle w:val="TableParagraph"/>
              <w:spacing w:line="220" w:lineRule="exact"/>
              <w:ind w:left="200" w:right="0"/>
              <w:jc w:val="left"/>
              <w:rPr>
                <w:rFonts w:ascii="宋体" w:hAnsi="宋体" w:cs="宋体" w:eastAsia="宋体" w:hint="default"/>
                <w:sz w:val="22"/>
                <w:szCs w:val="22"/>
              </w:rPr>
            </w:pPr>
            <w:r>
              <w:rPr>
                <w:rFonts w:ascii="宋体" w:hAnsi="宋体" w:cs="宋体" w:eastAsia="宋体" w:hint="default"/>
                <w:sz w:val="22"/>
                <w:szCs w:val="22"/>
              </w:rPr>
              <w:t>一般组合</w:t>
            </w:r>
          </w:p>
        </w:tc>
        <w:tc>
          <w:tcPr>
            <w:tcW w:w="5101" w:type="dxa"/>
            <w:tcBorders>
              <w:top w:val="nil" w:sz="6" w:space="0" w:color="auto"/>
              <w:left w:val="nil" w:sz="6" w:space="0" w:color="auto"/>
              <w:bottom w:val="nil" w:sz="6" w:space="0" w:color="auto"/>
              <w:right w:val="nil" w:sz="6" w:space="0" w:color="auto"/>
            </w:tcBorders>
          </w:tcPr>
          <w:p>
            <w:pPr>
              <w:pStyle w:val="TableParagraph"/>
              <w:spacing w:line="220" w:lineRule="exact"/>
              <w:ind w:right="219"/>
              <w:jc w:val="right"/>
              <w:rPr>
                <w:rFonts w:ascii="宋体" w:hAnsi="宋体" w:cs="宋体" w:eastAsia="宋体" w:hint="default"/>
                <w:sz w:val="22"/>
                <w:szCs w:val="22"/>
              </w:rPr>
            </w:pPr>
            <w:r>
              <w:rPr>
                <w:rFonts w:ascii="宋体" w:hAnsi="宋体" w:cs="宋体" w:eastAsia="宋体" w:hint="default"/>
                <w:w w:val="95"/>
                <w:sz w:val="22"/>
                <w:szCs w:val="22"/>
              </w:rPr>
              <w:t>一般商务及公众用户</w:t>
            </w:r>
            <w:r>
              <w:rPr>
                <w:rFonts w:ascii="宋体" w:hAnsi="宋体" w:cs="宋体" w:eastAsia="宋体" w:hint="default"/>
                <w:sz w:val="22"/>
                <w:szCs w:val="22"/>
              </w:rPr>
            </w:r>
          </w:p>
        </w:tc>
      </w:tr>
      <w:tr>
        <w:trPr>
          <w:trHeight w:val="253" w:hRule="exact"/>
        </w:trPr>
        <w:tc>
          <w:tcPr>
            <w:tcW w:w="3980" w:type="dxa"/>
            <w:tcBorders>
              <w:top w:val="nil" w:sz="6" w:space="0" w:color="auto"/>
              <w:left w:val="nil" w:sz="6" w:space="0" w:color="auto"/>
              <w:bottom w:val="nil" w:sz="6" w:space="0" w:color="auto"/>
              <w:right w:val="nil" w:sz="6" w:space="0" w:color="auto"/>
            </w:tcBorders>
          </w:tcPr>
          <w:p>
            <w:pPr>
              <w:pStyle w:val="TableParagraph"/>
              <w:spacing w:line="253"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其他组合</w:t>
            </w:r>
          </w:p>
        </w:tc>
        <w:tc>
          <w:tcPr>
            <w:tcW w:w="5101" w:type="dxa"/>
            <w:tcBorders>
              <w:top w:val="nil" w:sz="6" w:space="0" w:color="auto"/>
              <w:left w:val="nil" w:sz="6" w:space="0" w:color="auto"/>
              <w:bottom w:val="nil" w:sz="6" w:space="0" w:color="auto"/>
              <w:right w:val="nil" w:sz="6" w:space="0" w:color="auto"/>
            </w:tcBorders>
          </w:tcPr>
          <w:p>
            <w:pPr>
              <w:pStyle w:val="TableParagraph"/>
              <w:spacing w:line="253" w:lineRule="exact"/>
              <w:ind w:right="198"/>
              <w:jc w:val="right"/>
              <w:rPr>
                <w:rFonts w:ascii="宋体" w:hAnsi="宋体" w:cs="宋体" w:eastAsia="宋体" w:hint="default"/>
                <w:sz w:val="22"/>
                <w:szCs w:val="22"/>
              </w:rPr>
            </w:pPr>
            <w:r>
              <w:rPr>
                <w:rFonts w:ascii="宋体" w:hAnsi="宋体" w:cs="宋体" w:eastAsia="宋体" w:hint="default"/>
                <w:w w:val="95"/>
                <w:sz w:val="22"/>
                <w:szCs w:val="22"/>
              </w:rPr>
              <w:t>其他客户</w:t>
            </w:r>
            <w:r>
              <w:rPr>
                <w:rFonts w:ascii="宋体" w:hAnsi="宋体" w:cs="宋体" w:eastAsia="宋体" w:hint="default"/>
                <w:sz w:val="22"/>
                <w:szCs w:val="22"/>
              </w:rPr>
            </w:r>
          </w:p>
        </w:tc>
      </w:tr>
    </w:tbl>
    <w:p>
      <w:pPr>
        <w:spacing w:line="240" w:lineRule="auto" w:before="10"/>
        <w:rPr>
          <w:rFonts w:ascii="宋体" w:hAnsi="宋体" w:cs="宋体" w:eastAsia="宋体" w:hint="default"/>
          <w:sz w:val="16"/>
          <w:szCs w:val="16"/>
        </w:rPr>
      </w:pPr>
    </w:p>
    <w:p>
      <w:pPr>
        <w:pStyle w:val="BodyText"/>
        <w:spacing w:line="240" w:lineRule="auto" w:before="31"/>
        <w:ind w:left="595" w:right="0"/>
        <w:jc w:val="left"/>
      </w:pPr>
      <w:r>
        <w:rPr/>
        <w:t>按组合计提坏账准备的计提方法为账龄分析法，具体如下：</w:t>
      </w:r>
    </w:p>
    <w:p>
      <w:pPr>
        <w:spacing w:line="240" w:lineRule="auto" w:before="1"/>
        <w:rPr>
          <w:rFonts w:ascii="宋体" w:hAnsi="宋体" w:cs="宋体" w:eastAsia="宋体" w:hint="default"/>
          <w:sz w:val="19"/>
          <w:szCs w:val="19"/>
        </w:rPr>
      </w:pPr>
    </w:p>
    <w:p>
      <w:pPr>
        <w:pStyle w:val="BodyText"/>
        <w:spacing w:line="240" w:lineRule="auto"/>
        <w:ind w:left="596" w:right="0"/>
        <w:jc w:val="left"/>
      </w:pPr>
      <w:r>
        <w:rPr>
          <w:rFonts w:ascii="Arial" w:hAnsi="Arial" w:cs="Arial" w:eastAsia="Arial" w:hint="default"/>
        </w:rPr>
        <w:t>(i) </w:t>
      </w:r>
      <w:r>
        <w:rPr>
          <w:rFonts w:ascii="Arial" w:hAnsi="Arial" w:cs="Arial" w:eastAsia="Arial" w:hint="default"/>
          <w:spacing w:val="32"/>
        </w:rPr>
        <w:t> </w:t>
      </w:r>
      <w:r>
        <w:rPr/>
        <w:t>一般组合采用账龄分析法的计提比例列示如下：</w:t>
      </w:r>
    </w:p>
    <w:p>
      <w:pPr>
        <w:spacing w:line="240" w:lineRule="auto" w:before="2"/>
        <w:rPr>
          <w:rFonts w:ascii="宋体" w:hAnsi="宋体" w:cs="宋体" w:eastAsia="宋体" w:hint="default"/>
          <w:sz w:val="23"/>
          <w:szCs w:val="23"/>
        </w:rPr>
      </w:pPr>
    </w:p>
    <w:tbl>
      <w:tblPr>
        <w:tblW w:w="0" w:type="auto"/>
        <w:jc w:val="left"/>
        <w:tblInd w:w="743" w:type="dxa"/>
        <w:tblLayout w:type="fixed"/>
        <w:tblCellMar>
          <w:top w:w="0" w:type="dxa"/>
          <w:left w:w="0" w:type="dxa"/>
          <w:bottom w:w="0" w:type="dxa"/>
          <w:right w:w="0" w:type="dxa"/>
        </w:tblCellMar>
        <w:tblLook w:val="01E0"/>
      </w:tblPr>
      <w:tblGrid>
        <w:gridCol w:w="6202"/>
        <w:gridCol w:w="2450"/>
      </w:tblGrid>
      <w:tr>
        <w:trPr>
          <w:trHeight w:val="261" w:hRule="exact"/>
        </w:trPr>
        <w:tc>
          <w:tcPr>
            <w:tcW w:w="6202" w:type="dxa"/>
            <w:tcBorders>
              <w:top w:val="nil" w:sz="6" w:space="0" w:color="auto"/>
              <w:left w:val="nil" w:sz="6" w:space="0" w:color="auto"/>
              <w:bottom w:val="nil" w:sz="6" w:space="0" w:color="auto"/>
              <w:right w:val="nil" w:sz="6" w:space="0" w:color="auto"/>
            </w:tcBorders>
          </w:tcPr>
          <w:p>
            <w:pPr/>
          </w:p>
        </w:tc>
        <w:tc>
          <w:tcPr>
            <w:tcW w:w="2450" w:type="dxa"/>
            <w:tcBorders>
              <w:top w:val="nil" w:sz="6" w:space="0" w:color="auto"/>
              <w:left w:val="nil" w:sz="6" w:space="0" w:color="auto"/>
              <w:bottom w:val="single" w:sz="6" w:space="0" w:color="000000"/>
              <w:right w:val="nil" w:sz="6" w:space="0" w:color="auto"/>
            </w:tcBorders>
          </w:tcPr>
          <w:p>
            <w:pPr>
              <w:pStyle w:val="TableParagraph"/>
              <w:spacing w:line="220" w:lineRule="exact"/>
              <w:ind w:right="77"/>
              <w:jc w:val="right"/>
              <w:rPr>
                <w:rFonts w:ascii="宋体" w:hAnsi="宋体" w:cs="宋体" w:eastAsia="宋体" w:hint="default"/>
                <w:sz w:val="22"/>
                <w:szCs w:val="22"/>
              </w:rPr>
            </w:pPr>
            <w:r>
              <w:rPr>
                <w:rFonts w:ascii="宋体" w:hAnsi="宋体" w:cs="宋体" w:eastAsia="宋体" w:hint="default"/>
                <w:w w:val="95"/>
                <w:sz w:val="22"/>
                <w:szCs w:val="22"/>
              </w:rPr>
              <w:t>应收账款计提比例</w:t>
            </w:r>
            <w:r>
              <w:rPr>
                <w:rFonts w:ascii="宋体" w:hAnsi="宋体" w:cs="宋体" w:eastAsia="宋体" w:hint="default"/>
                <w:sz w:val="22"/>
                <w:szCs w:val="22"/>
              </w:rPr>
            </w:r>
          </w:p>
        </w:tc>
      </w:tr>
      <w:tr>
        <w:trPr>
          <w:trHeight w:val="512" w:hRule="exact"/>
        </w:trPr>
        <w:tc>
          <w:tcPr>
            <w:tcW w:w="6202"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200" w:right="0"/>
              <w:jc w:val="left"/>
              <w:rPr>
                <w:rFonts w:ascii="宋体" w:hAnsi="宋体" w:cs="宋体" w:eastAsia="宋体" w:hint="default"/>
                <w:sz w:val="22"/>
                <w:szCs w:val="22"/>
              </w:rPr>
            </w:pPr>
            <w:r>
              <w:rPr>
                <w:rFonts w:ascii="宋体" w:hAnsi="宋体" w:cs="宋体" w:eastAsia="宋体" w:hint="default"/>
                <w:sz w:val="22"/>
                <w:szCs w:val="22"/>
              </w:rPr>
              <w:t>超过信用期后账龄</w:t>
            </w:r>
            <w:r>
              <w:rPr>
                <w:rFonts w:ascii="宋体" w:hAnsi="宋体" w:cs="宋体" w:eastAsia="宋体" w:hint="default"/>
                <w:spacing w:val="-58"/>
                <w:sz w:val="22"/>
                <w:szCs w:val="22"/>
              </w:rPr>
              <w:t> </w:t>
            </w:r>
            <w:r>
              <w:rPr>
                <w:rFonts w:ascii="Arial" w:hAnsi="Arial" w:cs="Arial" w:eastAsia="Arial" w:hint="default"/>
                <w:sz w:val="22"/>
                <w:szCs w:val="22"/>
              </w:rPr>
              <w:t>3</w:t>
            </w:r>
            <w:r>
              <w:rPr>
                <w:rFonts w:ascii="Arial" w:hAnsi="Arial" w:cs="Arial" w:eastAsia="Arial" w:hint="default"/>
                <w:spacing w:val="-9"/>
                <w:sz w:val="22"/>
                <w:szCs w:val="22"/>
              </w:rPr>
              <w:t> </w:t>
            </w:r>
            <w:r>
              <w:rPr>
                <w:rFonts w:ascii="宋体" w:hAnsi="宋体" w:cs="宋体" w:eastAsia="宋体" w:hint="default"/>
                <w:sz w:val="22"/>
                <w:szCs w:val="22"/>
              </w:rPr>
              <w:t>个月以内</w:t>
            </w:r>
          </w:p>
        </w:tc>
        <w:tc>
          <w:tcPr>
            <w:tcW w:w="2450"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10"/>
              <w:jc w:val="right"/>
              <w:rPr>
                <w:rFonts w:ascii="Arial" w:hAnsi="Arial" w:cs="Arial" w:eastAsia="Arial" w:hint="default"/>
                <w:sz w:val="22"/>
                <w:szCs w:val="22"/>
              </w:rPr>
            </w:pPr>
            <w:r>
              <w:rPr>
                <w:rFonts w:ascii="Arial"/>
                <w:w w:val="99"/>
                <w:sz w:val="22"/>
              </w:rPr>
              <w:t>-</w:t>
            </w:r>
            <w:r>
              <w:rPr>
                <w:rFonts w:ascii="Arial"/>
                <w:sz w:val="22"/>
              </w:rPr>
            </w:r>
          </w:p>
        </w:tc>
      </w:tr>
      <w:tr>
        <w:trPr>
          <w:trHeight w:val="265" w:hRule="exact"/>
        </w:trPr>
        <w:tc>
          <w:tcPr>
            <w:tcW w:w="6202"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z w:val="22"/>
                <w:szCs w:val="22"/>
              </w:rPr>
              <w:t>超过信用期后账龄</w:t>
            </w:r>
            <w:r>
              <w:rPr>
                <w:rFonts w:ascii="宋体" w:hAnsi="宋体" w:cs="宋体" w:eastAsia="宋体" w:hint="default"/>
                <w:spacing w:val="-58"/>
                <w:sz w:val="22"/>
                <w:szCs w:val="22"/>
              </w:rPr>
              <w:t> </w:t>
            </w:r>
            <w:r>
              <w:rPr>
                <w:rFonts w:ascii="Arial" w:hAnsi="Arial" w:cs="Arial" w:eastAsia="Arial" w:hint="default"/>
                <w:sz w:val="22"/>
                <w:szCs w:val="22"/>
              </w:rPr>
              <w:t>3</w:t>
            </w:r>
            <w:r>
              <w:rPr>
                <w:rFonts w:ascii="Arial" w:hAnsi="Arial" w:cs="Arial" w:eastAsia="Arial" w:hint="default"/>
                <w:spacing w:val="-9"/>
                <w:sz w:val="22"/>
                <w:szCs w:val="22"/>
              </w:rPr>
              <w:t> </w:t>
            </w:r>
            <w:r>
              <w:rPr>
                <w:rFonts w:ascii="宋体" w:hAnsi="宋体" w:cs="宋体" w:eastAsia="宋体" w:hint="default"/>
                <w:sz w:val="22"/>
                <w:szCs w:val="22"/>
              </w:rPr>
              <w:t>个月以上</w:t>
            </w:r>
          </w:p>
        </w:tc>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2"/>
                <w:szCs w:val="22"/>
              </w:rPr>
            </w:pPr>
            <w:r>
              <w:rPr>
                <w:rFonts w:ascii="Arial"/>
                <w:w w:val="95"/>
                <w:sz w:val="22"/>
              </w:rPr>
              <w:t>100%</w:t>
            </w:r>
            <w:r>
              <w:rPr>
                <w:rFonts w:ascii="Arial"/>
                <w:sz w:val="22"/>
              </w:rPr>
            </w:r>
          </w:p>
        </w:tc>
      </w:tr>
    </w:tbl>
    <w:p>
      <w:pPr>
        <w:spacing w:line="240" w:lineRule="auto" w:before="10"/>
        <w:rPr>
          <w:rFonts w:ascii="宋体" w:hAnsi="宋体" w:cs="宋体" w:eastAsia="宋体" w:hint="default"/>
          <w:sz w:val="14"/>
          <w:szCs w:val="14"/>
        </w:rPr>
      </w:pPr>
    </w:p>
    <w:p>
      <w:pPr>
        <w:pStyle w:val="BodyText"/>
        <w:spacing w:line="240" w:lineRule="auto" w:before="31"/>
        <w:ind w:left="596" w:right="0"/>
        <w:jc w:val="left"/>
      </w:pPr>
      <w:r>
        <w:rPr>
          <w:rFonts w:ascii="Arial" w:hAnsi="Arial" w:cs="Arial" w:eastAsia="Arial" w:hint="default"/>
        </w:rPr>
        <w:t>(ii)</w:t>
      </w:r>
      <w:r>
        <w:rPr>
          <w:rFonts w:ascii="Arial" w:hAnsi="Arial" w:cs="Arial" w:eastAsia="Arial" w:hint="default"/>
          <w:spacing w:val="47"/>
        </w:rPr>
        <w:t> </w:t>
      </w:r>
      <w:r>
        <w:rPr/>
        <w:t>其他组合，一般计提比例列示如下：</w:t>
      </w:r>
    </w:p>
    <w:p>
      <w:pPr>
        <w:spacing w:line="240" w:lineRule="auto" w:before="5"/>
        <w:rPr>
          <w:rFonts w:ascii="宋体" w:hAnsi="宋体" w:cs="宋体" w:eastAsia="宋体" w:hint="default"/>
          <w:sz w:val="21"/>
          <w:szCs w:val="21"/>
        </w:rPr>
      </w:pPr>
    </w:p>
    <w:tbl>
      <w:tblPr>
        <w:tblW w:w="0" w:type="auto"/>
        <w:jc w:val="left"/>
        <w:tblInd w:w="753" w:type="dxa"/>
        <w:tblLayout w:type="fixed"/>
        <w:tblCellMar>
          <w:top w:w="0" w:type="dxa"/>
          <w:left w:w="0" w:type="dxa"/>
          <w:bottom w:w="0" w:type="dxa"/>
          <w:right w:w="0" w:type="dxa"/>
        </w:tblCellMar>
        <w:tblLook w:val="01E0"/>
      </w:tblPr>
      <w:tblGrid>
        <w:gridCol w:w="3688"/>
        <w:gridCol w:w="2356"/>
        <w:gridCol w:w="238"/>
        <w:gridCol w:w="2372"/>
      </w:tblGrid>
      <w:tr>
        <w:trPr>
          <w:trHeight w:val="261" w:hRule="exact"/>
        </w:trPr>
        <w:tc>
          <w:tcPr>
            <w:tcW w:w="3688" w:type="dxa"/>
            <w:tcBorders>
              <w:top w:val="nil" w:sz="6" w:space="0" w:color="auto"/>
              <w:left w:val="nil" w:sz="6" w:space="0" w:color="auto"/>
              <w:bottom w:val="nil" w:sz="6" w:space="0" w:color="auto"/>
              <w:right w:val="nil" w:sz="6" w:space="0" w:color="auto"/>
            </w:tcBorders>
          </w:tcPr>
          <w:p>
            <w:pPr/>
          </w:p>
        </w:tc>
        <w:tc>
          <w:tcPr>
            <w:tcW w:w="2356" w:type="dxa"/>
            <w:tcBorders>
              <w:top w:val="nil" w:sz="6" w:space="0" w:color="auto"/>
              <w:left w:val="nil" w:sz="6" w:space="0" w:color="auto"/>
              <w:bottom w:val="single" w:sz="6" w:space="0" w:color="000000"/>
              <w:right w:val="nil" w:sz="6" w:space="0" w:color="auto"/>
            </w:tcBorders>
          </w:tcPr>
          <w:p>
            <w:pPr>
              <w:pStyle w:val="TableParagraph"/>
              <w:spacing w:line="220" w:lineRule="exact"/>
              <w:ind w:right="110"/>
              <w:jc w:val="right"/>
              <w:rPr>
                <w:rFonts w:ascii="宋体" w:hAnsi="宋体" w:cs="宋体" w:eastAsia="宋体" w:hint="default"/>
                <w:sz w:val="22"/>
                <w:szCs w:val="22"/>
              </w:rPr>
            </w:pPr>
            <w:r>
              <w:rPr>
                <w:rFonts w:ascii="宋体" w:hAnsi="宋体" w:cs="宋体" w:eastAsia="宋体" w:hint="default"/>
                <w:w w:val="95"/>
                <w:sz w:val="22"/>
                <w:szCs w:val="22"/>
              </w:rPr>
              <w:t>应收账款计提比例</w:t>
            </w:r>
            <w:r>
              <w:rPr>
                <w:rFonts w:ascii="宋体" w:hAnsi="宋体" w:cs="宋体" w:eastAsia="宋体" w:hint="default"/>
                <w:sz w:val="22"/>
                <w:szCs w:val="22"/>
              </w:rPr>
            </w:r>
          </w:p>
        </w:tc>
        <w:tc>
          <w:tcPr>
            <w:tcW w:w="238"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single" w:sz="6" w:space="0" w:color="000000"/>
              <w:right w:val="nil" w:sz="6" w:space="0" w:color="auto"/>
            </w:tcBorders>
          </w:tcPr>
          <w:p>
            <w:pPr>
              <w:pStyle w:val="TableParagraph"/>
              <w:spacing w:line="220" w:lineRule="exact"/>
              <w:ind w:right="110"/>
              <w:jc w:val="right"/>
              <w:rPr>
                <w:rFonts w:ascii="宋体" w:hAnsi="宋体" w:cs="宋体" w:eastAsia="宋体" w:hint="default"/>
                <w:sz w:val="22"/>
                <w:szCs w:val="22"/>
              </w:rPr>
            </w:pPr>
            <w:r>
              <w:rPr>
                <w:rFonts w:ascii="宋体" w:hAnsi="宋体" w:cs="宋体" w:eastAsia="宋体" w:hint="default"/>
                <w:w w:val="95"/>
                <w:sz w:val="22"/>
                <w:szCs w:val="22"/>
              </w:rPr>
              <w:t>其他应收款计提比例</w:t>
            </w:r>
            <w:r>
              <w:rPr>
                <w:rFonts w:ascii="宋体" w:hAnsi="宋体" w:cs="宋体" w:eastAsia="宋体" w:hint="default"/>
                <w:sz w:val="22"/>
                <w:szCs w:val="22"/>
              </w:rPr>
            </w:r>
          </w:p>
        </w:tc>
      </w:tr>
      <w:tr>
        <w:trPr>
          <w:trHeight w:val="513" w:hRule="exact"/>
        </w:trPr>
        <w:tc>
          <w:tcPr>
            <w:tcW w:w="3688"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200" w:right="0"/>
              <w:jc w:val="left"/>
              <w:rPr>
                <w:rFonts w:ascii="宋体" w:hAnsi="宋体" w:cs="宋体" w:eastAsia="宋体" w:hint="default"/>
                <w:sz w:val="22"/>
                <w:szCs w:val="22"/>
              </w:rPr>
            </w:pPr>
            <w:r>
              <w:rPr>
                <w:rFonts w:ascii="宋体" w:hAnsi="宋体" w:cs="宋体" w:eastAsia="宋体" w:hint="default"/>
                <w:sz w:val="22"/>
                <w:szCs w:val="22"/>
              </w:rPr>
              <w:t>账龄</w:t>
            </w:r>
            <w:r>
              <w:rPr>
                <w:rFonts w:ascii="宋体" w:hAnsi="宋体" w:cs="宋体" w:eastAsia="宋体" w:hint="default"/>
                <w:spacing w:val="-57"/>
                <w:sz w:val="22"/>
                <w:szCs w:val="22"/>
              </w:rPr>
              <w:t> </w:t>
            </w:r>
            <w:r>
              <w:rPr>
                <w:rFonts w:ascii="Arial" w:hAnsi="Arial" w:cs="Arial" w:eastAsia="Arial" w:hint="default"/>
                <w:sz w:val="22"/>
                <w:szCs w:val="22"/>
              </w:rPr>
              <w:t>6</w:t>
            </w:r>
            <w:r>
              <w:rPr>
                <w:rFonts w:ascii="Arial" w:hAnsi="Arial" w:cs="Arial" w:eastAsia="Arial" w:hint="default"/>
                <w:spacing w:val="-8"/>
                <w:sz w:val="22"/>
                <w:szCs w:val="22"/>
              </w:rPr>
              <w:t> </w:t>
            </w:r>
            <w:r>
              <w:rPr>
                <w:rFonts w:ascii="宋体" w:hAnsi="宋体" w:cs="宋体" w:eastAsia="宋体" w:hint="default"/>
                <w:sz w:val="22"/>
                <w:szCs w:val="22"/>
              </w:rPr>
              <w:t>个月以内</w:t>
            </w:r>
          </w:p>
        </w:tc>
        <w:tc>
          <w:tcPr>
            <w:tcW w:w="2356"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12"/>
              <w:jc w:val="right"/>
              <w:rPr>
                <w:rFonts w:ascii="Arial" w:hAnsi="Arial" w:cs="Arial" w:eastAsia="Arial" w:hint="default"/>
                <w:sz w:val="22"/>
                <w:szCs w:val="22"/>
              </w:rPr>
            </w:pPr>
            <w:r>
              <w:rPr>
                <w:rFonts w:ascii="Arial"/>
                <w:w w:val="99"/>
                <w:sz w:val="22"/>
              </w:rPr>
              <w:t>-</w:t>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2372"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22"/>
              <w:jc w:val="right"/>
              <w:rPr>
                <w:rFonts w:ascii="Arial" w:hAnsi="Arial" w:cs="Arial" w:eastAsia="Arial" w:hint="default"/>
                <w:sz w:val="22"/>
                <w:szCs w:val="22"/>
              </w:rPr>
            </w:pPr>
            <w:r>
              <w:rPr>
                <w:rFonts w:ascii="Arial"/>
                <w:w w:val="99"/>
                <w:sz w:val="22"/>
              </w:rPr>
              <w:t>-</w:t>
            </w:r>
            <w:r>
              <w:rPr>
                <w:rFonts w:ascii="Arial"/>
                <w:sz w:val="22"/>
              </w:rPr>
            </w:r>
          </w:p>
        </w:tc>
      </w:tr>
      <w:tr>
        <w:trPr>
          <w:trHeight w:val="286" w:hRule="exact"/>
        </w:trPr>
        <w:tc>
          <w:tcPr>
            <w:tcW w:w="3688"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z w:val="22"/>
                <w:szCs w:val="22"/>
              </w:rPr>
              <w:t>账龄</w:t>
            </w:r>
            <w:r>
              <w:rPr>
                <w:rFonts w:ascii="宋体" w:hAnsi="宋体" w:cs="宋体" w:eastAsia="宋体" w:hint="default"/>
                <w:spacing w:val="-56"/>
                <w:sz w:val="22"/>
                <w:szCs w:val="22"/>
              </w:rPr>
              <w:t> </w:t>
            </w:r>
            <w:r>
              <w:rPr>
                <w:rFonts w:ascii="Arial" w:hAnsi="Arial" w:cs="Arial" w:eastAsia="Arial" w:hint="default"/>
                <w:sz w:val="22"/>
                <w:szCs w:val="22"/>
              </w:rPr>
              <w:t>6-12</w:t>
            </w:r>
            <w:r>
              <w:rPr>
                <w:rFonts w:ascii="Arial" w:hAnsi="Arial" w:cs="Arial" w:eastAsia="Arial" w:hint="default"/>
                <w:spacing w:val="-7"/>
                <w:sz w:val="22"/>
                <w:szCs w:val="22"/>
              </w:rPr>
              <w:t> </w:t>
            </w:r>
            <w:r>
              <w:rPr>
                <w:rFonts w:ascii="宋体" w:hAnsi="宋体" w:cs="宋体" w:eastAsia="宋体" w:hint="default"/>
                <w:sz w:val="22"/>
                <w:szCs w:val="22"/>
              </w:rPr>
              <w:t>个月</w:t>
            </w: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8"/>
              <w:jc w:val="right"/>
              <w:rPr>
                <w:rFonts w:ascii="Arial" w:hAnsi="Arial" w:cs="Arial" w:eastAsia="Arial" w:hint="default"/>
                <w:sz w:val="22"/>
                <w:szCs w:val="22"/>
              </w:rPr>
            </w:pPr>
            <w:r>
              <w:rPr>
                <w:rFonts w:ascii="Arial"/>
                <w:w w:val="95"/>
                <w:sz w:val="22"/>
              </w:rPr>
              <w:t>10%</w:t>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9"/>
              <w:jc w:val="right"/>
              <w:rPr>
                <w:rFonts w:ascii="Arial" w:hAnsi="Arial" w:cs="Arial" w:eastAsia="Arial" w:hint="default"/>
                <w:sz w:val="22"/>
                <w:szCs w:val="22"/>
              </w:rPr>
            </w:pPr>
            <w:r>
              <w:rPr>
                <w:rFonts w:ascii="Arial"/>
                <w:w w:val="95"/>
                <w:sz w:val="22"/>
              </w:rPr>
              <w:t>10%</w:t>
            </w:r>
            <w:r>
              <w:rPr>
                <w:rFonts w:ascii="Arial"/>
                <w:sz w:val="22"/>
              </w:rPr>
            </w:r>
          </w:p>
        </w:tc>
      </w:tr>
      <w:tr>
        <w:trPr>
          <w:trHeight w:val="285" w:hRule="exact"/>
        </w:trPr>
        <w:tc>
          <w:tcPr>
            <w:tcW w:w="3688" w:type="dxa"/>
            <w:tcBorders>
              <w:top w:val="nil" w:sz="6" w:space="0" w:color="auto"/>
              <w:left w:val="nil" w:sz="6" w:space="0" w:color="auto"/>
              <w:bottom w:val="nil" w:sz="6" w:space="0" w:color="auto"/>
              <w:right w:val="nil" w:sz="6" w:space="0" w:color="auto"/>
            </w:tcBorders>
          </w:tcPr>
          <w:p>
            <w:pPr>
              <w:pStyle w:val="TableParagraph"/>
              <w:spacing w:line="255" w:lineRule="exact"/>
              <w:ind w:left="208" w:right="0"/>
              <w:jc w:val="left"/>
              <w:rPr>
                <w:rFonts w:ascii="宋体" w:hAnsi="宋体" w:cs="宋体" w:eastAsia="宋体" w:hint="default"/>
                <w:sz w:val="22"/>
                <w:szCs w:val="22"/>
              </w:rPr>
            </w:pPr>
            <w:r>
              <w:rPr>
                <w:rFonts w:ascii="宋体" w:hAnsi="宋体" w:cs="宋体" w:eastAsia="宋体" w:hint="default"/>
                <w:sz w:val="22"/>
                <w:szCs w:val="22"/>
              </w:rPr>
              <w:t>账龄</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8"/>
              <w:jc w:val="right"/>
              <w:rPr>
                <w:rFonts w:ascii="Arial" w:hAnsi="Arial" w:cs="Arial" w:eastAsia="Arial" w:hint="default"/>
                <w:sz w:val="22"/>
                <w:szCs w:val="22"/>
              </w:rPr>
            </w:pPr>
            <w:r>
              <w:rPr>
                <w:rFonts w:ascii="Arial"/>
                <w:w w:val="95"/>
                <w:sz w:val="22"/>
              </w:rPr>
              <w:t>20%</w:t>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9"/>
              <w:jc w:val="right"/>
              <w:rPr>
                <w:rFonts w:ascii="Arial" w:hAnsi="Arial" w:cs="Arial" w:eastAsia="Arial" w:hint="default"/>
                <w:sz w:val="22"/>
                <w:szCs w:val="22"/>
              </w:rPr>
            </w:pPr>
            <w:r>
              <w:rPr>
                <w:rFonts w:ascii="Arial"/>
                <w:w w:val="95"/>
                <w:sz w:val="22"/>
              </w:rPr>
              <w:t>20%</w:t>
            </w:r>
            <w:r>
              <w:rPr>
                <w:rFonts w:ascii="Arial"/>
                <w:sz w:val="22"/>
              </w:rPr>
            </w:r>
          </w:p>
        </w:tc>
      </w:tr>
      <w:tr>
        <w:trPr>
          <w:trHeight w:val="285" w:hRule="exact"/>
        </w:trPr>
        <w:tc>
          <w:tcPr>
            <w:tcW w:w="3688" w:type="dxa"/>
            <w:tcBorders>
              <w:top w:val="nil" w:sz="6" w:space="0" w:color="auto"/>
              <w:left w:val="nil" w:sz="6" w:space="0" w:color="auto"/>
              <w:bottom w:val="nil" w:sz="6" w:space="0" w:color="auto"/>
              <w:right w:val="nil" w:sz="6" w:space="0" w:color="auto"/>
            </w:tcBorders>
          </w:tcPr>
          <w:p>
            <w:pPr>
              <w:pStyle w:val="TableParagraph"/>
              <w:spacing w:line="255" w:lineRule="exact"/>
              <w:ind w:left="208" w:right="0"/>
              <w:jc w:val="left"/>
              <w:rPr>
                <w:rFonts w:ascii="宋体" w:hAnsi="宋体" w:cs="宋体" w:eastAsia="宋体" w:hint="default"/>
                <w:sz w:val="22"/>
                <w:szCs w:val="22"/>
              </w:rPr>
            </w:pPr>
            <w:r>
              <w:rPr>
                <w:rFonts w:ascii="宋体" w:hAnsi="宋体" w:cs="宋体" w:eastAsia="宋体" w:hint="default"/>
                <w:sz w:val="22"/>
                <w:szCs w:val="22"/>
              </w:rPr>
              <w:t>账龄</w:t>
            </w:r>
            <w:r>
              <w:rPr>
                <w:rFonts w:ascii="宋体" w:hAnsi="宋体" w:cs="宋体" w:eastAsia="宋体" w:hint="default"/>
                <w:spacing w:val="-56"/>
                <w:sz w:val="22"/>
                <w:szCs w:val="22"/>
              </w:rPr>
              <w:t> </w:t>
            </w:r>
            <w:r>
              <w:rPr>
                <w:rFonts w:ascii="Arial" w:hAnsi="Arial" w:cs="Arial" w:eastAsia="Arial" w:hint="default"/>
                <w:sz w:val="22"/>
                <w:szCs w:val="22"/>
              </w:rPr>
              <w:t>2-3</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8"/>
              <w:jc w:val="right"/>
              <w:rPr>
                <w:rFonts w:ascii="Arial" w:hAnsi="Arial" w:cs="Arial" w:eastAsia="Arial" w:hint="default"/>
                <w:sz w:val="22"/>
                <w:szCs w:val="22"/>
              </w:rPr>
            </w:pPr>
            <w:r>
              <w:rPr>
                <w:rFonts w:ascii="Arial"/>
                <w:w w:val="95"/>
                <w:sz w:val="22"/>
              </w:rPr>
              <w:t>50%</w:t>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9"/>
              <w:jc w:val="right"/>
              <w:rPr>
                <w:rFonts w:ascii="Arial" w:hAnsi="Arial" w:cs="Arial" w:eastAsia="Arial" w:hint="default"/>
                <w:sz w:val="22"/>
                <w:szCs w:val="22"/>
              </w:rPr>
            </w:pPr>
            <w:r>
              <w:rPr>
                <w:rFonts w:ascii="Arial"/>
                <w:w w:val="95"/>
                <w:sz w:val="22"/>
              </w:rPr>
              <w:t>50%</w:t>
            </w:r>
            <w:r>
              <w:rPr>
                <w:rFonts w:ascii="Arial"/>
                <w:sz w:val="22"/>
              </w:rPr>
            </w:r>
          </w:p>
        </w:tc>
      </w:tr>
      <w:tr>
        <w:trPr>
          <w:trHeight w:val="266" w:hRule="exact"/>
        </w:trPr>
        <w:tc>
          <w:tcPr>
            <w:tcW w:w="3688" w:type="dxa"/>
            <w:tcBorders>
              <w:top w:val="nil" w:sz="6" w:space="0" w:color="auto"/>
              <w:left w:val="nil" w:sz="6" w:space="0" w:color="auto"/>
              <w:bottom w:val="nil" w:sz="6" w:space="0" w:color="auto"/>
              <w:right w:val="nil" w:sz="6" w:space="0" w:color="auto"/>
            </w:tcBorders>
          </w:tcPr>
          <w:p>
            <w:pPr>
              <w:pStyle w:val="TableParagraph"/>
              <w:spacing w:line="255" w:lineRule="exact"/>
              <w:ind w:left="208" w:right="0"/>
              <w:jc w:val="left"/>
              <w:rPr>
                <w:rFonts w:ascii="宋体" w:hAnsi="宋体" w:cs="宋体" w:eastAsia="宋体" w:hint="default"/>
                <w:sz w:val="22"/>
                <w:szCs w:val="22"/>
              </w:rPr>
            </w:pPr>
            <w:r>
              <w:rPr>
                <w:rFonts w:ascii="宋体" w:hAnsi="宋体" w:cs="宋体" w:eastAsia="宋体" w:hint="default"/>
                <w:sz w:val="22"/>
                <w:szCs w:val="22"/>
              </w:rPr>
              <w:t>账龄</w:t>
            </w:r>
            <w:r>
              <w:rPr>
                <w:rFonts w:ascii="宋体" w:hAnsi="宋体" w:cs="宋体" w:eastAsia="宋体" w:hint="default"/>
                <w:spacing w:val="-57"/>
                <w:sz w:val="22"/>
                <w:szCs w:val="22"/>
              </w:rPr>
              <w:t> </w:t>
            </w:r>
            <w:r>
              <w:rPr>
                <w:rFonts w:ascii="Arial" w:hAnsi="Arial" w:cs="Arial" w:eastAsia="Arial" w:hint="default"/>
                <w:sz w:val="22"/>
                <w:szCs w:val="22"/>
              </w:rPr>
              <w:t>3</w:t>
            </w:r>
            <w:r>
              <w:rPr>
                <w:rFonts w:ascii="Arial" w:hAnsi="Arial" w:cs="Arial" w:eastAsia="Arial" w:hint="default"/>
                <w:spacing w:val="-8"/>
                <w:sz w:val="22"/>
                <w:szCs w:val="22"/>
              </w:rPr>
              <w:t> </w:t>
            </w:r>
            <w:r>
              <w:rPr>
                <w:rFonts w:ascii="宋体" w:hAnsi="宋体" w:cs="宋体" w:eastAsia="宋体" w:hint="default"/>
                <w:sz w:val="22"/>
                <w:szCs w:val="22"/>
              </w:rPr>
              <w:t>年以上</w:t>
            </w: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8"/>
              <w:jc w:val="right"/>
              <w:rPr>
                <w:rFonts w:ascii="Arial" w:hAnsi="Arial" w:cs="Arial" w:eastAsia="Arial" w:hint="default"/>
                <w:sz w:val="22"/>
                <w:szCs w:val="22"/>
              </w:rPr>
            </w:pPr>
            <w:r>
              <w:rPr>
                <w:rFonts w:ascii="Arial"/>
                <w:w w:val="95"/>
                <w:sz w:val="22"/>
              </w:rPr>
              <w:t>100%</w:t>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9"/>
              <w:jc w:val="right"/>
              <w:rPr>
                <w:rFonts w:ascii="Arial" w:hAnsi="Arial" w:cs="Arial" w:eastAsia="Arial" w:hint="default"/>
                <w:sz w:val="22"/>
                <w:szCs w:val="22"/>
              </w:rPr>
            </w:pPr>
            <w:r>
              <w:rPr>
                <w:rFonts w:ascii="Arial"/>
                <w:w w:val="95"/>
                <w:sz w:val="22"/>
              </w:rPr>
              <w:t>100%</w:t>
            </w:r>
            <w:r>
              <w:rPr>
                <w:rFonts w:ascii="Arial"/>
                <w:sz w:val="22"/>
              </w:rPr>
            </w:r>
          </w:p>
        </w:tc>
      </w:tr>
    </w:tbl>
    <w:p>
      <w:pPr>
        <w:spacing w:line="240" w:lineRule="auto" w:before="7"/>
        <w:rPr>
          <w:rFonts w:ascii="宋体" w:hAnsi="宋体" w:cs="宋体" w:eastAsia="宋体" w:hint="default"/>
          <w:sz w:val="11"/>
          <w:szCs w:val="11"/>
        </w:rPr>
      </w:pPr>
    </w:p>
    <w:p>
      <w:pPr>
        <w:pStyle w:val="BodyText"/>
        <w:spacing w:line="240" w:lineRule="auto" w:before="31"/>
        <w:ind w:left="118" w:right="5273"/>
        <w:jc w:val="left"/>
      </w:pPr>
      <w:r>
        <w:rPr>
          <w:rFonts w:ascii="Arial" w:hAnsi="Arial" w:cs="Arial" w:eastAsia="Arial" w:hint="default"/>
        </w:rPr>
        <w:t>11</w:t>
      </w:r>
      <w:r>
        <w:rPr/>
        <w:t>、存货</w:t>
      </w:r>
    </w:p>
    <w:p>
      <w:pPr>
        <w:pStyle w:val="BodyText"/>
        <w:tabs>
          <w:tab w:pos="595" w:val="left" w:leader="none"/>
        </w:tabs>
        <w:spacing w:line="240" w:lineRule="auto" w:before="190"/>
        <w:ind w:left="118" w:right="5273"/>
        <w:jc w:val="left"/>
      </w:pPr>
      <w:r>
        <w:rPr>
          <w:rFonts w:ascii="Arial" w:hAnsi="Arial" w:cs="Arial" w:eastAsia="Arial" w:hint="default"/>
          <w:w w:val="95"/>
        </w:rPr>
        <w:t>(a)</w:t>
        <w:tab/>
      </w:r>
      <w:r>
        <w:rPr/>
        <w:t>分类</w:t>
      </w:r>
    </w:p>
    <w:p>
      <w:pPr>
        <w:spacing w:line="240" w:lineRule="auto" w:before="13"/>
        <w:rPr>
          <w:rFonts w:ascii="宋体" w:hAnsi="宋体" w:cs="宋体" w:eastAsia="宋体" w:hint="default"/>
          <w:sz w:val="18"/>
          <w:szCs w:val="18"/>
        </w:rPr>
      </w:pPr>
    </w:p>
    <w:p>
      <w:pPr>
        <w:pStyle w:val="BodyText"/>
        <w:spacing w:line="284" w:lineRule="exact"/>
        <w:ind w:left="595" w:right="0"/>
        <w:jc w:val="left"/>
      </w:pPr>
      <w:r>
        <w:rPr>
          <w:spacing w:val="-1"/>
        </w:rPr>
        <w:t>存货包括手机等通讯终端、手机识别卡（如</w:t>
      </w:r>
      <w:r>
        <w:rPr>
          <w:rFonts w:ascii="Arial" w:hAnsi="Arial" w:cs="Arial" w:eastAsia="Arial" w:hint="default"/>
          <w:spacing w:val="-1"/>
        </w:rPr>
        <w:t>SIM</w:t>
      </w:r>
      <w:r>
        <w:rPr>
          <w:spacing w:val="-1"/>
        </w:rPr>
        <w:t>卡、</w:t>
      </w:r>
      <w:r>
        <w:rPr>
          <w:rFonts w:ascii="Arial" w:hAnsi="Arial" w:cs="Arial" w:eastAsia="Arial" w:hint="default"/>
          <w:spacing w:val="-1"/>
        </w:rPr>
        <w:t>USIM</w:t>
      </w:r>
      <w:r>
        <w:rPr>
          <w:spacing w:val="-1"/>
        </w:rPr>
        <w:t>卡等）及配件等，按成本与可变现</w:t>
      </w:r>
      <w:r>
        <w:rPr>
          <w:spacing w:val="-103"/>
        </w:rPr>
        <w:t> </w:t>
      </w:r>
      <w:r>
        <w:rPr>
          <w:spacing w:val="-103"/>
        </w:rPr>
      </w:r>
      <w:r>
        <w:rPr/>
        <w:t>净值孰低计量。</w:t>
      </w:r>
    </w:p>
    <w:p>
      <w:pPr>
        <w:pStyle w:val="BodyText"/>
        <w:tabs>
          <w:tab w:pos="595" w:val="left" w:leader="none"/>
        </w:tabs>
        <w:spacing w:line="412" w:lineRule="auto" w:before="196"/>
        <w:ind w:left="595" w:right="2193" w:hanging="477"/>
        <w:jc w:val="left"/>
      </w:pPr>
      <w:r>
        <w:rPr>
          <w:rFonts w:ascii="Arial" w:hAnsi="Arial" w:cs="Arial" w:eastAsia="Arial" w:hint="default"/>
          <w:w w:val="95"/>
        </w:rPr>
        <w:t>(b)</w:t>
        <w:tab/>
      </w:r>
      <w:r>
        <w:rPr/>
        <w:t>发出存货的计价方法</w:t>
      </w:r>
      <w:r>
        <w:rPr>
          <w:w w:val="99"/>
        </w:rPr>
        <w:t> </w:t>
      </w:r>
      <w:r>
        <w:rPr>
          <w:w w:val="95"/>
        </w:rPr>
        <w:t>存货于取得时按实际成本入账，存货发出时的成本按先进先出法核算。</w:t>
      </w:r>
      <w:r>
        <w:rPr/>
      </w:r>
    </w:p>
    <w:p>
      <w:pPr>
        <w:spacing w:after="0" w:line="412" w:lineRule="auto"/>
        <w:jc w:val="left"/>
        <w:sectPr>
          <w:headerReference w:type="default" r:id="rId48"/>
          <w:pgSz w:w="11910" w:h="16840"/>
          <w:pgMar w:header="967" w:footer="593" w:top="2820" w:bottom="780" w:left="1440" w:right="860"/>
        </w:sectPr>
      </w:pPr>
    </w:p>
    <w:p>
      <w:pPr>
        <w:spacing w:line="240" w:lineRule="auto" w:before="12"/>
        <w:rPr>
          <w:rFonts w:ascii="宋体" w:hAnsi="宋体" w:cs="宋体" w:eastAsia="宋体" w:hint="default"/>
          <w:sz w:val="14"/>
          <w:szCs w:val="14"/>
        </w:rPr>
      </w:pPr>
    </w:p>
    <w:p>
      <w:pPr>
        <w:pStyle w:val="BodyText"/>
        <w:spacing w:line="240" w:lineRule="auto" w:before="31"/>
        <w:ind w:left="118" w:right="5567"/>
        <w:jc w:val="left"/>
      </w:pPr>
      <w:r>
        <w:rPr>
          <w:rFonts w:ascii="Arial" w:hAnsi="Arial" w:cs="Arial" w:eastAsia="Arial" w:hint="default"/>
        </w:rPr>
        <w:t>11</w:t>
      </w:r>
      <w:r>
        <w:rPr/>
        <w:t>、存货（续）</w:t>
      </w:r>
    </w:p>
    <w:p>
      <w:pPr>
        <w:spacing w:line="240" w:lineRule="auto" w:before="11"/>
        <w:rPr>
          <w:rFonts w:ascii="宋体" w:hAnsi="宋体" w:cs="宋体" w:eastAsia="宋体" w:hint="default"/>
          <w:sz w:val="15"/>
          <w:szCs w:val="15"/>
        </w:rPr>
      </w:pPr>
    </w:p>
    <w:p>
      <w:pPr>
        <w:pStyle w:val="BodyText"/>
        <w:tabs>
          <w:tab w:pos="595" w:val="left" w:leader="none"/>
        </w:tabs>
        <w:spacing w:line="240" w:lineRule="auto"/>
        <w:ind w:left="118" w:right="28"/>
        <w:jc w:val="left"/>
      </w:pPr>
      <w:r>
        <w:rPr>
          <w:rFonts w:ascii="Arial" w:hAnsi="Arial" w:cs="Arial" w:eastAsia="Arial" w:hint="default"/>
          <w:w w:val="95"/>
        </w:rPr>
        <w:t>(c)</w:t>
        <w:tab/>
      </w:r>
      <w:r>
        <w:rPr/>
        <w:t>存货可变现净值的确定依据及存货跌价准备的计提方法</w:t>
      </w:r>
    </w:p>
    <w:p>
      <w:pPr>
        <w:spacing w:line="240" w:lineRule="auto" w:before="13"/>
        <w:rPr>
          <w:rFonts w:ascii="宋体" w:hAnsi="宋体" w:cs="宋体" w:eastAsia="宋体" w:hint="default"/>
          <w:sz w:val="18"/>
          <w:szCs w:val="18"/>
        </w:rPr>
      </w:pPr>
    </w:p>
    <w:p>
      <w:pPr>
        <w:pStyle w:val="BodyText"/>
        <w:spacing w:line="284" w:lineRule="exact"/>
        <w:ind w:left="595" w:right="224"/>
        <w:jc w:val="both"/>
      </w:pPr>
      <w:r>
        <w:rPr/>
        <w:t>存货跌价准备按存货成本高于其可变现净值的差额计提。可变现净值按日常活动中，以存货</w:t>
      </w:r>
      <w:r>
        <w:rPr>
          <w:w w:val="99"/>
        </w:rPr>
        <w:t> </w:t>
      </w:r>
      <w:r>
        <w:rPr/>
        <w:t>的估计售价减去估计的销售费用及相关税费后的金额确定。</w:t>
      </w:r>
    </w:p>
    <w:p>
      <w:pPr>
        <w:pStyle w:val="BodyText"/>
        <w:tabs>
          <w:tab w:pos="595" w:val="left" w:leader="none"/>
        </w:tabs>
        <w:spacing w:line="384" w:lineRule="auto" w:before="183"/>
        <w:ind w:left="118" w:right="5093"/>
        <w:jc w:val="left"/>
      </w:pPr>
      <w:r>
        <w:rPr>
          <w:rFonts w:ascii="Arial" w:hAnsi="Arial" w:cs="Arial" w:eastAsia="Arial" w:hint="default"/>
          <w:w w:val="95"/>
        </w:rPr>
        <w:t>(d)</w:t>
        <w:tab/>
      </w:r>
      <w:r>
        <w:rPr>
          <w:w w:val="95"/>
        </w:rPr>
        <w:t>本集团的存货盘存制度采用永续盘存制。</w:t>
      </w:r>
      <w:r>
        <w:rPr>
          <w:spacing w:val="86"/>
          <w:w w:val="95"/>
        </w:rPr>
        <w:t> </w:t>
      </w:r>
      <w:r>
        <w:rPr>
          <w:rFonts w:ascii="Arial" w:hAnsi="Arial" w:cs="Arial" w:eastAsia="Arial" w:hint="default"/>
          <w:w w:val="95"/>
        </w:rPr>
        <w:t>(e)</w:t>
        <w:tab/>
      </w:r>
      <w:r>
        <w:rPr/>
        <w:t>低值易耗品采用一次转销法进行摊销。</w:t>
      </w:r>
      <w:r>
        <w:rPr>
          <w:w w:val="99"/>
        </w:rPr>
        <w:t> </w:t>
      </w:r>
      <w:r>
        <w:rPr>
          <w:rFonts w:ascii="Arial" w:hAnsi="Arial" w:cs="Arial" w:eastAsia="Arial" w:hint="default"/>
        </w:rPr>
        <w:t>12</w:t>
      </w:r>
      <w:r>
        <w:rPr/>
        <w:t>、长期股权投资</w:t>
      </w:r>
    </w:p>
    <w:p>
      <w:pPr>
        <w:pStyle w:val="BodyText"/>
        <w:spacing w:line="237" w:lineRule="auto" w:before="73"/>
        <w:ind w:left="595" w:right="210"/>
        <w:jc w:val="both"/>
      </w:pPr>
      <w:r>
        <w:rPr/>
        <w:t>长期股权投资包括：本公司对子公司的长期股权投资；本集团对合营企业和联营企业的长期</w:t>
      </w:r>
      <w:r>
        <w:rPr>
          <w:spacing w:val="-97"/>
        </w:rPr>
        <w:t> </w:t>
      </w:r>
      <w:r>
        <w:rPr>
          <w:spacing w:val="-97"/>
        </w:rPr>
      </w:r>
      <w:r>
        <w:rPr/>
        <w:t>股权投资；以及本集团对被投资单位不具有控制、共同控制或重大影响，并且在活跃市场中</w:t>
      </w:r>
      <w:r>
        <w:rPr>
          <w:w w:val="99"/>
        </w:rPr>
        <w:t> </w:t>
      </w:r>
      <w:r>
        <w:rPr/>
        <w:t>没有报价、公允价值不能可靠计量的长期股权投资。</w:t>
      </w:r>
    </w:p>
    <w:p>
      <w:pPr>
        <w:spacing w:line="240" w:lineRule="auto" w:before="5"/>
        <w:rPr>
          <w:rFonts w:ascii="宋体" w:hAnsi="宋体" w:cs="宋体" w:eastAsia="宋体" w:hint="default"/>
          <w:sz w:val="19"/>
          <w:szCs w:val="19"/>
        </w:rPr>
      </w:pPr>
    </w:p>
    <w:p>
      <w:pPr>
        <w:pStyle w:val="BodyText"/>
        <w:spacing w:line="237" w:lineRule="auto"/>
        <w:ind w:left="595" w:right="216"/>
        <w:jc w:val="both"/>
      </w:pPr>
      <w:r>
        <w:rPr/>
        <w:t>子公司是指本公司能够对其实施控制的被投资单位；合营企业是指本集团能够与其他方对其</w:t>
      </w:r>
      <w:r>
        <w:rPr>
          <w:spacing w:val="-104"/>
        </w:rPr>
        <w:t> </w:t>
      </w:r>
      <w:r>
        <w:rPr>
          <w:spacing w:val="-104"/>
        </w:rPr>
      </w:r>
      <w:r>
        <w:rPr/>
        <w:t>实施共同控制的被投资单位；联营企业是指本集团能够对其财务和经营决策具有重大影响的</w:t>
      </w:r>
      <w:r>
        <w:rPr>
          <w:spacing w:val="-108"/>
        </w:rPr>
        <w:t> </w:t>
      </w:r>
      <w:r>
        <w:rPr>
          <w:spacing w:val="-108"/>
        </w:rPr>
      </w:r>
      <w:r>
        <w:rPr/>
        <w:t>被投资单位。</w:t>
      </w:r>
    </w:p>
    <w:p>
      <w:pPr>
        <w:spacing w:line="240" w:lineRule="auto" w:before="5"/>
        <w:rPr>
          <w:rFonts w:ascii="宋体" w:hAnsi="宋体" w:cs="宋体" w:eastAsia="宋体" w:hint="default"/>
          <w:sz w:val="19"/>
          <w:szCs w:val="19"/>
        </w:rPr>
      </w:pPr>
    </w:p>
    <w:p>
      <w:pPr>
        <w:pStyle w:val="BodyText"/>
        <w:spacing w:line="237" w:lineRule="auto"/>
        <w:ind w:left="595" w:right="218"/>
        <w:jc w:val="both"/>
      </w:pPr>
      <w:r>
        <w:rPr/>
        <w:t>对子公司的投资，在公司财务报表中按照成本法确定的金额列示，在编制合并财务报表时按</w:t>
      </w:r>
      <w:r>
        <w:rPr>
          <w:w w:val="99"/>
        </w:rPr>
        <w:t> </w:t>
      </w:r>
      <w:r>
        <w:rPr/>
        <w:t>权益法调整后进行合并；对合营企业和联营企业投资采用权益法核算；对被投资单位不具有</w:t>
      </w:r>
      <w:r>
        <w:rPr>
          <w:spacing w:val="-107"/>
        </w:rPr>
        <w:t> </w:t>
      </w:r>
      <w:r>
        <w:rPr>
          <w:spacing w:val="-107"/>
        </w:rPr>
      </w:r>
      <w:r>
        <w:rPr/>
        <w:t>控制、共同控制或重大影响，并且在活跃市场中没有报价、公允价值不能可靠计量的长期股</w:t>
      </w:r>
      <w:r>
        <w:rPr>
          <w:w w:val="99"/>
        </w:rPr>
        <w:t> </w:t>
      </w:r>
      <w:r>
        <w:rPr/>
        <w:t>权投资，采用成本法核算。</w:t>
      </w:r>
    </w:p>
    <w:p>
      <w:pPr>
        <w:spacing w:line="240" w:lineRule="auto" w:before="13"/>
        <w:rPr>
          <w:rFonts w:ascii="宋体" w:hAnsi="宋体" w:cs="宋体" w:eastAsia="宋体" w:hint="default"/>
          <w:sz w:val="16"/>
          <w:szCs w:val="16"/>
        </w:rPr>
      </w:pPr>
    </w:p>
    <w:p>
      <w:pPr>
        <w:pStyle w:val="BodyText"/>
        <w:tabs>
          <w:tab w:pos="595" w:val="left" w:leader="none"/>
        </w:tabs>
        <w:spacing w:line="240" w:lineRule="auto"/>
        <w:ind w:left="118" w:right="5567"/>
        <w:jc w:val="left"/>
      </w:pPr>
      <w:r>
        <w:rPr>
          <w:rFonts w:ascii="Arial" w:hAnsi="Arial" w:cs="Arial" w:eastAsia="Arial" w:hint="default"/>
          <w:w w:val="95"/>
        </w:rPr>
        <w:t>(a)</w:t>
        <w:tab/>
      </w:r>
      <w:r>
        <w:rPr/>
        <w:t>投资成本确定</w:t>
      </w:r>
    </w:p>
    <w:p>
      <w:pPr>
        <w:spacing w:line="240" w:lineRule="auto" w:before="12"/>
        <w:rPr>
          <w:rFonts w:ascii="宋体" w:hAnsi="宋体" w:cs="宋体" w:eastAsia="宋体" w:hint="default"/>
          <w:sz w:val="16"/>
          <w:szCs w:val="16"/>
        </w:rPr>
      </w:pPr>
    </w:p>
    <w:p>
      <w:pPr>
        <w:pStyle w:val="BodyText"/>
        <w:spacing w:line="237" w:lineRule="auto"/>
        <w:ind w:left="595" w:right="106"/>
        <w:jc w:val="both"/>
      </w:pPr>
      <w:r>
        <w:rPr/>
        <w:t>对于企业合并形成的长期股权投资：同一控制下企业合并取得的长期股权投资，在合并日按</w:t>
      </w:r>
      <w:r>
        <w:rPr>
          <w:spacing w:val="-97"/>
        </w:rPr>
        <w:t> </w:t>
      </w:r>
      <w:r>
        <w:rPr>
          <w:spacing w:val="-97"/>
        </w:rPr>
      </w:r>
      <w:r>
        <w:rPr/>
        <w:t>照取得被合并方所有者权益账面价值的份额作为投资成本；非同一控制下企业合并取得的长</w:t>
      </w:r>
      <w:r>
        <w:rPr>
          <w:w w:val="99"/>
        </w:rPr>
        <w:t> </w:t>
      </w:r>
      <w:r>
        <w:rPr/>
        <w:t>期股权投资，按照合并成本作为长期股权投资的投资成本。本公司个别子公司在以前年度进</w:t>
      </w:r>
      <w:r>
        <w:rPr>
          <w:w w:val="99"/>
        </w:rPr>
        <w:t> </w:t>
      </w:r>
      <w:r>
        <w:rPr>
          <w:spacing w:val="-2"/>
        </w:rPr>
        <w:t>行公司制改建时对其持有的长期股权投资，按国有资产管理部门确认的评估值作为入账价值。</w:t>
      </w:r>
    </w:p>
    <w:p>
      <w:pPr>
        <w:spacing w:line="240" w:lineRule="auto" w:before="5"/>
        <w:rPr>
          <w:rFonts w:ascii="宋体" w:hAnsi="宋体" w:cs="宋体" w:eastAsia="宋体" w:hint="default"/>
          <w:sz w:val="19"/>
          <w:szCs w:val="19"/>
        </w:rPr>
      </w:pPr>
    </w:p>
    <w:p>
      <w:pPr>
        <w:pStyle w:val="BodyText"/>
        <w:spacing w:line="237" w:lineRule="auto"/>
        <w:ind w:left="595" w:right="224"/>
        <w:jc w:val="both"/>
      </w:pPr>
      <w:r>
        <w:rPr/>
        <w:t>对于以企业合并以外的其他方式取得的长期股权投资：支付现金取得的长期股权投资，按照</w:t>
      </w:r>
      <w:r>
        <w:rPr>
          <w:w w:val="99"/>
        </w:rPr>
        <w:t> </w:t>
      </w:r>
      <w:r>
        <w:rPr/>
        <w:t>实际支付的购买价款作为初始投资成本；发行权益性证券取得的长期股权投资，以发行权益</w:t>
      </w:r>
      <w:r>
        <w:rPr>
          <w:w w:val="99"/>
        </w:rPr>
        <w:t> </w:t>
      </w:r>
      <w:r>
        <w:rPr/>
        <w:t>性证券的公允价值作为初始投资成本。</w:t>
      </w:r>
    </w:p>
    <w:p>
      <w:pPr>
        <w:spacing w:line="240" w:lineRule="auto" w:before="13"/>
        <w:rPr>
          <w:rFonts w:ascii="宋体" w:hAnsi="宋体" w:cs="宋体" w:eastAsia="宋体" w:hint="default"/>
          <w:sz w:val="15"/>
          <w:szCs w:val="15"/>
        </w:rPr>
      </w:pPr>
    </w:p>
    <w:p>
      <w:pPr>
        <w:pStyle w:val="BodyText"/>
        <w:tabs>
          <w:tab w:pos="595" w:val="left" w:leader="none"/>
        </w:tabs>
        <w:spacing w:line="240" w:lineRule="auto"/>
        <w:ind w:left="118" w:right="5567"/>
        <w:jc w:val="left"/>
      </w:pPr>
      <w:r>
        <w:rPr>
          <w:rFonts w:ascii="Arial" w:hAnsi="Arial" w:cs="Arial" w:eastAsia="Arial" w:hint="default"/>
          <w:w w:val="95"/>
        </w:rPr>
        <w:t>(b)</w:t>
        <w:tab/>
      </w:r>
      <w:r>
        <w:rPr/>
        <w:t>后续计量及损益确认方法</w:t>
      </w:r>
    </w:p>
    <w:p>
      <w:pPr>
        <w:spacing w:line="240" w:lineRule="auto" w:before="13"/>
        <w:rPr>
          <w:rFonts w:ascii="宋体" w:hAnsi="宋体" w:cs="宋体" w:eastAsia="宋体" w:hint="default"/>
          <w:sz w:val="18"/>
          <w:szCs w:val="18"/>
        </w:rPr>
      </w:pPr>
    </w:p>
    <w:p>
      <w:pPr>
        <w:pStyle w:val="BodyText"/>
        <w:spacing w:line="284" w:lineRule="exact"/>
        <w:ind w:left="595" w:right="220"/>
        <w:jc w:val="both"/>
      </w:pPr>
      <w:r>
        <w:rPr/>
        <w:t>采用成本法核算的长期股权投资，按照初始投资成本计量，被投资单位宣告分派的现金股利</w:t>
      </w:r>
      <w:r>
        <w:rPr>
          <w:w w:val="99"/>
        </w:rPr>
        <w:t> </w:t>
      </w:r>
      <w:r>
        <w:rPr/>
        <w:t>或利润，确认为投资收益计入当期损益。</w:t>
      </w:r>
    </w:p>
    <w:p>
      <w:pPr>
        <w:spacing w:line="240" w:lineRule="auto" w:before="5"/>
        <w:rPr>
          <w:rFonts w:ascii="宋体" w:hAnsi="宋体" w:cs="宋体" w:eastAsia="宋体" w:hint="default"/>
          <w:sz w:val="17"/>
          <w:szCs w:val="17"/>
        </w:rPr>
      </w:pPr>
    </w:p>
    <w:p>
      <w:pPr>
        <w:pStyle w:val="BodyText"/>
        <w:spacing w:line="237" w:lineRule="auto"/>
        <w:ind w:left="595" w:right="224"/>
        <w:jc w:val="both"/>
      </w:pPr>
      <w:r>
        <w:rPr/>
        <w:t>采用权益法核算的长期股权投资，初始投资成本大于投资时应享有被投资单位可辨认净资产</w:t>
      </w:r>
      <w:r>
        <w:rPr>
          <w:w w:val="99"/>
        </w:rPr>
        <w:t> </w:t>
      </w:r>
      <w:r>
        <w:rPr/>
        <w:t>公允价值份额的，以初始投资成本作为长期股权投资成本；初始投资成本小于投资时应享有</w:t>
      </w:r>
      <w:r>
        <w:rPr>
          <w:w w:val="99"/>
        </w:rPr>
        <w:t> </w:t>
      </w:r>
      <w:r>
        <w:rPr/>
        <w:t>被投资单位可辨认净资产公允价值份额的，其差额计入当期损益，并相应调增长期股权投资</w:t>
      </w:r>
      <w:r>
        <w:rPr>
          <w:w w:val="99"/>
        </w:rPr>
        <w:t> </w:t>
      </w:r>
      <w:r>
        <w:rPr/>
        <w:t>成本。</w:t>
      </w:r>
    </w:p>
    <w:p>
      <w:pPr>
        <w:spacing w:after="0" w:line="237" w:lineRule="auto"/>
        <w:jc w:val="both"/>
        <w:sectPr>
          <w:headerReference w:type="default" r:id="rId49"/>
          <w:pgSz w:w="11910" w:h="16840"/>
          <w:pgMar w:header="967" w:footer="593" w:top="2820" w:bottom="780" w:left="1440" w:right="820"/>
        </w:sectPr>
      </w:pPr>
    </w:p>
    <w:p>
      <w:pPr>
        <w:spacing w:line="240" w:lineRule="auto" w:before="9"/>
        <w:rPr>
          <w:rFonts w:ascii="宋体" w:hAnsi="宋体" w:cs="宋体" w:eastAsia="宋体" w:hint="default"/>
          <w:sz w:val="12"/>
          <w:szCs w:val="12"/>
        </w:rPr>
      </w:pPr>
    </w:p>
    <w:p>
      <w:pPr>
        <w:pStyle w:val="BodyText"/>
        <w:spacing w:line="240" w:lineRule="auto" w:before="31"/>
        <w:ind w:left="118" w:right="3270"/>
        <w:jc w:val="left"/>
      </w:pPr>
      <w:r>
        <w:rPr>
          <w:rFonts w:ascii="Arial" w:hAnsi="Arial" w:cs="Arial" w:eastAsia="Arial" w:hint="default"/>
        </w:rPr>
        <w:t>12</w:t>
      </w:r>
      <w:r>
        <w:rPr/>
        <w:t>、长期股权投资（续）</w:t>
      </w:r>
    </w:p>
    <w:p>
      <w:pPr>
        <w:pStyle w:val="BodyText"/>
        <w:tabs>
          <w:tab w:pos="595" w:val="left" w:leader="none"/>
        </w:tabs>
        <w:spacing w:line="240" w:lineRule="auto" w:before="190"/>
        <w:ind w:left="118" w:right="3270"/>
        <w:jc w:val="left"/>
      </w:pPr>
      <w:r>
        <w:rPr>
          <w:rFonts w:ascii="Arial" w:hAnsi="Arial" w:cs="Arial" w:eastAsia="Arial" w:hint="default"/>
          <w:w w:val="95"/>
        </w:rPr>
        <w:t>(b)</w:t>
        <w:tab/>
      </w:r>
      <w:r>
        <w:rPr/>
        <w:t>后续计量及损益确认方法（续）</w:t>
      </w:r>
    </w:p>
    <w:p>
      <w:pPr>
        <w:spacing w:line="240" w:lineRule="auto" w:before="12"/>
        <w:rPr>
          <w:rFonts w:ascii="宋体" w:hAnsi="宋体" w:cs="宋体" w:eastAsia="宋体" w:hint="default"/>
          <w:sz w:val="16"/>
          <w:szCs w:val="16"/>
        </w:rPr>
      </w:pPr>
    </w:p>
    <w:p>
      <w:pPr>
        <w:pStyle w:val="BodyText"/>
        <w:spacing w:line="237" w:lineRule="auto"/>
        <w:ind w:left="595" w:right="115"/>
        <w:jc w:val="both"/>
      </w:pPr>
      <w:r>
        <w:rPr/>
        <w:t>采用权益法核算的长期股权投资，本集团按应享有或应分担的被投资单位的净损益份额确认</w:t>
      </w:r>
      <w:r>
        <w:rPr>
          <w:w w:val="99"/>
        </w:rPr>
        <w:t> </w:t>
      </w:r>
      <w:r>
        <w:rPr/>
        <w:t>当期投资损益。确认被投资单位发生的净亏损，以长期股权投资的账面价值以及其他实质上</w:t>
      </w:r>
      <w:r>
        <w:rPr>
          <w:w w:val="99"/>
        </w:rPr>
        <w:t> </w:t>
      </w:r>
      <w:r>
        <w:rPr/>
        <w:t>构成对被投资单位净投资的长期权益减记至零为限，但本集团负有承担额外损失义务且符合</w:t>
      </w:r>
      <w:r>
        <w:rPr>
          <w:w w:val="99"/>
        </w:rPr>
        <w:t> </w:t>
      </w:r>
      <w:r>
        <w:rPr/>
        <w:t>或有事项准则所规定的预计负债确认条件的，继续确认投资损失并作为预计负债核算。被投</w:t>
      </w:r>
      <w:r>
        <w:rPr>
          <w:w w:val="99"/>
        </w:rPr>
        <w:t> </w:t>
      </w:r>
      <w:r>
        <w:rPr/>
        <w:t>资单位除净损益以外股东权益的其他变动，在本集团持股比例不变的情况下，按照持股比例</w:t>
      </w:r>
      <w:r>
        <w:rPr>
          <w:w w:val="99"/>
        </w:rPr>
        <w:t> </w:t>
      </w:r>
      <w:r>
        <w:rPr/>
        <w:t>计算应享有或承担的部分直接计入资本公积。被投资单位分派的利润或现金股利于宣告分派</w:t>
      </w:r>
      <w:r>
        <w:rPr>
          <w:w w:val="99"/>
        </w:rPr>
        <w:t> </w:t>
      </w:r>
      <w:r>
        <w:rPr/>
        <w:t>时按照本集团应分得的部分，相应减少长期股权投资的账面价值。本集团与被投资单位之间</w:t>
      </w:r>
      <w:r>
        <w:rPr>
          <w:w w:val="99"/>
        </w:rPr>
        <w:t> </w:t>
      </w:r>
      <w:r>
        <w:rPr/>
        <w:t>未实现的内部交易损益按照持股比例计算归属于本集团的部分，予以抵销，在此基础上确认</w:t>
      </w:r>
      <w:r>
        <w:rPr>
          <w:spacing w:val="-105"/>
        </w:rPr>
        <w:t> </w:t>
      </w:r>
      <w:r>
        <w:rPr>
          <w:spacing w:val="-105"/>
        </w:rPr>
      </w:r>
      <w:r>
        <w:rPr/>
        <w:t>投资损益。本集团与被投资单位发生的内部交易损失，其中属于资产减值损失的部分，相应</w:t>
      </w:r>
      <w:r>
        <w:rPr>
          <w:w w:val="99"/>
        </w:rPr>
        <w:t> </w:t>
      </w:r>
      <w:r>
        <w:rPr/>
        <w:t>的未实现损失不予抵销。</w:t>
      </w:r>
    </w:p>
    <w:p>
      <w:pPr>
        <w:spacing w:line="240" w:lineRule="auto" w:before="12"/>
        <w:rPr>
          <w:rFonts w:ascii="宋体" w:hAnsi="宋体" w:cs="宋体" w:eastAsia="宋体" w:hint="default"/>
          <w:sz w:val="16"/>
          <w:szCs w:val="16"/>
        </w:rPr>
      </w:pPr>
    </w:p>
    <w:p>
      <w:pPr>
        <w:pStyle w:val="BodyText"/>
        <w:tabs>
          <w:tab w:pos="595" w:val="left" w:leader="none"/>
        </w:tabs>
        <w:spacing w:line="240" w:lineRule="auto"/>
        <w:ind w:left="118" w:right="3270"/>
        <w:jc w:val="left"/>
      </w:pPr>
      <w:r>
        <w:rPr>
          <w:rFonts w:ascii="Arial" w:hAnsi="Arial" w:cs="Arial" w:eastAsia="Arial" w:hint="default"/>
          <w:w w:val="95"/>
        </w:rPr>
        <w:t>(c)</w:t>
        <w:tab/>
      </w:r>
      <w:r>
        <w:rPr/>
        <w:t>确定对被投资单位具有控制、共同控制、重大影响的依据</w:t>
      </w:r>
    </w:p>
    <w:p>
      <w:pPr>
        <w:spacing w:line="240" w:lineRule="auto" w:before="11"/>
        <w:rPr>
          <w:rFonts w:ascii="宋体" w:hAnsi="宋体" w:cs="宋体" w:eastAsia="宋体" w:hint="default"/>
          <w:sz w:val="18"/>
          <w:szCs w:val="18"/>
        </w:rPr>
      </w:pPr>
    </w:p>
    <w:p>
      <w:pPr>
        <w:pStyle w:val="BodyText"/>
        <w:spacing w:line="286" w:lineRule="exact"/>
        <w:ind w:left="595" w:right="124"/>
        <w:jc w:val="both"/>
      </w:pPr>
      <w:r>
        <w:rPr/>
        <w:t>控制是指有权决定被投资单位的财务和经营政策，并能据以从其经营活动中获取利益。在确</w:t>
      </w:r>
      <w:r>
        <w:rPr>
          <w:w w:val="99"/>
        </w:rPr>
        <w:t> </w:t>
      </w:r>
      <w:r>
        <w:rPr/>
        <w:t>定能否对被投资单位实施控制时，被投资单位当期可转换公司债券、当期可执行认股权证等</w:t>
      </w:r>
      <w:r>
        <w:rPr>
          <w:w w:val="99"/>
        </w:rPr>
        <w:t> </w:t>
      </w:r>
      <w:r>
        <w:rPr/>
        <w:t>潜在表决权因素也同时予以考虑。</w:t>
      </w:r>
    </w:p>
    <w:p>
      <w:pPr>
        <w:spacing w:line="240" w:lineRule="auto" w:before="3"/>
        <w:rPr>
          <w:rFonts w:ascii="宋体" w:hAnsi="宋体" w:cs="宋体" w:eastAsia="宋体" w:hint="default"/>
          <w:sz w:val="19"/>
          <w:szCs w:val="19"/>
        </w:rPr>
      </w:pPr>
    </w:p>
    <w:p>
      <w:pPr>
        <w:pStyle w:val="BodyText"/>
        <w:spacing w:line="286" w:lineRule="exact"/>
        <w:ind w:left="595" w:right="124"/>
        <w:jc w:val="both"/>
      </w:pPr>
      <w:r>
        <w:rPr/>
        <w:t>共同控制是指按照合同约定对某项经济活动所享有的控制，仅在与该项经济活动相关的重要</w:t>
      </w:r>
      <w:r>
        <w:rPr>
          <w:w w:val="99"/>
        </w:rPr>
        <w:t> </w:t>
      </w:r>
      <w:r>
        <w:rPr/>
        <w:t>财务和经营决策需要分享控制权的投资方一致同意时存在。</w:t>
      </w:r>
    </w:p>
    <w:p>
      <w:pPr>
        <w:spacing w:line="240" w:lineRule="auto" w:before="6"/>
        <w:rPr>
          <w:rFonts w:ascii="宋体" w:hAnsi="宋体" w:cs="宋体" w:eastAsia="宋体" w:hint="default"/>
          <w:sz w:val="19"/>
          <w:szCs w:val="19"/>
        </w:rPr>
      </w:pPr>
    </w:p>
    <w:p>
      <w:pPr>
        <w:pStyle w:val="BodyText"/>
        <w:spacing w:line="284" w:lineRule="exact"/>
        <w:ind w:left="595" w:right="124"/>
        <w:jc w:val="both"/>
      </w:pPr>
      <w:r>
        <w:rPr/>
        <w:t>重大影响是指对被投资单位的财务和经营政策有参与决策的权力，但并不能够控制或者与其</w:t>
      </w:r>
      <w:r>
        <w:rPr>
          <w:w w:val="99"/>
        </w:rPr>
        <w:t> </w:t>
      </w:r>
      <w:r>
        <w:rPr/>
        <w:t>他方一起共同控制这些政策的制定。</w:t>
      </w:r>
    </w:p>
    <w:p>
      <w:pPr>
        <w:pStyle w:val="BodyText"/>
        <w:tabs>
          <w:tab w:pos="595" w:val="left" w:leader="none"/>
        </w:tabs>
        <w:spacing w:line="240" w:lineRule="auto" w:before="196"/>
        <w:ind w:left="118" w:right="3270"/>
        <w:jc w:val="left"/>
      </w:pPr>
      <w:r>
        <w:rPr>
          <w:rFonts w:ascii="Arial" w:hAnsi="Arial" w:cs="Arial" w:eastAsia="Arial" w:hint="default"/>
          <w:w w:val="95"/>
        </w:rPr>
        <w:t>(d)</w:t>
        <w:tab/>
      </w:r>
      <w:r>
        <w:rPr/>
        <w:t>长期股权投资减值</w:t>
      </w:r>
    </w:p>
    <w:p>
      <w:pPr>
        <w:spacing w:line="240" w:lineRule="auto" w:before="11"/>
        <w:rPr>
          <w:rFonts w:ascii="宋体" w:hAnsi="宋体" w:cs="宋体" w:eastAsia="宋体" w:hint="default"/>
          <w:sz w:val="18"/>
          <w:szCs w:val="18"/>
        </w:rPr>
      </w:pPr>
    </w:p>
    <w:p>
      <w:pPr>
        <w:pStyle w:val="BodyText"/>
        <w:spacing w:line="235" w:lineRule="auto"/>
        <w:ind w:left="595" w:right="119"/>
        <w:jc w:val="both"/>
      </w:pPr>
      <w:r>
        <w:rPr/>
        <w:t>对子公司、合营企业及联营企业的长期股权投资，当其可收回金额低于其账面价值时，账面</w:t>
      </w:r>
      <w:r>
        <w:rPr>
          <w:spacing w:val="-106"/>
        </w:rPr>
        <w:t> </w:t>
      </w:r>
      <w:r>
        <w:rPr>
          <w:spacing w:val="-106"/>
        </w:rPr>
      </w:r>
      <w:r>
        <w:rPr>
          <w:spacing w:val="2"/>
          <w:w w:val="95"/>
        </w:rPr>
        <w:t>价值减记至可收回金额（附注二</w:t>
      </w:r>
      <w:r>
        <w:rPr>
          <w:rFonts w:ascii="Arial" w:hAnsi="Arial" w:cs="Arial" w:eastAsia="Arial" w:hint="default"/>
          <w:spacing w:val="2"/>
          <w:w w:val="95"/>
        </w:rPr>
        <w:t>(18)</w:t>
      </w:r>
      <w:r>
        <w:rPr>
          <w:spacing w:val="2"/>
          <w:w w:val="95"/>
        </w:rPr>
        <w:t>）。在活跃市场中没有报价且其公允价值不能可靠计量</w:t>
      </w:r>
      <w:r>
        <w:rPr>
          <w:spacing w:val="106"/>
          <w:w w:val="95"/>
        </w:rPr>
        <w:t> </w:t>
      </w:r>
      <w:r>
        <w:rPr>
          <w:spacing w:val="106"/>
          <w:w w:val="95"/>
        </w:rPr>
      </w:r>
      <w:r>
        <w:rPr/>
        <w:t>的其他长期股权投资发生减值时，按其账面价值超过按类似金融资产当时市场收益率对未来</w:t>
      </w:r>
      <w:r>
        <w:rPr>
          <w:w w:val="99"/>
        </w:rPr>
        <w:t> </w:t>
      </w:r>
      <w:r>
        <w:rPr/>
        <w:t>现金流量折现确定的现值之间的差额，确认减值损失。减值损失一经确认，以后期间不予转</w:t>
      </w:r>
      <w:r>
        <w:rPr>
          <w:w w:val="99"/>
        </w:rPr>
        <w:t> </w:t>
      </w:r>
      <w:r>
        <w:rPr/>
        <w:t>回价值得以恢复的部分。</w:t>
      </w:r>
    </w:p>
    <w:p>
      <w:pPr>
        <w:spacing w:line="240" w:lineRule="auto" w:before="12"/>
        <w:rPr>
          <w:rFonts w:ascii="宋体" w:hAnsi="宋体" w:cs="宋体" w:eastAsia="宋体" w:hint="default"/>
          <w:sz w:val="16"/>
          <w:szCs w:val="16"/>
        </w:rPr>
      </w:pPr>
    </w:p>
    <w:p>
      <w:pPr>
        <w:pStyle w:val="BodyText"/>
        <w:spacing w:line="240" w:lineRule="auto"/>
        <w:ind w:left="118" w:right="3270"/>
        <w:jc w:val="left"/>
      </w:pPr>
      <w:r>
        <w:rPr>
          <w:rFonts w:ascii="Arial" w:hAnsi="Arial" w:cs="Arial" w:eastAsia="Arial" w:hint="default"/>
        </w:rPr>
        <w:t>13</w:t>
      </w:r>
      <w:r>
        <w:rPr/>
        <w:t>、固定资产</w:t>
      </w:r>
    </w:p>
    <w:p>
      <w:pPr>
        <w:pStyle w:val="BodyText"/>
        <w:tabs>
          <w:tab w:pos="595" w:val="left" w:leader="none"/>
        </w:tabs>
        <w:spacing w:line="240" w:lineRule="auto" w:before="189"/>
        <w:ind w:left="118" w:right="3270"/>
        <w:jc w:val="left"/>
      </w:pPr>
      <w:r>
        <w:rPr>
          <w:rFonts w:ascii="Arial" w:hAnsi="Arial" w:cs="Arial" w:eastAsia="Arial" w:hint="default"/>
          <w:w w:val="95"/>
        </w:rPr>
        <w:t>(a)</w:t>
        <w:tab/>
      </w:r>
      <w:r>
        <w:rPr/>
        <w:t>固定资产确认及初始计量</w:t>
      </w:r>
    </w:p>
    <w:p>
      <w:pPr>
        <w:spacing w:line="240" w:lineRule="auto" w:before="12"/>
        <w:rPr>
          <w:rFonts w:ascii="宋体" w:hAnsi="宋体" w:cs="宋体" w:eastAsia="宋体" w:hint="default"/>
          <w:sz w:val="16"/>
          <w:szCs w:val="16"/>
        </w:rPr>
      </w:pPr>
    </w:p>
    <w:p>
      <w:pPr>
        <w:pStyle w:val="BodyText"/>
        <w:spacing w:line="237" w:lineRule="auto"/>
        <w:ind w:left="607" w:right="119"/>
        <w:jc w:val="both"/>
      </w:pPr>
      <w:r>
        <w:rPr/>
        <w:t>固定资产主要包括房屋及建筑物、通信设备以及办公设备等。固定资产在与其有关的经济利</w:t>
      </w:r>
      <w:r>
        <w:rPr>
          <w:w w:val="99"/>
        </w:rPr>
        <w:t> </w:t>
      </w:r>
      <w:r>
        <w:rPr/>
        <w:t>益很可能流入本集团、且其成本能够可靠计量时予以确认。购置或新建的固定资产按取得时</w:t>
      </w:r>
      <w:r>
        <w:rPr>
          <w:w w:val="99"/>
        </w:rPr>
        <w:t> </w:t>
      </w:r>
      <w:r>
        <w:rPr/>
        <w:t>的成本进行初始计量。本集团在进行重组时，国有股股东投入的固定资产，按国有资产管理</w:t>
      </w:r>
      <w:r>
        <w:rPr>
          <w:w w:val="99"/>
        </w:rPr>
        <w:t> </w:t>
      </w:r>
      <w:r>
        <w:rPr/>
        <w:t>部门确认的评估值作为入账价值。</w:t>
      </w:r>
    </w:p>
    <w:p>
      <w:pPr>
        <w:spacing w:after="0" w:line="237" w:lineRule="auto"/>
        <w:jc w:val="both"/>
        <w:sectPr>
          <w:headerReference w:type="default" r:id="rId50"/>
          <w:pgSz w:w="11910" w:h="16840"/>
          <w:pgMar w:header="967" w:footer="593" w:top="2820" w:bottom="780" w:left="1440" w:right="920"/>
        </w:sectPr>
      </w:pPr>
    </w:p>
    <w:p>
      <w:pPr>
        <w:spacing w:line="240" w:lineRule="auto" w:before="9"/>
        <w:rPr>
          <w:rFonts w:ascii="宋体" w:hAnsi="宋体" w:cs="宋体" w:eastAsia="宋体" w:hint="default"/>
          <w:sz w:val="12"/>
          <w:szCs w:val="12"/>
        </w:rPr>
      </w:pPr>
    </w:p>
    <w:p>
      <w:pPr>
        <w:pStyle w:val="BodyText"/>
        <w:spacing w:line="240" w:lineRule="auto" w:before="31"/>
        <w:ind w:left="118" w:right="5567"/>
        <w:jc w:val="left"/>
      </w:pPr>
      <w:r>
        <w:rPr>
          <w:rFonts w:ascii="Arial" w:hAnsi="Arial" w:cs="Arial" w:eastAsia="Arial" w:hint="default"/>
        </w:rPr>
        <w:t>13</w:t>
      </w:r>
      <w:r>
        <w:rPr/>
        <w:t>、固定资产（续）</w:t>
      </w:r>
    </w:p>
    <w:p>
      <w:pPr>
        <w:pStyle w:val="BodyText"/>
        <w:tabs>
          <w:tab w:pos="595" w:val="left" w:leader="none"/>
        </w:tabs>
        <w:spacing w:line="240" w:lineRule="auto" w:before="190"/>
        <w:ind w:left="118" w:right="5567"/>
        <w:jc w:val="left"/>
      </w:pPr>
      <w:r>
        <w:rPr>
          <w:rFonts w:ascii="Arial" w:hAnsi="Arial" w:cs="Arial" w:eastAsia="Arial" w:hint="default"/>
          <w:w w:val="95"/>
        </w:rPr>
        <w:t>(a)</w:t>
        <w:tab/>
      </w:r>
      <w:r>
        <w:rPr/>
        <w:t>固定资产确认及初始计量（续）</w:t>
      </w:r>
    </w:p>
    <w:p>
      <w:pPr>
        <w:spacing w:line="240" w:lineRule="auto" w:before="12"/>
        <w:rPr>
          <w:rFonts w:ascii="宋体" w:hAnsi="宋体" w:cs="宋体" w:eastAsia="宋体" w:hint="default"/>
          <w:sz w:val="16"/>
          <w:szCs w:val="16"/>
        </w:rPr>
      </w:pPr>
    </w:p>
    <w:p>
      <w:pPr>
        <w:pStyle w:val="BodyText"/>
        <w:spacing w:line="237" w:lineRule="auto"/>
        <w:ind w:left="607" w:right="221"/>
        <w:jc w:val="both"/>
      </w:pPr>
      <w:r>
        <w:rPr/>
        <w:t>与固定资产有关的后续支出，在与其相关的经济利益很可能流入本集团且其成本能够可靠的</w:t>
      </w:r>
      <w:r>
        <w:rPr>
          <w:w w:val="99"/>
        </w:rPr>
        <w:t> </w:t>
      </w:r>
      <w:r>
        <w:rPr/>
        <w:t>计量时，计入固定资产成本；对于被替换的部分，终止确认其账面价值；所有其他后续支出</w:t>
      </w:r>
      <w:r>
        <w:rPr>
          <w:w w:val="99"/>
        </w:rPr>
        <w:t> </w:t>
      </w:r>
      <w:r>
        <w:rPr/>
        <w:t>于发生时计入当期损益。</w:t>
      </w:r>
    </w:p>
    <w:p>
      <w:pPr>
        <w:spacing w:line="240" w:lineRule="auto" w:before="13"/>
        <w:rPr>
          <w:rFonts w:ascii="宋体" w:hAnsi="宋体" w:cs="宋体" w:eastAsia="宋体" w:hint="default"/>
          <w:sz w:val="16"/>
          <w:szCs w:val="16"/>
        </w:rPr>
      </w:pPr>
    </w:p>
    <w:p>
      <w:pPr>
        <w:pStyle w:val="BodyText"/>
        <w:tabs>
          <w:tab w:pos="595" w:val="left" w:leader="none"/>
        </w:tabs>
        <w:spacing w:line="240" w:lineRule="auto"/>
        <w:ind w:left="118" w:right="5567"/>
        <w:jc w:val="left"/>
      </w:pPr>
      <w:r>
        <w:rPr>
          <w:rFonts w:ascii="Arial" w:hAnsi="Arial" w:cs="Arial" w:eastAsia="Arial" w:hint="default"/>
          <w:w w:val="95"/>
        </w:rPr>
        <w:t>(b)</w:t>
        <w:tab/>
      </w:r>
      <w:r>
        <w:rPr/>
        <w:t>固定资产的折旧方法</w:t>
      </w:r>
    </w:p>
    <w:p>
      <w:pPr>
        <w:spacing w:line="240" w:lineRule="auto" w:before="12"/>
        <w:rPr>
          <w:rFonts w:ascii="宋体" w:hAnsi="宋体" w:cs="宋体" w:eastAsia="宋体" w:hint="default"/>
          <w:sz w:val="16"/>
          <w:szCs w:val="16"/>
        </w:rPr>
      </w:pPr>
    </w:p>
    <w:p>
      <w:pPr>
        <w:pStyle w:val="BodyText"/>
        <w:spacing w:line="237" w:lineRule="auto"/>
        <w:ind w:left="607" w:right="227"/>
        <w:jc w:val="both"/>
      </w:pPr>
      <w:r>
        <w:rPr/>
        <w:t>固定资产折旧采用年限平均法并按其入账价值减去预计净残值后在预计使用寿命内计提。对</w:t>
      </w:r>
      <w:r>
        <w:rPr>
          <w:w w:val="99"/>
        </w:rPr>
        <w:t> </w:t>
      </w:r>
      <w:r>
        <w:rPr/>
        <w:t>计提了减值准备的固定资产，则在未来期间按扣除减值准备后的账面价值及依据尚可使用年</w:t>
      </w:r>
      <w:r>
        <w:rPr>
          <w:w w:val="99"/>
        </w:rPr>
        <w:t> </w:t>
      </w:r>
      <w:r>
        <w:rPr/>
        <w:t>限确定折旧额。</w:t>
      </w:r>
    </w:p>
    <w:p>
      <w:pPr>
        <w:spacing w:line="240" w:lineRule="auto" w:before="3"/>
        <w:rPr>
          <w:rFonts w:ascii="宋体" w:hAnsi="宋体" w:cs="宋体" w:eastAsia="宋体" w:hint="default"/>
          <w:sz w:val="19"/>
          <w:szCs w:val="19"/>
        </w:rPr>
      </w:pPr>
    </w:p>
    <w:p>
      <w:pPr>
        <w:pStyle w:val="BodyText"/>
        <w:spacing w:line="240" w:lineRule="auto"/>
        <w:ind w:left="607" w:right="0"/>
        <w:jc w:val="both"/>
      </w:pPr>
      <w:r>
        <w:rPr/>
        <w:t>固定资产的预计使用寿命、净残值率及年折旧率列示如下：</w:t>
      </w:r>
    </w:p>
    <w:p>
      <w:pPr>
        <w:spacing w:line="240" w:lineRule="auto" w:before="4"/>
        <w:rPr>
          <w:rFonts w:ascii="宋体" w:hAnsi="宋体" w:cs="宋体" w:eastAsia="宋体" w:hint="default"/>
          <w:sz w:val="24"/>
          <w:szCs w:val="24"/>
        </w:rPr>
      </w:pPr>
    </w:p>
    <w:tbl>
      <w:tblPr>
        <w:tblW w:w="0" w:type="auto"/>
        <w:jc w:val="left"/>
        <w:tblInd w:w="401" w:type="dxa"/>
        <w:tblLayout w:type="fixed"/>
        <w:tblCellMar>
          <w:top w:w="0" w:type="dxa"/>
          <w:left w:w="0" w:type="dxa"/>
          <w:bottom w:w="0" w:type="dxa"/>
          <w:right w:w="0" w:type="dxa"/>
        </w:tblCellMar>
        <w:tblLook w:val="01E0"/>
      </w:tblPr>
      <w:tblGrid>
        <w:gridCol w:w="2406"/>
        <w:gridCol w:w="2096"/>
        <w:gridCol w:w="272"/>
        <w:gridCol w:w="1803"/>
        <w:gridCol w:w="239"/>
        <w:gridCol w:w="2170"/>
      </w:tblGrid>
      <w:tr>
        <w:trPr>
          <w:trHeight w:val="261" w:hRule="exact"/>
        </w:trPr>
        <w:tc>
          <w:tcPr>
            <w:tcW w:w="2406" w:type="dxa"/>
            <w:tcBorders>
              <w:top w:val="nil" w:sz="6" w:space="0" w:color="auto"/>
              <w:left w:val="nil" w:sz="6" w:space="0" w:color="auto"/>
              <w:bottom w:val="nil" w:sz="6" w:space="0" w:color="auto"/>
              <w:right w:val="nil" w:sz="6" w:space="0" w:color="auto"/>
            </w:tcBorders>
          </w:tcPr>
          <w:p>
            <w:pPr/>
          </w:p>
        </w:tc>
        <w:tc>
          <w:tcPr>
            <w:tcW w:w="2096" w:type="dxa"/>
            <w:tcBorders>
              <w:top w:val="nil" w:sz="6" w:space="0" w:color="auto"/>
              <w:left w:val="nil" w:sz="6" w:space="0" w:color="auto"/>
              <w:bottom w:val="single" w:sz="6" w:space="0" w:color="000000"/>
              <w:right w:val="nil" w:sz="6" w:space="0" w:color="auto"/>
            </w:tcBorders>
          </w:tcPr>
          <w:p>
            <w:pPr>
              <w:pStyle w:val="TableParagraph"/>
              <w:spacing w:line="220" w:lineRule="exact"/>
              <w:ind w:right="106"/>
              <w:jc w:val="right"/>
              <w:rPr>
                <w:rFonts w:ascii="宋体" w:hAnsi="宋体" w:cs="宋体" w:eastAsia="宋体" w:hint="default"/>
                <w:sz w:val="22"/>
                <w:szCs w:val="22"/>
              </w:rPr>
            </w:pPr>
            <w:r>
              <w:rPr>
                <w:rFonts w:ascii="宋体" w:hAnsi="宋体" w:cs="宋体" w:eastAsia="宋体" w:hint="default"/>
                <w:w w:val="95"/>
                <w:sz w:val="22"/>
                <w:szCs w:val="22"/>
              </w:rPr>
              <w:t>预计使用寿命</w:t>
            </w:r>
            <w:r>
              <w:rPr>
                <w:rFonts w:ascii="宋体" w:hAnsi="宋体" w:cs="宋体" w:eastAsia="宋体" w:hint="default"/>
                <w:sz w:val="22"/>
                <w:szCs w:val="22"/>
              </w:rPr>
            </w:r>
          </w:p>
        </w:tc>
        <w:tc>
          <w:tcPr>
            <w:tcW w:w="272" w:type="dxa"/>
            <w:tcBorders>
              <w:top w:val="nil" w:sz="6" w:space="0" w:color="auto"/>
              <w:left w:val="nil" w:sz="6" w:space="0" w:color="auto"/>
              <w:bottom w:val="nil" w:sz="6" w:space="0" w:color="auto"/>
              <w:right w:val="nil" w:sz="6" w:space="0" w:color="auto"/>
            </w:tcBorders>
          </w:tcPr>
          <w:p>
            <w:pPr/>
          </w:p>
        </w:tc>
        <w:tc>
          <w:tcPr>
            <w:tcW w:w="1803" w:type="dxa"/>
            <w:tcBorders>
              <w:top w:val="nil" w:sz="6" w:space="0" w:color="auto"/>
              <w:left w:val="nil" w:sz="6" w:space="0" w:color="auto"/>
              <w:bottom w:val="single" w:sz="6" w:space="0" w:color="000000"/>
              <w:right w:val="nil" w:sz="6" w:space="0" w:color="auto"/>
            </w:tcBorders>
          </w:tcPr>
          <w:p>
            <w:pPr>
              <w:pStyle w:val="TableParagraph"/>
              <w:spacing w:line="220" w:lineRule="exact"/>
              <w:ind w:right="242"/>
              <w:jc w:val="right"/>
              <w:rPr>
                <w:rFonts w:ascii="宋体" w:hAnsi="宋体" w:cs="宋体" w:eastAsia="宋体" w:hint="default"/>
                <w:sz w:val="22"/>
                <w:szCs w:val="22"/>
              </w:rPr>
            </w:pPr>
            <w:r>
              <w:rPr>
                <w:rFonts w:ascii="宋体" w:hAnsi="宋体" w:cs="宋体" w:eastAsia="宋体" w:hint="default"/>
                <w:w w:val="95"/>
                <w:sz w:val="22"/>
                <w:szCs w:val="22"/>
              </w:rPr>
              <w:t>预计净残值率</w:t>
            </w:r>
            <w:r>
              <w:rPr>
                <w:rFonts w:ascii="宋体" w:hAnsi="宋体" w:cs="宋体" w:eastAsia="宋体" w:hint="default"/>
                <w:sz w:val="22"/>
                <w:szCs w:val="22"/>
              </w:rPr>
            </w:r>
          </w:p>
        </w:tc>
        <w:tc>
          <w:tcPr>
            <w:tcW w:w="239"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single" w:sz="6" w:space="0" w:color="000000"/>
              <w:right w:val="nil" w:sz="6" w:space="0" w:color="auto"/>
            </w:tcBorders>
          </w:tcPr>
          <w:p>
            <w:pPr>
              <w:pStyle w:val="TableParagraph"/>
              <w:spacing w:line="220" w:lineRule="exact"/>
              <w:ind w:right="108"/>
              <w:jc w:val="right"/>
              <w:rPr>
                <w:rFonts w:ascii="宋体" w:hAnsi="宋体" w:cs="宋体" w:eastAsia="宋体" w:hint="default"/>
                <w:sz w:val="22"/>
                <w:szCs w:val="22"/>
              </w:rPr>
            </w:pPr>
            <w:r>
              <w:rPr>
                <w:rFonts w:ascii="宋体" w:hAnsi="宋体" w:cs="宋体" w:eastAsia="宋体" w:hint="default"/>
                <w:w w:val="95"/>
                <w:sz w:val="22"/>
                <w:szCs w:val="22"/>
              </w:rPr>
              <w:t>年折旧率</w:t>
            </w:r>
            <w:r>
              <w:rPr>
                <w:rFonts w:ascii="宋体" w:hAnsi="宋体" w:cs="宋体" w:eastAsia="宋体" w:hint="default"/>
                <w:sz w:val="22"/>
                <w:szCs w:val="22"/>
              </w:rPr>
            </w:r>
          </w:p>
        </w:tc>
      </w:tr>
      <w:tr>
        <w:trPr>
          <w:trHeight w:val="513" w:hRule="exact"/>
        </w:trPr>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200" w:right="0"/>
              <w:jc w:val="left"/>
              <w:rPr>
                <w:rFonts w:ascii="宋体" w:hAnsi="宋体" w:cs="宋体" w:eastAsia="宋体" w:hint="default"/>
                <w:sz w:val="22"/>
                <w:szCs w:val="22"/>
              </w:rPr>
            </w:pPr>
            <w:r>
              <w:rPr>
                <w:rFonts w:ascii="宋体" w:hAnsi="宋体" w:cs="宋体" w:eastAsia="宋体" w:hint="default"/>
                <w:sz w:val="22"/>
                <w:szCs w:val="22"/>
              </w:rPr>
              <w:t>房屋建筑物</w:t>
            </w:r>
          </w:p>
        </w:tc>
        <w:tc>
          <w:tcPr>
            <w:tcW w:w="2096" w:type="dxa"/>
            <w:tcBorders>
              <w:top w:val="single" w:sz="6" w:space="0" w:color="000000"/>
              <w:left w:val="nil" w:sz="6" w:space="0" w:color="auto"/>
              <w:bottom w:val="nil" w:sz="6" w:space="0" w:color="auto"/>
              <w:right w:val="nil" w:sz="6" w:space="0" w:color="auto"/>
            </w:tcBorders>
          </w:tcPr>
          <w:p>
            <w:pPr>
              <w:pStyle w:val="TableParagraph"/>
              <w:spacing w:line="240" w:lineRule="auto" w:before="171"/>
              <w:ind w:right="107"/>
              <w:jc w:val="right"/>
              <w:rPr>
                <w:rFonts w:ascii="宋体" w:hAnsi="宋体" w:cs="宋体" w:eastAsia="宋体" w:hint="default"/>
                <w:sz w:val="22"/>
                <w:szCs w:val="22"/>
              </w:rPr>
            </w:pPr>
            <w:r>
              <w:rPr>
                <w:rFonts w:ascii="Arial" w:hAnsi="Arial" w:cs="Arial" w:eastAsia="Arial" w:hint="default"/>
                <w:sz w:val="22"/>
                <w:szCs w:val="22"/>
              </w:rPr>
              <w:t>10-30</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72" w:type="dxa"/>
            <w:tcBorders>
              <w:top w:val="nil" w:sz="6" w:space="0" w:color="auto"/>
              <w:left w:val="nil" w:sz="6" w:space="0" w:color="auto"/>
              <w:bottom w:val="nil" w:sz="6" w:space="0" w:color="auto"/>
              <w:right w:val="nil" w:sz="6" w:space="0" w:color="auto"/>
            </w:tcBorders>
          </w:tcPr>
          <w:p>
            <w:pPr/>
          </w:p>
        </w:tc>
        <w:tc>
          <w:tcPr>
            <w:tcW w:w="1803"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8"/>
              <w:jc w:val="right"/>
              <w:rPr>
                <w:rFonts w:ascii="Arial" w:hAnsi="Arial" w:cs="Arial" w:eastAsia="Arial" w:hint="default"/>
                <w:sz w:val="22"/>
                <w:szCs w:val="22"/>
              </w:rPr>
            </w:pPr>
            <w:r>
              <w:rPr>
                <w:rFonts w:ascii="Arial"/>
                <w:w w:val="95"/>
                <w:sz w:val="22"/>
              </w:rPr>
              <w:t>3%-5%</w:t>
            </w:r>
            <w:r>
              <w:rPr>
                <w:rFonts w:ascii="Arial"/>
                <w:sz w:val="22"/>
              </w:rPr>
            </w:r>
          </w:p>
        </w:tc>
        <w:tc>
          <w:tcPr>
            <w:tcW w:w="239" w:type="dxa"/>
            <w:tcBorders>
              <w:top w:val="nil" w:sz="6" w:space="0" w:color="auto"/>
              <w:left w:val="nil" w:sz="6" w:space="0" w:color="auto"/>
              <w:bottom w:val="nil" w:sz="6" w:space="0" w:color="auto"/>
              <w:right w:val="nil" w:sz="6" w:space="0" w:color="auto"/>
            </w:tcBorders>
          </w:tcPr>
          <w:p>
            <w:pPr/>
          </w:p>
        </w:tc>
        <w:tc>
          <w:tcPr>
            <w:tcW w:w="2170"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9"/>
              <w:jc w:val="right"/>
              <w:rPr>
                <w:rFonts w:ascii="Arial" w:hAnsi="Arial" w:cs="Arial" w:eastAsia="Arial" w:hint="default"/>
                <w:sz w:val="22"/>
                <w:szCs w:val="22"/>
              </w:rPr>
            </w:pPr>
            <w:r>
              <w:rPr>
                <w:rFonts w:ascii="Arial"/>
                <w:w w:val="95"/>
                <w:sz w:val="22"/>
              </w:rPr>
              <w:t>3.17%-9.70%</w:t>
            </w:r>
            <w:r>
              <w:rPr>
                <w:rFonts w:ascii="Arial"/>
                <w:sz w:val="22"/>
              </w:rPr>
            </w:r>
          </w:p>
        </w:tc>
      </w:tr>
      <w:tr>
        <w:trPr>
          <w:trHeight w:val="286" w:hRule="exact"/>
        </w:trPr>
        <w:tc>
          <w:tcPr>
            <w:tcW w:w="2406"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通信设备</w:t>
            </w:r>
          </w:p>
        </w:tc>
        <w:tc>
          <w:tcPr>
            <w:tcW w:w="2096" w:type="dxa"/>
            <w:tcBorders>
              <w:top w:val="nil" w:sz="6" w:space="0" w:color="auto"/>
              <w:left w:val="nil" w:sz="6" w:space="0" w:color="auto"/>
              <w:bottom w:val="nil" w:sz="6" w:space="0" w:color="auto"/>
              <w:right w:val="nil" w:sz="6" w:space="0" w:color="auto"/>
            </w:tcBorders>
          </w:tcPr>
          <w:p>
            <w:pPr>
              <w:pStyle w:val="TableParagraph"/>
              <w:spacing w:line="255" w:lineRule="exact"/>
              <w:ind w:right="107"/>
              <w:jc w:val="right"/>
              <w:rPr>
                <w:rFonts w:ascii="宋体" w:hAnsi="宋体" w:cs="宋体" w:eastAsia="宋体" w:hint="default"/>
                <w:sz w:val="22"/>
                <w:szCs w:val="22"/>
              </w:rPr>
            </w:pPr>
            <w:r>
              <w:rPr>
                <w:rFonts w:ascii="Arial" w:hAnsi="Arial" w:cs="Arial" w:eastAsia="Arial" w:hint="default"/>
                <w:sz w:val="22"/>
                <w:szCs w:val="22"/>
              </w:rPr>
              <w:t>5-10</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72" w:type="dxa"/>
            <w:tcBorders>
              <w:top w:val="nil" w:sz="6" w:space="0" w:color="auto"/>
              <w:left w:val="nil" w:sz="6" w:space="0" w:color="auto"/>
              <w:bottom w:val="nil" w:sz="6" w:space="0" w:color="auto"/>
              <w:right w:val="nil" w:sz="6" w:space="0" w:color="auto"/>
            </w:tcBorders>
          </w:tcPr>
          <w:p>
            <w:pP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68"/>
              <w:jc w:val="right"/>
              <w:rPr>
                <w:rFonts w:ascii="Arial" w:hAnsi="Arial" w:cs="Arial" w:eastAsia="Arial" w:hint="default"/>
                <w:sz w:val="22"/>
                <w:szCs w:val="22"/>
              </w:rPr>
            </w:pPr>
            <w:r>
              <w:rPr>
                <w:rFonts w:ascii="Arial"/>
                <w:w w:val="95"/>
                <w:sz w:val="22"/>
              </w:rPr>
              <w:t>3%-5%</w:t>
            </w:r>
            <w:r>
              <w:rPr>
                <w:rFonts w:ascii="Arial"/>
                <w:sz w:val="22"/>
              </w:rPr>
            </w:r>
          </w:p>
        </w:tc>
        <w:tc>
          <w:tcPr>
            <w:tcW w:w="239"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9"/>
              <w:jc w:val="right"/>
              <w:rPr>
                <w:rFonts w:ascii="Arial" w:hAnsi="Arial" w:cs="Arial" w:eastAsia="Arial" w:hint="default"/>
                <w:sz w:val="22"/>
                <w:szCs w:val="22"/>
              </w:rPr>
            </w:pPr>
            <w:r>
              <w:rPr>
                <w:rFonts w:ascii="Arial"/>
                <w:w w:val="95"/>
                <w:sz w:val="22"/>
              </w:rPr>
              <w:t>9.50%-19.40%</w:t>
            </w:r>
            <w:r>
              <w:rPr>
                <w:rFonts w:ascii="Arial"/>
                <w:sz w:val="22"/>
              </w:rPr>
            </w:r>
          </w:p>
        </w:tc>
      </w:tr>
      <w:tr>
        <w:trPr>
          <w:trHeight w:val="266" w:hRule="exact"/>
        </w:trPr>
        <w:tc>
          <w:tcPr>
            <w:tcW w:w="2406"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办公设备及其他</w:t>
            </w:r>
          </w:p>
        </w:tc>
        <w:tc>
          <w:tcPr>
            <w:tcW w:w="2096" w:type="dxa"/>
            <w:tcBorders>
              <w:top w:val="nil" w:sz="6" w:space="0" w:color="auto"/>
              <w:left w:val="nil" w:sz="6" w:space="0" w:color="auto"/>
              <w:bottom w:val="nil" w:sz="6" w:space="0" w:color="auto"/>
              <w:right w:val="nil" w:sz="6" w:space="0" w:color="auto"/>
            </w:tcBorders>
          </w:tcPr>
          <w:p>
            <w:pPr>
              <w:pStyle w:val="TableParagraph"/>
              <w:spacing w:line="255" w:lineRule="exact"/>
              <w:ind w:right="107"/>
              <w:jc w:val="right"/>
              <w:rPr>
                <w:rFonts w:ascii="宋体" w:hAnsi="宋体" w:cs="宋体" w:eastAsia="宋体" w:hint="default"/>
                <w:sz w:val="22"/>
                <w:szCs w:val="22"/>
              </w:rPr>
            </w:pPr>
            <w:r>
              <w:rPr>
                <w:rFonts w:ascii="Arial" w:hAnsi="Arial" w:cs="Arial" w:eastAsia="Arial" w:hint="default"/>
                <w:sz w:val="22"/>
                <w:szCs w:val="22"/>
              </w:rPr>
              <w:t>5-10</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72" w:type="dxa"/>
            <w:tcBorders>
              <w:top w:val="nil" w:sz="6" w:space="0" w:color="auto"/>
              <w:left w:val="nil" w:sz="6" w:space="0" w:color="auto"/>
              <w:bottom w:val="nil" w:sz="6" w:space="0" w:color="auto"/>
              <w:right w:val="nil" w:sz="6" w:space="0" w:color="auto"/>
            </w:tcBorders>
          </w:tcPr>
          <w:p>
            <w:pP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68"/>
              <w:jc w:val="right"/>
              <w:rPr>
                <w:rFonts w:ascii="Arial" w:hAnsi="Arial" w:cs="Arial" w:eastAsia="Arial" w:hint="default"/>
                <w:sz w:val="22"/>
                <w:szCs w:val="22"/>
              </w:rPr>
            </w:pPr>
            <w:r>
              <w:rPr>
                <w:rFonts w:ascii="Arial"/>
                <w:w w:val="95"/>
                <w:sz w:val="22"/>
              </w:rPr>
              <w:t>3%-5%</w:t>
            </w:r>
            <w:r>
              <w:rPr>
                <w:rFonts w:ascii="Arial"/>
                <w:sz w:val="22"/>
              </w:rPr>
            </w:r>
          </w:p>
        </w:tc>
        <w:tc>
          <w:tcPr>
            <w:tcW w:w="239"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9"/>
              <w:jc w:val="right"/>
              <w:rPr>
                <w:rFonts w:ascii="Arial" w:hAnsi="Arial" w:cs="Arial" w:eastAsia="Arial" w:hint="default"/>
                <w:sz w:val="22"/>
                <w:szCs w:val="22"/>
              </w:rPr>
            </w:pPr>
            <w:r>
              <w:rPr>
                <w:rFonts w:ascii="Arial"/>
                <w:w w:val="95"/>
                <w:sz w:val="22"/>
              </w:rPr>
              <w:t>9.50%-19.40%</w:t>
            </w:r>
            <w:r>
              <w:rPr>
                <w:rFonts w:ascii="Arial"/>
                <w:sz w:val="22"/>
              </w:rPr>
            </w:r>
          </w:p>
        </w:tc>
      </w:tr>
    </w:tbl>
    <w:p>
      <w:pPr>
        <w:spacing w:line="240" w:lineRule="auto" w:before="8"/>
        <w:rPr>
          <w:rFonts w:ascii="宋体" w:hAnsi="宋体" w:cs="宋体" w:eastAsia="宋体" w:hint="default"/>
          <w:sz w:val="14"/>
          <w:szCs w:val="14"/>
        </w:rPr>
      </w:pPr>
    </w:p>
    <w:p>
      <w:pPr>
        <w:pStyle w:val="BodyText"/>
        <w:tabs>
          <w:tab w:pos="595" w:val="left" w:leader="none"/>
        </w:tabs>
        <w:spacing w:line="408" w:lineRule="auto" w:before="31"/>
        <w:ind w:left="118" w:right="110" w:firstLine="477"/>
        <w:jc w:val="left"/>
      </w:pPr>
      <w:r>
        <w:rPr>
          <w:spacing w:val="-2"/>
        </w:rPr>
        <w:t>对固定资产的预计使用寿命、预计净残值和折旧方法于每年年度终了进行复核并作适当调整。</w:t>
      </w:r>
      <w:r>
        <w:rPr>
          <w:w w:val="99"/>
        </w:rPr>
        <w:t> </w:t>
      </w:r>
      <w:r>
        <w:rPr>
          <w:rFonts w:ascii="Arial" w:hAnsi="Arial" w:cs="Arial" w:eastAsia="Arial" w:hint="default"/>
          <w:w w:val="95"/>
        </w:rPr>
        <w:t>(c)</w:t>
        <w:tab/>
      </w:r>
      <w:r>
        <w:rPr/>
        <w:t>当固定资产的可收回金额低于其账面价值时，账面价值减记至可收回金额（附注二</w:t>
      </w:r>
      <w:r>
        <w:rPr>
          <w:rFonts w:ascii="Arial" w:hAnsi="Arial" w:cs="Arial" w:eastAsia="Arial" w:hint="default"/>
        </w:rPr>
        <w:t>(18)</w:t>
      </w:r>
      <w:r>
        <w:rPr/>
        <w:t>）。</w:t>
      </w:r>
      <w:r>
        <w:rPr>
          <w:w w:val="99"/>
        </w:rPr>
        <w:t> </w:t>
      </w:r>
      <w:r>
        <w:rPr>
          <w:rFonts w:ascii="Arial" w:hAnsi="Arial" w:cs="Arial" w:eastAsia="Arial" w:hint="default"/>
          <w:w w:val="95"/>
        </w:rPr>
        <w:t>(d)</w:t>
        <w:tab/>
      </w:r>
      <w:r>
        <w:rPr/>
        <w:t>融资租入固定资产的认定依据和计量方法</w:t>
      </w:r>
    </w:p>
    <w:p>
      <w:pPr>
        <w:pStyle w:val="BodyText"/>
        <w:spacing w:line="237" w:lineRule="auto" w:before="35"/>
        <w:ind w:left="596" w:right="218"/>
        <w:jc w:val="both"/>
      </w:pPr>
      <w:r>
        <w:rPr/>
        <w:t>实质上转移了与资产所有权有关的全部风险和报酬的租赁为融资租赁。融资租入固定资产以</w:t>
      </w:r>
      <w:r>
        <w:rPr>
          <w:spacing w:val="-87"/>
        </w:rPr>
        <w:t> </w:t>
      </w:r>
      <w:r>
        <w:rPr>
          <w:spacing w:val="-87"/>
        </w:rPr>
      </w:r>
      <w:r>
        <w:rPr/>
        <w:t>租赁资产的公允价值与最低租赁付款额的现值两者中的较低者作为租入资产的入账价值。租</w:t>
      </w:r>
      <w:r>
        <w:rPr>
          <w:spacing w:val="-87"/>
        </w:rPr>
        <w:t> </w:t>
      </w:r>
      <w:r>
        <w:rPr>
          <w:spacing w:val="-87"/>
        </w:rPr>
      </w:r>
      <w:r>
        <w:rPr/>
        <w:t>入资产的入账价值与最低租赁付款额之间的差额作为未确认融资费用（附注二</w:t>
      </w:r>
      <w:r>
        <w:rPr>
          <w:rFonts w:ascii="Arial" w:hAnsi="Arial" w:cs="Arial" w:eastAsia="Arial" w:hint="default"/>
        </w:rPr>
        <w:t>(28)(a)</w:t>
      </w:r>
      <w:r>
        <w:rPr/>
        <w:t>）。</w:t>
      </w:r>
    </w:p>
    <w:p>
      <w:pPr>
        <w:spacing w:line="240" w:lineRule="auto" w:before="3"/>
        <w:rPr>
          <w:rFonts w:ascii="宋体" w:hAnsi="宋体" w:cs="宋体" w:eastAsia="宋体" w:hint="default"/>
          <w:sz w:val="18"/>
          <w:szCs w:val="18"/>
        </w:rPr>
      </w:pPr>
    </w:p>
    <w:p>
      <w:pPr>
        <w:pStyle w:val="BodyText"/>
        <w:spacing w:line="237" w:lineRule="auto"/>
        <w:ind w:left="596" w:right="218"/>
        <w:jc w:val="both"/>
      </w:pPr>
      <w:r>
        <w:rPr/>
        <w:t>融资租入的固定资产采用与自有固定资产相一致的折旧政策。能够合理确定租赁期届满时将</w:t>
      </w:r>
      <w:r>
        <w:rPr>
          <w:spacing w:val="-87"/>
        </w:rPr>
        <w:t> </w:t>
      </w:r>
      <w:r>
        <w:rPr>
          <w:spacing w:val="-87"/>
        </w:rPr>
      </w:r>
      <w:r>
        <w:rPr/>
        <w:t>取得租入资产所有权的，租入固定资产在其预计使用寿命内计提折旧；否则，租入固定资产</w:t>
      </w:r>
      <w:r>
        <w:rPr>
          <w:spacing w:val="-87"/>
        </w:rPr>
        <w:t> </w:t>
      </w:r>
      <w:r>
        <w:rPr>
          <w:spacing w:val="-87"/>
        </w:rPr>
      </w:r>
      <w:r>
        <w:rPr/>
        <w:t>在租赁期与该资产预计使用寿命两者中较短的期间内计提折旧。</w:t>
      </w:r>
    </w:p>
    <w:p>
      <w:pPr>
        <w:spacing w:line="240" w:lineRule="auto" w:before="13"/>
        <w:rPr>
          <w:rFonts w:ascii="宋体" w:hAnsi="宋体" w:cs="宋体" w:eastAsia="宋体" w:hint="default"/>
          <w:sz w:val="15"/>
          <w:szCs w:val="15"/>
        </w:rPr>
      </w:pPr>
    </w:p>
    <w:p>
      <w:pPr>
        <w:pStyle w:val="BodyText"/>
        <w:tabs>
          <w:tab w:pos="595" w:val="left" w:leader="none"/>
        </w:tabs>
        <w:spacing w:line="240" w:lineRule="auto"/>
        <w:ind w:left="118" w:right="5567"/>
        <w:jc w:val="left"/>
      </w:pPr>
      <w:r>
        <w:rPr>
          <w:rFonts w:ascii="Arial" w:hAnsi="Arial" w:cs="Arial" w:eastAsia="Arial" w:hint="default"/>
          <w:w w:val="95"/>
        </w:rPr>
        <w:t>(e)</w:t>
        <w:tab/>
      </w:r>
      <w:r>
        <w:rPr/>
        <w:t>固定资产的处置</w:t>
      </w:r>
    </w:p>
    <w:p>
      <w:pPr>
        <w:spacing w:line="240" w:lineRule="auto" w:before="12"/>
        <w:rPr>
          <w:rFonts w:ascii="宋体" w:hAnsi="宋体" w:cs="宋体" w:eastAsia="宋体" w:hint="default"/>
          <w:sz w:val="16"/>
          <w:szCs w:val="16"/>
        </w:rPr>
      </w:pPr>
    </w:p>
    <w:p>
      <w:pPr>
        <w:pStyle w:val="BodyText"/>
        <w:spacing w:line="237" w:lineRule="auto"/>
        <w:ind w:left="596" w:right="218"/>
        <w:jc w:val="both"/>
      </w:pPr>
      <w:r>
        <w:rPr/>
        <w:t>当固定资产被处置、或者预期通过使用或处置不能产生经济利益时，终止确认该固定资产。</w:t>
      </w:r>
      <w:r>
        <w:rPr>
          <w:spacing w:val="-87"/>
        </w:rPr>
        <w:t> </w:t>
      </w:r>
      <w:r>
        <w:rPr>
          <w:spacing w:val="-87"/>
        </w:rPr>
      </w:r>
      <w:r>
        <w:rPr/>
        <w:t>固定资产出售、转让、报废或毁损时的处置收入扣除其账面价值和相关税费后的金额计入当</w:t>
      </w:r>
      <w:r>
        <w:rPr>
          <w:spacing w:val="-87"/>
        </w:rPr>
        <w:t> </w:t>
      </w:r>
      <w:r>
        <w:rPr>
          <w:spacing w:val="-87"/>
        </w:rPr>
      </w:r>
      <w:r>
        <w:rPr/>
        <w:t>期损益。</w:t>
      </w:r>
    </w:p>
    <w:p>
      <w:pPr>
        <w:spacing w:after="0" w:line="237" w:lineRule="auto"/>
        <w:jc w:val="both"/>
        <w:sectPr>
          <w:headerReference w:type="default" r:id="rId51"/>
          <w:pgSz w:w="11910" w:h="16840"/>
          <w:pgMar w:header="967" w:footer="593" w:top="2820" w:bottom="780" w:left="1440" w:right="820"/>
        </w:sectPr>
      </w:pPr>
    </w:p>
    <w:p>
      <w:pPr>
        <w:spacing w:line="240" w:lineRule="auto" w:before="9"/>
        <w:rPr>
          <w:rFonts w:ascii="宋体" w:hAnsi="宋体" w:cs="宋体" w:eastAsia="宋体" w:hint="default"/>
          <w:sz w:val="12"/>
          <w:szCs w:val="12"/>
        </w:rPr>
      </w:pPr>
    </w:p>
    <w:p>
      <w:pPr>
        <w:pStyle w:val="BodyText"/>
        <w:spacing w:line="240" w:lineRule="auto" w:before="31"/>
        <w:ind w:left="118" w:right="3270"/>
        <w:jc w:val="left"/>
      </w:pPr>
      <w:r>
        <w:rPr>
          <w:rFonts w:ascii="Arial" w:hAnsi="Arial" w:cs="Arial" w:eastAsia="Arial" w:hint="default"/>
        </w:rPr>
        <w:t>14</w:t>
      </w:r>
      <w:r>
        <w:rPr/>
        <w:t>、在建工程</w:t>
      </w:r>
    </w:p>
    <w:p>
      <w:pPr>
        <w:spacing w:line="240" w:lineRule="auto" w:before="11"/>
        <w:rPr>
          <w:rFonts w:ascii="宋体" w:hAnsi="宋体" w:cs="宋体" w:eastAsia="宋体" w:hint="default"/>
          <w:sz w:val="18"/>
          <w:szCs w:val="18"/>
        </w:rPr>
      </w:pPr>
    </w:p>
    <w:p>
      <w:pPr>
        <w:pStyle w:val="BodyText"/>
        <w:spacing w:line="286" w:lineRule="exact"/>
        <w:ind w:left="596" w:right="117"/>
        <w:jc w:val="both"/>
      </w:pPr>
      <w:r>
        <w:rPr/>
        <w:t>在建工程按实际发生的成本计量。实际成本包括建筑成本、安装成本、符合资本化条件的借</w:t>
      </w:r>
      <w:r>
        <w:rPr>
          <w:spacing w:val="-87"/>
        </w:rPr>
        <w:t> </w:t>
      </w:r>
      <w:r>
        <w:rPr>
          <w:spacing w:val="-87"/>
        </w:rPr>
      </w:r>
      <w:r>
        <w:rPr/>
        <w:t>款费用以及其他为使在建工程达到预定可使用状态所发生的必要支出。在建工程在达到预定</w:t>
      </w:r>
      <w:r>
        <w:rPr>
          <w:spacing w:val="-86"/>
        </w:rPr>
        <w:t> </w:t>
      </w:r>
      <w:r>
        <w:rPr>
          <w:spacing w:val="-86"/>
        </w:rPr>
      </w:r>
      <w:r>
        <w:rPr/>
        <w:t>可使用状态时，转入固定资产并自次月起开始计提折旧。</w:t>
      </w:r>
    </w:p>
    <w:p>
      <w:pPr>
        <w:spacing w:line="240" w:lineRule="auto" w:before="1"/>
        <w:rPr>
          <w:rFonts w:ascii="宋体" w:hAnsi="宋体" w:cs="宋体" w:eastAsia="宋体" w:hint="default"/>
          <w:sz w:val="17"/>
          <w:szCs w:val="17"/>
        </w:rPr>
      </w:pPr>
    </w:p>
    <w:p>
      <w:pPr>
        <w:pStyle w:val="BodyText"/>
        <w:spacing w:line="240" w:lineRule="auto"/>
        <w:ind w:left="596" w:right="0"/>
        <w:jc w:val="both"/>
      </w:pPr>
      <w:r>
        <w:rPr/>
        <w:t>当在建工程的可收回金额低于其账面价值时，账面价值减记至可收回金额（附注二</w:t>
      </w:r>
      <w:r>
        <w:rPr>
          <w:rFonts w:ascii="Arial" w:hAnsi="Arial" w:cs="Arial" w:eastAsia="Arial" w:hint="default"/>
        </w:rPr>
        <w:t>(18)</w:t>
      </w:r>
      <w:r>
        <w:rPr/>
        <w:t>）。</w:t>
      </w:r>
    </w:p>
    <w:p>
      <w:pPr>
        <w:spacing w:line="240" w:lineRule="auto" w:before="10"/>
        <w:rPr>
          <w:rFonts w:ascii="宋体" w:hAnsi="宋体" w:cs="宋体" w:eastAsia="宋体" w:hint="default"/>
          <w:sz w:val="15"/>
          <w:szCs w:val="15"/>
        </w:rPr>
      </w:pPr>
    </w:p>
    <w:p>
      <w:pPr>
        <w:pStyle w:val="BodyText"/>
        <w:spacing w:line="240" w:lineRule="auto"/>
        <w:ind w:left="118" w:right="3270"/>
        <w:jc w:val="left"/>
      </w:pPr>
      <w:r>
        <w:rPr>
          <w:rFonts w:ascii="Arial" w:hAnsi="Arial" w:cs="Arial" w:eastAsia="Arial" w:hint="default"/>
        </w:rPr>
        <w:t>15</w:t>
      </w:r>
      <w:r>
        <w:rPr/>
        <w:t>、借款费用</w:t>
      </w:r>
    </w:p>
    <w:p>
      <w:pPr>
        <w:spacing w:line="240" w:lineRule="auto" w:before="12"/>
        <w:rPr>
          <w:rFonts w:ascii="宋体" w:hAnsi="宋体" w:cs="宋体" w:eastAsia="宋体" w:hint="default"/>
          <w:sz w:val="16"/>
          <w:szCs w:val="16"/>
        </w:rPr>
      </w:pPr>
    </w:p>
    <w:p>
      <w:pPr>
        <w:pStyle w:val="BodyText"/>
        <w:spacing w:line="237" w:lineRule="auto"/>
        <w:ind w:left="596" w:right="117"/>
        <w:jc w:val="both"/>
      </w:pPr>
      <w:r>
        <w:rPr/>
        <w:t>发生的可直接归属于需要经过相当长时间的购建活动才能达到预定可使用状态之固定资产的</w:t>
      </w:r>
      <w:r>
        <w:rPr>
          <w:spacing w:val="-87"/>
        </w:rPr>
        <w:t> </w:t>
      </w:r>
      <w:r>
        <w:rPr>
          <w:spacing w:val="-87"/>
        </w:rPr>
      </w:r>
      <w:r>
        <w:rPr/>
        <w:t>购建的借款费用，在资产支出及借款费用已经发生、为使资产达到预定可使用状态所必要的</w:t>
      </w:r>
      <w:r>
        <w:rPr>
          <w:spacing w:val="-87"/>
        </w:rPr>
        <w:t> </w:t>
      </w:r>
      <w:r>
        <w:rPr>
          <w:spacing w:val="-87"/>
        </w:rPr>
      </w:r>
      <w:r>
        <w:rPr/>
        <w:t>购建活动已经开始时，开始资本化并计入该资产的成本。当购建的资产达到预定可使用状态</w:t>
      </w:r>
      <w:r>
        <w:rPr>
          <w:spacing w:val="-86"/>
        </w:rPr>
        <w:t> </w:t>
      </w:r>
      <w:r>
        <w:rPr>
          <w:spacing w:val="-86"/>
        </w:rPr>
      </w:r>
      <w:r>
        <w:rPr/>
        <w:t>时停止资本化，其后发生的借款费用计入当期损益。如果资产的购建活动发生非正常中断，</w:t>
      </w:r>
      <w:r>
        <w:rPr>
          <w:spacing w:val="-87"/>
        </w:rPr>
        <w:t> </w:t>
      </w:r>
      <w:r>
        <w:rPr>
          <w:spacing w:val="-87"/>
        </w:rPr>
      </w:r>
      <w:r>
        <w:rPr/>
        <w:t>并且中断时间连续超过</w:t>
      </w:r>
      <w:r>
        <w:rPr>
          <w:rFonts w:ascii="Arial" w:hAnsi="Arial" w:cs="Arial" w:eastAsia="Arial" w:hint="default"/>
        </w:rPr>
        <w:t>3</w:t>
      </w:r>
      <w:r>
        <w:rPr/>
        <w:t>个月，暂停借款费用的资本化，直至资产的购建活动重新开始。</w:t>
      </w:r>
    </w:p>
    <w:p>
      <w:pPr>
        <w:spacing w:line="240" w:lineRule="auto" w:before="2"/>
        <w:rPr>
          <w:rFonts w:ascii="宋体" w:hAnsi="宋体" w:cs="宋体" w:eastAsia="宋体" w:hint="default"/>
          <w:sz w:val="18"/>
          <w:szCs w:val="18"/>
        </w:rPr>
      </w:pPr>
    </w:p>
    <w:p>
      <w:pPr>
        <w:pStyle w:val="BodyText"/>
        <w:spacing w:line="237" w:lineRule="auto"/>
        <w:ind w:left="596" w:right="118"/>
        <w:jc w:val="both"/>
      </w:pPr>
      <w:r>
        <w:rPr/>
        <w:t>对于为购建符合资本化条件的固定资产而占用的一般借款，按照累计资产支出超过专门借款</w:t>
      </w:r>
      <w:r>
        <w:rPr>
          <w:spacing w:val="-87"/>
        </w:rPr>
        <w:t> </w:t>
      </w:r>
      <w:r>
        <w:rPr>
          <w:spacing w:val="-87"/>
        </w:rPr>
      </w:r>
      <w:r>
        <w:rPr/>
        <w:t>部分的资本支出加权平均数乘以所占用一般借款的加权平均实际利率计算确定一般借款费用</w:t>
      </w:r>
      <w:r>
        <w:rPr>
          <w:spacing w:val="-87"/>
        </w:rPr>
        <w:t> </w:t>
      </w:r>
      <w:r>
        <w:rPr>
          <w:spacing w:val="-87"/>
        </w:rPr>
      </w:r>
      <w:r>
        <w:rPr/>
        <w:t>的资本化金额。实际利率为将借款在预期存续期间或适用的更短期间内的未来现金流量折现</w:t>
      </w:r>
      <w:r>
        <w:rPr>
          <w:spacing w:val="-87"/>
        </w:rPr>
        <w:t> </w:t>
      </w:r>
      <w:r>
        <w:rPr>
          <w:spacing w:val="-87"/>
        </w:rPr>
      </w:r>
      <w:r>
        <w:rPr/>
        <w:t>为该借款初始确认金额所使用的利率。</w:t>
      </w:r>
    </w:p>
    <w:p>
      <w:pPr>
        <w:spacing w:line="240" w:lineRule="auto" w:before="13"/>
        <w:rPr>
          <w:rFonts w:ascii="宋体" w:hAnsi="宋体" w:cs="宋体" w:eastAsia="宋体" w:hint="default"/>
          <w:sz w:val="16"/>
          <w:szCs w:val="16"/>
        </w:rPr>
      </w:pPr>
    </w:p>
    <w:p>
      <w:pPr>
        <w:pStyle w:val="BodyText"/>
        <w:spacing w:line="240" w:lineRule="auto"/>
        <w:ind w:left="118" w:right="3270"/>
        <w:jc w:val="left"/>
      </w:pPr>
      <w:r>
        <w:rPr>
          <w:rFonts w:ascii="Arial" w:hAnsi="Arial" w:cs="Arial" w:eastAsia="Arial" w:hint="default"/>
        </w:rPr>
        <w:t>16</w:t>
      </w:r>
      <w:r>
        <w:rPr/>
        <w:t>、无形资产</w:t>
      </w:r>
    </w:p>
    <w:p>
      <w:pPr>
        <w:spacing w:line="240" w:lineRule="auto" w:before="11"/>
        <w:rPr>
          <w:rFonts w:ascii="宋体" w:hAnsi="宋体" w:cs="宋体" w:eastAsia="宋体" w:hint="default"/>
          <w:sz w:val="18"/>
          <w:szCs w:val="18"/>
        </w:rPr>
      </w:pPr>
    </w:p>
    <w:p>
      <w:pPr>
        <w:pStyle w:val="BodyText"/>
        <w:spacing w:line="286" w:lineRule="exact"/>
        <w:ind w:left="596" w:right="117"/>
        <w:jc w:val="both"/>
      </w:pPr>
      <w:r>
        <w:rPr/>
        <w:t>无形资产主要包括土地使用权、计算机软件和电路及设备使用权等，以成本计量。本集团重</w:t>
      </w:r>
      <w:r>
        <w:rPr>
          <w:spacing w:val="-87"/>
        </w:rPr>
        <w:t> </w:t>
      </w:r>
      <w:r>
        <w:rPr>
          <w:spacing w:val="-87"/>
        </w:rPr>
      </w:r>
      <w:r>
        <w:rPr/>
        <w:t>组时国有股股东投入的无形资产，按国有资产管理部门确认的评估值作为入账价值。</w:t>
      </w:r>
    </w:p>
    <w:p>
      <w:pPr>
        <w:pStyle w:val="BodyText"/>
        <w:tabs>
          <w:tab w:pos="595" w:val="left" w:leader="none"/>
        </w:tabs>
        <w:spacing w:line="240" w:lineRule="auto" w:before="194"/>
        <w:ind w:left="118" w:right="3270"/>
        <w:jc w:val="left"/>
      </w:pPr>
      <w:r>
        <w:rPr>
          <w:rFonts w:ascii="Arial" w:hAnsi="Arial" w:cs="Arial" w:eastAsia="Arial" w:hint="default"/>
          <w:w w:val="95"/>
        </w:rPr>
        <w:t>(a)</w:t>
        <w:tab/>
      </w:r>
      <w:r>
        <w:rPr/>
        <w:t>土地使用权</w:t>
      </w:r>
    </w:p>
    <w:p>
      <w:pPr>
        <w:spacing w:line="240" w:lineRule="auto" w:before="11"/>
        <w:rPr>
          <w:rFonts w:ascii="宋体" w:hAnsi="宋体" w:cs="宋体" w:eastAsia="宋体" w:hint="default"/>
          <w:sz w:val="18"/>
          <w:szCs w:val="18"/>
        </w:rPr>
      </w:pPr>
    </w:p>
    <w:p>
      <w:pPr>
        <w:pStyle w:val="BodyText"/>
        <w:spacing w:line="286" w:lineRule="exact"/>
        <w:ind w:left="596" w:right="118"/>
        <w:jc w:val="both"/>
      </w:pPr>
      <w:r>
        <w:rPr/>
        <w:t>土地使用权按使用年限平均摊销。外购土地及建筑物支付的价款在建筑物与土地使用权之间</w:t>
      </w:r>
      <w:r>
        <w:rPr>
          <w:spacing w:val="-87"/>
        </w:rPr>
        <w:t> </w:t>
      </w:r>
      <w:r>
        <w:rPr>
          <w:spacing w:val="-87"/>
        </w:rPr>
      </w:r>
      <w:r>
        <w:rPr/>
        <w:t>进行分配。</w:t>
      </w:r>
    </w:p>
    <w:p>
      <w:pPr>
        <w:pStyle w:val="BodyText"/>
        <w:tabs>
          <w:tab w:pos="595" w:val="left" w:leader="none"/>
        </w:tabs>
        <w:spacing w:line="240" w:lineRule="auto" w:before="194"/>
        <w:ind w:left="118" w:right="3270"/>
        <w:jc w:val="left"/>
      </w:pPr>
      <w:r>
        <w:rPr>
          <w:rFonts w:ascii="Arial" w:hAnsi="Arial" w:cs="Arial" w:eastAsia="Arial" w:hint="default"/>
          <w:w w:val="95"/>
        </w:rPr>
        <w:t>(b)</w:t>
        <w:tab/>
      </w:r>
      <w:r>
        <w:rPr/>
        <w:t>计算机软件</w:t>
      </w:r>
    </w:p>
    <w:p>
      <w:pPr>
        <w:spacing w:line="240" w:lineRule="auto" w:before="9"/>
        <w:rPr>
          <w:rFonts w:ascii="宋体" w:hAnsi="宋体" w:cs="宋体" w:eastAsia="宋体" w:hint="default"/>
          <w:sz w:val="16"/>
          <w:szCs w:val="16"/>
        </w:rPr>
      </w:pPr>
    </w:p>
    <w:p>
      <w:pPr>
        <w:pStyle w:val="BodyText"/>
        <w:spacing w:line="240" w:lineRule="auto"/>
        <w:ind w:left="596" w:right="0"/>
        <w:jc w:val="both"/>
      </w:pPr>
      <w:r>
        <w:rPr/>
        <w:t>计算机软件在其预计使用年限内平均摊销。</w:t>
      </w:r>
    </w:p>
    <w:p>
      <w:pPr>
        <w:spacing w:line="240" w:lineRule="auto" w:before="13"/>
        <w:rPr>
          <w:rFonts w:ascii="宋体" w:hAnsi="宋体" w:cs="宋体" w:eastAsia="宋体" w:hint="default"/>
          <w:sz w:val="16"/>
          <w:szCs w:val="16"/>
        </w:rPr>
      </w:pPr>
    </w:p>
    <w:p>
      <w:pPr>
        <w:pStyle w:val="BodyText"/>
        <w:tabs>
          <w:tab w:pos="595" w:val="left" w:leader="none"/>
        </w:tabs>
        <w:spacing w:line="240" w:lineRule="auto"/>
        <w:ind w:left="118" w:right="3270"/>
        <w:jc w:val="left"/>
      </w:pPr>
      <w:r>
        <w:rPr>
          <w:rFonts w:ascii="Arial" w:hAnsi="Arial" w:cs="Arial" w:eastAsia="Arial" w:hint="default"/>
          <w:w w:val="95"/>
        </w:rPr>
        <w:t>(c)</w:t>
        <w:tab/>
      </w:r>
      <w:r>
        <w:rPr/>
        <w:t>电路及设备使用权</w:t>
      </w:r>
    </w:p>
    <w:p>
      <w:pPr>
        <w:spacing w:line="240" w:lineRule="auto" w:before="13"/>
        <w:rPr>
          <w:rFonts w:ascii="宋体" w:hAnsi="宋体" w:cs="宋体" w:eastAsia="宋体" w:hint="default"/>
          <w:sz w:val="18"/>
          <w:szCs w:val="18"/>
        </w:rPr>
      </w:pPr>
    </w:p>
    <w:p>
      <w:pPr>
        <w:pStyle w:val="BodyText"/>
        <w:spacing w:line="284" w:lineRule="exact"/>
        <w:ind w:left="596" w:right="118"/>
        <w:jc w:val="both"/>
      </w:pPr>
      <w:r>
        <w:rPr/>
        <w:t>电路及设备使用权主要是指本集团购买的不可撤销使用权的网络容量的资本性支出，以成本</w:t>
      </w:r>
      <w:r>
        <w:rPr>
          <w:spacing w:val="-87"/>
        </w:rPr>
        <w:t> </w:t>
      </w:r>
      <w:r>
        <w:rPr>
          <w:spacing w:val="-87"/>
        </w:rPr>
      </w:r>
      <w:r>
        <w:rPr/>
        <w:t>入账并按预计使用期限平均摊销。</w:t>
      </w:r>
    </w:p>
    <w:p>
      <w:pPr>
        <w:pStyle w:val="BodyText"/>
        <w:tabs>
          <w:tab w:pos="595" w:val="left" w:leader="none"/>
        </w:tabs>
        <w:spacing w:line="240" w:lineRule="auto" w:before="183"/>
        <w:ind w:left="118" w:right="3270"/>
        <w:jc w:val="left"/>
      </w:pPr>
      <w:r>
        <w:rPr>
          <w:rFonts w:ascii="Arial" w:hAnsi="Arial" w:cs="Arial" w:eastAsia="Arial" w:hint="default"/>
          <w:w w:val="95"/>
        </w:rPr>
        <w:t>(d)</w:t>
        <w:tab/>
      </w:r>
      <w:r>
        <w:rPr/>
        <w:t>定期复核使用寿命和摊销方法</w:t>
      </w:r>
    </w:p>
    <w:p>
      <w:pPr>
        <w:spacing w:line="240" w:lineRule="auto" w:before="11"/>
        <w:rPr>
          <w:rFonts w:ascii="宋体" w:hAnsi="宋体" w:cs="宋体" w:eastAsia="宋体" w:hint="default"/>
          <w:sz w:val="17"/>
          <w:szCs w:val="17"/>
        </w:rPr>
      </w:pPr>
    </w:p>
    <w:p>
      <w:pPr>
        <w:pStyle w:val="BodyText"/>
        <w:spacing w:line="286" w:lineRule="exact"/>
        <w:ind w:left="596" w:right="118"/>
        <w:jc w:val="both"/>
      </w:pPr>
      <w:r>
        <w:rPr/>
        <w:t>本集团对使用寿命有限的无形资产的预计使用寿命及摊销方法于每年年度终了进行复核并作</w:t>
      </w:r>
      <w:r>
        <w:rPr>
          <w:spacing w:val="-87"/>
        </w:rPr>
        <w:t> </w:t>
      </w:r>
      <w:r>
        <w:rPr>
          <w:spacing w:val="-87"/>
        </w:rPr>
      </w:r>
      <w:r>
        <w:rPr/>
        <w:t>适当调整。</w:t>
      </w:r>
    </w:p>
    <w:p>
      <w:pPr>
        <w:spacing w:after="0" w:line="286" w:lineRule="exact"/>
        <w:jc w:val="both"/>
        <w:sectPr>
          <w:headerReference w:type="default" r:id="rId52"/>
          <w:pgSz w:w="11910" w:h="16840"/>
          <w:pgMar w:header="967" w:footer="593" w:top="2820" w:bottom="780" w:left="1440" w:right="920"/>
        </w:sectPr>
      </w:pPr>
    </w:p>
    <w:p>
      <w:pPr>
        <w:spacing w:line="240" w:lineRule="auto" w:before="9"/>
        <w:rPr>
          <w:rFonts w:ascii="宋体" w:hAnsi="宋体" w:cs="宋体" w:eastAsia="宋体" w:hint="default"/>
          <w:sz w:val="12"/>
          <w:szCs w:val="12"/>
        </w:rPr>
      </w:pPr>
    </w:p>
    <w:p>
      <w:pPr>
        <w:pStyle w:val="BodyText"/>
        <w:spacing w:line="391" w:lineRule="auto" w:before="31"/>
        <w:ind w:left="118" w:right="7506"/>
        <w:jc w:val="left"/>
      </w:pPr>
      <w:r>
        <w:rPr>
          <w:rFonts w:ascii="Arial" w:hAnsi="Arial" w:cs="Arial" w:eastAsia="Arial" w:hint="default"/>
        </w:rPr>
        <w:t>16</w:t>
      </w:r>
      <w:r>
        <w:rPr/>
        <w:t>、无形资产（续）</w:t>
      </w:r>
      <w:r>
        <w:rPr>
          <w:w w:val="99"/>
        </w:rPr>
        <w:t> </w:t>
      </w:r>
      <w:r>
        <w:rPr>
          <w:rFonts w:ascii="Arial" w:hAnsi="Arial" w:cs="Arial" w:eastAsia="Arial" w:hint="default"/>
        </w:rPr>
        <w:t>(e)  </w:t>
      </w:r>
      <w:r>
        <w:rPr>
          <w:rFonts w:ascii="Arial" w:hAnsi="Arial" w:cs="Arial" w:eastAsia="Arial" w:hint="default"/>
          <w:spacing w:val="13"/>
        </w:rPr>
        <w:t> </w:t>
      </w:r>
      <w:r>
        <w:rPr/>
        <w:t>无形资产减值</w:t>
      </w:r>
    </w:p>
    <w:p>
      <w:pPr>
        <w:pStyle w:val="BodyText"/>
        <w:spacing w:line="240" w:lineRule="auto" w:before="63"/>
        <w:ind w:left="586" w:right="28"/>
        <w:jc w:val="left"/>
      </w:pPr>
      <w:r>
        <w:rPr/>
        <w:t>当无形资产的可收回金额低于其账面价值时，账面价值减记至可收回金额（附注二</w:t>
      </w:r>
      <w:r>
        <w:rPr>
          <w:rFonts w:ascii="Arial" w:hAnsi="Arial" w:cs="Arial" w:eastAsia="Arial" w:hint="default"/>
        </w:rPr>
        <w:t>(18)</w:t>
      </w:r>
      <w:r>
        <w:rPr/>
        <w:t>）。</w:t>
      </w:r>
    </w:p>
    <w:p>
      <w:pPr>
        <w:pStyle w:val="BodyText"/>
        <w:spacing w:line="522" w:lineRule="exact" w:before="44"/>
        <w:ind w:left="586" w:right="28" w:hanging="468"/>
        <w:jc w:val="left"/>
      </w:pPr>
      <w:r>
        <w:rPr>
          <w:rFonts w:ascii="Arial" w:hAnsi="Arial" w:cs="Arial" w:eastAsia="Arial" w:hint="default"/>
        </w:rPr>
        <w:t>17</w:t>
      </w:r>
      <w:r>
        <w:rPr/>
        <w:t>、长期待摊费用</w:t>
      </w:r>
      <w:r>
        <w:rPr>
          <w:w w:val="99"/>
        </w:rPr>
        <w:t> </w:t>
      </w:r>
      <w:r>
        <w:rPr>
          <w:w w:val="95"/>
        </w:rPr>
        <w:t>长期待摊费用主要包括以下已经发生但应由本期和以后各期负担的摊销期限在</w:t>
      </w:r>
      <w:r>
        <w:rPr>
          <w:rFonts w:ascii="Arial" w:hAnsi="Arial" w:cs="Arial" w:eastAsia="Arial" w:hint="default"/>
          <w:w w:val="95"/>
        </w:rPr>
        <w:t>1</w:t>
      </w:r>
      <w:r>
        <w:rPr>
          <w:w w:val="95"/>
        </w:rPr>
        <w:t>年以上（不含</w:t>
      </w:r>
      <w:r>
        <w:rPr/>
      </w:r>
    </w:p>
    <w:p>
      <w:pPr>
        <w:pStyle w:val="BodyText"/>
        <w:spacing w:line="228" w:lineRule="exact"/>
        <w:ind w:left="586" w:right="28"/>
        <w:jc w:val="left"/>
      </w:pPr>
      <w:r>
        <w:rPr>
          <w:rFonts w:ascii="Arial" w:hAnsi="Arial" w:cs="Arial" w:eastAsia="Arial" w:hint="default"/>
          <w:spacing w:val="-5"/>
        </w:rPr>
        <w:t>1</w:t>
      </w:r>
      <w:r>
        <w:rPr>
          <w:spacing w:val="-5"/>
        </w:rPr>
        <w:t>年）的各项费用，按预计受益期间分期平均摊销，并以实际支出减去累计摊销后的净额列示。</w:t>
      </w:r>
    </w:p>
    <w:p>
      <w:pPr>
        <w:spacing w:line="240" w:lineRule="auto" w:before="3"/>
        <w:rPr>
          <w:rFonts w:ascii="宋体" w:hAnsi="宋体" w:cs="宋体" w:eastAsia="宋体" w:hint="default"/>
          <w:sz w:val="20"/>
          <w:szCs w:val="20"/>
        </w:rPr>
      </w:pPr>
    </w:p>
    <w:p>
      <w:pPr>
        <w:pStyle w:val="BodyText"/>
        <w:tabs>
          <w:tab w:pos="596" w:val="left" w:leader="none"/>
        </w:tabs>
        <w:spacing w:line="284" w:lineRule="exact"/>
        <w:ind w:left="607" w:right="222" w:hanging="489"/>
        <w:jc w:val="left"/>
      </w:pPr>
      <w:r>
        <w:rPr>
          <w:rFonts w:ascii="Arial" w:hAnsi="Arial" w:cs="Arial" w:eastAsia="Arial" w:hint="default"/>
          <w:w w:val="95"/>
        </w:rPr>
        <w:t>(a)</w:t>
        <w:tab/>
      </w:r>
      <w:r>
        <w:rPr/>
        <w:t>经营租入固定资产改良主要指本集团采用经营租赁方式租入办公或经营用房等发生的装修等</w:t>
      </w:r>
      <w:r>
        <w:rPr>
          <w:w w:val="99"/>
        </w:rPr>
        <w:t> </w:t>
      </w:r>
      <w:r>
        <w:rPr/>
        <w:t>改良支出，按租期与预期受益期限孰短（租期一般为</w:t>
      </w:r>
      <w:r>
        <w:rPr>
          <w:spacing w:val="-58"/>
        </w:rPr>
        <w:t> </w:t>
      </w:r>
      <w:r>
        <w:rPr>
          <w:rFonts w:ascii="Arial" w:hAnsi="Arial" w:cs="Arial" w:eastAsia="Arial" w:hint="default"/>
        </w:rPr>
        <w:t>5</w:t>
      </w:r>
      <w:r>
        <w:rPr>
          <w:rFonts w:ascii="Arial" w:hAnsi="Arial" w:cs="Arial" w:eastAsia="Arial" w:hint="default"/>
          <w:spacing w:val="-10"/>
        </w:rPr>
        <w:t> </w:t>
      </w:r>
      <w:r>
        <w:rPr/>
        <w:t>年至</w:t>
      </w:r>
      <w:r>
        <w:rPr>
          <w:spacing w:val="-59"/>
        </w:rPr>
        <w:t> </w:t>
      </w:r>
      <w:r>
        <w:rPr>
          <w:rFonts w:ascii="Arial" w:hAnsi="Arial" w:cs="Arial" w:eastAsia="Arial" w:hint="default"/>
        </w:rPr>
        <w:t>10</w:t>
      </w:r>
      <w:r>
        <w:rPr>
          <w:rFonts w:ascii="Arial" w:hAnsi="Arial" w:cs="Arial" w:eastAsia="Arial" w:hint="default"/>
          <w:spacing w:val="-10"/>
        </w:rPr>
        <w:t> </w:t>
      </w:r>
      <w:r>
        <w:rPr/>
        <w:t>年）以直线法平均摊销；</w:t>
      </w:r>
    </w:p>
    <w:p>
      <w:pPr>
        <w:spacing w:line="240" w:lineRule="auto" w:before="5"/>
        <w:rPr>
          <w:rFonts w:ascii="宋体" w:hAnsi="宋体" w:cs="宋体" w:eastAsia="宋体" w:hint="default"/>
          <w:sz w:val="19"/>
          <w:szCs w:val="19"/>
        </w:rPr>
      </w:pPr>
    </w:p>
    <w:p>
      <w:pPr>
        <w:pStyle w:val="BodyText"/>
        <w:spacing w:line="286" w:lineRule="exact"/>
        <w:ind w:left="607" w:right="206" w:hanging="489"/>
        <w:jc w:val="both"/>
      </w:pPr>
      <w:r>
        <w:rPr>
          <w:rFonts w:ascii="Arial" w:hAnsi="Arial" w:cs="Arial" w:eastAsia="Arial" w:hint="default"/>
        </w:rPr>
        <w:t>(b) </w:t>
      </w:r>
      <w:r>
        <w:rPr>
          <w:spacing w:val="2"/>
        </w:rPr>
        <w:t>长期预付租金指按经营租赁方式租赁的基础通信设施及营业场所等所预付的超过 </w:t>
      </w:r>
      <w:r>
        <w:rPr>
          <w:rFonts w:ascii="Arial" w:hAnsi="Arial" w:cs="Arial" w:eastAsia="Arial" w:hint="default"/>
        </w:rPr>
        <w:t>1</w:t>
      </w:r>
      <w:r>
        <w:rPr>
          <w:rFonts w:ascii="Arial" w:hAnsi="Arial" w:cs="Arial" w:eastAsia="Arial" w:hint="default"/>
          <w:spacing w:val="43"/>
        </w:rPr>
        <w:t> </w:t>
      </w:r>
      <w:r>
        <w:rPr>
          <w:spacing w:val="4"/>
        </w:rPr>
        <w:t>年的租</w:t>
      </w:r>
      <w:r>
        <w:rPr>
          <w:spacing w:val="4"/>
          <w:w w:val="99"/>
        </w:rPr>
        <w:t> </w:t>
      </w:r>
      <w:r>
        <w:rPr/>
        <w:t>金，以直线法于租赁期内（一般为</w:t>
      </w:r>
      <w:r>
        <w:rPr>
          <w:spacing w:val="-55"/>
        </w:rPr>
        <w:t> </w:t>
      </w:r>
      <w:r>
        <w:rPr>
          <w:rFonts w:ascii="Arial" w:hAnsi="Arial" w:cs="Arial" w:eastAsia="Arial" w:hint="default"/>
        </w:rPr>
        <w:t>3</w:t>
      </w:r>
      <w:r>
        <w:rPr>
          <w:rFonts w:ascii="Arial" w:hAnsi="Arial" w:cs="Arial" w:eastAsia="Arial" w:hint="default"/>
          <w:spacing w:val="-9"/>
        </w:rPr>
        <w:t> </w:t>
      </w:r>
      <w:r>
        <w:rPr/>
        <w:t>年至</w:t>
      </w:r>
      <w:r>
        <w:rPr>
          <w:spacing w:val="-58"/>
        </w:rPr>
        <w:t> </w:t>
      </w:r>
      <w:r>
        <w:rPr>
          <w:rFonts w:ascii="Arial" w:hAnsi="Arial" w:cs="Arial" w:eastAsia="Arial" w:hint="default"/>
        </w:rPr>
        <w:t>10</w:t>
      </w:r>
      <w:r>
        <w:rPr>
          <w:rFonts w:ascii="Arial" w:hAnsi="Arial" w:cs="Arial" w:eastAsia="Arial" w:hint="default"/>
          <w:spacing w:val="-9"/>
        </w:rPr>
        <w:t> </w:t>
      </w:r>
      <w:r>
        <w:rPr/>
        <w:t>年）平均摊销；</w:t>
      </w:r>
    </w:p>
    <w:p>
      <w:pPr>
        <w:spacing w:line="240" w:lineRule="auto" w:before="3"/>
        <w:rPr>
          <w:rFonts w:ascii="宋体" w:hAnsi="宋体" w:cs="宋体" w:eastAsia="宋体" w:hint="default"/>
          <w:sz w:val="19"/>
          <w:szCs w:val="19"/>
        </w:rPr>
      </w:pPr>
    </w:p>
    <w:p>
      <w:pPr>
        <w:pStyle w:val="BodyText"/>
        <w:tabs>
          <w:tab w:pos="608" w:val="left" w:leader="none"/>
        </w:tabs>
        <w:spacing w:line="286" w:lineRule="exact"/>
        <w:ind w:left="607" w:right="208" w:hanging="489"/>
        <w:jc w:val="left"/>
      </w:pPr>
      <w:r>
        <w:rPr>
          <w:rFonts w:ascii="Arial" w:hAnsi="Arial" w:cs="Arial" w:eastAsia="Arial" w:hint="default"/>
          <w:w w:val="95"/>
        </w:rPr>
        <w:t>(c)</w:t>
        <w:tab/>
        <w:tab/>
      </w:r>
      <w:r>
        <w:rPr/>
        <w:t>外市电引入是本集团在网络建设过程中，与地方的供电部门共同建设的电力输送设施（本集</w:t>
      </w:r>
      <w:r>
        <w:rPr>
          <w:spacing w:val="-89"/>
        </w:rPr>
        <w:t> </w:t>
      </w:r>
      <w:r>
        <w:rPr>
          <w:spacing w:val="-89"/>
        </w:rPr>
      </w:r>
      <w:r>
        <w:rPr/>
        <w:t>团对此类资产只拥有使用权），该等设施一般以直线法于</w:t>
      </w:r>
      <w:r>
        <w:rPr>
          <w:spacing w:val="-58"/>
        </w:rPr>
        <w:t> </w:t>
      </w:r>
      <w:r>
        <w:rPr>
          <w:rFonts w:ascii="Arial" w:hAnsi="Arial" w:cs="Arial" w:eastAsia="Arial" w:hint="default"/>
        </w:rPr>
        <w:t>5</w:t>
      </w:r>
      <w:r>
        <w:rPr>
          <w:rFonts w:ascii="Arial" w:hAnsi="Arial" w:cs="Arial" w:eastAsia="Arial" w:hint="default"/>
          <w:spacing w:val="-13"/>
        </w:rPr>
        <w:t> </w:t>
      </w:r>
      <w:r>
        <w:rPr/>
        <w:t>年内平均摊销；</w:t>
      </w:r>
    </w:p>
    <w:p>
      <w:pPr>
        <w:spacing w:line="240" w:lineRule="auto" w:before="5"/>
        <w:rPr>
          <w:rFonts w:ascii="宋体" w:hAnsi="宋体" w:cs="宋体" w:eastAsia="宋体" w:hint="default"/>
          <w:sz w:val="18"/>
          <w:szCs w:val="18"/>
        </w:rPr>
      </w:pPr>
    </w:p>
    <w:p>
      <w:pPr>
        <w:pStyle w:val="BodyText"/>
        <w:tabs>
          <w:tab w:pos="608" w:val="left" w:leader="none"/>
        </w:tabs>
        <w:spacing w:line="225" w:lineRule="auto"/>
        <w:ind w:left="607" w:right="101" w:hanging="489"/>
        <w:jc w:val="left"/>
      </w:pPr>
      <w:r>
        <w:rPr>
          <w:rFonts w:ascii="Arial" w:hAnsi="Arial" w:cs="Arial" w:eastAsia="Arial" w:hint="default"/>
          <w:w w:val="95"/>
        </w:rPr>
        <w:t>(d)</w:t>
        <w:tab/>
        <w:tab/>
      </w:r>
      <w:r>
        <w:rPr/>
        <w:t>长期预付线路租赁指按经营租赁方式租赁的通信线路所预付的超过</w:t>
      </w:r>
      <w:r>
        <w:rPr>
          <w:spacing w:val="-53"/>
        </w:rPr>
        <w:t> </w:t>
      </w:r>
      <w:r>
        <w:rPr>
          <w:rFonts w:ascii="Arial" w:hAnsi="Arial" w:cs="Arial" w:eastAsia="Arial" w:hint="default"/>
        </w:rPr>
        <w:t>1</w:t>
      </w:r>
      <w:r>
        <w:rPr>
          <w:rFonts w:ascii="Arial" w:hAnsi="Arial" w:cs="Arial" w:eastAsia="Arial" w:hint="default"/>
          <w:spacing w:val="-6"/>
        </w:rPr>
        <w:t> </w:t>
      </w:r>
      <w:r>
        <w:rPr/>
        <w:t>年的租金，以直线法于</w:t>
      </w:r>
      <w:r>
        <w:rPr>
          <w:w w:val="99"/>
        </w:rPr>
        <w:t> </w:t>
      </w:r>
      <w:r>
        <w:rPr/>
        <w:t>租赁期内（一般为</w:t>
      </w:r>
      <w:r>
        <w:rPr>
          <w:spacing w:val="-55"/>
        </w:rPr>
        <w:t> </w:t>
      </w:r>
      <w:r>
        <w:rPr>
          <w:rFonts w:ascii="Arial" w:hAnsi="Arial" w:cs="Arial" w:eastAsia="Arial" w:hint="default"/>
        </w:rPr>
        <w:t>3</w:t>
      </w:r>
      <w:r>
        <w:rPr>
          <w:rFonts w:ascii="Arial" w:hAnsi="Arial" w:cs="Arial" w:eastAsia="Arial" w:hint="default"/>
          <w:spacing w:val="-7"/>
        </w:rPr>
        <w:t> </w:t>
      </w:r>
      <w:r>
        <w:rPr/>
        <w:t>年至</w:t>
      </w:r>
      <w:r>
        <w:rPr>
          <w:spacing w:val="-56"/>
        </w:rPr>
        <w:t> </w:t>
      </w:r>
      <w:r>
        <w:rPr>
          <w:rFonts w:ascii="Arial" w:hAnsi="Arial" w:cs="Arial" w:eastAsia="Arial" w:hint="default"/>
        </w:rPr>
        <w:t>8</w:t>
      </w:r>
      <w:r>
        <w:rPr>
          <w:rFonts w:ascii="Arial" w:hAnsi="Arial" w:cs="Arial" w:eastAsia="Arial" w:hint="default"/>
          <w:spacing w:val="-7"/>
        </w:rPr>
        <w:t> </w:t>
      </w:r>
      <w:r>
        <w:rPr/>
        <w:t>年）平均摊销；预付网络改良是指为优化、改进整体通信网络性</w:t>
      </w:r>
      <w:r>
        <w:rPr>
          <w:w w:val="99"/>
        </w:rPr>
        <w:t> </w:t>
      </w:r>
      <w:r>
        <w:rPr>
          <w:w w:val="95"/>
        </w:rPr>
        <w:t>能提高通信服务质量预付的长期专项改良费用，通常在合同期和用户平均在网受益期（</w:t>
      </w:r>
      <w:r>
        <w:rPr>
          <w:rFonts w:ascii="Arial" w:hAnsi="Arial" w:cs="Arial" w:eastAsia="Arial" w:hint="default"/>
          <w:w w:val="95"/>
        </w:rPr>
        <w:t>3 </w:t>
      </w:r>
      <w:r>
        <w:rPr>
          <w:w w:val="95"/>
        </w:rPr>
        <w:t>年）</w:t>
      </w:r>
      <w:r>
        <w:rPr>
          <w:spacing w:val="-2"/>
          <w:w w:val="99"/>
        </w:rPr>
        <w:t> </w:t>
      </w:r>
      <w:r>
        <w:rPr/>
        <w:t>孰短期限内平均摊销；</w:t>
      </w:r>
    </w:p>
    <w:p>
      <w:pPr>
        <w:spacing w:line="240" w:lineRule="auto" w:before="0"/>
        <w:rPr>
          <w:rFonts w:ascii="宋体" w:hAnsi="宋体" w:cs="宋体" w:eastAsia="宋体" w:hint="default"/>
          <w:sz w:val="20"/>
          <w:szCs w:val="20"/>
        </w:rPr>
      </w:pPr>
    </w:p>
    <w:p>
      <w:pPr>
        <w:pStyle w:val="BodyText"/>
        <w:spacing w:line="230" w:lineRule="auto"/>
        <w:ind w:left="607" w:right="207" w:hanging="489"/>
        <w:jc w:val="both"/>
      </w:pPr>
      <w:r>
        <w:rPr>
          <w:rFonts w:ascii="Arial" w:hAnsi="Arial" w:cs="Arial" w:eastAsia="Arial" w:hint="default"/>
        </w:rPr>
        <w:t>(e)</w:t>
      </w:r>
      <w:r>
        <w:rPr>
          <w:rFonts w:ascii="Arial" w:hAnsi="Arial" w:cs="Arial" w:eastAsia="Arial" w:hint="default"/>
          <w:spacing w:val="57"/>
        </w:rPr>
        <w:t> </w:t>
      </w:r>
      <w:r>
        <w:rPr/>
        <w:t>开通移动通信服务直接相关成本，主要是与开通移动通信服务所收取的一次性不退还收入直</w:t>
      </w:r>
      <w:r>
        <w:rPr>
          <w:w w:val="99"/>
        </w:rPr>
        <w:t> </w:t>
      </w:r>
      <w:r>
        <w:rPr/>
        <w:t>接相关的手机识别卡（如</w:t>
      </w:r>
      <w:r>
        <w:rPr>
          <w:spacing w:val="-68"/>
        </w:rPr>
        <w:t> </w:t>
      </w:r>
      <w:r>
        <w:rPr>
          <w:rFonts w:ascii="Arial" w:hAnsi="Arial" w:cs="Arial" w:eastAsia="Arial" w:hint="default"/>
        </w:rPr>
        <w:t>SIM</w:t>
      </w:r>
      <w:r>
        <w:rPr>
          <w:rFonts w:ascii="Arial" w:hAnsi="Arial" w:cs="Arial" w:eastAsia="Arial" w:hint="default"/>
          <w:spacing w:val="-20"/>
        </w:rPr>
        <w:t> </w:t>
      </w:r>
      <w:r>
        <w:rPr/>
        <w:t>卡）成本及一次性佣金支出，该成本按</w:t>
      </w:r>
      <w:r>
        <w:rPr>
          <w:spacing w:val="-68"/>
        </w:rPr>
        <w:t> </w:t>
      </w:r>
      <w:r>
        <w:rPr>
          <w:rFonts w:ascii="Arial" w:hAnsi="Arial" w:cs="Arial" w:eastAsia="Arial" w:hint="default"/>
        </w:rPr>
        <w:t>3</w:t>
      </w:r>
      <w:r>
        <w:rPr>
          <w:rFonts w:ascii="Arial" w:hAnsi="Arial" w:cs="Arial" w:eastAsia="Arial" w:hint="default"/>
          <w:spacing w:val="-19"/>
        </w:rPr>
        <w:t> </w:t>
      </w:r>
      <w:r>
        <w:rPr/>
        <w:t>年的预计用户服务期</w:t>
      </w:r>
      <w:r>
        <w:rPr>
          <w:w w:val="99"/>
        </w:rPr>
        <w:t> </w:t>
      </w:r>
      <w:r>
        <w:rPr/>
        <w:t>平均摊销，增加的直接相关成本超过相应的一次性不退还收入的部分，立即在利润表中确认</w:t>
      </w:r>
      <w:r>
        <w:rPr>
          <w:spacing w:val="1"/>
          <w:w w:val="99"/>
        </w:rPr>
        <w:t> </w:t>
      </w:r>
      <w:r>
        <w:rPr/>
        <w:t>为费用。预计为客户提供服务的期间根据预计较稳定的用户离网率来估计；</w:t>
      </w:r>
    </w:p>
    <w:p>
      <w:pPr>
        <w:spacing w:line="240" w:lineRule="auto" w:before="4"/>
        <w:rPr>
          <w:rFonts w:ascii="宋体" w:hAnsi="宋体" w:cs="宋体" w:eastAsia="宋体" w:hint="default"/>
          <w:sz w:val="21"/>
          <w:szCs w:val="21"/>
        </w:rPr>
      </w:pPr>
    </w:p>
    <w:p>
      <w:pPr>
        <w:pStyle w:val="BodyText"/>
        <w:spacing w:line="286" w:lineRule="exact"/>
        <w:ind w:left="607" w:right="207" w:hanging="489"/>
        <w:jc w:val="both"/>
      </w:pPr>
      <w:r>
        <w:rPr>
          <w:rFonts w:ascii="Arial" w:hAnsi="Arial" w:cs="Arial" w:eastAsia="Arial" w:hint="default"/>
          <w:w w:val="99"/>
        </w:rPr>
        <w:t>(f) </w:t>
      </w:r>
      <w:r>
        <w:rPr>
          <w:spacing w:val="-4"/>
          <w:w w:val="99"/>
        </w:rPr>
        <w:t>装移机成本主要指与固网业务安装服务相关的直接增加的成本，该成本按</w:t>
      </w:r>
      <w:r>
        <w:rPr>
          <w:w w:val="99"/>
        </w:rPr>
        <w:t> </w:t>
      </w:r>
      <w:r>
        <w:rPr>
          <w:rFonts w:ascii="Arial" w:hAnsi="Arial" w:cs="Arial" w:eastAsia="Arial" w:hint="default"/>
          <w:w w:val="99"/>
        </w:rPr>
        <w:t>10 </w:t>
      </w:r>
      <w:r>
        <w:rPr>
          <w:w w:val="99"/>
        </w:rPr>
        <w:t>年的预计用户服 </w:t>
      </w:r>
      <w:r>
        <w:rPr/>
        <w:t>务期限摊销计入利润表，直接增加成本超出相应装移机费收入的部分，立即在利润表中确认</w:t>
      </w:r>
      <w:r>
        <w:rPr>
          <w:spacing w:val="1"/>
          <w:w w:val="99"/>
        </w:rPr>
        <w:t> </w:t>
      </w:r>
      <w:r>
        <w:rPr/>
        <w:t>为费用。预计为客户提供服务的期间根据预计较稳定的用户离网率来估计。</w:t>
      </w:r>
    </w:p>
    <w:p>
      <w:pPr>
        <w:pStyle w:val="BodyText"/>
        <w:spacing w:line="240" w:lineRule="auto" w:before="194"/>
        <w:ind w:left="118" w:right="5567"/>
        <w:jc w:val="left"/>
      </w:pPr>
      <w:r>
        <w:rPr>
          <w:rFonts w:ascii="Arial" w:hAnsi="Arial" w:cs="Arial" w:eastAsia="Arial" w:hint="default"/>
        </w:rPr>
        <w:t>18</w:t>
      </w:r>
      <w:r>
        <w:rPr/>
        <w:t>、长期资产减值</w:t>
      </w:r>
    </w:p>
    <w:p>
      <w:pPr>
        <w:spacing w:line="240" w:lineRule="auto" w:before="2"/>
        <w:rPr>
          <w:rFonts w:ascii="宋体" w:hAnsi="宋体" w:cs="宋体" w:eastAsia="宋体" w:hint="default"/>
          <w:sz w:val="15"/>
          <w:szCs w:val="15"/>
        </w:rPr>
      </w:pPr>
    </w:p>
    <w:p>
      <w:pPr>
        <w:pStyle w:val="BodyText"/>
        <w:spacing w:line="237" w:lineRule="auto"/>
        <w:ind w:left="586" w:right="28"/>
        <w:jc w:val="left"/>
      </w:pPr>
      <w:r>
        <w:rPr>
          <w:spacing w:val="-2"/>
        </w:rPr>
        <w:t>固定资产、在建工程（含工程物资）、使用寿命有限的无形资产、长期待摊费用及对子公司、</w:t>
      </w:r>
      <w:r>
        <w:rPr>
          <w:spacing w:val="-108"/>
        </w:rPr>
        <w:t> </w:t>
      </w:r>
      <w:r>
        <w:rPr>
          <w:spacing w:val="-108"/>
        </w:rPr>
      </w:r>
      <w:r>
        <w:rPr/>
        <w:t>合营企业及联营企业的长期股权投资等，于资产负债表日存在减值迹象的，进行减值测试。</w:t>
      </w:r>
      <w:r>
        <w:rPr>
          <w:spacing w:val="-101"/>
        </w:rPr>
        <w:t> </w:t>
      </w:r>
      <w:r>
        <w:rPr>
          <w:spacing w:val="-101"/>
        </w:rPr>
      </w:r>
      <w:r>
        <w:rPr/>
        <w:t>减值测试结果表明资产的可收回金额低于其账面价值的，按其差额计提减值准备并计入减值</w:t>
      </w:r>
      <w:r>
        <w:rPr>
          <w:w w:val="99"/>
        </w:rPr>
        <w:t> </w:t>
      </w:r>
      <w:r>
        <w:rPr/>
        <w:t>损失。可收回金额为资产的公允价值减去处置费用后的净额与资产预计未来现金流量的现值</w:t>
      </w:r>
      <w:r>
        <w:rPr>
          <w:w w:val="99"/>
        </w:rPr>
        <w:t> </w:t>
      </w:r>
      <w:r>
        <w:rPr/>
        <w:t>两者之间的较高者。资产减值准备按单项资产为基础计算并确认，如果难以对单项资产的可</w:t>
      </w:r>
      <w:r>
        <w:rPr>
          <w:spacing w:val="-102"/>
        </w:rPr>
        <w:t> </w:t>
      </w:r>
      <w:r>
        <w:rPr>
          <w:spacing w:val="-102"/>
        </w:rPr>
      </w:r>
      <w:r>
        <w:rPr/>
        <w:t>收回金额进行估计的，以该资产所属的资产组确定资产组的可收回金额。资产组是能够独立</w:t>
      </w:r>
      <w:r>
        <w:rPr>
          <w:w w:val="99"/>
        </w:rPr>
        <w:t> </w:t>
      </w:r>
      <w:r>
        <w:rPr/>
        <w:t>产生现金流入的最小资产组合。</w:t>
      </w:r>
    </w:p>
    <w:p>
      <w:pPr>
        <w:spacing w:line="240" w:lineRule="auto" w:before="5"/>
        <w:rPr>
          <w:rFonts w:ascii="宋体" w:hAnsi="宋体" w:cs="宋体" w:eastAsia="宋体" w:hint="default"/>
          <w:sz w:val="17"/>
          <w:szCs w:val="17"/>
        </w:rPr>
      </w:pPr>
    </w:p>
    <w:p>
      <w:pPr>
        <w:pStyle w:val="BodyText"/>
        <w:spacing w:line="240" w:lineRule="auto"/>
        <w:ind w:left="586" w:right="28"/>
        <w:jc w:val="left"/>
      </w:pPr>
      <w:r>
        <w:rPr/>
        <w:t>上述资产减值损失一经确认，以后期间不予转回价值得以恢复的部分。</w:t>
      </w:r>
    </w:p>
    <w:p>
      <w:pPr>
        <w:spacing w:after="0" w:line="240" w:lineRule="auto"/>
        <w:jc w:val="left"/>
        <w:sectPr>
          <w:headerReference w:type="default" r:id="rId53"/>
          <w:pgSz w:w="11910" w:h="16840"/>
          <w:pgMar w:header="967" w:footer="593" w:top="2820" w:bottom="780" w:left="1440" w:right="820"/>
        </w:sectPr>
      </w:pPr>
    </w:p>
    <w:p>
      <w:pPr>
        <w:spacing w:line="240" w:lineRule="auto" w:before="9"/>
        <w:rPr>
          <w:rFonts w:ascii="宋体" w:hAnsi="宋体" w:cs="宋体" w:eastAsia="宋体" w:hint="default"/>
          <w:sz w:val="12"/>
          <w:szCs w:val="12"/>
        </w:rPr>
      </w:pPr>
    </w:p>
    <w:p>
      <w:pPr>
        <w:pStyle w:val="BodyText"/>
        <w:spacing w:line="240" w:lineRule="auto" w:before="31"/>
        <w:ind w:left="118" w:right="5567"/>
        <w:jc w:val="left"/>
      </w:pPr>
      <w:r>
        <w:rPr>
          <w:rFonts w:ascii="Arial" w:hAnsi="Arial" w:cs="Arial" w:eastAsia="Arial" w:hint="default"/>
        </w:rPr>
        <w:t>19</w:t>
      </w:r>
      <w:r>
        <w:rPr/>
        <w:t>、预收账款</w:t>
      </w:r>
    </w:p>
    <w:p>
      <w:pPr>
        <w:spacing w:line="240" w:lineRule="auto" w:before="11"/>
        <w:rPr>
          <w:rFonts w:ascii="宋体" w:hAnsi="宋体" w:cs="宋体" w:eastAsia="宋体" w:hint="default"/>
          <w:sz w:val="18"/>
          <w:szCs w:val="18"/>
        </w:rPr>
      </w:pPr>
    </w:p>
    <w:p>
      <w:pPr>
        <w:pStyle w:val="BodyText"/>
        <w:spacing w:line="286" w:lineRule="exact"/>
        <w:ind w:left="607" w:right="227"/>
        <w:jc w:val="both"/>
      </w:pPr>
      <w:r>
        <w:rPr/>
        <w:t>预收账款主要指预收的电信业务服务费，是根据于合同生效日期开始已收取的服务费减去于</w:t>
      </w:r>
      <w:r>
        <w:rPr>
          <w:w w:val="99"/>
        </w:rPr>
        <w:t> </w:t>
      </w:r>
      <w:r>
        <w:rPr/>
        <w:t>各期间已在利润表中确认的收入后的净额列示。</w:t>
      </w:r>
    </w:p>
    <w:p>
      <w:pPr>
        <w:pStyle w:val="BodyText"/>
        <w:spacing w:line="240" w:lineRule="auto" w:before="182"/>
        <w:ind w:left="118" w:right="5567"/>
        <w:jc w:val="left"/>
      </w:pPr>
      <w:r>
        <w:rPr>
          <w:rFonts w:ascii="Arial" w:hAnsi="Arial" w:cs="Arial" w:eastAsia="Arial" w:hint="default"/>
        </w:rPr>
        <w:t>20</w:t>
      </w:r>
      <w:r>
        <w:rPr/>
        <w:t>、职工薪酬</w:t>
      </w:r>
    </w:p>
    <w:p>
      <w:pPr>
        <w:spacing w:line="240" w:lineRule="auto" w:before="10"/>
        <w:rPr>
          <w:rFonts w:ascii="宋体" w:hAnsi="宋体" w:cs="宋体" w:eastAsia="宋体" w:hint="default"/>
          <w:sz w:val="18"/>
          <w:szCs w:val="18"/>
        </w:rPr>
      </w:pPr>
    </w:p>
    <w:p>
      <w:pPr>
        <w:pStyle w:val="BodyText"/>
        <w:spacing w:line="286" w:lineRule="exact"/>
        <w:ind w:left="607" w:right="227"/>
        <w:jc w:val="both"/>
      </w:pPr>
      <w:r>
        <w:rPr/>
        <w:t>职工薪酬主要包括工资、奖金、津贴和补贴、职工福利费、社会保险费及住房公积金、工会</w:t>
      </w:r>
      <w:r>
        <w:rPr>
          <w:w w:val="99"/>
        </w:rPr>
        <w:t> </w:t>
      </w:r>
      <w:r>
        <w:rPr/>
        <w:t>经费和职工教育经费等其他与获得职工提供的服务相关的支出。</w:t>
      </w:r>
    </w:p>
    <w:p>
      <w:pPr>
        <w:spacing w:line="240" w:lineRule="auto" w:before="5"/>
        <w:rPr>
          <w:rFonts w:ascii="宋体" w:hAnsi="宋体" w:cs="宋体" w:eastAsia="宋体" w:hint="default"/>
          <w:sz w:val="17"/>
          <w:szCs w:val="17"/>
        </w:rPr>
      </w:pPr>
    </w:p>
    <w:p>
      <w:pPr>
        <w:pStyle w:val="BodyText"/>
        <w:spacing w:line="237" w:lineRule="auto"/>
        <w:ind w:left="607" w:right="215"/>
        <w:jc w:val="both"/>
      </w:pPr>
      <w:r>
        <w:rPr/>
        <w:t>本集团在职工劳动合同到期之前解除与职工的劳动关系、或者为鼓励职工自愿接受裁减而提</w:t>
      </w:r>
      <w:r>
        <w:rPr>
          <w:w w:val="99"/>
        </w:rPr>
        <w:t> </w:t>
      </w:r>
      <w:r>
        <w:rPr/>
        <w:t>出给予补偿的建议，当本集团已经制定正式的解除劳动关系计划或提出自愿裁减建议并即将</w:t>
      </w:r>
      <w:r>
        <w:rPr>
          <w:w w:val="99"/>
        </w:rPr>
        <w:t> </w:t>
      </w:r>
      <w:r>
        <w:rPr/>
        <w:t>实施、且本集团不能单方面撤回解除劳动关系计划或裁减建议时，确认因解除与职工的劳动</w:t>
      </w:r>
      <w:r>
        <w:rPr>
          <w:w w:val="99"/>
        </w:rPr>
        <w:t> </w:t>
      </w:r>
      <w:r>
        <w:rPr/>
        <w:t>关系给予补偿而产生的预计负债，同时计入当期费用。</w:t>
      </w:r>
    </w:p>
    <w:p>
      <w:pPr>
        <w:spacing w:line="240" w:lineRule="auto" w:before="5"/>
        <w:rPr>
          <w:rFonts w:ascii="宋体" w:hAnsi="宋体" w:cs="宋体" w:eastAsia="宋体" w:hint="default"/>
          <w:sz w:val="19"/>
          <w:szCs w:val="19"/>
        </w:rPr>
      </w:pPr>
    </w:p>
    <w:p>
      <w:pPr>
        <w:pStyle w:val="BodyText"/>
        <w:spacing w:line="237" w:lineRule="auto"/>
        <w:ind w:left="607" w:right="215"/>
        <w:jc w:val="both"/>
      </w:pPr>
      <w:r>
        <w:rPr/>
        <w:t>除因解除与职工的劳动关系给予的补偿及以下员工内部退休计划和补充福利计划外，于职工</w:t>
      </w:r>
      <w:r>
        <w:rPr>
          <w:spacing w:val="1"/>
          <w:w w:val="99"/>
        </w:rPr>
        <w:t> </w:t>
      </w:r>
      <w:r>
        <w:rPr/>
        <w:t>提供服务的期间确认应付的职工薪酬，并根据职工提供服务的受益对象计入相关资产成本和</w:t>
      </w:r>
      <w:r>
        <w:rPr>
          <w:w w:val="99"/>
        </w:rPr>
        <w:t> </w:t>
      </w:r>
      <w:r>
        <w:rPr/>
        <w:t>费用。</w:t>
      </w:r>
    </w:p>
    <w:p>
      <w:pPr>
        <w:spacing w:line="240" w:lineRule="auto" w:before="13"/>
        <w:rPr>
          <w:rFonts w:ascii="宋体" w:hAnsi="宋体" w:cs="宋体" w:eastAsia="宋体" w:hint="default"/>
          <w:sz w:val="15"/>
          <w:szCs w:val="15"/>
        </w:rPr>
      </w:pPr>
    </w:p>
    <w:p>
      <w:pPr>
        <w:pStyle w:val="BodyText"/>
        <w:tabs>
          <w:tab w:pos="595" w:val="left" w:leader="none"/>
        </w:tabs>
        <w:spacing w:line="240" w:lineRule="auto"/>
        <w:ind w:left="118" w:right="5567"/>
        <w:jc w:val="left"/>
      </w:pPr>
      <w:r>
        <w:rPr>
          <w:rFonts w:ascii="Arial" w:hAnsi="Arial" w:cs="Arial" w:eastAsia="Arial" w:hint="default"/>
          <w:w w:val="95"/>
        </w:rPr>
        <w:t>(a)</w:t>
        <w:tab/>
      </w:r>
      <w:r>
        <w:rPr/>
        <w:t>退休福利</w:t>
      </w:r>
    </w:p>
    <w:p>
      <w:pPr>
        <w:spacing w:line="240" w:lineRule="auto" w:before="12"/>
        <w:rPr>
          <w:rFonts w:ascii="宋体" w:hAnsi="宋体" w:cs="宋体" w:eastAsia="宋体" w:hint="default"/>
          <w:sz w:val="16"/>
          <w:szCs w:val="16"/>
        </w:rPr>
      </w:pPr>
    </w:p>
    <w:p>
      <w:pPr>
        <w:pStyle w:val="BodyText"/>
        <w:spacing w:line="237" w:lineRule="auto"/>
        <w:ind w:left="607" w:right="224"/>
        <w:jc w:val="both"/>
      </w:pPr>
      <w:r>
        <w:rPr/>
        <w:t>本集团的所有在职员工均参与并享受由地方政府组织的固定供款的退休养老统筹计划，本集</w:t>
      </w:r>
      <w:r>
        <w:rPr>
          <w:w w:val="99"/>
        </w:rPr>
        <w:t> </w:t>
      </w:r>
      <w:r>
        <w:rPr/>
        <w:t>团按照在职职工工资总额的一定比例且在不超过规定上限的基础上提取养老保险金，并向当</w:t>
      </w:r>
      <w:r>
        <w:rPr>
          <w:w w:val="99"/>
        </w:rPr>
        <w:t> </w:t>
      </w:r>
      <w:r>
        <w:rPr/>
        <w:t>地劳动和社会保障机构缴纳。</w:t>
      </w:r>
    </w:p>
    <w:p>
      <w:pPr>
        <w:spacing w:line="240" w:lineRule="auto" w:before="13"/>
        <w:rPr>
          <w:rFonts w:ascii="宋体" w:hAnsi="宋体" w:cs="宋体" w:eastAsia="宋体" w:hint="default"/>
          <w:sz w:val="16"/>
          <w:szCs w:val="16"/>
        </w:rPr>
      </w:pPr>
    </w:p>
    <w:p>
      <w:pPr>
        <w:pStyle w:val="BodyText"/>
        <w:tabs>
          <w:tab w:pos="595" w:val="left" w:leader="none"/>
        </w:tabs>
        <w:spacing w:line="240" w:lineRule="auto"/>
        <w:ind w:left="118" w:right="5567"/>
        <w:jc w:val="left"/>
      </w:pPr>
      <w:r>
        <w:rPr>
          <w:rFonts w:ascii="Arial" w:hAnsi="Arial" w:cs="Arial" w:eastAsia="Arial" w:hint="default"/>
          <w:w w:val="95"/>
        </w:rPr>
        <w:t>(b)</w:t>
        <w:tab/>
      </w:r>
      <w:r>
        <w:rPr/>
        <w:t>员工内部退休计划</w:t>
      </w:r>
    </w:p>
    <w:p>
      <w:pPr>
        <w:spacing w:line="240" w:lineRule="auto" w:before="12"/>
        <w:rPr>
          <w:rFonts w:ascii="宋体" w:hAnsi="宋体" w:cs="宋体" w:eastAsia="宋体" w:hint="default"/>
          <w:sz w:val="16"/>
          <w:szCs w:val="16"/>
        </w:rPr>
      </w:pPr>
    </w:p>
    <w:p>
      <w:pPr>
        <w:pStyle w:val="BodyText"/>
        <w:spacing w:line="237" w:lineRule="auto"/>
        <w:ind w:left="607" w:right="28"/>
        <w:jc w:val="left"/>
      </w:pPr>
      <w:r>
        <w:rPr/>
        <w:t>本集团向接受内部退休安排的职工提供内退福利。内退福利是指，向未达到国家规定的退休</w:t>
      </w:r>
      <w:r>
        <w:rPr>
          <w:w w:val="99"/>
        </w:rPr>
        <w:t> </w:t>
      </w:r>
      <w:r>
        <w:rPr>
          <w:spacing w:val="-3"/>
        </w:rPr>
        <w:t>年龄、经本集团管理层批准自愿退出工作岗位的职工支付的工资及为其缴纳的社会保险费等。</w:t>
      </w:r>
      <w:r>
        <w:rPr>
          <w:spacing w:val="-92"/>
        </w:rPr>
        <w:t> </w:t>
      </w:r>
      <w:r>
        <w:rPr>
          <w:spacing w:val="-92"/>
        </w:rPr>
      </w:r>
      <w:r>
        <w:rPr/>
        <w:t>对于内退福利，本集团按照辞退福利进行会计处理，在符合辞退福利相关确认条件时，将自</w:t>
      </w:r>
      <w:r>
        <w:rPr>
          <w:spacing w:val="1"/>
          <w:w w:val="99"/>
        </w:rPr>
        <w:t> </w:t>
      </w:r>
      <w:r>
        <w:rPr/>
        <w:t>职工停止提供服务日至正常退休日之间期间、本集团拟支付的内退福利，确认为预计负债并</w:t>
      </w:r>
      <w:r>
        <w:rPr>
          <w:w w:val="99"/>
        </w:rPr>
        <w:t> </w:t>
      </w:r>
      <w:r>
        <w:rPr/>
        <w:t>计入长期应付款下，同时确认当期费用。</w:t>
      </w:r>
    </w:p>
    <w:p>
      <w:pPr>
        <w:spacing w:line="240" w:lineRule="auto" w:before="12"/>
        <w:rPr>
          <w:rFonts w:ascii="宋体" w:hAnsi="宋体" w:cs="宋体" w:eastAsia="宋体" w:hint="default"/>
          <w:sz w:val="16"/>
          <w:szCs w:val="16"/>
        </w:rPr>
      </w:pPr>
    </w:p>
    <w:p>
      <w:pPr>
        <w:pStyle w:val="BodyText"/>
        <w:tabs>
          <w:tab w:pos="595" w:val="left" w:leader="none"/>
        </w:tabs>
        <w:spacing w:line="240" w:lineRule="auto"/>
        <w:ind w:left="118" w:right="5567"/>
        <w:jc w:val="left"/>
      </w:pPr>
      <w:r>
        <w:rPr>
          <w:rFonts w:ascii="Arial" w:hAnsi="Arial" w:cs="Arial" w:eastAsia="Arial" w:hint="default"/>
          <w:w w:val="95"/>
        </w:rPr>
        <w:t>(c)</w:t>
        <w:tab/>
      </w:r>
      <w:r>
        <w:rPr/>
        <w:t>补充福利计划</w:t>
      </w:r>
    </w:p>
    <w:p>
      <w:pPr>
        <w:spacing w:line="240" w:lineRule="auto" w:before="12"/>
        <w:rPr>
          <w:rFonts w:ascii="宋体" w:hAnsi="宋体" w:cs="宋体" w:eastAsia="宋体" w:hint="default"/>
          <w:sz w:val="16"/>
          <w:szCs w:val="16"/>
        </w:rPr>
      </w:pPr>
    </w:p>
    <w:p>
      <w:pPr>
        <w:pStyle w:val="BodyText"/>
        <w:spacing w:line="237" w:lineRule="auto"/>
        <w:ind w:left="607" w:right="215"/>
        <w:jc w:val="both"/>
      </w:pPr>
      <w:r>
        <w:rPr/>
        <w:t>除参加由地方政府组织的固定供款的社会保险外，本集团所属个别子公司亦向其职工提供其</w:t>
      </w:r>
      <w:r>
        <w:rPr>
          <w:w w:val="99"/>
        </w:rPr>
        <w:t> </w:t>
      </w:r>
      <w:r>
        <w:rPr/>
        <w:t>他离退休后补充福利，主要包括补充退休金津贴，医药费用报销及补充医疗保险，该等离退</w:t>
      </w:r>
      <w:r>
        <w:rPr>
          <w:spacing w:val="1"/>
          <w:w w:val="99"/>
        </w:rPr>
        <w:t> </w:t>
      </w:r>
      <w:r>
        <w:rPr/>
        <w:t>休后补充福利被视为设定受益计划，按其于资产负债表日的现值被确认为负债，列示于资产</w:t>
      </w:r>
      <w:r>
        <w:rPr>
          <w:spacing w:val="1"/>
          <w:w w:val="99"/>
        </w:rPr>
        <w:t> </w:t>
      </w:r>
      <w:r>
        <w:rPr/>
        <w:t>负债表长期应付款及应付职工薪酬（一年内到期部分）项下。</w:t>
      </w:r>
    </w:p>
    <w:p>
      <w:pPr>
        <w:spacing w:after="0" w:line="237" w:lineRule="auto"/>
        <w:jc w:val="both"/>
        <w:sectPr>
          <w:headerReference w:type="default" r:id="rId54"/>
          <w:pgSz w:w="11910" w:h="16840"/>
          <w:pgMar w:header="967" w:footer="593" w:top="2820" w:bottom="780" w:left="1440" w:right="820"/>
        </w:sectPr>
      </w:pPr>
    </w:p>
    <w:p>
      <w:pPr>
        <w:spacing w:line="240" w:lineRule="auto" w:before="9"/>
        <w:rPr>
          <w:rFonts w:ascii="宋体" w:hAnsi="宋体" w:cs="宋体" w:eastAsia="宋体" w:hint="default"/>
          <w:sz w:val="12"/>
          <w:szCs w:val="12"/>
        </w:rPr>
      </w:pPr>
    </w:p>
    <w:p>
      <w:pPr>
        <w:pStyle w:val="BodyText"/>
        <w:spacing w:line="240" w:lineRule="auto" w:before="31"/>
        <w:ind w:left="118" w:right="5567"/>
        <w:jc w:val="left"/>
      </w:pPr>
      <w:r>
        <w:rPr>
          <w:rFonts w:ascii="Arial" w:hAnsi="Arial" w:cs="Arial" w:eastAsia="Arial" w:hint="default"/>
        </w:rPr>
        <w:t>21</w:t>
      </w:r>
      <w:r>
        <w:rPr/>
        <w:t>、股份支付</w:t>
      </w:r>
    </w:p>
    <w:p>
      <w:pPr>
        <w:spacing w:line="240" w:lineRule="auto" w:before="12"/>
        <w:rPr>
          <w:rFonts w:ascii="宋体" w:hAnsi="宋体" w:cs="宋体" w:eastAsia="宋体" w:hint="default"/>
          <w:sz w:val="16"/>
          <w:szCs w:val="16"/>
        </w:rPr>
      </w:pPr>
    </w:p>
    <w:p>
      <w:pPr>
        <w:pStyle w:val="BodyText"/>
        <w:spacing w:line="237" w:lineRule="auto"/>
        <w:ind w:left="586" w:right="104"/>
        <w:jc w:val="left"/>
      </w:pPr>
      <w:r>
        <w:rPr/>
        <w:t>本集团的股份支付是联通红筹公司为了获取员工的服务而授予的以权益结算的股份支付，以</w:t>
      </w:r>
      <w:r>
        <w:rPr>
          <w:w w:val="99"/>
        </w:rPr>
        <w:t> </w:t>
      </w:r>
      <w:r>
        <w:rPr/>
        <w:t>授予日的公允价值计量。在等待期内的每个资产负债表日，以对可行权权益工具数量的最佳</w:t>
      </w:r>
      <w:r>
        <w:rPr>
          <w:spacing w:val="-102"/>
        </w:rPr>
        <w:t> </w:t>
      </w:r>
      <w:r>
        <w:rPr>
          <w:spacing w:val="-102"/>
        </w:rPr>
      </w:r>
      <w:r>
        <w:rPr/>
        <w:t>估计为基础，按照权益工具授予日的公允价值，将当期取得的服务计入相关成本或费用，相</w:t>
      </w:r>
      <w:r>
        <w:rPr>
          <w:w w:val="99"/>
        </w:rPr>
        <w:t> </w:t>
      </w:r>
      <w:r>
        <w:rPr>
          <w:spacing w:val="-2"/>
        </w:rPr>
        <w:t>应增加资本公积。确认上述公允价值时，不考虑非市场条件的影响（例如收入和利润指标），</w:t>
      </w:r>
      <w:r>
        <w:rPr>
          <w:w w:val="99"/>
        </w:rPr>
        <w:t> </w:t>
      </w:r>
      <w:r>
        <w:rPr/>
        <w:t>且期后也无需重新评估，但非市场条件的影响包括在对预计可行权数量的估计中。在资产负</w:t>
      </w:r>
      <w:r>
        <w:rPr>
          <w:w w:val="99"/>
        </w:rPr>
        <w:t> </w:t>
      </w:r>
      <w:r>
        <w:rPr/>
        <w:t>债表日，后续信息表明可行权权益工具的数量与以前估计不同的，则对其进行调整，并在可</w:t>
      </w:r>
      <w:r>
        <w:rPr>
          <w:w w:val="99"/>
        </w:rPr>
        <w:t> </w:t>
      </w:r>
      <w:r>
        <w:rPr/>
        <w:t>行权日，调整至实际可行权的权益工具数量。在可行权日之后，不再对已确认的相关成本或</w:t>
      </w:r>
      <w:r>
        <w:rPr>
          <w:w w:val="99"/>
        </w:rPr>
        <w:t> </w:t>
      </w:r>
      <w:r>
        <w:rPr/>
        <w:t>费用和所有者权益总额进行调整。于行权日，本集团根据员工实际行权的权益工具数量，将</w:t>
      </w:r>
      <w:r>
        <w:rPr>
          <w:spacing w:val="-97"/>
        </w:rPr>
        <w:t> </w:t>
      </w:r>
      <w:r>
        <w:rPr>
          <w:spacing w:val="-97"/>
        </w:rPr>
      </w:r>
      <w:r>
        <w:rPr/>
        <w:t>所收取的款项扣除交易费用后，确认联通红筹公司的股本和股本溢价，同时结转等待期内确</w:t>
      </w:r>
      <w:r>
        <w:rPr>
          <w:w w:val="99"/>
        </w:rPr>
        <w:t> </w:t>
      </w:r>
      <w:r>
        <w:rPr/>
        <w:t>认的资本公积（其他资本公积）。</w:t>
      </w:r>
    </w:p>
    <w:p>
      <w:pPr>
        <w:spacing w:line="240" w:lineRule="auto" w:before="12"/>
        <w:rPr>
          <w:rFonts w:ascii="宋体" w:hAnsi="宋体" w:cs="宋体" w:eastAsia="宋体" w:hint="default"/>
          <w:sz w:val="16"/>
          <w:szCs w:val="16"/>
        </w:rPr>
      </w:pPr>
    </w:p>
    <w:p>
      <w:pPr>
        <w:pStyle w:val="BodyText"/>
        <w:spacing w:line="240" w:lineRule="auto"/>
        <w:ind w:left="118" w:right="5567"/>
        <w:jc w:val="left"/>
      </w:pPr>
      <w:r>
        <w:rPr>
          <w:rFonts w:ascii="Arial" w:hAnsi="Arial" w:cs="Arial" w:eastAsia="Arial" w:hint="default"/>
        </w:rPr>
        <w:t>22</w:t>
      </w:r>
      <w:r>
        <w:rPr/>
        <w:t>、股利分配</w:t>
      </w:r>
    </w:p>
    <w:p>
      <w:pPr>
        <w:spacing w:line="240" w:lineRule="auto" w:before="9"/>
        <w:rPr>
          <w:rFonts w:ascii="宋体" w:hAnsi="宋体" w:cs="宋体" w:eastAsia="宋体" w:hint="default"/>
          <w:sz w:val="16"/>
          <w:szCs w:val="16"/>
        </w:rPr>
      </w:pPr>
    </w:p>
    <w:p>
      <w:pPr>
        <w:pStyle w:val="BodyText"/>
        <w:spacing w:line="240" w:lineRule="auto"/>
        <w:ind w:left="586" w:right="28"/>
        <w:jc w:val="left"/>
      </w:pPr>
      <w:r>
        <w:rPr/>
        <w:t>现金股利于股东大会批准的当期，确认为负债。</w:t>
      </w:r>
    </w:p>
    <w:p>
      <w:pPr>
        <w:spacing w:line="240" w:lineRule="auto" w:before="13"/>
        <w:rPr>
          <w:rFonts w:ascii="宋体" w:hAnsi="宋体" w:cs="宋体" w:eastAsia="宋体" w:hint="default"/>
          <w:sz w:val="16"/>
          <w:szCs w:val="16"/>
        </w:rPr>
      </w:pPr>
    </w:p>
    <w:p>
      <w:pPr>
        <w:pStyle w:val="BodyText"/>
        <w:spacing w:line="240" w:lineRule="auto"/>
        <w:ind w:left="118" w:right="5567"/>
        <w:jc w:val="left"/>
      </w:pPr>
      <w:r>
        <w:rPr>
          <w:rFonts w:ascii="Arial" w:hAnsi="Arial" w:cs="Arial" w:eastAsia="Arial" w:hint="default"/>
        </w:rPr>
        <w:t>23</w:t>
      </w:r>
      <w:r>
        <w:rPr/>
        <w:t>、预计负债</w:t>
      </w:r>
    </w:p>
    <w:p>
      <w:pPr>
        <w:spacing w:line="240" w:lineRule="auto" w:before="13"/>
        <w:rPr>
          <w:rFonts w:ascii="宋体" w:hAnsi="宋体" w:cs="宋体" w:eastAsia="宋体" w:hint="default"/>
          <w:sz w:val="18"/>
          <w:szCs w:val="18"/>
        </w:rPr>
      </w:pPr>
    </w:p>
    <w:p>
      <w:pPr>
        <w:pStyle w:val="BodyText"/>
        <w:spacing w:line="284" w:lineRule="exact"/>
        <w:ind w:left="586" w:right="28"/>
        <w:jc w:val="left"/>
      </w:pPr>
      <w:r>
        <w:rPr/>
        <w:t>因产品质量保证、亏损合同等形成的现时义务，当履行该义务很可能导致经济利益的流出，</w:t>
      </w:r>
      <w:r>
        <w:rPr>
          <w:spacing w:val="-102"/>
        </w:rPr>
        <w:t> </w:t>
      </w:r>
      <w:r>
        <w:rPr>
          <w:spacing w:val="-102"/>
        </w:rPr>
      </w:r>
      <w:r>
        <w:rPr/>
        <w:t>且其金额能够可靠计量时，确认为预计负债。</w:t>
      </w:r>
    </w:p>
    <w:p>
      <w:pPr>
        <w:spacing w:line="240" w:lineRule="auto" w:before="5"/>
        <w:rPr>
          <w:rFonts w:ascii="宋体" w:hAnsi="宋体" w:cs="宋体" w:eastAsia="宋体" w:hint="default"/>
          <w:sz w:val="17"/>
          <w:szCs w:val="17"/>
        </w:rPr>
      </w:pPr>
    </w:p>
    <w:p>
      <w:pPr>
        <w:pStyle w:val="BodyText"/>
        <w:spacing w:line="237" w:lineRule="auto"/>
        <w:ind w:left="586" w:right="111"/>
        <w:jc w:val="both"/>
      </w:pPr>
      <w:r>
        <w:rPr/>
        <w:t>预计负债按照履行相关现时义务所需支出的最佳估计数进行初始计量，并综合考虑与或有事</w:t>
      </w:r>
      <w:r>
        <w:rPr>
          <w:w w:val="99"/>
        </w:rPr>
        <w:t> </w:t>
      </w:r>
      <w:r>
        <w:rPr/>
        <w:t>项有关的风险、不确定性和货币时间价值等因素。货币时间价值影响重大的，通过对相关未</w:t>
      </w:r>
      <w:r>
        <w:rPr>
          <w:w w:val="99"/>
        </w:rPr>
        <w:t> </w:t>
      </w:r>
      <w:r>
        <w:rPr/>
        <w:t>来现金流出进行折现后确定最佳估计数；因随着时间推移所进行的折现还原而导致的预计负</w:t>
      </w:r>
      <w:r>
        <w:rPr>
          <w:spacing w:val="-105"/>
        </w:rPr>
        <w:t> </w:t>
      </w:r>
      <w:r>
        <w:rPr>
          <w:spacing w:val="-105"/>
        </w:rPr>
      </w:r>
      <w:r>
        <w:rPr/>
        <w:t>债账面价值的增加金额，确认为利息费用。</w:t>
      </w:r>
    </w:p>
    <w:p>
      <w:pPr>
        <w:spacing w:line="240" w:lineRule="auto" w:before="3"/>
        <w:rPr>
          <w:rFonts w:ascii="宋体" w:hAnsi="宋体" w:cs="宋体" w:eastAsia="宋体" w:hint="default"/>
          <w:sz w:val="19"/>
          <w:szCs w:val="19"/>
        </w:rPr>
      </w:pPr>
    </w:p>
    <w:p>
      <w:pPr>
        <w:pStyle w:val="BodyText"/>
        <w:spacing w:line="240" w:lineRule="auto"/>
        <w:ind w:left="586" w:right="0"/>
        <w:jc w:val="left"/>
      </w:pPr>
      <w:r>
        <w:rPr/>
        <w:t>于资产负债表日，对预计负债的账面价值进行复核并作适当调整，以反映当前的最佳估计数。</w:t>
      </w:r>
    </w:p>
    <w:p>
      <w:pPr>
        <w:spacing w:line="240" w:lineRule="auto" w:before="12"/>
        <w:rPr>
          <w:rFonts w:ascii="宋体" w:hAnsi="宋体" w:cs="宋体" w:eastAsia="宋体" w:hint="default"/>
          <w:sz w:val="16"/>
          <w:szCs w:val="16"/>
        </w:rPr>
      </w:pPr>
    </w:p>
    <w:p>
      <w:pPr>
        <w:pStyle w:val="BodyText"/>
        <w:spacing w:line="240" w:lineRule="auto"/>
        <w:ind w:left="118" w:right="5567"/>
        <w:jc w:val="left"/>
      </w:pPr>
      <w:r>
        <w:rPr>
          <w:rFonts w:ascii="Arial" w:hAnsi="Arial" w:cs="Arial" w:eastAsia="Arial" w:hint="default"/>
        </w:rPr>
        <w:t>24</w:t>
      </w:r>
      <w:r>
        <w:rPr/>
        <w:t>、收入确认</w:t>
      </w:r>
    </w:p>
    <w:p>
      <w:pPr>
        <w:spacing w:line="240" w:lineRule="auto" w:before="11"/>
        <w:rPr>
          <w:rFonts w:ascii="宋体" w:hAnsi="宋体" w:cs="宋体" w:eastAsia="宋体" w:hint="default"/>
          <w:sz w:val="18"/>
          <w:szCs w:val="18"/>
        </w:rPr>
      </w:pPr>
    </w:p>
    <w:p>
      <w:pPr>
        <w:pStyle w:val="BodyText"/>
        <w:spacing w:line="286" w:lineRule="exact"/>
        <w:ind w:left="596" w:right="28"/>
        <w:jc w:val="left"/>
      </w:pPr>
      <w:r>
        <w:rPr/>
        <w:t>收入的金额按照本集团在日常经营活动中提供电信服务、其他劳务或销售通信产品时，已收</w:t>
      </w:r>
      <w:r>
        <w:rPr>
          <w:spacing w:val="-86"/>
        </w:rPr>
        <w:t> </w:t>
      </w:r>
      <w:r>
        <w:rPr>
          <w:spacing w:val="-86"/>
        </w:rPr>
      </w:r>
      <w:r>
        <w:rPr/>
        <w:t>或应收合同或协议价款的公允价值确定。收入按扣除销售折让及销售退回的净额列示。</w:t>
      </w:r>
    </w:p>
    <w:p>
      <w:pPr>
        <w:spacing w:line="240" w:lineRule="auto" w:before="6"/>
        <w:rPr>
          <w:rFonts w:ascii="宋体" w:hAnsi="宋体" w:cs="宋体" w:eastAsia="宋体" w:hint="default"/>
          <w:sz w:val="19"/>
          <w:szCs w:val="19"/>
        </w:rPr>
      </w:pPr>
    </w:p>
    <w:p>
      <w:pPr>
        <w:pStyle w:val="BodyText"/>
        <w:spacing w:line="284" w:lineRule="exact"/>
        <w:ind w:left="596" w:right="28"/>
        <w:jc w:val="left"/>
      </w:pPr>
      <w:r>
        <w:rPr/>
        <w:t>与交易相关的经济利益能够流入本集团，相关的收入和成本能够可靠计量且满足下列各项经</w:t>
      </w:r>
      <w:r>
        <w:rPr>
          <w:spacing w:val="-87"/>
        </w:rPr>
        <w:t> </w:t>
      </w:r>
      <w:r>
        <w:rPr>
          <w:spacing w:val="-87"/>
        </w:rPr>
      </w:r>
      <w:r>
        <w:rPr/>
        <w:t>营活动的特定收入确认标准时，确认相关的收入：</w:t>
      </w:r>
    </w:p>
    <w:p>
      <w:pPr>
        <w:spacing w:line="240" w:lineRule="auto" w:before="3"/>
        <w:rPr>
          <w:rFonts w:ascii="宋体" w:hAnsi="宋体" w:cs="宋体" w:eastAsia="宋体" w:hint="default"/>
          <w:sz w:val="17"/>
          <w:szCs w:val="17"/>
        </w:rPr>
      </w:pPr>
    </w:p>
    <w:p>
      <w:pPr>
        <w:pStyle w:val="BodyText"/>
        <w:spacing w:line="240" w:lineRule="auto"/>
        <w:ind w:left="160" w:right="28"/>
        <w:jc w:val="left"/>
      </w:pPr>
      <w:r>
        <w:rPr>
          <w:rFonts w:ascii="Arial" w:hAnsi="Arial" w:cs="Arial" w:eastAsia="Arial" w:hint="default"/>
        </w:rPr>
        <w:t>(a) </w:t>
      </w:r>
      <w:r>
        <w:rPr>
          <w:rFonts w:ascii="Arial" w:hAnsi="Arial" w:cs="Arial" w:eastAsia="Arial" w:hint="default"/>
          <w:spacing w:val="50"/>
        </w:rPr>
        <w:t> </w:t>
      </w:r>
      <w:r>
        <w:rPr/>
        <w:t>通话费和月租费在提供服务时确认；</w:t>
      </w:r>
    </w:p>
    <w:p>
      <w:pPr>
        <w:spacing w:line="240" w:lineRule="auto" w:before="13"/>
        <w:rPr>
          <w:rFonts w:ascii="宋体" w:hAnsi="宋体" w:cs="宋体" w:eastAsia="宋体" w:hint="default"/>
          <w:sz w:val="17"/>
          <w:szCs w:val="17"/>
        </w:rPr>
      </w:pPr>
    </w:p>
    <w:p>
      <w:pPr>
        <w:pStyle w:val="BodyText"/>
        <w:spacing w:line="240" w:lineRule="auto"/>
        <w:ind w:left="158" w:right="28"/>
        <w:jc w:val="left"/>
      </w:pPr>
      <w:r>
        <w:rPr>
          <w:rFonts w:ascii="Arial" w:hAnsi="Arial" w:cs="Arial" w:eastAsia="Arial" w:hint="default"/>
        </w:rPr>
        <w:t>(b) </w:t>
      </w:r>
      <w:r>
        <w:rPr>
          <w:rFonts w:ascii="Arial" w:hAnsi="Arial" w:cs="Arial" w:eastAsia="Arial" w:hint="default"/>
          <w:spacing w:val="49"/>
        </w:rPr>
        <w:t> </w:t>
      </w:r>
      <w:r>
        <w:rPr/>
        <w:t>提供宽带、数据及其他互联网相关服务的收入在提供服务时予以确认；</w:t>
      </w:r>
    </w:p>
    <w:p>
      <w:pPr>
        <w:spacing w:after="0" w:line="240" w:lineRule="auto"/>
        <w:jc w:val="left"/>
        <w:sectPr>
          <w:headerReference w:type="default" r:id="rId55"/>
          <w:pgSz w:w="11910" w:h="16840"/>
          <w:pgMar w:header="967" w:footer="593" w:top="2820" w:bottom="780" w:left="1440" w:right="820"/>
        </w:sectPr>
      </w:pPr>
    </w:p>
    <w:p>
      <w:pPr>
        <w:spacing w:line="240" w:lineRule="auto" w:before="9"/>
        <w:rPr>
          <w:rFonts w:ascii="宋体" w:hAnsi="宋体" w:cs="宋体" w:eastAsia="宋体" w:hint="default"/>
          <w:sz w:val="12"/>
          <w:szCs w:val="12"/>
        </w:rPr>
      </w:pPr>
    </w:p>
    <w:p>
      <w:pPr>
        <w:pStyle w:val="BodyText"/>
        <w:spacing w:line="240" w:lineRule="auto" w:before="31"/>
        <w:ind w:left="118" w:right="3270"/>
        <w:jc w:val="left"/>
      </w:pPr>
      <w:r>
        <w:rPr>
          <w:rFonts w:ascii="Arial" w:hAnsi="Arial" w:cs="Arial" w:eastAsia="Arial" w:hint="default"/>
        </w:rPr>
        <w:t>24</w:t>
      </w:r>
      <w:r>
        <w:rPr/>
        <w:t>、收入确认（续）</w:t>
      </w:r>
    </w:p>
    <w:p>
      <w:pPr>
        <w:spacing w:line="240" w:lineRule="auto" w:before="9"/>
        <w:rPr>
          <w:rFonts w:ascii="宋体" w:hAnsi="宋体" w:cs="宋体" w:eastAsia="宋体" w:hint="default"/>
          <w:sz w:val="17"/>
          <w:szCs w:val="17"/>
        </w:rPr>
      </w:pPr>
    </w:p>
    <w:p>
      <w:pPr>
        <w:pStyle w:val="BodyText"/>
        <w:spacing w:line="228" w:lineRule="auto"/>
        <w:ind w:left="613" w:right="117" w:hanging="455"/>
        <w:jc w:val="both"/>
      </w:pPr>
      <w:r>
        <w:rPr>
          <w:rFonts w:ascii="Arial" w:hAnsi="Arial" w:cs="Arial" w:eastAsia="Arial" w:hint="default"/>
        </w:rPr>
        <w:t>(c)</w:t>
      </w:r>
      <w:r>
        <w:rPr>
          <w:rFonts w:ascii="Arial" w:hAnsi="Arial" w:cs="Arial" w:eastAsia="Arial" w:hint="default"/>
          <w:spacing w:val="57"/>
        </w:rPr>
        <w:t> </w:t>
      </w:r>
      <w:r>
        <w:rPr/>
        <w:t>对于信息与通信技术服务收入，若提供劳务交易的结果能够可靠估计，采用完工百分比法确</w:t>
      </w:r>
      <w:r>
        <w:rPr>
          <w:w w:val="99"/>
        </w:rPr>
        <w:t> </w:t>
      </w:r>
      <w:r>
        <w:rPr/>
        <w:t>认收入；若提供劳务交易的结果不能可靠估计，则不能按照完工百分比法确认而应区别下列</w:t>
      </w:r>
      <w:r>
        <w:rPr>
          <w:w w:val="99"/>
        </w:rPr>
        <w:t> </w:t>
      </w:r>
      <w:r>
        <w:rPr>
          <w:spacing w:val="-1"/>
        </w:rPr>
        <w:t>情况处理：</w:t>
      </w:r>
      <w:r>
        <w:rPr>
          <w:rFonts w:ascii="Arial" w:hAnsi="Arial" w:cs="Arial" w:eastAsia="Arial" w:hint="default"/>
          <w:spacing w:val="-1"/>
        </w:rPr>
        <w:t>(1)</w:t>
      </w:r>
      <w:r>
        <w:rPr>
          <w:spacing w:val="-1"/>
        </w:rPr>
        <w:t>已经发生的劳务成本预计能够得到补偿的，按照己经发生的劳务成本金额确认</w:t>
      </w:r>
      <w:r>
        <w:rPr>
          <w:w w:val="99"/>
        </w:rPr>
        <w:t> </w:t>
      </w:r>
      <w:r>
        <w:rPr>
          <w:spacing w:val="-1"/>
        </w:rPr>
        <w:t>提供劳务收入，并按相同金额结转劳务成本，及</w:t>
      </w:r>
      <w:r>
        <w:rPr>
          <w:rFonts w:ascii="Arial" w:hAnsi="Arial" w:cs="Arial" w:eastAsia="Arial" w:hint="default"/>
          <w:spacing w:val="-1"/>
        </w:rPr>
        <w:t>(2)</w:t>
      </w:r>
      <w:r>
        <w:rPr>
          <w:spacing w:val="-1"/>
        </w:rPr>
        <w:t>已经发生的劳务成本预计不能够得到补偿</w:t>
      </w:r>
      <w:r>
        <w:rPr>
          <w:w w:val="99"/>
        </w:rPr>
        <w:t> </w:t>
      </w:r>
      <w:r>
        <w:rPr/>
        <w:t>的，应当将己经发生的劳务成本计入当期损益，不确认提供劳务收入；</w:t>
      </w:r>
    </w:p>
    <w:p>
      <w:pPr>
        <w:spacing w:line="240" w:lineRule="auto" w:before="7"/>
        <w:rPr>
          <w:rFonts w:ascii="宋体" w:hAnsi="宋体" w:cs="宋体" w:eastAsia="宋体" w:hint="default"/>
          <w:sz w:val="21"/>
          <w:szCs w:val="21"/>
        </w:rPr>
      </w:pPr>
    </w:p>
    <w:p>
      <w:pPr>
        <w:pStyle w:val="BodyText"/>
        <w:spacing w:line="284" w:lineRule="exact"/>
        <w:ind w:left="613" w:right="125" w:hanging="455"/>
        <w:jc w:val="both"/>
      </w:pPr>
      <w:r>
        <w:rPr>
          <w:rFonts w:ascii="Arial" w:hAnsi="Arial" w:cs="Arial" w:eastAsia="Arial" w:hint="default"/>
        </w:rPr>
        <w:t>(d)</w:t>
      </w:r>
      <w:r>
        <w:rPr>
          <w:rFonts w:ascii="Arial" w:hAnsi="Arial" w:cs="Arial" w:eastAsia="Arial" w:hint="default"/>
          <w:spacing w:val="46"/>
        </w:rPr>
        <w:t> </w:t>
      </w:r>
      <w:r>
        <w:rPr/>
        <w:t>网间结算收入指本集团与国内外其他电信运营商网络间通信而获得的收入，于发生时确认；</w:t>
      </w:r>
      <w:r>
        <w:rPr>
          <w:w w:val="99"/>
        </w:rPr>
        <w:t> </w:t>
      </w:r>
      <w:r>
        <w:rPr/>
        <w:t>网间结算支出指本集团与国内外其他电信运营商网络间通信所产生的支出，于发生时确认；</w:t>
      </w:r>
    </w:p>
    <w:p>
      <w:pPr>
        <w:spacing w:line="240" w:lineRule="auto" w:before="5"/>
        <w:rPr>
          <w:rFonts w:ascii="宋体" w:hAnsi="宋体" w:cs="宋体" w:eastAsia="宋体" w:hint="default"/>
          <w:sz w:val="19"/>
          <w:szCs w:val="19"/>
        </w:rPr>
      </w:pPr>
    </w:p>
    <w:p>
      <w:pPr>
        <w:pStyle w:val="BodyText"/>
        <w:spacing w:line="286" w:lineRule="exact"/>
        <w:ind w:left="613" w:right="127" w:hanging="455"/>
        <w:jc w:val="both"/>
      </w:pPr>
      <w:r>
        <w:rPr>
          <w:rFonts w:ascii="Arial" w:hAnsi="Arial" w:cs="Arial" w:eastAsia="Arial" w:hint="default"/>
        </w:rPr>
        <w:t>(e)</w:t>
      </w:r>
      <w:r>
        <w:rPr>
          <w:rFonts w:ascii="Arial" w:hAnsi="Arial" w:cs="Arial" w:eastAsia="Arial" w:hint="default"/>
          <w:spacing w:val="44"/>
        </w:rPr>
        <w:t> </w:t>
      </w:r>
      <w:r>
        <w:rPr/>
        <w:t>增值服务收入是指向用户提供如短信、炫铃、个性化彩铃、无线数据服务、来电显示以及秘</w:t>
      </w:r>
      <w:r>
        <w:rPr>
          <w:w w:val="99"/>
        </w:rPr>
        <w:t> </w:t>
      </w:r>
      <w:r>
        <w:rPr/>
        <w:t>书服务等，并在服务提供时确认；</w:t>
      </w:r>
    </w:p>
    <w:p>
      <w:pPr>
        <w:spacing w:line="240" w:lineRule="auto" w:before="3"/>
        <w:rPr>
          <w:rFonts w:ascii="宋体" w:hAnsi="宋体" w:cs="宋体" w:eastAsia="宋体" w:hint="default"/>
          <w:sz w:val="19"/>
          <w:szCs w:val="19"/>
        </w:rPr>
      </w:pPr>
    </w:p>
    <w:p>
      <w:pPr>
        <w:pStyle w:val="BodyText"/>
        <w:spacing w:line="286" w:lineRule="exact"/>
        <w:ind w:left="613" w:right="127" w:hanging="455"/>
        <w:jc w:val="both"/>
      </w:pPr>
      <w:r>
        <w:rPr>
          <w:rFonts w:ascii="Arial" w:hAnsi="Arial" w:cs="Arial" w:eastAsia="Arial" w:hint="default"/>
        </w:rPr>
        <w:t>(f)</w:t>
      </w:r>
      <w:r>
        <w:rPr>
          <w:rFonts w:ascii="Arial" w:hAnsi="Arial" w:cs="Arial" w:eastAsia="Arial" w:hint="default"/>
          <w:spacing w:val="44"/>
        </w:rPr>
        <w:t> </w:t>
      </w:r>
      <w:r>
        <w:rPr/>
        <w:t>提供劳务收入是指对外提供通信信息工程和建筑工程的资讯、勘察、设计、监理、客服等劳</w:t>
      </w:r>
      <w:r>
        <w:rPr>
          <w:w w:val="99"/>
        </w:rPr>
        <w:t> </w:t>
      </w:r>
      <w:r>
        <w:rPr/>
        <w:t>务，当合同已经签订且相关服务已提供完毕时确认相关的收入；</w:t>
      </w:r>
    </w:p>
    <w:p>
      <w:pPr>
        <w:spacing w:line="240" w:lineRule="auto" w:before="6"/>
        <w:rPr>
          <w:rFonts w:ascii="宋体" w:hAnsi="宋体" w:cs="宋体" w:eastAsia="宋体" w:hint="default"/>
          <w:sz w:val="19"/>
          <w:szCs w:val="19"/>
        </w:rPr>
      </w:pPr>
    </w:p>
    <w:p>
      <w:pPr>
        <w:pStyle w:val="BodyText"/>
        <w:spacing w:line="284" w:lineRule="exact"/>
        <w:ind w:left="613" w:right="127" w:hanging="455"/>
        <w:jc w:val="both"/>
      </w:pPr>
      <w:r>
        <w:rPr>
          <w:rFonts w:ascii="Arial" w:hAnsi="Arial" w:cs="Arial" w:eastAsia="Arial" w:hint="default"/>
        </w:rPr>
        <w:t>(g)</w:t>
      </w:r>
      <w:r>
        <w:rPr>
          <w:rFonts w:ascii="Arial" w:hAnsi="Arial" w:cs="Arial" w:eastAsia="Arial" w:hint="default"/>
          <w:spacing w:val="44"/>
        </w:rPr>
        <w:t> </w:t>
      </w:r>
      <w:r>
        <w:rPr/>
        <w:t>销售通信产品收入指销售手机、通信设备等通信产品而产生的收入，在产品所有权上的风险</w:t>
      </w:r>
      <w:r>
        <w:rPr>
          <w:w w:val="99"/>
        </w:rPr>
        <w:t> </w:t>
      </w:r>
      <w:r>
        <w:rPr/>
        <w:t>和报酬转移给买方时确认；</w:t>
      </w:r>
    </w:p>
    <w:p>
      <w:pPr>
        <w:spacing w:line="240" w:lineRule="auto" w:before="5"/>
        <w:rPr>
          <w:rFonts w:ascii="宋体" w:hAnsi="宋体" w:cs="宋体" w:eastAsia="宋体" w:hint="default"/>
          <w:sz w:val="19"/>
          <w:szCs w:val="19"/>
        </w:rPr>
      </w:pPr>
    </w:p>
    <w:p>
      <w:pPr>
        <w:pStyle w:val="BodyText"/>
        <w:spacing w:line="286" w:lineRule="exact"/>
        <w:ind w:left="613" w:right="115" w:hanging="455"/>
        <w:jc w:val="both"/>
      </w:pPr>
      <w:r>
        <w:rPr>
          <w:rFonts w:ascii="Arial" w:hAnsi="Arial" w:cs="Arial" w:eastAsia="Arial" w:hint="default"/>
        </w:rPr>
        <w:t>(h) </w:t>
      </w:r>
      <w:r>
        <w:rPr/>
        <w:t>本集团将向用户收取的为开通移动通信服务的一次性不退还的手机识别卡（如 </w:t>
      </w:r>
      <w:r>
        <w:rPr>
          <w:rFonts w:ascii="Arial" w:hAnsi="Arial" w:cs="Arial" w:eastAsia="Arial" w:hint="default"/>
        </w:rPr>
        <w:t>SIM</w:t>
      </w:r>
      <w:r>
        <w:rPr>
          <w:rFonts w:ascii="Arial" w:hAnsi="Arial" w:cs="Arial" w:eastAsia="Arial" w:hint="default"/>
          <w:spacing w:val="-29"/>
        </w:rPr>
        <w:t> </w:t>
      </w:r>
      <w:r>
        <w:rPr>
          <w:spacing w:val="-6"/>
        </w:rPr>
        <w:t>卡）收入</w:t>
      </w:r>
      <w:r>
        <w:rPr>
          <w:w w:val="99"/>
        </w:rPr>
        <w:t> </w:t>
      </w:r>
      <w:r>
        <w:rPr/>
        <w:t>于预计用户服务期限内按照直线法平均确认；</w:t>
      </w:r>
    </w:p>
    <w:p>
      <w:pPr>
        <w:spacing w:line="240" w:lineRule="auto" w:before="1"/>
        <w:rPr>
          <w:rFonts w:ascii="宋体" w:hAnsi="宋体" w:cs="宋体" w:eastAsia="宋体" w:hint="default"/>
          <w:sz w:val="17"/>
          <w:szCs w:val="17"/>
        </w:rPr>
      </w:pPr>
    </w:p>
    <w:p>
      <w:pPr>
        <w:pStyle w:val="BodyText"/>
        <w:tabs>
          <w:tab w:pos="608" w:val="left" w:leader="none"/>
        </w:tabs>
        <w:spacing w:line="240" w:lineRule="auto"/>
        <w:ind w:left="158" w:right="128"/>
        <w:jc w:val="left"/>
      </w:pPr>
      <w:r>
        <w:rPr>
          <w:rFonts w:ascii="Arial" w:hAnsi="Arial" w:cs="Arial" w:eastAsia="Arial" w:hint="default"/>
          <w:w w:val="95"/>
        </w:rPr>
        <w:t>(i)</w:t>
        <w:tab/>
      </w:r>
      <w:r>
        <w:rPr/>
        <w:t>向固网业务用户收取的装移机费被予以递延，并在预计客户服务期内分期确认收入；</w:t>
      </w:r>
    </w:p>
    <w:p>
      <w:pPr>
        <w:spacing w:line="240" w:lineRule="auto" w:before="13"/>
        <w:rPr>
          <w:rFonts w:ascii="宋体" w:hAnsi="宋体" w:cs="宋体" w:eastAsia="宋体" w:hint="default"/>
          <w:sz w:val="17"/>
          <w:szCs w:val="17"/>
        </w:rPr>
      </w:pPr>
    </w:p>
    <w:p>
      <w:pPr>
        <w:pStyle w:val="BodyText"/>
        <w:tabs>
          <w:tab w:pos="608" w:val="left" w:leader="none"/>
        </w:tabs>
        <w:spacing w:line="240" w:lineRule="auto"/>
        <w:ind w:left="158" w:right="3270"/>
        <w:jc w:val="left"/>
      </w:pPr>
      <w:r>
        <w:rPr>
          <w:rFonts w:ascii="Arial" w:hAnsi="Arial" w:cs="Arial" w:eastAsia="Arial" w:hint="default"/>
          <w:w w:val="95"/>
        </w:rPr>
        <w:t>(j)</w:t>
        <w:tab/>
      </w:r>
      <w:r>
        <w:rPr/>
        <w:t>经营租赁收入在租赁期限内按合同约定确认；</w:t>
      </w:r>
    </w:p>
    <w:p>
      <w:pPr>
        <w:spacing w:line="240" w:lineRule="auto" w:before="3"/>
        <w:rPr>
          <w:rFonts w:ascii="宋体" w:hAnsi="宋体" w:cs="宋体" w:eastAsia="宋体" w:hint="default"/>
          <w:sz w:val="20"/>
          <w:szCs w:val="20"/>
        </w:rPr>
      </w:pPr>
    </w:p>
    <w:p>
      <w:pPr>
        <w:pStyle w:val="BodyText"/>
        <w:spacing w:line="284" w:lineRule="exact"/>
        <w:ind w:left="613" w:right="127" w:hanging="455"/>
        <w:jc w:val="both"/>
      </w:pPr>
      <w:r>
        <w:rPr>
          <w:rFonts w:ascii="Arial" w:hAnsi="Arial" w:cs="Arial" w:eastAsia="Arial" w:hint="default"/>
        </w:rPr>
        <w:t>(k)</w:t>
      </w:r>
      <w:r>
        <w:rPr>
          <w:rFonts w:ascii="Arial" w:hAnsi="Arial" w:cs="Arial" w:eastAsia="Arial" w:hint="default"/>
          <w:spacing w:val="56"/>
        </w:rPr>
        <w:t> </w:t>
      </w:r>
      <w:r>
        <w:rPr/>
        <w:t>存放于银行或其他金融机构的存款利息收入按照其他方使用本集团货币资金的时间，采用实</w:t>
      </w:r>
      <w:r>
        <w:rPr>
          <w:w w:val="99"/>
        </w:rPr>
        <w:t> </w:t>
      </w:r>
      <w:r>
        <w:rPr/>
        <w:t>际利率计算确定；</w:t>
      </w:r>
    </w:p>
    <w:p>
      <w:pPr>
        <w:spacing w:line="240" w:lineRule="auto" w:before="3"/>
        <w:rPr>
          <w:rFonts w:ascii="宋体" w:hAnsi="宋体" w:cs="宋体" w:eastAsia="宋体" w:hint="default"/>
          <w:sz w:val="17"/>
          <w:szCs w:val="17"/>
        </w:rPr>
      </w:pPr>
    </w:p>
    <w:p>
      <w:pPr>
        <w:pStyle w:val="BodyText"/>
        <w:tabs>
          <w:tab w:pos="608" w:val="left" w:leader="none"/>
        </w:tabs>
        <w:spacing w:line="240" w:lineRule="auto"/>
        <w:ind w:left="158" w:right="3270"/>
        <w:jc w:val="left"/>
      </w:pPr>
      <w:r>
        <w:rPr>
          <w:rFonts w:ascii="Arial" w:hAnsi="Arial" w:cs="Arial" w:eastAsia="Arial" w:hint="default"/>
          <w:w w:val="95"/>
        </w:rPr>
        <w:t>(l)</w:t>
        <w:tab/>
      </w:r>
      <w:r>
        <w:rPr/>
        <w:t>积分兑换收入的确认请参见附注二</w:t>
      </w:r>
      <w:r>
        <w:rPr>
          <w:rFonts w:ascii="Arial" w:hAnsi="Arial" w:cs="Arial" w:eastAsia="Arial" w:hint="default"/>
        </w:rPr>
        <w:t>(25)</w:t>
      </w:r>
      <w:r>
        <w:rPr/>
        <w:t>；</w:t>
      </w:r>
    </w:p>
    <w:p>
      <w:pPr>
        <w:spacing w:line="240" w:lineRule="auto" w:before="0"/>
        <w:rPr>
          <w:rFonts w:ascii="宋体" w:hAnsi="宋体" w:cs="宋体" w:eastAsia="宋体" w:hint="default"/>
          <w:sz w:val="20"/>
          <w:szCs w:val="20"/>
        </w:rPr>
      </w:pPr>
    </w:p>
    <w:p>
      <w:pPr>
        <w:pStyle w:val="BodyText"/>
        <w:spacing w:line="286" w:lineRule="exact"/>
        <w:ind w:left="613" w:right="120" w:hanging="455"/>
        <w:jc w:val="both"/>
      </w:pPr>
      <w:r>
        <w:rPr>
          <w:rFonts w:ascii="Arial" w:hAnsi="Arial" w:cs="Arial" w:eastAsia="Arial" w:hint="default"/>
        </w:rPr>
        <w:t>(m)</w:t>
      </w:r>
      <w:r>
        <w:rPr>
          <w:rFonts w:ascii="Arial" w:hAnsi="Arial" w:cs="Arial" w:eastAsia="Arial" w:hint="default"/>
          <w:spacing w:val="46"/>
        </w:rPr>
        <w:t> </w:t>
      </w:r>
      <w:r>
        <w:rPr/>
        <w:t>本集团向顾客提供捆绑通信终端及通信服务的优惠套餐。该优惠套餐的合同总金额按照通信</w:t>
      </w:r>
      <w:r>
        <w:rPr>
          <w:w w:val="99"/>
        </w:rPr>
        <w:t> </w:t>
      </w:r>
      <w:r>
        <w:rPr/>
        <w:t>终端和通信服务的公允价值在两者之间进行分配。销售通信终端销售收入于该通信终端的所</w:t>
      </w:r>
      <w:r>
        <w:rPr>
          <w:w w:val="99"/>
        </w:rPr>
        <w:t> </w:t>
      </w:r>
      <w:r>
        <w:rPr/>
        <w:t>有权转移至最终用户时予以确认。通信服务收入按用户的移动通信服务实际用量予以确认。</w:t>
      </w:r>
      <w:r>
        <w:rPr>
          <w:w w:val="99"/>
        </w:rPr>
        <w:t> </w:t>
      </w:r>
      <w:r>
        <w:rPr/>
        <w:t>销售通信终端的成本于通信终端销售收入确认时于利润表内立刻确认为营业成本。</w:t>
      </w:r>
    </w:p>
    <w:p>
      <w:pPr>
        <w:spacing w:after="0" w:line="286" w:lineRule="exact"/>
        <w:jc w:val="both"/>
        <w:sectPr>
          <w:headerReference w:type="default" r:id="rId56"/>
          <w:pgSz w:w="11910" w:h="16840"/>
          <w:pgMar w:header="967" w:footer="593" w:top="2820" w:bottom="780" w:left="1440" w:right="920"/>
        </w:sectPr>
      </w:pPr>
    </w:p>
    <w:p>
      <w:pPr>
        <w:spacing w:line="240" w:lineRule="auto" w:before="12"/>
        <w:rPr>
          <w:rFonts w:ascii="宋体" w:hAnsi="宋体" w:cs="宋体" w:eastAsia="宋体" w:hint="default"/>
          <w:sz w:val="14"/>
          <w:szCs w:val="14"/>
        </w:rPr>
      </w:pPr>
    </w:p>
    <w:p>
      <w:pPr>
        <w:pStyle w:val="BodyText"/>
        <w:spacing w:line="240" w:lineRule="auto" w:before="31"/>
        <w:ind w:left="118" w:right="3270"/>
        <w:jc w:val="left"/>
      </w:pPr>
      <w:r>
        <w:rPr>
          <w:rFonts w:ascii="Arial" w:hAnsi="Arial" w:cs="Arial" w:eastAsia="Arial" w:hint="default"/>
        </w:rPr>
        <w:t>25</w:t>
      </w:r>
      <w:r>
        <w:rPr/>
        <w:t>、积分奖励计划</w:t>
      </w:r>
    </w:p>
    <w:p>
      <w:pPr>
        <w:spacing w:line="240" w:lineRule="auto" w:before="3"/>
        <w:rPr>
          <w:rFonts w:ascii="宋体" w:hAnsi="宋体" w:cs="宋体" w:eastAsia="宋体" w:hint="default"/>
          <w:sz w:val="18"/>
          <w:szCs w:val="18"/>
        </w:rPr>
      </w:pPr>
    </w:p>
    <w:p>
      <w:pPr>
        <w:pStyle w:val="BodyText"/>
        <w:spacing w:line="237" w:lineRule="auto"/>
        <w:ind w:left="596" w:right="117"/>
        <w:jc w:val="both"/>
      </w:pPr>
      <w:r>
        <w:rPr/>
        <w:t>本集团向用户提供了积分奖励计划。该积分奖励计划根据用户的消费额、忠诚度及缴费记录</w:t>
      </w:r>
      <w:r>
        <w:rPr>
          <w:spacing w:val="-87"/>
        </w:rPr>
        <w:t> </w:t>
      </w:r>
      <w:r>
        <w:rPr>
          <w:spacing w:val="-87"/>
        </w:rPr>
      </w:r>
      <w:r>
        <w:rPr/>
        <w:t>对其进行奖励。对于授予用户的积分奖励，在向其提供通信服务的同时，将取得通信服务收</w:t>
      </w:r>
      <w:r>
        <w:rPr>
          <w:spacing w:val="-87"/>
        </w:rPr>
        <w:t> </w:t>
      </w:r>
      <w:r>
        <w:rPr>
          <w:spacing w:val="-87"/>
        </w:rPr>
      </w:r>
      <w:r>
        <w:rPr/>
        <w:t>入的款项或应收款在本次提供的通信服务收入与积分奖励的公允价值之间进行分配。将取得</w:t>
      </w:r>
      <w:r>
        <w:rPr>
          <w:spacing w:val="-87"/>
        </w:rPr>
        <w:t> </w:t>
      </w:r>
      <w:r>
        <w:rPr>
          <w:spacing w:val="-87"/>
        </w:rPr>
      </w:r>
      <w:r>
        <w:rPr/>
        <w:t>的通信服务收入的款项或应收款扣除积分奖励公允价值的部分确认为收入，积分奖励的公允</w:t>
      </w:r>
      <w:r>
        <w:rPr>
          <w:spacing w:val="-86"/>
        </w:rPr>
        <w:t> </w:t>
      </w:r>
      <w:r>
        <w:rPr>
          <w:spacing w:val="-86"/>
        </w:rPr>
      </w:r>
      <w:r>
        <w:rPr/>
        <w:t>价值确认为递延收益。</w:t>
      </w:r>
    </w:p>
    <w:p>
      <w:pPr>
        <w:spacing w:line="240" w:lineRule="auto" w:before="4"/>
        <w:rPr>
          <w:rFonts w:ascii="宋体" w:hAnsi="宋体" w:cs="宋体" w:eastAsia="宋体" w:hint="default"/>
          <w:sz w:val="19"/>
          <w:szCs w:val="19"/>
        </w:rPr>
      </w:pPr>
    </w:p>
    <w:p>
      <w:pPr>
        <w:pStyle w:val="BodyText"/>
        <w:spacing w:line="237" w:lineRule="auto"/>
        <w:ind w:left="596" w:right="118"/>
        <w:jc w:val="both"/>
      </w:pPr>
      <w:r>
        <w:rPr/>
        <w:t>获得积分奖励的用户在满足条件时兑换本集团提供的商品或服务时，本集团将原计入递延收</w:t>
      </w:r>
      <w:r>
        <w:rPr>
          <w:spacing w:val="-87"/>
        </w:rPr>
        <w:t> </w:t>
      </w:r>
      <w:r>
        <w:rPr>
          <w:spacing w:val="-87"/>
        </w:rPr>
      </w:r>
      <w:r>
        <w:rPr/>
        <w:t>益的与所兑换积分相关的部分确认为收入；获得积分奖励的用户在满足条件时有权兑换第三</w:t>
      </w:r>
      <w:r>
        <w:rPr>
          <w:spacing w:val="-87"/>
        </w:rPr>
        <w:t> </w:t>
      </w:r>
      <w:r>
        <w:rPr>
          <w:spacing w:val="-87"/>
        </w:rPr>
      </w:r>
      <w:r>
        <w:rPr/>
        <w:t>方提供的商品或服务时，如果由本集团代表第三方收取对价，则本集团将被兑换积分原计入</w:t>
      </w:r>
      <w:r>
        <w:rPr>
          <w:spacing w:val="-87"/>
        </w:rPr>
        <w:t> </w:t>
      </w:r>
      <w:r>
        <w:rPr>
          <w:spacing w:val="-87"/>
        </w:rPr>
      </w:r>
      <w:r>
        <w:rPr/>
        <w:t>递延收益的金额与应支付给第三方对价的差额确认收入，如果本集团自身收取对价，本集团</w:t>
      </w:r>
      <w:r>
        <w:rPr>
          <w:spacing w:val="-87"/>
        </w:rPr>
        <w:t> </w:t>
      </w:r>
      <w:r>
        <w:rPr>
          <w:spacing w:val="-87"/>
        </w:rPr>
      </w:r>
      <w:r>
        <w:rPr/>
        <w:t>则将被兑换积分原计入递延收益的金额确认收入。</w:t>
      </w:r>
    </w:p>
    <w:p>
      <w:pPr>
        <w:spacing w:line="240" w:lineRule="auto" w:before="5"/>
        <w:rPr>
          <w:rFonts w:ascii="宋体" w:hAnsi="宋体" w:cs="宋体" w:eastAsia="宋体" w:hint="default"/>
          <w:sz w:val="21"/>
          <w:szCs w:val="21"/>
        </w:rPr>
      </w:pPr>
    </w:p>
    <w:p>
      <w:pPr>
        <w:pStyle w:val="BodyText"/>
        <w:spacing w:line="286" w:lineRule="exact"/>
        <w:ind w:left="596" w:right="115"/>
        <w:jc w:val="both"/>
      </w:pPr>
      <w:r>
        <w:rPr/>
        <w:t>本集团在确认积分奖励的公允价值时是依据：</w:t>
      </w:r>
      <w:r>
        <w:rPr>
          <w:rFonts w:ascii="Arial" w:hAnsi="Arial" w:cs="Arial" w:eastAsia="Arial" w:hint="default"/>
        </w:rPr>
        <w:t>(i)</w:t>
      </w:r>
      <w:r>
        <w:rPr/>
        <w:t>用户积分单位价值，</w:t>
      </w:r>
      <w:r>
        <w:rPr>
          <w:rFonts w:ascii="Arial" w:hAnsi="Arial" w:cs="Arial" w:eastAsia="Arial" w:hint="default"/>
        </w:rPr>
        <w:t>(ii)</w:t>
      </w:r>
      <w:r>
        <w:rPr/>
        <w:t>于每个资产负债表日</w:t>
      </w:r>
      <w:r>
        <w:rPr>
          <w:spacing w:val="-87"/>
        </w:rPr>
        <w:t> </w:t>
      </w:r>
      <w:r>
        <w:rPr>
          <w:spacing w:val="-1"/>
        </w:rPr>
        <w:t>已经有权兑换或预期有权兑换积分的用户积分数，及</w:t>
      </w:r>
      <w:r>
        <w:rPr>
          <w:rFonts w:ascii="Arial" w:hAnsi="Arial" w:cs="Arial" w:eastAsia="Arial" w:hint="default"/>
          <w:spacing w:val="-1"/>
        </w:rPr>
        <w:t>(iii)</w:t>
      </w:r>
      <w:r>
        <w:rPr>
          <w:spacing w:val="-1"/>
        </w:rPr>
        <w:t>用户兑换积分的历史兑换率。本集团</w:t>
      </w:r>
      <w:r>
        <w:rPr>
          <w:w w:val="99"/>
        </w:rPr>
        <w:t> </w:t>
      </w:r>
      <w:r>
        <w:rPr/>
        <w:t>定期根据兑换情况更新对历史兑换率的估计。</w:t>
      </w:r>
    </w:p>
    <w:p>
      <w:pPr>
        <w:pStyle w:val="BodyText"/>
        <w:spacing w:line="240" w:lineRule="auto" w:before="194"/>
        <w:ind w:left="118" w:right="3270"/>
        <w:jc w:val="left"/>
      </w:pPr>
      <w:r>
        <w:rPr>
          <w:rFonts w:ascii="Arial" w:hAnsi="Arial" w:cs="Arial" w:eastAsia="Arial" w:hint="default"/>
        </w:rPr>
        <w:t>26</w:t>
      </w:r>
      <w:r>
        <w:rPr/>
        <w:t>、政府补助</w:t>
      </w:r>
    </w:p>
    <w:p>
      <w:pPr>
        <w:spacing w:line="240" w:lineRule="auto" w:before="11"/>
        <w:rPr>
          <w:rFonts w:ascii="宋体" w:hAnsi="宋体" w:cs="宋体" w:eastAsia="宋体" w:hint="default"/>
          <w:sz w:val="18"/>
          <w:szCs w:val="18"/>
        </w:rPr>
      </w:pPr>
    </w:p>
    <w:p>
      <w:pPr>
        <w:pStyle w:val="BodyText"/>
        <w:spacing w:line="286" w:lineRule="exact"/>
        <w:ind w:left="596" w:right="118"/>
        <w:jc w:val="both"/>
      </w:pPr>
      <w:r>
        <w:rPr/>
        <w:t>政府补助为本集团从政府无偿取得的货币性资产或非货币性资产，包括税费返还、财政补贴</w:t>
      </w:r>
      <w:r>
        <w:rPr>
          <w:spacing w:val="-87"/>
        </w:rPr>
        <w:t> </w:t>
      </w:r>
      <w:r>
        <w:rPr>
          <w:spacing w:val="-87"/>
        </w:rPr>
      </w:r>
      <w:r>
        <w:rPr/>
        <w:t>等。</w:t>
      </w:r>
    </w:p>
    <w:p>
      <w:pPr>
        <w:spacing w:line="240" w:lineRule="auto" w:before="3"/>
        <w:rPr>
          <w:rFonts w:ascii="宋体" w:hAnsi="宋体" w:cs="宋体" w:eastAsia="宋体" w:hint="default"/>
          <w:sz w:val="19"/>
          <w:szCs w:val="19"/>
        </w:rPr>
      </w:pPr>
    </w:p>
    <w:p>
      <w:pPr>
        <w:pStyle w:val="BodyText"/>
        <w:spacing w:line="286" w:lineRule="exact"/>
        <w:ind w:left="596" w:right="118"/>
        <w:jc w:val="both"/>
      </w:pPr>
      <w:r>
        <w:rPr/>
        <w:t>政府补助在本集团能够满足其所附的条件并能够收到时，予以确认。政府补助为货币性资产</w:t>
      </w:r>
      <w:r>
        <w:rPr>
          <w:spacing w:val="-87"/>
        </w:rPr>
        <w:t> </w:t>
      </w:r>
      <w:r>
        <w:rPr>
          <w:spacing w:val="-87"/>
        </w:rPr>
      </w:r>
      <w:r>
        <w:rPr/>
        <w:t>的，按照收到或应收的金额计量。政府补助为非货币性资产的，按照公允价值计量；公允价</w:t>
      </w:r>
      <w:r>
        <w:rPr>
          <w:spacing w:val="-87"/>
        </w:rPr>
        <w:t> </w:t>
      </w:r>
      <w:r>
        <w:rPr>
          <w:spacing w:val="-87"/>
        </w:rPr>
      </w:r>
      <w:r>
        <w:rPr/>
        <w:t>值不能可靠取得的，按照名义金额计量。</w:t>
      </w:r>
    </w:p>
    <w:p>
      <w:pPr>
        <w:spacing w:line="240" w:lineRule="auto" w:before="1"/>
        <w:rPr>
          <w:rFonts w:ascii="宋体" w:hAnsi="宋体" w:cs="宋体" w:eastAsia="宋体" w:hint="default"/>
          <w:sz w:val="17"/>
          <w:szCs w:val="17"/>
        </w:rPr>
      </w:pPr>
    </w:p>
    <w:p>
      <w:pPr>
        <w:pStyle w:val="BodyText"/>
        <w:spacing w:line="240" w:lineRule="auto"/>
        <w:ind w:left="596" w:right="118"/>
        <w:jc w:val="both"/>
      </w:pPr>
      <w:r>
        <w:rPr/>
        <w:t>与资产相关的政府补助，确认为递延收益，并在相关资产使用期限内平均分配，计入当期损</w:t>
      </w:r>
      <w:r>
        <w:rPr>
          <w:spacing w:val="-87"/>
        </w:rPr>
        <w:t> </w:t>
      </w:r>
      <w:r>
        <w:rPr>
          <w:spacing w:val="-87"/>
        </w:rPr>
      </w:r>
      <w:r>
        <w:rPr/>
        <w:t>益。按照名义金额计量的政府补助，直接计入当期损益。</w:t>
      </w:r>
    </w:p>
    <w:p>
      <w:pPr>
        <w:spacing w:line="240" w:lineRule="auto" w:before="5"/>
        <w:rPr>
          <w:rFonts w:ascii="宋体" w:hAnsi="宋体" w:cs="宋体" w:eastAsia="宋体" w:hint="default"/>
          <w:sz w:val="19"/>
          <w:szCs w:val="19"/>
        </w:rPr>
      </w:pPr>
    </w:p>
    <w:p>
      <w:pPr>
        <w:pStyle w:val="BodyText"/>
        <w:spacing w:line="237" w:lineRule="auto"/>
        <w:ind w:left="596" w:right="118"/>
        <w:jc w:val="both"/>
      </w:pPr>
      <w:r>
        <w:rPr/>
        <w:t>与收益相关的政府补助，用于补偿以后期间的相关费用或损失的，确认为递延收益，并在确</w:t>
      </w:r>
      <w:r>
        <w:rPr>
          <w:spacing w:val="-87"/>
        </w:rPr>
        <w:t> </w:t>
      </w:r>
      <w:r>
        <w:rPr>
          <w:spacing w:val="-87"/>
        </w:rPr>
      </w:r>
      <w:r>
        <w:rPr/>
        <w:t>认相关费用的期间，计入当期损益；用于补偿已发生的相关费用或损失的，直接计入当期损</w:t>
      </w:r>
      <w:r>
        <w:rPr>
          <w:spacing w:val="-87"/>
        </w:rPr>
        <w:t> </w:t>
      </w:r>
      <w:r>
        <w:rPr>
          <w:spacing w:val="-87"/>
        </w:rPr>
      </w:r>
      <w:r>
        <w:rPr/>
        <w:t>益。</w:t>
      </w:r>
    </w:p>
    <w:p>
      <w:pPr>
        <w:spacing w:line="240" w:lineRule="auto" w:before="13"/>
        <w:rPr>
          <w:rFonts w:ascii="宋体" w:hAnsi="宋体" w:cs="宋体" w:eastAsia="宋体" w:hint="default"/>
          <w:sz w:val="16"/>
          <w:szCs w:val="16"/>
        </w:rPr>
      </w:pPr>
    </w:p>
    <w:p>
      <w:pPr>
        <w:pStyle w:val="BodyText"/>
        <w:spacing w:line="240" w:lineRule="auto"/>
        <w:ind w:left="118" w:right="3270"/>
        <w:jc w:val="left"/>
      </w:pPr>
      <w:r>
        <w:rPr>
          <w:rFonts w:ascii="Arial" w:hAnsi="Arial" w:cs="Arial" w:eastAsia="Arial" w:hint="default"/>
        </w:rPr>
        <w:t>27</w:t>
      </w:r>
      <w:r>
        <w:rPr/>
        <w:t>、递延所得税资产和递延所得税负债</w:t>
      </w:r>
    </w:p>
    <w:p>
      <w:pPr>
        <w:spacing w:line="240" w:lineRule="auto" w:before="12"/>
        <w:rPr>
          <w:rFonts w:ascii="宋体" w:hAnsi="宋体" w:cs="宋体" w:eastAsia="宋体" w:hint="default"/>
          <w:sz w:val="16"/>
          <w:szCs w:val="16"/>
        </w:rPr>
      </w:pPr>
    </w:p>
    <w:p>
      <w:pPr>
        <w:pStyle w:val="BodyText"/>
        <w:spacing w:line="237" w:lineRule="auto"/>
        <w:ind w:left="596" w:right="118"/>
        <w:jc w:val="both"/>
      </w:pPr>
      <w:r>
        <w:rPr/>
        <w:t>递延所得税资产和递延所得税负债根据资产和负债的计税基础与其账面价值的差额（暂时性</w:t>
      </w:r>
      <w:r>
        <w:rPr>
          <w:spacing w:val="-87"/>
        </w:rPr>
        <w:t> </w:t>
      </w:r>
      <w:r>
        <w:rPr>
          <w:spacing w:val="-87"/>
        </w:rPr>
      </w:r>
      <w:r>
        <w:rPr/>
        <w:t>差异）计算确认。对于按照税法规定能够于以后年度抵减应纳税所得额的可抵扣亏损，确认</w:t>
      </w:r>
      <w:r>
        <w:rPr>
          <w:spacing w:val="-87"/>
        </w:rPr>
        <w:t> </w:t>
      </w:r>
      <w:r>
        <w:rPr>
          <w:spacing w:val="-87"/>
        </w:rPr>
      </w:r>
      <w:r>
        <w:rPr/>
        <w:t>相应的递延所得税资产。对于既不影响会计利润也不影响应纳税所得额（或可抵扣亏损）的</w:t>
      </w:r>
      <w:r>
        <w:rPr>
          <w:spacing w:val="-87"/>
        </w:rPr>
        <w:t> </w:t>
      </w:r>
      <w:r>
        <w:rPr>
          <w:spacing w:val="-87"/>
        </w:rPr>
      </w:r>
      <w:r>
        <w:rPr/>
        <w:t>非企业合并的交易中产生的资产或负债的初始确认形成的暂时性差异，不确认相应的递延所</w:t>
      </w:r>
      <w:r>
        <w:rPr>
          <w:spacing w:val="-87"/>
        </w:rPr>
        <w:t> </w:t>
      </w:r>
      <w:r>
        <w:rPr>
          <w:spacing w:val="-87"/>
        </w:rPr>
      </w:r>
      <w:r>
        <w:rPr/>
        <w:t>得税资产和递延所得税负债。于资产负债表日，递延所得税资产和递延所得税负债，按照预</w:t>
      </w:r>
      <w:r>
        <w:rPr>
          <w:spacing w:val="-87"/>
        </w:rPr>
        <w:t> </w:t>
      </w:r>
      <w:r>
        <w:rPr>
          <w:spacing w:val="-87"/>
        </w:rPr>
      </w:r>
      <w:r>
        <w:rPr/>
        <w:t>期收回该资产或清偿该负债期间的适用税率计量。</w:t>
      </w:r>
    </w:p>
    <w:p>
      <w:pPr>
        <w:spacing w:after="0" w:line="237" w:lineRule="auto"/>
        <w:jc w:val="both"/>
        <w:sectPr>
          <w:headerReference w:type="default" r:id="rId57"/>
          <w:pgSz w:w="11910" w:h="16840"/>
          <w:pgMar w:header="967" w:footer="593" w:top="2820" w:bottom="780" w:left="1440" w:right="920"/>
        </w:sectPr>
      </w:pPr>
    </w:p>
    <w:p>
      <w:pPr>
        <w:spacing w:line="240" w:lineRule="auto" w:before="9"/>
        <w:rPr>
          <w:rFonts w:ascii="宋体" w:hAnsi="宋体" w:cs="宋体" w:eastAsia="宋体" w:hint="default"/>
          <w:sz w:val="12"/>
          <w:szCs w:val="12"/>
        </w:rPr>
      </w:pPr>
    </w:p>
    <w:p>
      <w:pPr>
        <w:pStyle w:val="BodyText"/>
        <w:spacing w:line="240" w:lineRule="auto" w:before="31"/>
        <w:ind w:left="118" w:right="3270"/>
        <w:jc w:val="left"/>
      </w:pPr>
      <w:r>
        <w:rPr>
          <w:rFonts w:ascii="Arial" w:hAnsi="Arial" w:cs="Arial" w:eastAsia="Arial" w:hint="default"/>
        </w:rPr>
        <w:t>27</w:t>
      </w:r>
      <w:r>
        <w:rPr/>
        <w:t>、递延所得税资产和递延所得税负债（续）</w:t>
      </w:r>
    </w:p>
    <w:p>
      <w:pPr>
        <w:spacing w:line="240" w:lineRule="auto" w:before="11"/>
        <w:rPr>
          <w:rFonts w:ascii="宋体" w:hAnsi="宋体" w:cs="宋体" w:eastAsia="宋体" w:hint="default"/>
          <w:sz w:val="18"/>
          <w:szCs w:val="18"/>
        </w:rPr>
      </w:pPr>
    </w:p>
    <w:p>
      <w:pPr>
        <w:pStyle w:val="BodyText"/>
        <w:spacing w:line="286" w:lineRule="exact"/>
        <w:ind w:left="607" w:right="120"/>
        <w:jc w:val="both"/>
      </w:pPr>
      <w:r>
        <w:rPr/>
        <w:t>递延所得税资产的确认以本集团很可能取得用来抵扣的可抵扣暂时性差异、可抵扣亏损和税</w:t>
      </w:r>
      <w:r>
        <w:rPr>
          <w:w w:val="99"/>
        </w:rPr>
        <w:t> </w:t>
      </w:r>
      <w:r>
        <w:rPr/>
        <w:t>款抵减的应纳税所得额为限。</w:t>
      </w:r>
    </w:p>
    <w:p>
      <w:pPr>
        <w:spacing w:line="240" w:lineRule="auto" w:before="4"/>
        <w:rPr>
          <w:rFonts w:ascii="宋体" w:hAnsi="宋体" w:cs="宋体" w:eastAsia="宋体" w:hint="default"/>
          <w:sz w:val="17"/>
          <w:szCs w:val="17"/>
        </w:rPr>
      </w:pPr>
    </w:p>
    <w:p>
      <w:pPr>
        <w:pStyle w:val="BodyText"/>
        <w:spacing w:line="237" w:lineRule="auto"/>
        <w:ind w:left="607" w:right="118"/>
        <w:jc w:val="both"/>
      </w:pPr>
      <w:r>
        <w:rPr/>
        <w:t>对与子公司、联营企业及合营企业投资相关的应纳税暂时性差异，确认递延所得税负债，除</w:t>
      </w:r>
      <w:r>
        <w:rPr>
          <w:w w:val="99"/>
        </w:rPr>
        <w:t> </w:t>
      </w:r>
      <w:r>
        <w:rPr>
          <w:spacing w:val="6"/>
        </w:rPr>
        <w:t>非本集团能够控制该暂时性差异转回的时间且该暂时性差异在可预见的未来很可能不会转</w:t>
      </w:r>
      <w:r>
        <w:rPr>
          <w:w w:val="99"/>
        </w:rPr>
        <w:t> </w:t>
      </w:r>
      <w:r>
        <w:rPr/>
        <w:t>回。对与子公司、联营企业及合营企业投资相关的可抵扣暂时性差异，当该暂时性差异在可</w:t>
      </w:r>
      <w:r>
        <w:rPr>
          <w:w w:val="99"/>
        </w:rPr>
        <w:t> </w:t>
      </w:r>
      <w:r>
        <w:rPr/>
        <w:t>预见的未来很可能转回且未来很可能获得用来抵扣可抵扣暂时性差异的应纳税所得额时，确</w:t>
      </w:r>
      <w:r>
        <w:rPr>
          <w:w w:val="99"/>
        </w:rPr>
        <w:t> </w:t>
      </w:r>
      <w:r>
        <w:rPr/>
        <w:t>认递延所得税资产。</w:t>
      </w:r>
    </w:p>
    <w:p>
      <w:pPr>
        <w:spacing w:line="240" w:lineRule="auto" w:before="3"/>
        <w:rPr>
          <w:rFonts w:ascii="宋体" w:hAnsi="宋体" w:cs="宋体" w:eastAsia="宋体" w:hint="default"/>
          <w:sz w:val="19"/>
          <w:szCs w:val="19"/>
        </w:rPr>
      </w:pPr>
    </w:p>
    <w:p>
      <w:pPr>
        <w:pStyle w:val="BodyText"/>
        <w:spacing w:line="240" w:lineRule="auto"/>
        <w:ind w:left="607" w:right="0"/>
        <w:jc w:val="both"/>
      </w:pPr>
      <w:r>
        <w:rPr/>
        <w:t>同时满足下列条件的递延所得税资产和递延所得税负债以抵销后的净额列示：</w:t>
      </w:r>
    </w:p>
    <w:p>
      <w:pPr>
        <w:spacing w:line="240" w:lineRule="auto" w:before="6"/>
        <w:rPr>
          <w:rFonts w:ascii="宋体" w:hAnsi="宋体" w:cs="宋体" w:eastAsia="宋体" w:hint="default"/>
          <w:sz w:val="21"/>
          <w:szCs w:val="21"/>
        </w:rPr>
      </w:pPr>
    </w:p>
    <w:p>
      <w:pPr>
        <w:pStyle w:val="BodyText"/>
        <w:tabs>
          <w:tab w:pos="1028" w:val="left" w:leader="none"/>
        </w:tabs>
        <w:spacing w:line="284" w:lineRule="exact"/>
        <w:ind w:left="1028" w:right="128" w:hanging="392"/>
        <w:jc w:val="left"/>
      </w:pPr>
      <w:r>
        <w:rPr>
          <w:rFonts w:ascii="Symbol" w:hAnsi="Symbol" w:cs="Symbol" w:eastAsia="Symbol" w:hint="default"/>
          <w:w w:val="95"/>
        </w:rPr>
        <w:t></w:t>
      </w:r>
      <w:r>
        <w:rPr>
          <w:rFonts w:ascii="Times New Roman" w:hAnsi="Times New Roman" w:cs="Times New Roman" w:eastAsia="Times New Roman" w:hint="default"/>
          <w:w w:val="95"/>
        </w:rPr>
        <w:tab/>
      </w:r>
      <w:r>
        <w:rPr/>
        <w:t>递延所得税资产和递延所得税负债与同一税收征管部门对本集团内同一纳税主体征收的</w:t>
      </w:r>
      <w:r>
        <w:rPr>
          <w:spacing w:val="-108"/>
        </w:rPr>
        <w:t> </w:t>
      </w:r>
      <w:r>
        <w:rPr>
          <w:spacing w:val="-108"/>
        </w:rPr>
      </w:r>
      <w:r>
        <w:rPr/>
        <w:t>所得税相关；</w:t>
      </w:r>
    </w:p>
    <w:p>
      <w:pPr>
        <w:spacing w:line="240" w:lineRule="auto" w:before="3"/>
        <w:rPr>
          <w:rFonts w:ascii="宋体" w:hAnsi="宋体" w:cs="宋体" w:eastAsia="宋体" w:hint="default"/>
          <w:sz w:val="17"/>
          <w:szCs w:val="17"/>
        </w:rPr>
      </w:pPr>
    </w:p>
    <w:p>
      <w:pPr>
        <w:pStyle w:val="BodyText"/>
        <w:spacing w:line="240" w:lineRule="auto"/>
        <w:ind w:left="637" w:right="0"/>
        <w:jc w:val="both"/>
      </w:pPr>
      <w:r>
        <w:rPr>
          <w:rFonts w:ascii="Symbol" w:hAnsi="Symbol" w:cs="Symbol" w:eastAsia="Symbol" w:hint="default"/>
        </w:rPr>
        <w:t></w:t>
      </w:r>
      <w:r>
        <w:rPr>
          <w:rFonts w:ascii="Symbol" w:hAnsi="Symbol" w:cs="Symbol" w:eastAsia="Symbol" w:hint="default"/>
          <w:spacing w:val="54"/>
        </w:rPr>
        <w:t></w:t>
      </w:r>
      <w:r>
        <w:rPr>
          <w:rFonts w:ascii="Times New Roman" w:hAnsi="Times New Roman" w:cs="Times New Roman" w:eastAsia="Times New Roman" w:hint="default"/>
          <w:spacing w:val="54"/>
        </w:rPr>
      </w:r>
      <w:r>
        <w:rPr/>
        <w:t>本集团内该纳税主体拥有以净额结算当期所得税资产及当期所得税负债的法定权利。</w:t>
      </w:r>
    </w:p>
    <w:p>
      <w:pPr>
        <w:spacing w:line="240" w:lineRule="auto" w:before="8"/>
        <w:rPr>
          <w:rFonts w:ascii="宋体" w:hAnsi="宋体" w:cs="宋体" w:eastAsia="宋体" w:hint="default"/>
          <w:sz w:val="15"/>
          <w:szCs w:val="15"/>
        </w:rPr>
      </w:pPr>
    </w:p>
    <w:p>
      <w:pPr>
        <w:pStyle w:val="BodyText"/>
        <w:spacing w:line="240" w:lineRule="auto"/>
        <w:ind w:left="118" w:right="3270"/>
        <w:jc w:val="left"/>
      </w:pPr>
      <w:r>
        <w:rPr>
          <w:rFonts w:ascii="Arial" w:hAnsi="Arial" w:cs="Arial" w:eastAsia="Arial" w:hint="default"/>
        </w:rPr>
        <w:t>28</w:t>
      </w:r>
      <w:r>
        <w:rPr/>
        <w:t>、租赁</w:t>
      </w:r>
    </w:p>
    <w:p>
      <w:pPr>
        <w:spacing w:line="240" w:lineRule="auto" w:before="10"/>
        <w:rPr>
          <w:rFonts w:ascii="宋体" w:hAnsi="宋体" w:cs="宋体" w:eastAsia="宋体" w:hint="default"/>
          <w:sz w:val="18"/>
          <w:szCs w:val="18"/>
        </w:rPr>
      </w:pPr>
    </w:p>
    <w:p>
      <w:pPr>
        <w:pStyle w:val="BodyText"/>
        <w:spacing w:line="286" w:lineRule="exact"/>
        <w:ind w:left="607" w:right="118"/>
        <w:jc w:val="both"/>
      </w:pPr>
      <w:r>
        <w:rPr/>
        <w:t>实质上转移了与资产所有权有关的全部风险和报酬的租赁为融资租赁。其他的租赁为经营租</w:t>
      </w:r>
      <w:r>
        <w:rPr>
          <w:w w:val="99"/>
        </w:rPr>
        <w:t> </w:t>
      </w:r>
      <w:r>
        <w:rPr/>
        <w:t>赁。</w:t>
      </w:r>
    </w:p>
    <w:p>
      <w:pPr>
        <w:spacing w:line="240" w:lineRule="auto" w:before="2"/>
        <w:rPr>
          <w:rFonts w:ascii="宋体" w:hAnsi="宋体" w:cs="宋体" w:eastAsia="宋体" w:hint="default"/>
          <w:sz w:val="17"/>
          <w:szCs w:val="17"/>
        </w:rPr>
      </w:pPr>
    </w:p>
    <w:p>
      <w:pPr>
        <w:pStyle w:val="BodyText"/>
        <w:tabs>
          <w:tab w:pos="608" w:val="left" w:leader="none"/>
        </w:tabs>
        <w:spacing w:line="240" w:lineRule="auto"/>
        <w:ind w:left="118" w:right="3270"/>
        <w:jc w:val="left"/>
      </w:pPr>
      <w:r>
        <w:rPr>
          <w:rFonts w:ascii="Arial" w:hAnsi="Arial" w:cs="Arial" w:eastAsia="Arial" w:hint="default"/>
          <w:w w:val="95"/>
        </w:rPr>
        <w:t>(a)</w:t>
        <w:tab/>
      </w:r>
      <w:r>
        <w:rPr/>
        <w:t>融资租赁</w:t>
      </w:r>
    </w:p>
    <w:p>
      <w:pPr>
        <w:spacing w:line="240" w:lineRule="auto" w:before="1"/>
        <w:rPr>
          <w:rFonts w:ascii="宋体" w:hAnsi="宋体" w:cs="宋体" w:eastAsia="宋体" w:hint="default"/>
          <w:sz w:val="18"/>
          <w:szCs w:val="18"/>
        </w:rPr>
      </w:pPr>
    </w:p>
    <w:p>
      <w:pPr>
        <w:pStyle w:val="BodyText"/>
        <w:spacing w:line="237" w:lineRule="auto"/>
        <w:ind w:left="607" w:right="116"/>
        <w:jc w:val="both"/>
      </w:pPr>
      <w:r>
        <w:rPr/>
        <w:t>以租赁资产的公允价值与最低租赁付款额的现值两者中较低者作为租入资产的入账价值。租</w:t>
      </w:r>
      <w:r>
        <w:rPr>
          <w:w w:val="99"/>
        </w:rPr>
        <w:t> </w:t>
      </w:r>
      <w:r>
        <w:rPr/>
        <w:t>入资产的入账价值与最低租赁付款额之间的差额作为未确认融资费用，在租赁期内按实际利</w:t>
      </w:r>
      <w:r>
        <w:rPr>
          <w:w w:val="99"/>
        </w:rPr>
        <w:t> </w:t>
      </w:r>
      <w:r>
        <w:rPr/>
        <w:t>率法摊销。最低租赁付款额扣除未确认融资费用后的余额作为长期应付款及一年内到期的非</w:t>
      </w:r>
      <w:r>
        <w:rPr>
          <w:w w:val="99"/>
        </w:rPr>
        <w:t> </w:t>
      </w:r>
      <w:r>
        <w:rPr/>
        <w:t>流动负债（一年内到期部分）列示。</w:t>
      </w:r>
    </w:p>
    <w:p>
      <w:pPr>
        <w:spacing w:line="240" w:lineRule="auto" w:before="1"/>
        <w:rPr>
          <w:rFonts w:ascii="宋体" w:hAnsi="宋体" w:cs="宋体" w:eastAsia="宋体" w:hint="default"/>
          <w:sz w:val="19"/>
          <w:szCs w:val="19"/>
        </w:rPr>
      </w:pPr>
    </w:p>
    <w:p>
      <w:pPr>
        <w:pStyle w:val="BodyText"/>
        <w:tabs>
          <w:tab w:pos="608" w:val="left" w:leader="none"/>
        </w:tabs>
        <w:spacing w:line="240" w:lineRule="auto"/>
        <w:ind w:left="118" w:right="3270"/>
        <w:jc w:val="left"/>
      </w:pPr>
      <w:r>
        <w:rPr>
          <w:rFonts w:ascii="Arial" w:hAnsi="Arial" w:cs="Arial" w:eastAsia="Arial" w:hint="default"/>
          <w:w w:val="95"/>
        </w:rPr>
        <w:t>(b)</w:t>
        <w:tab/>
      </w:r>
      <w:r>
        <w:rPr/>
        <w:t>经营租赁</w:t>
      </w:r>
    </w:p>
    <w:p>
      <w:pPr>
        <w:spacing w:line="240" w:lineRule="auto" w:before="13"/>
        <w:rPr>
          <w:rFonts w:ascii="宋体" w:hAnsi="宋体" w:cs="宋体" w:eastAsia="宋体" w:hint="default"/>
          <w:sz w:val="17"/>
          <w:szCs w:val="17"/>
        </w:rPr>
      </w:pPr>
    </w:p>
    <w:p>
      <w:pPr>
        <w:pStyle w:val="BodyText"/>
        <w:spacing w:line="240" w:lineRule="auto"/>
        <w:ind w:left="607" w:right="0"/>
        <w:jc w:val="both"/>
      </w:pPr>
      <w:r>
        <w:rPr/>
        <w:t>经营租赁的租金支出在租赁期内按照直线法计入相关资产成本或当期损益。</w:t>
      </w:r>
    </w:p>
    <w:p>
      <w:pPr>
        <w:spacing w:line="240" w:lineRule="auto" w:before="12"/>
        <w:rPr>
          <w:rFonts w:ascii="宋体" w:hAnsi="宋体" w:cs="宋体" w:eastAsia="宋体" w:hint="default"/>
          <w:sz w:val="16"/>
          <w:szCs w:val="16"/>
        </w:rPr>
      </w:pPr>
    </w:p>
    <w:p>
      <w:pPr>
        <w:pStyle w:val="BodyText"/>
        <w:spacing w:line="240" w:lineRule="auto"/>
        <w:ind w:left="118" w:right="3270"/>
        <w:jc w:val="left"/>
      </w:pPr>
      <w:r>
        <w:rPr>
          <w:rFonts w:ascii="Arial" w:hAnsi="Arial" w:cs="Arial" w:eastAsia="Arial" w:hint="default"/>
        </w:rPr>
        <w:t>29</w:t>
      </w:r>
      <w:r>
        <w:rPr/>
        <w:t>、分部信息</w:t>
      </w:r>
    </w:p>
    <w:p>
      <w:pPr>
        <w:spacing w:line="240" w:lineRule="auto" w:before="11"/>
        <w:rPr>
          <w:rFonts w:ascii="宋体" w:hAnsi="宋体" w:cs="宋体" w:eastAsia="宋体" w:hint="default"/>
          <w:sz w:val="18"/>
          <w:szCs w:val="18"/>
        </w:rPr>
      </w:pPr>
    </w:p>
    <w:p>
      <w:pPr>
        <w:pStyle w:val="BodyText"/>
        <w:spacing w:line="286" w:lineRule="exact"/>
        <w:ind w:left="607" w:right="116"/>
        <w:jc w:val="both"/>
      </w:pPr>
      <w:r>
        <w:rPr/>
        <w:t>本集团以内部组织结构、管理要求、内部报告制度为依据确定经营分部，以经营分部为基础</w:t>
      </w:r>
      <w:r>
        <w:rPr>
          <w:w w:val="99"/>
        </w:rPr>
        <w:t> </w:t>
      </w:r>
      <w:r>
        <w:rPr/>
        <w:t>确定报告分部并披露分部信息。</w:t>
      </w:r>
    </w:p>
    <w:p>
      <w:pPr>
        <w:spacing w:line="240" w:lineRule="auto" w:before="1"/>
        <w:rPr>
          <w:rFonts w:ascii="宋体" w:hAnsi="宋体" w:cs="宋体" w:eastAsia="宋体" w:hint="default"/>
          <w:sz w:val="18"/>
          <w:szCs w:val="18"/>
        </w:rPr>
      </w:pPr>
    </w:p>
    <w:p>
      <w:pPr>
        <w:pStyle w:val="BodyText"/>
        <w:spacing w:line="228" w:lineRule="auto"/>
        <w:ind w:left="607" w:right="116"/>
        <w:jc w:val="both"/>
      </w:pPr>
      <w:r>
        <w:rPr>
          <w:spacing w:val="-1"/>
        </w:rPr>
        <w:t>经营分部是指本集团内同时满足下列条件的组成部分：</w:t>
      </w:r>
      <w:r>
        <w:rPr>
          <w:rFonts w:ascii="Arial" w:hAnsi="Arial" w:cs="Arial" w:eastAsia="Arial" w:hint="default"/>
          <w:spacing w:val="-1"/>
        </w:rPr>
        <w:t>(1)</w:t>
      </w:r>
      <w:r>
        <w:rPr>
          <w:spacing w:val="-1"/>
        </w:rPr>
        <w:t>该组成部分能够在日常活动中产生</w:t>
      </w:r>
      <w:r>
        <w:rPr>
          <w:spacing w:val="-108"/>
        </w:rPr>
        <w:t> </w:t>
      </w:r>
      <w:r>
        <w:rPr>
          <w:spacing w:val="-108"/>
        </w:rPr>
      </w:r>
      <w:r>
        <w:rPr>
          <w:spacing w:val="-1"/>
        </w:rPr>
        <w:t>收入、发生费用；</w:t>
      </w:r>
      <w:r>
        <w:rPr>
          <w:rFonts w:ascii="Arial" w:hAnsi="Arial" w:cs="Arial" w:eastAsia="Arial" w:hint="default"/>
          <w:spacing w:val="-1"/>
        </w:rPr>
        <w:t>(2)</w:t>
      </w:r>
      <w:r>
        <w:rPr>
          <w:spacing w:val="-1"/>
        </w:rPr>
        <w:t>本集团管理层能够定期评价该组成部分的经营成果，以决定向其配置资</w:t>
      </w:r>
      <w:r>
        <w:rPr>
          <w:w w:val="99"/>
        </w:rPr>
        <w:t> </w:t>
      </w:r>
      <w:r>
        <w:rPr>
          <w:spacing w:val="-1"/>
        </w:rPr>
        <w:t>源、评价其业绩；</w:t>
      </w:r>
      <w:r>
        <w:rPr>
          <w:rFonts w:ascii="Arial" w:hAnsi="Arial" w:cs="Arial" w:eastAsia="Arial" w:hint="default"/>
          <w:spacing w:val="-1"/>
        </w:rPr>
        <w:t>(3)</w:t>
      </w:r>
      <w:r>
        <w:rPr>
          <w:spacing w:val="-1"/>
        </w:rPr>
        <w:t>本集团能够取得该组成部分的财务状况、经营成果和现金流量等有关会</w:t>
      </w:r>
      <w:r>
        <w:rPr>
          <w:w w:val="99"/>
        </w:rPr>
        <w:t> </w:t>
      </w:r>
      <w:r>
        <w:rPr/>
        <w:t>计信息。如果两个或多个经营分部具有相似的经济特征，并且满足一定条件的，则可合并为</w:t>
      </w:r>
      <w:r>
        <w:rPr>
          <w:w w:val="99"/>
        </w:rPr>
        <w:t> </w:t>
      </w:r>
      <w:r>
        <w:rPr/>
        <w:t>一个经营分部。</w:t>
      </w:r>
    </w:p>
    <w:p>
      <w:pPr>
        <w:spacing w:after="0" w:line="228" w:lineRule="auto"/>
        <w:jc w:val="both"/>
        <w:sectPr>
          <w:headerReference w:type="default" r:id="rId58"/>
          <w:pgSz w:w="11910" w:h="16840"/>
          <w:pgMar w:header="967" w:footer="593" w:top="2820" w:bottom="780" w:left="1440" w:right="920"/>
        </w:sectPr>
      </w:pPr>
    </w:p>
    <w:p>
      <w:pPr>
        <w:spacing w:line="240" w:lineRule="auto" w:before="9"/>
        <w:rPr>
          <w:rFonts w:ascii="宋体" w:hAnsi="宋体" w:cs="宋体" w:eastAsia="宋体" w:hint="default"/>
          <w:sz w:val="12"/>
          <w:szCs w:val="12"/>
        </w:rPr>
      </w:pPr>
    </w:p>
    <w:p>
      <w:pPr>
        <w:pStyle w:val="BodyText"/>
        <w:spacing w:line="240" w:lineRule="auto" w:before="31"/>
        <w:ind w:left="118" w:right="3270"/>
        <w:jc w:val="left"/>
      </w:pPr>
      <w:r>
        <w:rPr>
          <w:rFonts w:ascii="Arial" w:hAnsi="Arial" w:cs="Arial" w:eastAsia="Arial" w:hint="default"/>
        </w:rPr>
        <w:t>30</w:t>
      </w:r>
      <w:r>
        <w:rPr/>
        <w:t>、非货币性资产交换</w:t>
      </w:r>
    </w:p>
    <w:p>
      <w:pPr>
        <w:spacing w:line="240" w:lineRule="auto" w:before="5"/>
        <w:rPr>
          <w:rFonts w:ascii="宋体" w:hAnsi="宋体" w:cs="宋体" w:eastAsia="宋体" w:hint="default"/>
          <w:sz w:val="15"/>
          <w:szCs w:val="15"/>
        </w:rPr>
      </w:pPr>
    </w:p>
    <w:p>
      <w:pPr>
        <w:pStyle w:val="BodyText"/>
        <w:spacing w:line="235" w:lineRule="auto"/>
        <w:ind w:left="586" w:right="114"/>
        <w:jc w:val="both"/>
      </w:pPr>
      <w:r>
        <w:rPr/>
        <w:t>本集团在与第三方通过存货、固定资产等非货币性资产进行交换时，不涉及或仅涉及少量货</w:t>
      </w:r>
      <w:r>
        <w:rPr>
          <w:spacing w:val="-91"/>
        </w:rPr>
        <w:t> </w:t>
      </w:r>
      <w:r>
        <w:rPr>
          <w:spacing w:val="-91"/>
        </w:rPr>
      </w:r>
      <w:r>
        <w:rPr/>
        <w:t>币性资产（即补价）时，对该等交易按照非货币性资产交换进行处理。非货币性资产交换同</w:t>
      </w:r>
      <w:r>
        <w:rPr>
          <w:spacing w:val="-94"/>
        </w:rPr>
        <w:t> </w:t>
      </w:r>
      <w:r>
        <w:rPr>
          <w:spacing w:val="-94"/>
        </w:rPr>
      </w:r>
      <w:r>
        <w:rPr>
          <w:spacing w:val="-2"/>
        </w:rPr>
        <w:t>时满足</w:t>
      </w:r>
      <w:r>
        <w:rPr>
          <w:rFonts w:ascii="Arial" w:hAnsi="Arial" w:cs="Arial" w:eastAsia="Arial" w:hint="default"/>
          <w:spacing w:val="-2"/>
        </w:rPr>
        <w:t>(1)</w:t>
      </w:r>
      <w:r>
        <w:rPr>
          <w:spacing w:val="-2"/>
        </w:rPr>
        <w:t>该项交换具有商业实质，及</w:t>
      </w:r>
      <w:r>
        <w:rPr>
          <w:rFonts w:ascii="Arial" w:hAnsi="Arial" w:cs="Arial" w:eastAsia="Arial" w:hint="default"/>
          <w:spacing w:val="-2"/>
        </w:rPr>
        <w:t>(2)</w:t>
      </w:r>
      <w:r>
        <w:rPr>
          <w:spacing w:val="-2"/>
        </w:rPr>
        <w:t>换入资产或换出资产的公允价值能够可靠地计量这两</w:t>
      </w:r>
      <w:r>
        <w:rPr>
          <w:spacing w:val="-86"/>
        </w:rPr>
        <w:t> </w:t>
      </w:r>
      <w:r>
        <w:rPr>
          <w:spacing w:val="-86"/>
        </w:rPr>
      </w:r>
      <w:r>
        <w:rPr/>
        <w:t>项条件的，以换出资产公允价值和应支付的相关税费作为换入资产的成本，公允价值与换出</w:t>
      </w:r>
      <w:r>
        <w:rPr>
          <w:spacing w:val="-93"/>
        </w:rPr>
        <w:t> </w:t>
      </w:r>
      <w:r>
        <w:rPr>
          <w:spacing w:val="-93"/>
        </w:rPr>
      </w:r>
      <w:r>
        <w:rPr/>
        <w:t>资产账面价值的差额计入当期损益；未同时满足上述两项条件的非货币性资产交换，以换出</w:t>
      </w:r>
      <w:r>
        <w:rPr>
          <w:spacing w:val="-104"/>
        </w:rPr>
        <w:t> </w:t>
      </w:r>
      <w:r>
        <w:rPr>
          <w:spacing w:val="-104"/>
        </w:rPr>
      </w:r>
      <w:r>
        <w:rPr/>
        <w:t>资产的账面价值和应支付的相关税费作为换入资产的成本，不确认损益。</w:t>
      </w:r>
    </w:p>
    <w:p>
      <w:pPr>
        <w:spacing w:line="240" w:lineRule="auto" w:before="2"/>
        <w:rPr>
          <w:rFonts w:ascii="宋体" w:hAnsi="宋体" w:cs="宋体" w:eastAsia="宋体" w:hint="default"/>
          <w:sz w:val="15"/>
          <w:szCs w:val="15"/>
        </w:rPr>
      </w:pPr>
    </w:p>
    <w:p>
      <w:pPr>
        <w:pStyle w:val="BodyText"/>
        <w:spacing w:line="240" w:lineRule="auto"/>
        <w:ind w:left="118" w:right="3270"/>
        <w:jc w:val="left"/>
      </w:pPr>
      <w:r>
        <w:rPr>
          <w:rFonts w:ascii="Arial" w:hAnsi="Arial" w:cs="Arial" w:eastAsia="Arial" w:hint="default"/>
        </w:rPr>
        <w:t>31</w:t>
      </w:r>
      <w:r>
        <w:rPr/>
        <w:t>、与少数股东之间的交易</w:t>
      </w:r>
    </w:p>
    <w:p>
      <w:pPr>
        <w:spacing w:line="240" w:lineRule="auto" w:before="12"/>
        <w:rPr>
          <w:rFonts w:ascii="宋体" w:hAnsi="宋体" w:cs="宋体" w:eastAsia="宋体" w:hint="default"/>
          <w:sz w:val="16"/>
          <w:szCs w:val="16"/>
        </w:rPr>
      </w:pPr>
    </w:p>
    <w:p>
      <w:pPr>
        <w:pStyle w:val="BodyText"/>
        <w:spacing w:line="237" w:lineRule="auto"/>
        <w:ind w:left="586" w:right="117"/>
        <w:jc w:val="both"/>
      </w:pPr>
      <w:r>
        <w:rPr/>
        <w:t>在不影响控制权的情况下，导致本公司对子公司持股比例发生变化的交易属于与少数股东之</w:t>
      </w:r>
      <w:r>
        <w:rPr>
          <w:spacing w:val="-104"/>
        </w:rPr>
        <w:t> </w:t>
      </w:r>
      <w:r>
        <w:rPr>
          <w:spacing w:val="-104"/>
        </w:rPr>
      </w:r>
      <w:r>
        <w:rPr/>
        <w:t>间的交易。对于与少数股东之间的交易，在合并财务报表中，子公司的资产、负债以购买日</w:t>
      </w:r>
      <w:r>
        <w:rPr>
          <w:spacing w:val="-98"/>
        </w:rPr>
        <w:t> </w:t>
      </w:r>
      <w:r>
        <w:rPr>
          <w:spacing w:val="-98"/>
        </w:rPr>
      </w:r>
      <w:r>
        <w:rPr/>
        <w:t>或合并日开始持续计算的金额反映，增加或减少的长期股权投资与按照本公司新的持股比例</w:t>
      </w:r>
      <w:r>
        <w:rPr>
          <w:spacing w:val="-103"/>
        </w:rPr>
        <w:t> </w:t>
      </w:r>
      <w:r>
        <w:rPr>
          <w:spacing w:val="-103"/>
        </w:rPr>
      </w:r>
      <w:r>
        <w:rPr/>
        <w:t>计算应享有子公司自购买日或合并日开始持续计算的净资产份额之间的差额调整资本公积，</w:t>
      </w:r>
      <w:r>
        <w:rPr>
          <w:spacing w:val="-97"/>
        </w:rPr>
        <w:t> </w:t>
      </w:r>
      <w:r>
        <w:rPr>
          <w:spacing w:val="-97"/>
        </w:rPr>
      </w:r>
      <w:r>
        <w:rPr/>
        <w:t>资本公积的金额不足冲减的，调整留存收益。</w:t>
      </w:r>
    </w:p>
    <w:p>
      <w:pPr>
        <w:spacing w:line="240" w:lineRule="auto" w:before="13"/>
        <w:rPr>
          <w:rFonts w:ascii="宋体" w:hAnsi="宋体" w:cs="宋体" w:eastAsia="宋体" w:hint="default"/>
          <w:sz w:val="16"/>
          <w:szCs w:val="16"/>
        </w:rPr>
      </w:pPr>
    </w:p>
    <w:p>
      <w:pPr>
        <w:pStyle w:val="BodyText"/>
        <w:spacing w:line="240" w:lineRule="auto"/>
        <w:ind w:left="118" w:right="3270"/>
        <w:jc w:val="left"/>
      </w:pPr>
      <w:r>
        <w:rPr>
          <w:rFonts w:ascii="Arial" w:hAnsi="Arial" w:cs="Arial" w:eastAsia="Arial" w:hint="default"/>
        </w:rPr>
        <w:t>32</w:t>
      </w:r>
      <w:r>
        <w:rPr/>
        <w:t>、重要会计估计和判断</w:t>
      </w:r>
    </w:p>
    <w:p>
      <w:pPr>
        <w:spacing w:line="240" w:lineRule="auto" w:before="10"/>
        <w:rPr>
          <w:rFonts w:ascii="宋体" w:hAnsi="宋体" w:cs="宋体" w:eastAsia="宋体" w:hint="default"/>
          <w:sz w:val="18"/>
          <w:szCs w:val="18"/>
        </w:rPr>
      </w:pPr>
    </w:p>
    <w:p>
      <w:pPr>
        <w:pStyle w:val="BodyText"/>
        <w:spacing w:line="286" w:lineRule="exact"/>
        <w:ind w:left="586" w:right="125"/>
        <w:jc w:val="both"/>
      </w:pPr>
      <w:r>
        <w:rPr/>
        <w:t>本集团根据历史经验和其他因素，包括对未来事项的合理预期，对所采用的重要会计估计和</w:t>
      </w:r>
      <w:r>
        <w:rPr>
          <w:spacing w:val="-104"/>
        </w:rPr>
        <w:t> </w:t>
      </w:r>
      <w:r>
        <w:rPr>
          <w:spacing w:val="-104"/>
        </w:rPr>
      </w:r>
      <w:r>
        <w:rPr/>
        <w:t>关键判断进行持续的评价。</w:t>
      </w:r>
    </w:p>
    <w:p>
      <w:pPr>
        <w:spacing w:line="240" w:lineRule="auto" w:before="2"/>
        <w:rPr>
          <w:rFonts w:ascii="宋体" w:hAnsi="宋体" w:cs="宋体" w:eastAsia="宋体" w:hint="default"/>
          <w:sz w:val="17"/>
          <w:szCs w:val="17"/>
        </w:rPr>
      </w:pPr>
    </w:p>
    <w:p>
      <w:pPr>
        <w:pStyle w:val="BodyText"/>
        <w:spacing w:line="240" w:lineRule="auto"/>
        <w:ind w:left="133" w:right="3270"/>
        <w:jc w:val="left"/>
      </w:pPr>
      <w:r>
        <w:rPr>
          <w:rFonts w:ascii="Arial" w:hAnsi="Arial" w:cs="Arial" w:eastAsia="Arial" w:hint="default"/>
        </w:rPr>
        <w:t>(a) </w:t>
      </w:r>
      <w:r>
        <w:rPr>
          <w:rFonts w:ascii="Arial" w:hAnsi="Arial" w:cs="Arial" w:eastAsia="Arial" w:hint="default"/>
          <w:spacing w:val="56"/>
        </w:rPr>
        <w:t> </w:t>
      </w:r>
      <w:r>
        <w:rPr/>
        <w:t>重要会计估计及其关键假设</w:t>
      </w:r>
    </w:p>
    <w:p>
      <w:pPr>
        <w:spacing w:line="240" w:lineRule="auto" w:before="0"/>
        <w:rPr>
          <w:rFonts w:ascii="宋体" w:hAnsi="宋体" w:cs="宋体" w:eastAsia="宋体" w:hint="default"/>
          <w:sz w:val="20"/>
          <w:szCs w:val="20"/>
        </w:rPr>
      </w:pPr>
    </w:p>
    <w:p>
      <w:pPr>
        <w:pStyle w:val="BodyText"/>
        <w:spacing w:line="286" w:lineRule="exact"/>
        <w:ind w:left="586" w:right="124"/>
        <w:jc w:val="both"/>
      </w:pPr>
      <w:r>
        <w:rPr/>
        <w:t>下列重大会计估计及关键假设存在会导致下一会计年度资产和负债的账面价值出现重大调整</w:t>
      </w:r>
      <w:r>
        <w:rPr>
          <w:spacing w:val="-103"/>
        </w:rPr>
        <w:t> </w:t>
      </w:r>
      <w:r>
        <w:rPr>
          <w:spacing w:val="-103"/>
        </w:rPr>
      </w:r>
      <w:r>
        <w:rPr/>
        <w:t>的主要风险：</w:t>
      </w:r>
    </w:p>
    <w:p>
      <w:pPr>
        <w:spacing w:line="240" w:lineRule="auto" w:before="2"/>
        <w:rPr>
          <w:rFonts w:ascii="宋体" w:hAnsi="宋体" w:cs="宋体" w:eastAsia="宋体" w:hint="default"/>
          <w:sz w:val="17"/>
          <w:szCs w:val="17"/>
        </w:rPr>
      </w:pPr>
    </w:p>
    <w:p>
      <w:pPr>
        <w:pStyle w:val="BodyText"/>
        <w:tabs>
          <w:tab w:pos="586" w:val="left" w:leader="none"/>
        </w:tabs>
        <w:spacing w:line="240" w:lineRule="auto"/>
        <w:ind w:left="146" w:right="3270"/>
        <w:jc w:val="left"/>
      </w:pPr>
      <w:r>
        <w:rPr>
          <w:rFonts w:ascii="Arial" w:hAnsi="Arial" w:cs="Arial" w:eastAsia="Arial" w:hint="default"/>
          <w:w w:val="95"/>
        </w:rPr>
        <w:t>(i)</w:t>
        <w:tab/>
      </w:r>
      <w:r>
        <w:rPr/>
        <w:t>固定资产折旧</w:t>
      </w:r>
    </w:p>
    <w:p>
      <w:pPr>
        <w:spacing w:line="240" w:lineRule="auto" w:before="1"/>
        <w:rPr>
          <w:rFonts w:ascii="宋体" w:hAnsi="宋体" w:cs="宋体" w:eastAsia="宋体" w:hint="default"/>
          <w:sz w:val="20"/>
          <w:szCs w:val="20"/>
        </w:rPr>
      </w:pPr>
    </w:p>
    <w:p>
      <w:pPr>
        <w:pStyle w:val="BodyText"/>
        <w:spacing w:line="286" w:lineRule="exact"/>
        <w:ind w:left="586" w:right="115"/>
        <w:jc w:val="both"/>
      </w:pPr>
      <w:r>
        <w:rPr/>
        <w:t>本集团固定资产的折旧在预计使用寿命内以资产的入账价值减去预计净残值后的金额按直线</w:t>
      </w:r>
      <w:r>
        <w:rPr>
          <w:spacing w:val="-94"/>
        </w:rPr>
        <w:t> </w:t>
      </w:r>
      <w:r>
        <w:rPr>
          <w:spacing w:val="-94"/>
        </w:rPr>
      </w:r>
      <w:r>
        <w:rPr/>
        <w:t>法计提。本集团定期对预计使用寿命和预计净残值进行评估，以确保折旧方法及折旧率与固</w:t>
      </w:r>
      <w:r>
        <w:rPr>
          <w:spacing w:val="-104"/>
        </w:rPr>
        <w:t> </w:t>
      </w:r>
      <w:r>
        <w:rPr>
          <w:spacing w:val="-104"/>
        </w:rPr>
      </w:r>
      <w:r>
        <w:rPr/>
        <w:t>定资产的预计经济利益实现模式一致。</w:t>
      </w:r>
    </w:p>
    <w:p>
      <w:pPr>
        <w:spacing w:line="240" w:lineRule="auto" w:before="3"/>
        <w:rPr>
          <w:rFonts w:ascii="宋体" w:hAnsi="宋体" w:cs="宋体" w:eastAsia="宋体" w:hint="default"/>
          <w:sz w:val="19"/>
          <w:szCs w:val="19"/>
        </w:rPr>
      </w:pPr>
    </w:p>
    <w:p>
      <w:pPr>
        <w:pStyle w:val="BodyText"/>
        <w:spacing w:line="286" w:lineRule="exact"/>
        <w:ind w:left="586" w:right="124"/>
        <w:jc w:val="both"/>
      </w:pPr>
      <w:r>
        <w:rPr/>
        <w:t>本集团对固定资产预计使用寿命及净残值的估计是基于历史经验并考虑预期的技术更新而作</w:t>
      </w:r>
      <w:r>
        <w:rPr>
          <w:spacing w:val="-103"/>
        </w:rPr>
        <w:t> </w:t>
      </w:r>
      <w:r>
        <w:rPr>
          <w:spacing w:val="-103"/>
        </w:rPr>
      </w:r>
      <w:r>
        <w:rPr/>
        <w:t>出的。当预计使用寿命及预计净残值发生重大变化时，可能需要相应调整折旧费用。</w:t>
      </w:r>
    </w:p>
    <w:p>
      <w:pPr>
        <w:spacing w:line="240" w:lineRule="auto" w:before="2"/>
        <w:rPr>
          <w:rFonts w:ascii="宋体" w:hAnsi="宋体" w:cs="宋体" w:eastAsia="宋体" w:hint="default"/>
          <w:sz w:val="17"/>
          <w:szCs w:val="17"/>
        </w:rPr>
      </w:pPr>
    </w:p>
    <w:p>
      <w:pPr>
        <w:pStyle w:val="BodyText"/>
        <w:tabs>
          <w:tab w:pos="608" w:val="left" w:leader="none"/>
        </w:tabs>
        <w:spacing w:line="240" w:lineRule="auto"/>
        <w:ind w:left="146" w:right="3270"/>
        <w:jc w:val="left"/>
      </w:pPr>
      <w:r>
        <w:rPr>
          <w:rFonts w:ascii="Arial" w:hAnsi="Arial" w:cs="Arial" w:eastAsia="Arial" w:hint="default"/>
          <w:w w:val="95"/>
        </w:rPr>
        <w:t>(ii)</w:t>
        <w:tab/>
      </w:r>
      <w:r>
        <w:rPr/>
        <w:t>非流动资产的减值</w:t>
      </w:r>
    </w:p>
    <w:p>
      <w:pPr>
        <w:spacing w:line="240" w:lineRule="auto" w:before="7"/>
        <w:rPr>
          <w:rFonts w:ascii="宋体" w:hAnsi="宋体" w:cs="宋体" w:eastAsia="宋体" w:hint="default"/>
          <w:sz w:val="16"/>
          <w:szCs w:val="16"/>
        </w:rPr>
      </w:pPr>
    </w:p>
    <w:p>
      <w:pPr>
        <w:pStyle w:val="BodyText"/>
        <w:spacing w:line="235" w:lineRule="auto"/>
        <w:ind w:left="596" w:right="113"/>
        <w:jc w:val="both"/>
      </w:pPr>
      <w:r>
        <w:rPr/>
        <w:t>本集团按照附注二</w:t>
      </w:r>
      <w:r>
        <w:rPr>
          <w:rFonts w:ascii="Arial" w:hAnsi="Arial" w:cs="Arial" w:eastAsia="Arial" w:hint="default"/>
        </w:rPr>
        <w:t>(18)</w:t>
      </w:r>
      <w:r>
        <w:rPr/>
        <w:t>所述会计政策评估非流动资产是否存在减值。一项资产的可收回金额</w:t>
      </w:r>
      <w:r>
        <w:rPr>
          <w:spacing w:val="-44"/>
        </w:rPr>
        <w:t> </w:t>
      </w:r>
      <w:r>
        <w:rPr>
          <w:spacing w:val="-44"/>
        </w:rPr>
      </w:r>
      <w:r>
        <w:rPr>
          <w:spacing w:val="6"/>
        </w:rPr>
        <w:t>是指资产公允价值减去处置费用后的净额与资产预计未来现金流量的现值两者之间的较高</w:t>
      </w:r>
      <w:r>
        <w:rPr>
          <w:spacing w:val="-97"/>
        </w:rPr>
        <w:t> </w:t>
      </w:r>
      <w:r>
        <w:rPr>
          <w:spacing w:val="-97"/>
        </w:rPr>
      </w:r>
      <w:r>
        <w:rPr/>
        <w:t>者。管理层估计的资产预计未来现金流量的现值是根据能够独立产生现金流入的最小资产组</w:t>
      </w:r>
      <w:r>
        <w:rPr>
          <w:spacing w:val="-87"/>
        </w:rPr>
        <w:t> </w:t>
      </w:r>
      <w:r>
        <w:rPr>
          <w:spacing w:val="-87"/>
        </w:rPr>
      </w:r>
      <w:r>
        <w:rPr/>
        <w:t>合的预期未来税前现金流量折现确定。当管理层的假设和非流动资产的预期可收回金额发生</w:t>
      </w:r>
      <w:r>
        <w:rPr>
          <w:spacing w:val="-87"/>
        </w:rPr>
        <w:t> </w:t>
      </w:r>
      <w:r>
        <w:rPr>
          <w:spacing w:val="-87"/>
        </w:rPr>
      </w:r>
      <w:r>
        <w:rPr/>
        <w:t>重大变化时，本集团的未来经营成果将受到影响。</w:t>
      </w:r>
    </w:p>
    <w:p>
      <w:pPr>
        <w:spacing w:line="240" w:lineRule="auto" w:before="5"/>
        <w:rPr>
          <w:rFonts w:ascii="宋体" w:hAnsi="宋体" w:cs="宋体" w:eastAsia="宋体" w:hint="default"/>
          <w:sz w:val="17"/>
          <w:szCs w:val="17"/>
        </w:rPr>
      </w:pPr>
    </w:p>
    <w:p>
      <w:pPr>
        <w:pStyle w:val="BodyText"/>
        <w:spacing w:line="240" w:lineRule="auto"/>
        <w:ind w:left="596" w:right="0"/>
        <w:jc w:val="both"/>
      </w:pPr>
      <w:r>
        <w:rPr/>
        <w:t>于</w:t>
      </w:r>
      <w:r>
        <w:rPr>
          <w:rFonts w:ascii="Arial" w:hAnsi="Arial" w:cs="Arial" w:eastAsia="Arial" w:hint="default"/>
        </w:rPr>
        <w:t>2012</w:t>
      </w:r>
      <w:r>
        <w:rPr/>
        <w:t>年度及</w:t>
      </w:r>
      <w:r>
        <w:rPr>
          <w:rFonts w:ascii="Arial" w:hAnsi="Arial" w:cs="Arial" w:eastAsia="Arial" w:hint="default"/>
        </w:rPr>
        <w:t>2011</w:t>
      </w:r>
      <w:r>
        <w:rPr/>
        <w:t>年度，本集团并未确认重大非流动资产减值损失。</w:t>
      </w:r>
    </w:p>
    <w:p>
      <w:pPr>
        <w:spacing w:after="0" w:line="240" w:lineRule="auto"/>
        <w:jc w:val="both"/>
        <w:sectPr>
          <w:headerReference w:type="default" r:id="rId59"/>
          <w:pgSz w:w="11910" w:h="16840"/>
          <w:pgMar w:header="967" w:footer="593" w:top="2820" w:bottom="780" w:left="1440" w:right="920"/>
        </w:sectPr>
      </w:pPr>
    </w:p>
    <w:p>
      <w:pPr>
        <w:spacing w:line="240" w:lineRule="auto" w:before="6"/>
        <w:rPr>
          <w:rFonts w:ascii="宋体" w:hAnsi="宋体" w:cs="宋体" w:eastAsia="宋体" w:hint="default"/>
          <w:sz w:val="11"/>
          <w:szCs w:val="11"/>
        </w:rPr>
      </w:pPr>
    </w:p>
    <w:p>
      <w:pPr>
        <w:pStyle w:val="BodyText"/>
        <w:spacing w:line="240" w:lineRule="auto" w:before="31"/>
        <w:ind w:left="133" w:right="5567"/>
        <w:jc w:val="left"/>
      </w:pPr>
      <w:r>
        <w:rPr>
          <w:rFonts w:ascii="Arial" w:hAnsi="Arial" w:cs="Arial" w:eastAsia="Arial" w:hint="default"/>
        </w:rPr>
        <w:t>(a) </w:t>
      </w:r>
      <w:r>
        <w:rPr>
          <w:rFonts w:ascii="Arial" w:hAnsi="Arial" w:cs="Arial" w:eastAsia="Arial" w:hint="default"/>
          <w:spacing w:val="56"/>
        </w:rPr>
        <w:t> </w:t>
      </w:r>
      <w:r>
        <w:rPr/>
        <w:t>重要会计估计及其关键假设（续）</w:t>
      </w:r>
    </w:p>
    <w:p>
      <w:pPr>
        <w:spacing w:line="240" w:lineRule="auto" w:before="13"/>
        <w:rPr>
          <w:rFonts w:ascii="宋体" w:hAnsi="宋体" w:cs="宋体" w:eastAsia="宋体" w:hint="default"/>
          <w:sz w:val="16"/>
          <w:szCs w:val="16"/>
        </w:rPr>
      </w:pPr>
    </w:p>
    <w:p>
      <w:pPr>
        <w:pStyle w:val="ListParagraph"/>
        <w:numPr>
          <w:ilvl w:val="0"/>
          <w:numId w:val="1"/>
        </w:numPr>
        <w:tabs>
          <w:tab w:pos="623" w:val="left" w:leader="none"/>
        </w:tabs>
        <w:spacing w:line="240" w:lineRule="auto" w:before="0" w:after="0"/>
        <w:ind w:left="622" w:right="5567" w:hanging="489"/>
        <w:jc w:val="left"/>
        <w:rPr>
          <w:rFonts w:ascii="宋体" w:hAnsi="宋体" w:cs="宋体" w:eastAsia="宋体" w:hint="default"/>
          <w:sz w:val="22"/>
          <w:szCs w:val="22"/>
        </w:rPr>
      </w:pPr>
      <w:r>
        <w:rPr>
          <w:rFonts w:ascii="宋体" w:hAnsi="宋体" w:cs="宋体" w:eastAsia="宋体" w:hint="default"/>
          <w:sz w:val="22"/>
          <w:szCs w:val="22"/>
        </w:rPr>
        <w:t>所得税</w:t>
      </w:r>
    </w:p>
    <w:p>
      <w:pPr>
        <w:spacing w:line="240" w:lineRule="auto" w:before="2"/>
        <w:rPr>
          <w:rFonts w:ascii="宋体" w:hAnsi="宋体" w:cs="宋体" w:eastAsia="宋体" w:hint="default"/>
          <w:sz w:val="18"/>
          <w:szCs w:val="18"/>
        </w:rPr>
      </w:pPr>
    </w:p>
    <w:p>
      <w:pPr>
        <w:pStyle w:val="BodyText"/>
        <w:spacing w:line="237" w:lineRule="auto"/>
        <w:ind w:left="596" w:right="217"/>
        <w:jc w:val="both"/>
      </w:pPr>
      <w:r>
        <w:rPr/>
        <w:t>本集团按照现行税收法规计算企业所得税，并考虑了适用的所得税的相关规定及税收优惠。</w:t>
      </w:r>
      <w:r>
        <w:rPr>
          <w:spacing w:val="-90"/>
        </w:rPr>
        <w:t> </w:t>
      </w:r>
      <w:r>
        <w:rPr>
          <w:spacing w:val="-90"/>
        </w:rPr>
      </w:r>
      <w:r>
        <w:rPr/>
        <w:t>本集团在多个地区缴纳企业所得税，在正常的经营活动中，很多交易和事项的最终税务处理</w:t>
      </w:r>
      <w:r>
        <w:rPr>
          <w:spacing w:val="-87"/>
        </w:rPr>
        <w:t> </w:t>
      </w:r>
      <w:r>
        <w:rPr>
          <w:spacing w:val="-87"/>
        </w:rPr>
      </w:r>
      <w:r>
        <w:rPr/>
        <w:t>都存在不确定性，在计提各个地区的所得税费用时本集团需要作出重大判断。本集团还就未</w:t>
      </w:r>
      <w:r>
        <w:rPr>
          <w:spacing w:val="-91"/>
        </w:rPr>
        <w:t> </w:t>
      </w:r>
      <w:r>
        <w:rPr>
          <w:spacing w:val="-91"/>
        </w:rPr>
      </w:r>
      <w:r>
        <w:rPr/>
        <w:t>来最终税务申报过程中可能存在判断差异的纳税项目预计是否需要缴纳额外税款，并根据估</w:t>
      </w:r>
      <w:r>
        <w:rPr>
          <w:spacing w:val="-87"/>
        </w:rPr>
        <w:t> </w:t>
      </w:r>
      <w:r>
        <w:rPr>
          <w:spacing w:val="-87"/>
        </w:rPr>
      </w:r>
      <w:r>
        <w:rPr/>
        <w:t>计的结果判断是否需要确认相应的所得税负债。如果这些税务事项的最终认定结果与最初入</w:t>
      </w:r>
      <w:r>
        <w:rPr>
          <w:spacing w:val="-87"/>
        </w:rPr>
        <w:t> </w:t>
      </w:r>
      <w:r>
        <w:rPr>
          <w:spacing w:val="-87"/>
        </w:rPr>
      </w:r>
      <w:r>
        <w:rPr/>
        <w:t>账的金额存在差异，该差异将对作出上述最终认定期间的所得税费用和递延所得税的金额产</w:t>
      </w:r>
      <w:r>
        <w:rPr>
          <w:spacing w:val="-87"/>
        </w:rPr>
        <w:t> </w:t>
      </w:r>
      <w:r>
        <w:rPr>
          <w:spacing w:val="-87"/>
        </w:rPr>
      </w:r>
      <w:r>
        <w:rPr/>
        <w:t>生影响。</w:t>
      </w:r>
    </w:p>
    <w:p>
      <w:pPr>
        <w:spacing w:line="240" w:lineRule="auto" w:before="5"/>
        <w:rPr>
          <w:rFonts w:ascii="宋体" w:hAnsi="宋体" w:cs="宋体" w:eastAsia="宋体" w:hint="default"/>
          <w:sz w:val="19"/>
          <w:szCs w:val="19"/>
        </w:rPr>
      </w:pPr>
    </w:p>
    <w:p>
      <w:pPr>
        <w:pStyle w:val="BodyText"/>
        <w:spacing w:line="237" w:lineRule="auto"/>
        <w:ind w:left="596" w:right="218"/>
        <w:jc w:val="both"/>
      </w:pPr>
      <w:r>
        <w:rPr/>
        <w:t>在确认递延所得税资产时，本集团也考虑了递延所得税资产得以实现的可能性。可抵扣暂时</w:t>
      </w:r>
      <w:r>
        <w:rPr>
          <w:spacing w:val="-87"/>
        </w:rPr>
        <w:t> </w:t>
      </w:r>
      <w:r>
        <w:rPr>
          <w:spacing w:val="-87"/>
        </w:rPr>
      </w:r>
      <w:r>
        <w:rPr/>
        <w:t>性差异主要包括坏账准备、尚未获准税前抵扣的预提费用以及可供出售金融资产的公允价值</w:t>
      </w:r>
      <w:r>
        <w:rPr>
          <w:spacing w:val="-87"/>
        </w:rPr>
        <w:t> </w:t>
      </w:r>
      <w:r>
        <w:rPr>
          <w:spacing w:val="-87"/>
        </w:rPr>
      </w:r>
      <w:r>
        <w:rPr/>
        <w:t>变动损失的影响。递延所得税资产的确认是基于本集团预计该递延所得税资产于可预见的将</w:t>
      </w:r>
      <w:r>
        <w:rPr>
          <w:spacing w:val="-87"/>
        </w:rPr>
        <w:t> </w:t>
      </w:r>
      <w:r>
        <w:rPr>
          <w:spacing w:val="-87"/>
        </w:rPr>
      </w:r>
      <w:r>
        <w:rPr/>
        <w:t>来能够通过持续经营产生足够的应纳税所得额而转回。</w:t>
      </w:r>
    </w:p>
    <w:p>
      <w:pPr>
        <w:pStyle w:val="BodyText"/>
        <w:spacing w:line="237" w:lineRule="auto" w:before="180"/>
        <w:ind w:left="596" w:right="215"/>
        <w:jc w:val="both"/>
      </w:pPr>
      <w:r>
        <w:rPr/>
        <w:t>本集团已基于现行的税法规定及当前最佳的估计及假设计提了当期所得税及递延所得税项。</w:t>
      </w:r>
      <w:r>
        <w:rPr>
          <w:spacing w:val="-86"/>
        </w:rPr>
        <w:t> </w:t>
      </w:r>
      <w:r>
        <w:rPr>
          <w:spacing w:val="-86"/>
        </w:rPr>
      </w:r>
      <w:r>
        <w:rPr>
          <w:spacing w:val="6"/>
        </w:rPr>
        <w:t>未来可能因税法规定或相关情况的改变而需要对当期所得税及递延所得税项作出相应的调</w:t>
      </w:r>
      <w:r>
        <w:rPr>
          <w:spacing w:val="-98"/>
        </w:rPr>
        <w:t> </w:t>
      </w:r>
      <w:r>
        <w:rPr>
          <w:spacing w:val="-98"/>
        </w:rPr>
      </w:r>
      <w:r>
        <w:rPr/>
        <w:t>整。</w:t>
      </w:r>
    </w:p>
    <w:p>
      <w:pPr>
        <w:spacing w:line="240" w:lineRule="auto" w:before="3"/>
        <w:rPr>
          <w:rFonts w:ascii="宋体" w:hAnsi="宋体" w:cs="宋体" w:eastAsia="宋体" w:hint="default"/>
          <w:sz w:val="19"/>
          <w:szCs w:val="19"/>
        </w:rPr>
      </w:pPr>
    </w:p>
    <w:p>
      <w:pPr>
        <w:pStyle w:val="BodyText"/>
        <w:tabs>
          <w:tab w:pos="608" w:val="left" w:leader="none"/>
        </w:tabs>
        <w:spacing w:line="240" w:lineRule="auto"/>
        <w:ind w:left="118" w:right="5567"/>
        <w:jc w:val="left"/>
      </w:pPr>
      <w:r>
        <w:rPr>
          <w:rFonts w:ascii="Arial" w:hAnsi="Arial" w:cs="Arial" w:eastAsia="Arial" w:hint="default"/>
          <w:w w:val="95"/>
        </w:rPr>
        <w:t>(b)</w:t>
        <w:tab/>
      </w:r>
      <w:r>
        <w:rPr/>
        <w:t>采取会计政策的关键判断</w:t>
      </w:r>
    </w:p>
    <w:p>
      <w:pPr>
        <w:pStyle w:val="BodyText"/>
        <w:tabs>
          <w:tab w:pos="608" w:val="left" w:leader="none"/>
        </w:tabs>
        <w:spacing w:line="240" w:lineRule="auto" w:before="162"/>
        <w:ind w:left="133" w:right="28"/>
        <w:jc w:val="left"/>
      </w:pPr>
      <w:r>
        <w:rPr>
          <w:rFonts w:ascii="Arial" w:hAnsi="Arial" w:cs="Arial" w:eastAsia="Arial" w:hint="default"/>
          <w:w w:val="95"/>
        </w:rPr>
        <w:t>(i)</w:t>
        <w:tab/>
      </w:r>
      <w:r>
        <w:rPr/>
        <w:t>一次性不可退还收入及直接相关成本的确认</w:t>
      </w:r>
    </w:p>
    <w:p>
      <w:pPr>
        <w:spacing w:line="240" w:lineRule="auto" w:before="6"/>
        <w:rPr>
          <w:rFonts w:ascii="宋体" w:hAnsi="宋体" w:cs="宋体" w:eastAsia="宋体" w:hint="default"/>
          <w:sz w:val="18"/>
          <w:szCs w:val="18"/>
        </w:rPr>
      </w:pPr>
    </w:p>
    <w:p>
      <w:pPr>
        <w:pStyle w:val="BodyText"/>
        <w:spacing w:line="232" w:lineRule="auto"/>
        <w:ind w:left="596" w:right="214"/>
        <w:jc w:val="both"/>
      </w:pPr>
      <w:r>
        <w:rPr/>
        <w:t>本集团对开通移动通信服务时收取的一次性不可退还收入，包括自移动电话用户一次性收取</w:t>
      </w:r>
      <w:r>
        <w:rPr>
          <w:spacing w:val="-85"/>
        </w:rPr>
        <w:t> </w:t>
      </w:r>
      <w:r>
        <w:rPr>
          <w:spacing w:val="-85"/>
        </w:rPr>
      </w:r>
      <w:r>
        <w:rPr/>
        <w:t>的手机识别卡（如</w:t>
      </w:r>
      <w:r>
        <w:rPr>
          <w:rFonts w:ascii="Arial" w:hAnsi="Arial" w:cs="Arial" w:eastAsia="Arial" w:hint="default"/>
        </w:rPr>
        <w:t>SIM</w:t>
      </w:r>
      <w:r>
        <w:rPr/>
        <w:t>卡或</w:t>
      </w:r>
      <w:r>
        <w:rPr>
          <w:rFonts w:ascii="Arial" w:hAnsi="Arial" w:cs="Arial" w:eastAsia="Arial" w:hint="default"/>
        </w:rPr>
        <w:t>USIM</w:t>
      </w:r>
      <w:r>
        <w:rPr/>
        <w:t>卡）开通费，是在预计为移动通信用户提供服务的期限</w:t>
      </w:r>
      <w:r>
        <w:rPr>
          <w:rFonts w:ascii="Arial" w:hAnsi="Arial" w:cs="Arial" w:eastAsia="Arial" w:hint="default"/>
        </w:rPr>
        <w:t>3</w:t>
      </w:r>
      <w:r>
        <w:rPr/>
        <w:t>年</w:t>
      </w:r>
      <w:r>
        <w:rPr>
          <w:spacing w:val="-56"/>
        </w:rPr>
        <w:t> </w:t>
      </w:r>
      <w:r>
        <w:rPr>
          <w:spacing w:val="2"/>
          <w:w w:val="95"/>
        </w:rPr>
        <w:t>内进行递延及摊销（</w:t>
      </w:r>
      <w:r>
        <w:rPr>
          <w:rFonts w:ascii="Arial" w:hAnsi="Arial" w:cs="Arial" w:eastAsia="Arial" w:hint="default"/>
          <w:spacing w:val="2"/>
          <w:w w:val="95"/>
        </w:rPr>
        <w:t>2011</w:t>
      </w:r>
      <w:r>
        <w:rPr>
          <w:spacing w:val="2"/>
          <w:w w:val="95"/>
        </w:rPr>
        <w:t>年：</w:t>
      </w:r>
      <w:r>
        <w:rPr>
          <w:rFonts w:ascii="Arial" w:hAnsi="Arial" w:cs="Arial" w:eastAsia="Arial" w:hint="default"/>
          <w:spacing w:val="2"/>
          <w:w w:val="95"/>
        </w:rPr>
        <w:t>3</w:t>
      </w:r>
      <w:r>
        <w:rPr>
          <w:spacing w:val="2"/>
          <w:w w:val="95"/>
        </w:rPr>
        <w:t>年）。同时，与收取的一次性不可退还收入相关的，为获取</w:t>
      </w:r>
      <w:r>
        <w:rPr>
          <w:spacing w:val="106"/>
          <w:w w:val="95"/>
        </w:rPr>
        <w:t> </w:t>
      </w:r>
      <w:r>
        <w:rPr>
          <w:spacing w:val="106"/>
          <w:w w:val="95"/>
        </w:rPr>
      </w:r>
      <w:r>
        <w:rPr/>
        <w:t>和开通移动通信业务而发生的直接相关成本，包括手机识别卡成本及佣金亦予以资本化并在</w:t>
      </w:r>
      <w:r>
        <w:rPr>
          <w:spacing w:val="-85"/>
        </w:rPr>
        <w:t> </w:t>
      </w:r>
      <w:r>
        <w:rPr>
          <w:spacing w:val="-85"/>
        </w:rPr>
      </w:r>
      <w:r>
        <w:rPr/>
        <w:t>预计为移动通信客户提供的服务期内进行递延及摊销。</w:t>
      </w:r>
    </w:p>
    <w:p>
      <w:pPr>
        <w:spacing w:line="240" w:lineRule="auto" w:before="11"/>
        <w:rPr>
          <w:rFonts w:ascii="宋体" w:hAnsi="宋体" w:cs="宋体" w:eastAsia="宋体" w:hint="default"/>
          <w:sz w:val="19"/>
          <w:szCs w:val="19"/>
        </w:rPr>
      </w:pPr>
    </w:p>
    <w:p>
      <w:pPr>
        <w:pStyle w:val="BodyText"/>
        <w:spacing w:line="232" w:lineRule="auto"/>
        <w:ind w:left="596" w:right="215"/>
        <w:jc w:val="both"/>
      </w:pPr>
      <w:r>
        <w:rPr/>
        <w:t>本集团对开通固网通信服务时收取的一次性不可退还收入，包括固网客户一次性初装费和装</w:t>
      </w:r>
      <w:r>
        <w:rPr>
          <w:spacing w:val="-87"/>
        </w:rPr>
        <w:t> </w:t>
      </w:r>
      <w:r>
        <w:rPr>
          <w:spacing w:val="-87"/>
        </w:rPr>
      </w:r>
      <w:r>
        <w:rPr>
          <w:spacing w:val="-2"/>
        </w:rPr>
        <w:t>移机费在预期固网通信客户服务期限</w:t>
      </w:r>
      <w:r>
        <w:rPr>
          <w:rFonts w:ascii="Arial" w:hAnsi="Arial" w:cs="Arial" w:eastAsia="Arial" w:hint="default"/>
          <w:spacing w:val="-2"/>
        </w:rPr>
        <w:t>10</w:t>
      </w:r>
      <w:r>
        <w:rPr>
          <w:spacing w:val="-2"/>
        </w:rPr>
        <w:t>年进行递延和摊销（</w:t>
      </w:r>
      <w:r>
        <w:rPr>
          <w:rFonts w:ascii="Arial" w:hAnsi="Arial" w:cs="Arial" w:eastAsia="Arial" w:hint="default"/>
          <w:spacing w:val="-2"/>
        </w:rPr>
        <w:t>2011</w:t>
      </w:r>
      <w:r>
        <w:rPr>
          <w:spacing w:val="-2"/>
        </w:rPr>
        <w:t>年：</w:t>
      </w:r>
      <w:r>
        <w:rPr>
          <w:rFonts w:ascii="Arial" w:hAnsi="Arial" w:cs="Arial" w:eastAsia="Arial" w:hint="default"/>
          <w:spacing w:val="-2"/>
        </w:rPr>
        <w:t>10</w:t>
      </w:r>
      <w:r>
        <w:rPr>
          <w:spacing w:val="-2"/>
        </w:rPr>
        <w:t>年）。与收取的一次</w:t>
      </w:r>
      <w:r>
        <w:rPr>
          <w:spacing w:val="-99"/>
        </w:rPr>
        <w:t> </w:t>
      </w:r>
      <w:r>
        <w:rPr>
          <w:spacing w:val="-99"/>
        </w:rPr>
      </w:r>
      <w:r>
        <w:rPr/>
        <w:t>性不可退还收入相关的装移机直接成本也予以资本化并按相同的预期固网通信客户服务期限</w:t>
      </w:r>
      <w:r>
        <w:rPr>
          <w:spacing w:val="-87"/>
        </w:rPr>
        <w:t> </w:t>
      </w:r>
      <w:r>
        <w:rPr>
          <w:spacing w:val="-87"/>
        </w:rPr>
      </w:r>
      <w:r>
        <w:rPr/>
        <w:t>进行递延和摊销。</w:t>
      </w:r>
    </w:p>
    <w:p>
      <w:pPr>
        <w:spacing w:line="240" w:lineRule="auto" w:before="7"/>
        <w:rPr>
          <w:rFonts w:ascii="宋体" w:hAnsi="宋体" w:cs="宋体" w:eastAsia="宋体" w:hint="default"/>
          <w:sz w:val="21"/>
          <w:szCs w:val="21"/>
        </w:rPr>
      </w:pPr>
    </w:p>
    <w:p>
      <w:pPr>
        <w:pStyle w:val="BodyText"/>
        <w:spacing w:line="284" w:lineRule="exact"/>
        <w:ind w:left="596" w:right="218"/>
        <w:jc w:val="both"/>
      </w:pPr>
      <w:r>
        <w:rPr/>
        <w:t>本集团仅资本化将产生未来经济利益的成本，对于超过一次性不可退还收入部分的直接相关</w:t>
      </w:r>
      <w:r>
        <w:rPr>
          <w:spacing w:val="-90"/>
        </w:rPr>
        <w:t> </w:t>
      </w:r>
      <w:r>
        <w:rPr>
          <w:spacing w:val="-90"/>
        </w:rPr>
      </w:r>
      <w:r>
        <w:rPr/>
        <w:t>成本（如有），差额在当期利润表中被立即确认为费用。</w:t>
      </w:r>
    </w:p>
    <w:p>
      <w:pPr>
        <w:spacing w:line="240" w:lineRule="auto" w:before="5"/>
        <w:rPr>
          <w:rFonts w:ascii="宋体" w:hAnsi="宋体" w:cs="宋体" w:eastAsia="宋体" w:hint="default"/>
          <w:sz w:val="17"/>
          <w:szCs w:val="17"/>
        </w:rPr>
      </w:pPr>
    </w:p>
    <w:p>
      <w:pPr>
        <w:pStyle w:val="BodyText"/>
        <w:spacing w:line="237" w:lineRule="auto"/>
        <w:ind w:left="596" w:right="94"/>
        <w:jc w:val="left"/>
      </w:pPr>
      <w:r>
        <w:rPr/>
        <w:t>本集团根据以往保留客户的经验，预计的未来竞争程度，本集团服务的技术性或功能性过时</w:t>
      </w:r>
      <w:r>
        <w:rPr>
          <w:spacing w:val="-87"/>
        </w:rPr>
        <w:t> </w:t>
      </w:r>
      <w:r>
        <w:rPr>
          <w:spacing w:val="-87"/>
        </w:rPr>
      </w:r>
      <w:r>
        <w:rPr>
          <w:spacing w:val="-2"/>
        </w:rPr>
        <w:t>的风险，技术创新以及法规和社会环境的预期变化来评估客户服务期限。如果因为竞争加剧、</w:t>
      </w:r>
      <w:r>
        <w:rPr>
          <w:w w:val="99"/>
        </w:rPr>
        <w:t> </w:t>
      </w:r>
      <w:r>
        <w:rPr/>
        <w:t>电信技术的变化或其他因素而导致本集团的预计客户服务期限发生变化，则本集团的递延的</w:t>
      </w:r>
      <w:r>
        <w:rPr>
          <w:spacing w:val="-87"/>
        </w:rPr>
        <w:t> </w:t>
      </w:r>
      <w:r>
        <w:rPr>
          <w:spacing w:val="-87"/>
        </w:rPr>
      </w:r>
      <w:r>
        <w:rPr/>
        <w:t>一次性不可退还收入及直接相关成本在未来期间内的摊销金额和摊销期可能会发生变化。</w:t>
      </w:r>
    </w:p>
    <w:p>
      <w:pPr>
        <w:spacing w:after="0" w:line="237" w:lineRule="auto"/>
        <w:jc w:val="left"/>
        <w:sectPr>
          <w:headerReference w:type="default" r:id="rId60"/>
          <w:pgSz w:w="11910" w:h="16840"/>
          <w:pgMar w:header="967" w:footer="593" w:top="3340" w:bottom="780" w:left="1440" w:right="820"/>
        </w:sectPr>
      </w:pPr>
    </w:p>
    <w:p>
      <w:pPr>
        <w:spacing w:line="240" w:lineRule="auto" w:before="8"/>
        <w:rPr>
          <w:rFonts w:ascii="宋体" w:hAnsi="宋体" w:cs="宋体" w:eastAsia="宋体" w:hint="default"/>
          <w:sz w:val="10"/>
          <w:szCs w:val="10"/>
        </w:rPr>
      </w:pPr>
    </w:p>
    <w:p>
      <w:pPr>
        <w:pStyle w:val="BodyText"/>
        <w:tabs>
          <w:tab w:pos="608" w:val="left" w:leader="none"/>
        </w:tabs>
        <w:spacing w:line="240" w:lineRule="auto" w:before="31"/>
        <w:ind w:left="118" w:right="5567"/>
        <w:jc w:val="left"/>
      </w:pPr>
      <w:r>
        <w:rPr>
          <w:rFonts w:ascii="Arial" w:hAnsi="Arial" w:cs="Arial" w:eastAsia="Arial" w:hint="default"/>
          <w:w w:val="95"/>
        </w:rPr>
        <w:t>(b)</w:t>
        <w:tab/>
      </w:r>
      <w:r>
        <w:rPr/>
        <w:t>采取会计政策的关键判断（续）</w:t>
      </w:r>
    </w:p>
    <w:p>
      <w:pPr>
        <w:pStyle w:val="BodyText"/>
        <w:tabs>
          <w:tab w:pos="595" w:val="left" w:leader="none"/>
        </w:tabs>
        <w:spacing w:line="240" w:lineRule="auto" w:before="165"/>
        <w:ind w:left="133" w:right="5567"/>
        <w:jc w:val="left"/>
      </w:pPr>
      <w:r>
        <w:rPr>
          <w:rFonts w:ascii="Arial" w:hAnsi="Arial" w:cs="Arial" w:eastAsia="Arial" w:hint="default"/>
          <w:w w:val="95"/>
        </w:rPr>
        <w:t>(ii)</w:t>
        <w:tab/>
      </w:r>
      <w:r>
        <w:rPr/>
        <w:t>南方固定电信网络租赁</w:t>
      </w:r>
    </w:p>
    <w:p>
      <w:pPr>
        <w:pStyle w:val="BodyText"/>
        <w:spacing w:line="286" w:lineRule="exact" w:before="193"/>
        <w:ind w:left="596" w:right="93"/>
        <w:jc w:val="left"/>
      </w:pPr>
      <w:r>
        <w:rPr>
          <w:spacing w:val="-4"/>
        </w:rPr>
        <w:t>于</w:t>
      </w:r>
      <w:r>
        <w:rPr>
          <w:rFonts w:ascii="Arial" w:hAnsi="Arial" w:cs="Arial" w:eastAsia="Arial" w:hint="default"/>
          <w:spacing w:val="-4"/>
        </w:rPr>
        <w:t>2008</w:t>
      </w:r>
      <w:r>
        <w:rPr>
          <w:spacing w:val="-4"/>
        </w:rPr>
        <w:t>年</w:t>
      </w:r>
      <w:r>
        <w:rPr>
          <w:rFonts w:ascii="Arial" w:hAnsi="Arial" w:cs="Arial" w:eastAsia="Arial" w:hint="default"/>
          <w:spacing w:val="-4"/>
        </w:rPr>
        <w:t>12</w:t>
      </w:r>
      <w:r>
        <w:rPr>
          <w:spacing w:val="-4"/>
        </w:rPr>
        <w:t>月</w:t>
      </w:r>
      <w:r>
        <w:rPr>
          <w:rFonts w:ascii="Arial" w:hAnsi="Arial" w:cs="Arial" w:eastAsia="Arial" w:hint="default"/>
          <w:spacing w:val="-4"/>
        </w:rPr>
        <w:t>16</w:t>
      </w:r>
      <w:r>
        <w:rPr>
          <w:spacing w:val="-4"/>
        </w:rPr>
        <w:t>日，联通运营公司、联通集团、中国网络通信集团有限公司（“网通集团”，</w:t>
      </w:r>
      <w:r>
        <w:rPr>
          <w:w w:val="99"/>
        </w:rPr>
        <w:t> </w:t>
      </w:r>
      <w:r>
        <w:rPr/>
        <w:t>已于</w:t>
      </w:r>
      <w:r>
        <w:rPr>
          <w:rFonts w:ascii="Arial" w:hAnsi="Arial" w:cs="Arial" w:eastAsia="Arial" w:hint="default"/>
        </w:rPr>
        <w:t>2009</w:t>
      </w:r>
      <w:r>
        <w:rPr/>
        <w:t>年</w:t>
      </w:r>
      <w:r>
        <w:rPr>
          <w:rFonts w:ascii="Arial" w:hAnsi="Arial" w:cs="Arial" w:eastAsia="Arial" w:hint="default"/>
        </w:rPr>
        <w:t>1</w:t>
      </w:r>
      <w:r>
        <w:rPr/>
        <w:t>月完成与联通集团的合并）和联通新时空订立《关于相关电信网络设施的租赁</w:t>
      </w:r>
    </w:p>
    <w:p>
      <w:pPr>
        <w:pStyle w:val="BodyText"/>
        <w:spacing w:line="286" w:lineRule="exact"/>
        <w:ind w:left="596" w:right="215"/>
        <w:jc w:val="both"/>
      </w:pPr>
      <w:r>
        <w:rPr/>
        <w:t>协议》（“网络租赁协议”）。根据此协议，联通运营公司将独家从联通新时空租用其南方</w:t>
      </w:r>
      <w:r>
        <w:rPr>
          <w:spacing w:val="-87"/>
        </w:rPr>
        <w:t> </w:t>
      </w:r>
      <w:r>
        <w:rPr>
          <w:spacing w:val="-87"/>
        </w:rPr>
      </w:r>
      <w:r>
        <w:rPr/>
        <w:t>固定电信网络，初始租赁期为</w:t>
      </w:r>
      <w:r>
        <w:rPr>
          <w:rFonts w:ascii="Arial" w:hAnsi="Arial" w:cs="Arial" w:eastAsia="Arial" w:hint="default"/>
        </w:rPr>
        <w:t>2</w:t>
      </w:r>
      <w:r>
        <w:rPr/>
        <w:t>年，自</w:t>
      </w:r>
      <w:r>
        <w:rPr>
          <w:rFonts w:ascii="Arial" w:hAnsi="Arial" w:cs="Arial" w:eastAsia="Arial" w:hint="default"/>
        </w:rPr>
        <w:t>2009</w:t>
      </w:r>
      <w:r>
        <w:rPr/>
        <w:t>年</w:t>
      </w:r>
      <w:r>
        <w:rPr>
          <w:rFonts w:ascii="Arial" w:hAnsi="Arial" w:cs="Arial" w:eastAsia="Arial" w:hint="default"/>
        </w:rPr>
        <w:t>1</w:t>
      </w:r>
      <w:r>
        <w:rPr/>
        <w:t>月</w:t>
      </w:r>
      <w:r>
        <w:rPr>
          <w:rFonts w:ascii="Arial" w:hAnsi="Arial" w:cs="Arial" w:eastAsia="Arial" w:hint="default"/>
        </w:rPr>
        <w:t>31</w:t>
      </w:r>
      <w:r>
        <w:rPr/>
        <w:t>日起生效，于</w:t>
      </w:r>
      <w:r>
        <w:rPr>
          <w:rFonts w:ascii="Arial" w:hAnsi="Arial" w:cs="Arial" w:eastAsia="Arial" w:hint="default"/>
        </w:rPr>
        <w:t>2009</w:t>
      </w:r>
      <w:r>
        <w:rPr/>
        <w:t>年和</w:t>
      </w:r>
      <w:r>
        <w:rPr>
          <w:rFonts w:ascii="Arial" w:hAnsi="Arial" w:cs="Arial" w:eastAsia="Arial" w:hint="default"/>
        </w:rPr>
        <w:t>2010</w:t>
      </w:r>
      <w:r>
        <w:rPr/>
        <w:t>年的年度租</w:t>
      </w:r>
    </w:p>
    <w:p>
      <w:pPr>
        <w:pStyle w:val="BodyText"/>
        <w:spacing w:line="225" w:lineRule="auto"/>
        <w:ind w:left="596" w:right="215"/>
        <w:jc w:val="both"/>
      </w:pPr>
      <w:r>
        <w:rPr>
          <w:spacing w:val="2"/>
        </w:rPr>
        <w:t>赁费分别为人民币</w:t>
      </w:r>
      <w:r>
        <w:rPr>
          <w:rFonts w:ascii="Arial" w:hAnsi="Arial" w:cs="Arial" w:eastAsia="Arial" w:hint="default"/>
          <w:spacing w:val="2"/>
        </w:rPr>
        <w:t>20</w:t>
      </w:r>
      <w:r>
        <w:rPr>
          <w:spacing w:val="2"/>
        </w:rPr>
        <w:t>亿和人民币</w:t>
      </w:r>
      <w:r>
        <w:rPr>
          <w:rFonts w:ascii="Arial" w:hAnsi="Arial" w:cs="Arial" w:eastAsia="Arial" w:hint="default"/>
          <w:spacing w:val="2"/>
        </w:rPr>
        <w:t>22</w:t>
      </w:r>
      <w:r>
        <w:rPr>
          <w:spacing w:val="2"/>
        </w:rPr>
        <w:t>亿元。于</w:t>
      </w:r>
      <w:r>
        <w:rPr>
          <w:rFonts w:ascii="Arial" w:hAnsi="Arial" w:cs="Arial" w:eastAsia="Arial" w:hint="default"/>
          <w:spacing w:val="2"/>
        </w:rPr>
        <w:t>2010</w:t>
      </w:r>
      <w:r>
        <w:rPr>
          <w:spacing w:val="2"/>
        </w:rPr>
        <w:t>年</w:t>
      </w:r>
      <w:r>
        <w:rPr>
          <w:rFonts w:ascii="Arial" w:hAnsi="Arial" w:cs="Arial" w:eastAsia="Arial" w:hint="default"/>
          <w:spacing w:val="2"/>
        </w:rPr>
        <w:t>10</w:t>
      </w:r>
      <w:r>
        <w:rPr>
          <w:spacing w:val="2"/>
        </w:rPr>
        <w:t>月</w:t>
      </w:r>
      <w:r>
        <w:rPr>
          <w:rFonts w:ascii="Arial" w:hAnsi="Arial" w:cs="Arial" w:eastAsia="Arial" w:hint="default"/>
          <w:spacing w:val="2"/>
        </w:rPr>
        <w:t>29</w:t>
      </w:r>
      <w:r>
        <w:rPr>
          <w:spacing w:val="2"/>
        </w:rPr>
        <w:t>日，联通运营公司与联通新时空</w:t>
      </w:r>
      <w:r>
        <w:rPr>
          <w:w w:val="99"/>
        </w:rPr>
        <w:t> </w:t>
      </w:r>
      <w:r>
        <w:rPr>
          <w:spacing w:val="-1"/>
        </w:rPr>
        <w:t>签订了《</w:t>
      </w:r>
      <w:r>
        <w:rPr>
          <w:rFonts w:ascii="Arial" w:hAnsi="Arial" w:cs="Arial" w:eastAsia="Arial" w:hint="default"/>
          <w:spacing w:val="-1"/>
        </w:rPr>
        <w:t>2011-2012</w:t>
      </w:r>
      <w:r>
        <w:rPr>
          <w:spacing w:val="-1"/>
        </w:rPr>
        <w:t>年南方</w:t>
      </w:r>
      <w:r>
        <w:rPr>
          <w:rFonts w:ascii="Arial" w:hAnsi="Arial" w:cs="Arial" w:eastAsia="Arial" w:hint="default"/>
          <w:spacing w:val="-1"/>
        </w:rPr>
        <w:t>21</w:t>
      </w:r>
      <w:r>
        <w:rPr>
          <w:spacing w:val="-1"/>
        </w:rPr>
        <w:t>省网络租赁协议》（“</w:t>
      </w:r>
      <w:r>
        <w:rPr>
          <w:rFonts w:ascii="Arial" w:hAnsi="Arial" w:cs="Arial" w:eastAsia="Arial" w:hint="default"/>
          <w:spacing w:val="-1"/>
        </w:rPr>
        <w:t>2011</w:t>
      </w:r>
      <w:r>
        <w:rPr>
          <w:spacing w:val="-1"/>
        </w:rPr>
        <w:t>年及</w:t>
      </w:r>
      <w:r>
        <w:rPr>
          <w:rFonts w:ascii="Arial" w:hAnsi="Arial" w:cs="Arial" w:eastAsia="Arial" w:hint="default"/>
          <w:spacing w:val="-1"/>
        </w:rPr>
        <w:t>2012</w:t>
      </w:r>
      <w:r>
        <w:rPr>
          <w:spacing w:val="-1"/>
        </w:rPr>
        <w:t>年网络租赁协议”）以延</w:t>
      </w:r>
      <w:r>
        <w:rPr>
          <w:w w:val="99"/>
        </w:rPr>
        <w:t> </w:t>
      </w:r>
      <w:r>
        <w:rPr/>
        <w:t>续租赁交易，自</w:t>
      </w:r>
      <w:r>
        <w:rPr>
          <w:rFonts w:ascii="Arial" w:hAnsi="Arial" w:cs="Arial" w:eastAsia="Arial" w:hint="default"/>
        </w:rPr>
        <w:t>2011</w:t>
      </w:r>
      <w:r>
        <w:rPr/>
        <w:t>年</w:t>
      </w:r>
      <w:r>
        <w:rPr>
          <w:rFonts w:ascii="Arial" w:hAnsi="Arial" w:cs="Arial" w:eastAsia="Arial" w:hint="default"/>
        </w:rPr>
        <w:t>1</w:t>
      </w:r>
      <w:r>
        <w:rPr/>
        <w:t>月</w:t>
      </w:r>
      <w:r>
        <w:rPr>
          <w:rFonts w:ascii="Arial" w:hAnsi="Arial" w:cs="Arial" w:eastAsia="Arial" w:hint="default"/>
        </w:rPr>
        <w:t>1</w:t>
      </w:r>
      <w:r>
        <w:rPr/>
        <w:t>日起生效，于</w:t>
      </w:r>
      <w:r>
        <w:rPr>
          <w:rFonts w:ascii="Arial" w:hAnsi="Arial" w:cs="Arial" w:eastAsia="Arial" w:hint="default"/>
        </w:rPr>
        <w:t>2011</w:t>
      </w:r>
      <w:r>
        <w:rPr/>
        <w:t>年和</w:t>
      </w:r>
      <w:r>
        <w:rPr>
          <w:rFonts w:ascii="Arial" w:hAnsi="Arial" w:cs="Arial" w:eastAsia="Arial" w:hint="default"/>
        </w:rPr>
        <w:t>2012</w:t>
      </w:r>
      <w:r>
        <w:rPr/>
        <w:t>年年度租赁费分别为人民币</w:t>
      </w:r>
      <w:r>
        <w:rPr>
          <w:rFonts w:ascii="Arial" w:hAnsi="Arial" w:cs="Arial" w:eastAsia="Arial" w:hint="default"/>
        </w:rPr>
        <w:t>24</w:t>
      </w:r>
      <w:r>
        <w:rPr/>
        <w:t>亿元</w:t>
      </w:r>
      <w:r>
        <w:rPr>
          <w:spacing w:val="-75"/>
        </w:rPr>
        <w:t> </w:t>
      </w:r>
      <w:r>
        <w:rPr/>
        <w:t>和人民币</w:t>
      </w:r>
      <w:r>
        <w:rPr>
          <w:rFonts w:ascii="Arial" w:hAnsi="Arial" w:cs="Arial" w:eastAsia="Arial" w:hint="default"/>
        </w:rPr>
        <w:t>26</w:t>
      </w:r>
      <w:r>
        <w:rPr/>
        <w:t>亿元。联通运营公司有权在租赁期届满前通知联通新时空是否按网络租赁协议的</w:t>
      </w:r>
    </w:p>
    <w:p>
      <w:pPr>
        <w:pStyle w:val="BodyText"/>
        <w:spacing w:line="284" w:lineRule="exact" w:before="14"/>
        <w:ind w:left="596" w:right="215"/>
        <w:jc w:val="both"/>
      </w:pPr>
      <w:r>
        <w:rPr/>
        <w:t>条款继续租赁南方固定电信网络，同时联通运营公司亦有权购买该等固网电信网络资产，购</w:t>
      </w:r>
      <w:r>
        <w:rPr>
          <w:spacing w:val="-87"/>
        </w:rPr>
        <w:t> </w:t>
      </w:r>
      <w:r>
        <w:rPr>
          <w:spacing w:val="-87"/>
        </w:rPr>
      </w:r>
      <w:r>
        <w:rPr/>
        <w:t>买价将以独立评估师的评估结果为基础由联通新时空和联通运营公司协商确定。</w:t>
      </w:r>
    </w:p>
    <w:p>
      <w:pPr>
        <w:pStyle w:val="BodyText"/>
        <w:spacing w:line="237" w:lineRule="auto" w:before="158"/>
        <w:ind w:left="607" w:right="215"/>
        <w:jc w:val="both"/>
      </w:pPr>
      <w:r>
        <w:rPr/>
        <w:t>联通新时空对南方固定电信网络拥有法律上的所有权。此外，在签订网络租赁协议时，市场</w:t>
      </w:r>
      <w:r>
        <w:rPr>
          <w:spacing w:val="1"/>
          <w:w w:val="99"/>
        </w:rPr>
        <w:t> </w:t>
      </w:r>
      <w:r>
        <w:rPr/>
        <w:t>环境或南方固网业务的经营成果均存在重大的不确定性，故本集团在签署上述两次网络租赁</w:t>
      </w:r>
      <w:r>
        <w:rPr>
          <w:w w:val="99"/>
        </w:rPr>
        <w:t> </w:t>
      </w:r>
      <w:r>
        <w:rPr/>
        <w:t>协议时，对租赁期结束后是否续租或行使购买选择权均存在重大的不确定性。因此，本集团</w:t>
      </w:r>
      <w:r>
        <w:rPr>
          <w:w w:val="99"/>
        </w:rPr>
        <w:t> </w:t>
      </w:r>
      <w:r>
        <w:rPr/>
        <w:t>认为本集团仅承担于租赁期间因经营南方固网业务所带来的经营风险，而没有任何拥有南方</w:t>
      </w:r>
      <w:r>
        <w:rPr>
          <w:w w:val="99"/>
        </w:rPr>
        <w:t> </w:t>
      </w:r>
      <w:r>
        <w:rPr/>
        <w:t>固定电信网络的所有权风险，而联通新时空及联通集团承担与南方固定电信网络相关的所有</w:t>
      </w:r>
      <w:r>
        <w:rPr>
          <w:w w:val="99"/>
        </w:rPr>
        <w:t> </w:t>
      </w:r>
      <w:r>
        <w:rPr/>
        <w:t>权风险。所以本集团判断上述南方固定电信网络租赁为经营性租赁，因此南方固定电信网络</w:t>
      </w:r>
      <w:r>
        <w:rPr>
          <w:w w:val="99"/>
        </w:rPr>
        <w:t> </w:t>
      </w:r>
      <w:r>
        <w:rPr/>
        <w:t>租赁费被记录在利润表中。</w:t>
      </w:r>
    </w:p>
    <w:p>
      <w:pPr>
        <w:pStyle w:val="BodyText"/>
        <w:spacing w:line="225" w:lineRule="auto" w:before="197"/>
        <w:ind w:left="607" w:right="215"/>
        <w:jc w:val="both"/>
      </w:pPr>
      <w:r>
        <w:rPr>
          <w:spacing w:val="2"/>
        </w:rPr>
        <w:t>于</w:t>
      </w:r>
      <w:r>
        <w:rPr>
          <w:rFonts w:ascii="Arial" w:hAnsi="Arial" w:cs="Arial" w:eastAsia="Arial" w:hint="default"/>
          <w:spacing w:val="2"/>
        </w:rPr>
        <w:t>2012</w:t>
      </w:r>
      <w:r>
        <w:rPr>
          <w:spacing w:val="2"/>
        </w:rPr>
        <w:t>年度及</w:t>
      </w:r>
      <w:r>
        <w:rPr>
          <w:rFonts w:ascii="Arial" w:hAnsi="Arial" w:cs="Arial" w:eastAsia="Arial" w:hint="default"/>
          <w:spacing w:val="2"/>
        </w:rPr>
        <w:t>2011</w:t>
      </w:r>
      <w:r>
        <w:rPr>
          <w:spacing w:val="2"/>
        </w:rPr>
        <w:t>年度，本集团利润表中分别确认了人民币</w:t>
      </w:r>
      <w:r>
        <w:rPr>
          <w:rFonts w:ascii="Arial" w:hAnsi="Arial" w:cs="Arial" w:eastAsia="Arial" w:hint="default"/>
          <w:spacing w:val="2"/>
        </w:rPr>
        <w:t>24</w:t>
      </w:r>
      <w:r>
        <w:rPr>
          <w:spacing w:val="2"/>
        </w:rPr>
        <w:t>亿元和人民币</w:t>
      </w:r>
      <w:r>
        <w:rPr>
          <w:rFonts w:ascii="Arial" w:hAnsi="Arial" w:cs="Arial" w:eastAsia="Arial" w:hint="default"/>
          <w:spacing w:val="2"/>
        </w:rPr>
        <w:t>26</w:t>
      </w:r>
      <w:r>
        <w:rPr>
          <w:spacing w:val="2"/>
        </w:rPr>
        <w:t>亿元的经营</w:t>
      </w:r>
      <w:r>
        <w:rPr>
          <w:w w:val="99"/>
        </w:rPr>
        <w:t> </w:t>
      </w:r>
      <w:r>
        <w:rPr>
          <w:spacing w:val="-2"/>
        </w:rPr>
        <w:t>租赁费用。于</w:t>
      </w:r>
      <w:r>
        <w:rPr>
          <w:rFonts w:ascii="Arial" w:hAnsi="Arial" w:cs="Arial" w:eastAsia="Arial" w:hint="default"/>
          <w:spacing w:val="-2"/>
        </w:rPr>
        <w:t>2011</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日，南方固定电信网络资产和相关负债并未包括在本集团的合并</w:t>
      </w:r>
      <w:r>
        <w:rPr>
          <w:w w:val="99"/>
        </w:rPr>
        <w:t> </w:t>
      </w:r>
      <w:r>
        <w:rPr>
          <w:spacing w:val="-1"/>
        </w:rPr>
        <w:t>资产负债表中。由于联通运营公司收购联通新时空的各项先决条件已满足，收购交易于</w:t>
      </w:r>
      <w:r>
        <w:rPr>
          <w:rFonts w:ascii="Arial" w:hAnsi="Arial" w:cs="Arial" w:eastAsia="Arial" w:hint="default"/>
          <w:spacing w:val="-1"/>
        </w:rPr>
        <w:t>2012</w:t>
      </w:r>
      <w:r>
        <w:rPr>
          <w:rFonts w:ascii="Arial" w:hAnsi="Arial" w:cs="Arial" w:eastAsia="Arial" w:hint="default"/>
          <w:spacing w:val="-58"/>
        </w:rPr>
        <w:t> </w:t>
      </w:r>
      <w:r>
        <w:rPr>
          <w:spacing w:val="-3"/>
          <w:w w:val="99"/>
        </w:rPr>
        <w:t>年</w:t>
      </w:r>
      <w:r>
        <w:rPr>
          <w:rFonts w:ascii="Arial" w:hAnsi="Arial" w:cs="Arial" w:eastAsia="Arial" w:hint="default"/>
          <w:spacing w:val="-3"/>
          <w:w w:val="99"/>
        </w:rPr>
        <w:t>12</w:t>
      </w:r>
      <w:r>
        <w:rPr>
          <w:spacing w:val="-3"/>
          <w:w w:val="99"/>
        </w:rPr>
        <w:t>月已完成，故南方固定电信网络的资产和相关负债于</w:t>
      </w:r>
      <w:r>
        <w:rPr>
          <w:rFonts w:ascii="Arial" w:hAnsi="Arial" w:cs="Arial" w:eastAsia="Arial" w:hint="default"/>
          <w:spacing w:val="-3"/>
          <w:w w:val="99"/>
        </w:rPr>
        <w:t>2012</w:t>
      </w:r>
      <w:r>
        <w:rPr>
          <w:spacing w:val="-3"/>
          <w:w w:val="99"/>
        </w:rPr>
        <w:t>年</w:t>
      </w:r>
      <w:r>
        <w:rPr>
          <w:rFonts w:ascii="Arial" w:hAnsi="Arial" w:cs="Arial" w:eastAsia="Arial" w:hint="default"/>
          <w:spacing w:val="-3"/>
          <w:w w:val="99"/>
        </w:rPr>
        <w:t>12</w:t>
      </w:r>
      <w:r>
        <w:rPr>
          <w:spacing w:val="-3"/>
          <w:w w:val="99"/>
        </w:rPr>
        <w:t>月</w:t>
      </w:r>
      <w:r>
        <w:rPr>
          <w:rFonts w:ascii="Arial" w:hAnsi="Arial" w:cs="Arial" w:eastAsia="Arial" w:hint="default"/>
          <w:spacing w:val="-3"/>
          <w:w w:val="99"/>
        </w:rPr>
        <w:t>31</w:t>
      </w:r>
      <w:r>
        <w:rPr>
          <w:spacing w:val="-3"/>
          <w:w w:val="99"/>
        </w:rPr>
        <w:t>日已包括在本集团的</w:t>
      </w:r>
      <w:r>
        <w:rPr>
          <w:spacing w:val="-71"/>
          <w:w w:val="99"/>
        </w:rPr>
        <w:t> </w:t>
      </w:r>
      <w:r>
        <w:rPr/>
        <w:t>合并资产负债表中。</w:t>
      </w:r>
    </w:p>
    <w:p>
      <w:pPr>
        <w:pStyle w:val="BodyText"/>
        <w:spacing w:line="240" w:lineRule="auto" w:before="183"/>
        <w:ind w:left="133" w:right="5567"/>
        <w:jc w:val="left"/>
      </w:pPr>
      <w:r>
        <w:rPr>
          <w:rFonts w:ascii="Arial" w:hAnsi="Arial" w:cs="Arial" w:eastAsia="Arial" w:hint="default"/>
        </w:rPr>
        <w:t>(iii) </w:t>
      </w:r>
      <w:r>
        <w:rPr>
          <w:rFonts w:ascii="Arial" w:hAnsi="Arial" w:cs="Arial" w:eastAsia="Arial" w:hint="default"/>
          <w:spacing w:val="40"/>
        </w:rPr>
        <w:t> </w:t>
      </w:r>
      <w:r>
        <w:rPr/>
        <w:t>可供出售金融资产减值评估</w:t>
      </w:r>
    </w:p>
    <w:p>
      <w:pPr>
        <w:pStyle w:val="BodyText"/>
        <w:spacing w:line="228" w:lineRule="auto" w:before="178"/>
        <w:ind w:left="596" w:right="28"/>
        <w:jc w:val="left"/>
      </w:pPr>
      <w:r>
        <w:rPr>
          <w:w w:val="95"/>
        </w:rPr>
        <w:t>出于战略合作的考虑，本公司的子公司联通红筹公司于</w:t>
      </w:r>
      <w:r>
        <w:rPr>
          <w:rFonts w:ascii="Arial" w:hAnsi="Arial" w:cs="Arial" w:eastAsia="Arial" w:hint="default"/>
          <w:w w:val="95"/>
        </w:rPr>
        <w:t>2009</w:t>
      </w:r>
      <w:r>
        <w:rPr>
          <w:w w:val="95"/>
        </w:rPr>
        <w:t>年</w:t>
      </w:r>
      <w:r>
        <w:rPr>
          <w:rFonts w:ascii="Arial" w:hAnsi="Arial" w:cs="Arial" w:eastAsia="Arial" w:hint="default"/>
          <w:w w:val="95"/>
        </w:rPr>
        <w:t>10</w:t>
      </w:r>
      <w:r>
        <w:rPr>
          <w:w w:val="95"/>
        </w:rPr>
        <w:t>月</w:t>
      </w:r>
      <w:r>
        <w:rPr>
          <w:rFonts w:ascii="Arial" w:hAnsi="Arial" w:cs="Arial" w:eastAsia="Arial" w:hint="default"/>
          <w:w w:val="95"/>
        </w:rPr>
        <w:t>21</w:t>
      </w:r>
      <w:r>
        <w:rPr>
          <w:w w:val="95"/>
        </w:rPr>
        <w:t>日与西班牙电信签署了</w:t>
      </w:r>
      <w:r>
        <w:rPr>
          <w:spacing w:val="54"/>
          <w:w w:val="95"/>
        </w:rPr>
        <w:t> </w:t>
      </w:r>
      <w:r>
        <w:rPr/>
        <w:t>认购协议，由联通红筹公司与西班牙电信通过互换股份的方式互相认购了对方相当于</w:t>
      </w:r>
      <w:r>
        <w:rPr>
          <w:rFonts w:ascii="Arial" w:hAnsi="Arial" w:cs="Arial" w:eastAsia="Arial" w:hint="default"/>
        </w:rPr>
        <w:t>10</w:t>
      </w:r>
      <w:r>
        <w:rPr/>
        <w:t>亿美</w:t>
      </w:r>
      <w:r>
        <w:rPr>
          <w:spacing w:val="-2"/>
          <w:w w:val="99"/>
        </w:rPr>
        <w:t> </w:t>
      </w:r>
      <w:r>
        <w:rPr/>
        <w:t>元的股份（“第一次投资”）。于</w:t>
      </w:r>
      <w:r>
        <w:rPr>
          <w:rFonts w:ascii="Arial" w:hAnsi="Arial" w:cs="Arial" w:eastAsia="Arial" w:hint="default"/>
        </w:rPr>
        <w:t>2011</w:t>
      </w:r>
      <w:r>
        <w:rPr/>
        <w:t>年</w:t>
      </w:r>
      <w:r>
        <w:rPr>
          <w:rFonts w:ascii="Arial" w:hAnsi="Arial" w:cs="Arial" w:eastAsia="Arial" w:hint="default"/>
        </w:rPr>
        <w:t>1</w:t>
      </w:r>
      <w:r>
        <w:rPr/>
        <w:t>月</w:t>
      </w:r>
      <w:r>
        <w:rPr>
          <w:rFonts w:ascii="Arial" w:hAnsi="Arial" w:cs="Arial" w:eastAsia="Arial" w:hint="default"/>
        </w:rPr>
        <w:t>23</w:t>
      </w:r>
      <w:r>
        <w:rPr/>
        <w:t>日双方签署了一份后续的认购协议，由联通</w:t>
      </w:r>
      <w:r>
        <w:rPr>
          <w:spacing w:val="-77"/>
        </w:rPr>
        <w:t> </w:t>
      </w:r>
      <w:r>
        <w:rPr>
          <w:spacing w:val="-77"/>
        </w:rPr>
      </w:r>
      <w:r>
        <w:rPr>
          <w:w w:val="95"/>
        </w:rPr>
        <w:t>红筹公司与西班牙电信互相以现金方式认购对方相当于</w:t>
      </w:r>
      <w:r>
        <w:rPr>
          <w:rFonts w:ascii="Arial" w:hAnsi="Arial" w:cs="Arial" w:eastAsia="Arial" w:hint="default"/>
          <w:w w:val="95"/>
        </w:rPr>
        <w:t>5</w:t>
      </w:r>
      <w:r>
        <w:rPr>
          <w:w w:val="95"/>
        </w:rPr>
        <w:t>亿美元的股份（“第二次投资”）。</w:t>
      </w:r>
      <w:r>
        <w:rPr>
          <w:spacing w:val="13"/>
          <w:w w:val="95"/>
        </w:rPr>
        <w:t> </w:t>
      </w:r>
      <w:r>
        <w:rPr>
          <w:spacing w:val="13"/>
          <w:w w:val="95"/>
        </w:rPr>
      </w:r>
      <w:r>
        <w:rPr/>
        <w:t>此权益工具投资是本集团持有的以战略合作为主要目的、不因股价临时变动而做出售决定的</w:t>
      </w:r>
      <w:r>
        <w:rPr>
          <w:spacing w:val="-87"/>
        </w:rPr>
        <w:t> </w:t>
      </w:r>
      <w:r>
        <w:rPr>
          <w:spacing w:val="-87"/>
        </w:rPr>
      </w:r>
      <w:r>
        <w:rPr/>
        <w:t>投资，本集团作为可供出售金融资产入账。</w:t>
      </w:r>
    </w:p>
    <w:p>
      <w:pPr>
        <w:pStyle w:val="BodyText"/>
        <w:spacing w:line="232" w:lineRule="auto" w:before="190"/>
        <w:ind w:left="596" w:right="215"/>
        <w:jc w:val="both"/>
      </w:pPr>
      <w:r>
        <w:rPr/>
        <w:t>本集团在评估此项可供出售金融资产于资产负债表日是否存在客观证据表明其发生减值时，</w:t>
      </w:r>
      <w:r>
        <w:rPr>
          <w:spacing w:val="-87"/>
        </w:rPr>
        <w:t> </w:t>
      </w:r>
      <w:r>
        <w:rPr>
          <w:spacing w:val="-87"/>
        </w:rPr>
      </w:r>
      <w:r>
        <w:rPr/>
        <w:t>主要对被投资单位基本运营情况进行分析：西班牙电信是一家大型跨国通信公司，其股价下</w:t>
      </w:r>
      <w:r>
        <w:rPr>
          <w:spacing w:val="-87"/>
        </w:rPr>
        <w:t> </w:t>
      </w:r>
      <w:r>
        <w:rPr>
          <w:spacing w:val="-87"/>
        </w:rPr>
      </w:r>
      <w:r>
        <w:rPr>
          <w:spacing w:val="-1"/>
        </w:rPr>
        <w:t>跌主要是受全球金融动荡及欧债危机等因素所致。</w:t>
      </w:r>
      <w:r>
        <w:rPr>
          <w:rFonts w:ascii="Arial" w:hAnsi="Arial" w:cs="Arial" w:eastAsia="Arial" w:hint="default"/>
          <w:spacing w:val="-1"/>
        </w:rPr>
        <w:t>2012</w:t>
      </w:r>
      <w:r>
        <w:rPr>
          <w:spacing w:val="-1"/>
        </w:rPr>
        <w:t>年度，西班牙电信经营运作稳定，用</w:t>
      </w:r>
      <w:r>
        <w:rPr>
          <w:spacing w:val="-102"/>
        </w:rPr>
        <w:t> </w:t>
      </w:r>
      <w:r>
        <w:rPr>
          <w:spacing w:val="-102"/>
        </w:rPr>
      </w:r>
      <w:r>
        <w:rPr>
          <w:w w:val="95"/>
        </w:rPr>
        <w:t>户数进一步增加，营业收入以及息税折旧摊销前盈余较</w:t>
      </w:r>
      <w:r>
        <w:rPr>
          <w:rFonts w:ascii="Arial" w:hAnsi="Arial" w:cs="Arial" w:eastAsia="Arial" w:hint="default"/>
          <w:w w:val="95"/>
        </w:rPr>
        <w:t>2011</w:t>
      </w:r>
      <w:r>
        <w:rPr>
          <w:w w:val="95"/>
        </w:rPr>
        <w:t>年未出现重大波动，经营状况并</w:t>
      </w:r>
      <w:r>
        <w:rPr>
          <w:spacing w:val="101"/>
          <w:w w:val="95"/>
        </w:rPr>
        <w:t> </w:t>
      </w:r>
      <w:r>
        <w:rPr>
          <w:spacing w:val="101"/>
          <w:w w:val="95"/>
        </w:rPr>
      </w:r>
      <w:r>
        <w:rPr/>
        <w:t>未发生严重恶化，财务状况进一步改善。与此同时，两公司间的合作进一步深化，本集团无</w:t>
      </w:r>
      <w:r>
        <w:rPr>
          <w:spacing w:val="-86"/>
        </w:rPr>
        <w:t> </w:t>
      </w:r>
      <w:r>
        <w:rPr>
          <w:spacing w:val="-86"/>
        </w:rPr>
      </w:r>
      <w:r>
        <w:rPr/>
        <w:t>意出售该项投资。综合考虑各相关因素后，管理层基于已制订的可供出售金融资产减值判断</w:t>
      </w:r>
    </w:p>
    <w:p>
      <w:pPr>
        <w:pStyle w:val="BodyText"/>
        <w:spacing w:line="302" w:lineRule="exact"/>
        <w:ind w:left="596" w:right="0"/>
        <w:jc w:val="both"/>
      </w:pPr>
      <w:r>
        <w:rPr/>
        <w:t>的量化标准后认为，此项可供出售金融资产于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日尚无需进行减值的会计处理。</w:t>
      </w:r>
    </w:p>
    <w:p>
      <w:pPr>
        <w:spacing w:after="0" w:line="302" w:lineRule="exact"/>
        <w:jc w:val="both"/>
        <w:sectPr>
          <w:headerReference w:type="default" r:id="rId61"/>
          <w:pgSz w:w="11910" w:h="16840"/>
          <w:pgMar w:header="967" w:footer="593" w:top="3340" w:bottom="780" w:left="1440" w:right="820"/>
        </w:sectPr>
      </w:pPr>
    </w:p>
    <w:p>
      <w:pPr>
        <w:spacing w:line="240" w:lineRule="auto" w:before="12"/>
        <w:rPr>
          <w:rFonts w:ascii="宋体" w:hAnsi="宋体" w:cs="宋体" w:eastAsia="宋体" w:hint="default"/>
          <w:sz w:val="14"/>
          <w:szCs w:val="14"/>
        </w:rPr>
      </w:pPr>
    </w:p>
    <w:p>
      <w:pPr>
        <w:pStyle w:val="BodyText"/>
        <w:spacing w:line="427" w:lineRule="auto" w:before="31"/>
        <w:ind w:left="118" w:right="7186"/>
        <w:jc w:val="left"/>
      </w:pPr>
      <w:r>
        <w:rPr>
          <w:rFonts w:ascii="Arial" w:hAnsi="Arial" w:cs="Arial" w:eastAsia="Arial" w:hint="default"/>
        </w:rPr>
        <w:t>33</w:t>
      </w:r>
      <w:r>
        <w:rPr/>
        <w:t>、金融工具及其风险</w:t>
      </w:r>
      <w:r>
        <w:rPr>
          <w:w w:val="99"/>
        </w:rPr>
        <w:t> </w:t>
      </w:r>
      <w:r>
        <w:rPr>
          <w:rFonts w:ascii="Arial" w:hAnsi="Arial" w:cs="Arial" w:eastAsia="Arial" w:hint="default"/>
        </w:rPr>
        <w:t>(a) </w:t>
      </w:r>
      <w:r>
        <w:rPr>
          <w:rFonts w:ascii="Arial" w:hAnsi="Arial" w:cs="Arial" w:eastAsia="Arial" w:hint="default"/>
          <w:spacing w:val="56"/>
        </w:rPr>
        <w:t> </w:t>
      </w:r>
      <w:r>
        <w:rPr/>
        <w:t>金融风险因素</w:t>
      </w:r>
    </w:p>
    <w:p>
      <w:pPr>
        <w:pStyle w:val="BodyText"/>
        <w:spacing w:line="286" w:lineRule="exact" w:before="70"/>
        <w:ind w:left="596" w:right="115"/>
        <w:jc w:val="both"/>
      </w:pPr>
      <w:r>
        <w:rPr/>
        <w:t>本集团的经营活动会涉及各种金融风险，包括：市场风险（包括外汇风险、价格风险、现金</w:t>
      </w:r>
      <w:r>
        <w:rPr>
          <w:spacing w:val="-85"/>
        </w:rPr>
        <w:t> </w:t>
      </w:r>
      <w:r>
        <w:rPr>
          <w:spacing w:val="-85"/>
        </w:rPr>
      </w:r>
      <w:r>
        <w:rPr/>
        <w:t>流量利率风险及公允价值利率风险），信用风险和流动性风险。本集团整体风险管理计划是</w:t>
      </w:r>
      <w:r>
        <w:rPr>
          <w:spacing w:val="-87"/>
        </w:rPr>
        <w:t> </w:t>
      </w:r>
      <w:r>
        <w:rPr>
          <w:spacing w:val="-87"/>
        </w:rPr>
      </w:r>
      <w:r>
        <w:rPr/>
        <w:t>针对金融市场的不可预见性，尽可能减少对本集团财务业绩的潜在不利影响。</w:t>
      </w:r>
    </w:p>
    <w:p>
      <w:pPr>
        <w:spacing w:line="240" w:lineRule="auto" w:before="1"/>
        <w:rPr>
          <w:rFonts w:ascii="宋体" w:hAnsi="宋体" w:cs="宋体" w:eastAsia="宋体" w:hint="default"/>
          <w:sz w:val="17"/>
          <w:szCs w:val="17"/>
        </w:rPr>
      </w:pPr>
    </w:p>
    <w:p>
      <w:pPr>
        <w:pStyle w:val="BodyText"/>
        <w:tabs>
          <w:tab w:pos="596" w:val="left" w:leader="none"/>
        </w:tabs>
        <w:spacing w:line="240" w:lineRule="auto"/>
        <w:ind w:left="118" w:right="3270"/>
        <w:jc w:val="left"/>
      </w:pPr>
      <w:r>
        <w:rPr>
          <w:rFonts w:ascii="Arial" w:hAnsi="Arial" w:cs="Arial" w:eastAsia="Arial" w:hint="default"/>
          <w:w w:val="95"/>
        </w:rPr>
        <w:t>(1)</w:t>
        <w:tab/>
      </w:r>
      <w:r>
        <w:rPr/>
        <w:t>市场风险</w:t>
      </w:r>
    </w:p>
    <w:p>
      <w:pPr>
        <w:spacing w:line="240" w:lineRule="auto" w:before="13"/>
        <w:rPr>
          <w:rFonts w:ascii="宋体" w:hAnsi="宋体" w:cs="宋体" w:eastAsia="宋体" w:hint="default"/>
          <w:sz w:val="17"/>
          <w:szCs w:val="17"/>
        </w:rPr>
      </w:pPr>
    </w:p>
    <w:p>
      <w:pPr>
        <w:pStyle w:val="BodyText"/>
        <w:tabs>
          <w:tab w:pos="596" w:val="left" w:leader="none"/>
        </w:tabs>
        <w:spacing w:line="240" w:lineRule="auto"/>
        <w:ind w:left="164" w:right="3270"/>
        <w:jc w:val="left"/>
      </w:pPr>
      <w:r>
        <w:rPr>
          <w:rFonts w:ascii="Arial" w:hAnsi="Arial" w:cs="Arial" w:eastAsia="Arial" w:hint="default"/>
          <w:w w:val="95"/>
        </w:rPr>
        <w:t>(i)</w:t>
        <w:tab/>
      </w:r>
      <w:r>
        <w:rPr/>
        <w:t>外汇风险</w:t>
      </w:r>
    </w:p>
    <w:p>
      <w:pPr>
        <w:spacing w:line="240" w:lineRule="auto" w:before="2"/>
        <w:rPr>
          <w:rFonts w:ascii="宋体" w:hAnsi="宋体" w:cs="宋体" w:eastAsia="宋体" w:hint="default"/>
          <w:sz w:val="18"/>
          <w:szCs w:val="18"/>
        </w:rPr>
      </w:pPr>
    </w:p>
    <w:p>
      <w:pPr>
        <w:pStyle w:val="BodyText"/>
        <w:spacing w:line="237" w:lineRule="auto"/>
        <w:ind w:left="596" w:right="118"/>
        <w:jc w:val="both"/>
      </w:pPr>
      <w:r>
        <w:rPr/>
        <w:t>本集团的主要经营位于中国境内，主要业务也以人民币结算。但本集团承受因多种不同货币</w:t>
      </w:r>
      <w:r>
        <w:rPr>
          <w:spacing w:val="-87"/>
        </w:rPr>
        <w:t> </w:t>
      </w:r>
      <w:r>
        <w:rPr>
          <w:spacing w:val="-87"/>
        </w:rPr>
      </w:r>
      <w:r>
        <w:rPr/>
        <w:t>产生的外汇风险，主要涉及美元、港币和欧元，如以外币支付款项予设备供货商和承办商或</w:t>
      </w:r>
      <w:r>
        <w:rPr>
          <w:spacing w:val="-87"/>
        </w:rPr>
        <w:t> </w:t>
      </w:r>
      <w:r>
        <w:rPr>
          <w:spacing w:val="-87"/>
        </w:rPr>
      </w:r>
      <w:r>
        <w:rPr/>
        <w:t>贷款人等情况下，即存在外汇风险。</w:t>
      </w:r>
    </w:p>
    <w:p>
      <w:pPr>
        <w:spacing w:line="240" w:lineRule="auto" w:before="13"/>
        <w:rPr>
          <w:rFonts w:ascii="宋体" w:hAnsi="宋体" w:cs="宋体" w:eastAsia="宋体" w:hint="default"/>
          <w:sz w:val="19"/>
          <w:szCs w:val="19"/>
        </w:rPr>
      </w:pPr>
    </w:p>
    <w:p>
      <w:pPr>
        <w:pStyle w:val="BodyText"/>
        <w:spacing w:line="230" w:lineRule="auto"/>
        <w:ind w:left="596" w:right="115"/>
        <w:jc w:val="both"/>
      </w:pPr>
      <w:r>
        <w:rPr/>
        <w:t>本集团总部财务部门负责监管集团外币资产及负债规模。本集团可能签署远期外汇合约或货</w:t>
      </w:r>
      <w:r>
        <w:rPr>
          <w:spacing w:val="-87"/>
        </w:rPr>
        <w:t> </w:t>
      </w:r>
      <w:r>
        <w:rPr>
          <w:spacing w:val="-87"/>
        </w:rPr>
      </w:r>
      <w:r>
        <w:rPr>
          <w:spacing w:val="-2"/>
        </w:rPr>
        <w:t>币掉期合约以规避外汇风险。于</w:t>
      </w:r>
      <w:r>
        <w:rPr>
          <w:rFonts w:ascii="Arial" w:hAnsi="Arial" w:cs="Arial" w:eastAsia="Arial" w:hint="default"/>
          <w:spacing w:val="-2"/>
        </w:rPr>
        <w:t>2012</w:t>
      </w:r>
      <w:r>
        <w:rPr>
          <w:spacing w:val="-2"/>
        </w:rPr>
        <w:t>年度和</w:t>
      </w:r>
      <w:r>
        <w:rPr>
          <w:rFonts w:ascii="Arial" w:hAnsi="Arial" w:cs="Arial" w:eastAsia="Arial" w:hint="default"/>
          <w:spacing w:val="-2"/>
        </w:rPr>
        <w:t>2011</w:t>
      </w:r>
      <w:r>
        <w:rPr>
          <w:spacing w:val="-2"/>
        </w:rPr>
        <w:t>年度，本集团未签署任何远期外汇合约或货</w:t>
      </w:r>
      <w:r>
        <w:rPr>
          <w:spacing w:val="-99"/>
        </w:rPr>
        <w:t> </w:t>
      </w:r>
      <w:r>
        <w:rPr>
          <w:spacing w:val="-99"/>
        </w:rPr>
      </w:r>
      <w:r>
        <w:rPr/>
        <w:t>币掉期合约。</w:t>
      </w:r>
    </w:p>
    <w:p>
      <w:pPr>
        <w:spacing w:line="240" w:lineRule="auto" w:before="6"/>
        <w:rPr>
          <w:rFonts w:ascii="宋体" w:hAnsi="宋体" w:cs="宋体" w:eastAsia="宋体" w:hint="default"/>
          <w:sz w:val="20"/>
          <w:szCs w:val="20"/>
        </w:rPr>
      </w:pPr>
    </w:p>
    <w:p>
      <w:pPr>
        <w:pStyle w:val="BodyText"/>
        <w:spacing w:line="225" w:lineRule="auto"/>
        <w:ind w:left="596" w:right="115"/>
        <w:jc w:val="both"/>
      </w:pPr>
      <w:r>
        <w:rPr>
          <w:spacing w:val="3"/>
        </w:rPr>
        <w:t>于</w:t>
      </w:r>
      <w:r>
        <w:rPr>
          <w:rFonts w:ascii="Arial" w:hAnsi="Arial" w:cs="Arial" w:eastAsia="Arial" w:hint="default"/>
          <w:spacing w:val="3"/>
        </w:rPr>
        <w:t>2012</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日及</w:t>
      </w:r>
      <w:r>
        <w:rPr>
          <w:rFonts w:ascii="Arial" w:hAnsi="Arial" w:cs="Arial" w:eastAsia="Arial" w:hint="default"/>
          <w:spacing w:val="3"/>
        </w:rPr>
        <w:t>2011</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日，本集团分别有等值约人民币</w:t>
      </w:r>
      <w:r>
        <w:rPr>
          <w:rFonts w:ascii="Arial" w:hAnsi="Arial" w:cs="Arial" w:eastAsia="Arial" w:hint="default"/>
          <w:spacing w:val="3"/>
        </w:rPr>
        <w:t>62.04</w:t>
      </w:r>
      <w:r>
        <w:rPr>
          <w:spacing w:val="3"/>
        </w:rPr>
        <w:t>亿元和约人民币</w:t>
      </w:r>
      <w:r>
        <w:rPr>
          <w:w w:val="99"/>
        </w:rPr>
        <w:t> </w:t>
      </w:r>
      <w:r>
        <w:rPr>
          <w:rFonts w:ascii="Arial" w:hAnsi="Arial" w:cs="Arial" w:eastAsia="Arial" w:hint="default"/>
          <w:spacing w:val="-2"/>
        </w:rPr>
        <w:t>78.12</w:t>
      </w:r>
      <w:r>
        <w:rPr>
          <w:spacing w:val="-2"/>
        </w:rPr>
        <w:t>亿元的可供出售金融资产及外币货币资金。于</w:t>
      </w:r>
      <w:r>
        <w:rPr>
          <w:rFonts w:ascii="Arial" w:hAnsi="Arial" w:cs="Arial" w:eastAsia="Arial" w:hint="default"/>
          <w:spacing w:val="-2"/>
        </w:rPr>
        <w:t>2012</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日及</w:t>
      </w:r>
      <w:r>
        <w:rPr>
          <w:rFonts w:ascii="Arial" w:hAnsi="Arial" w:cs="Arial" w:eastAsia="Arial" w:hint="default"/>
          <w:spacing w:val="-2"/>
        </w:rPr>
        <w:t>2011</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日，本</w:t>
      </w:r>
      <w:r>
        <w:rPr>
          <w:spacing w:val="-106"/>
        </w:rPr>
        <w:t> </w:t>
      </w:r>
      <w:r>
        <w:rPr>
          <w:spacing w:val="-106"/>
        </w:rPr>
      </w:r>
      <w:r>
        <w:rPr/>
        <w:t>集团分别有等值约人民币</w:t>
      </w:r>
      <w:r>
        <w:rPr>
          <w:rFonts w:ascii="Arial" w:hAnsi="Arial" w:cs="Arial" w:eastAsia="Arial" w:hint="default"/>
        </w:rPr>
        <w:t>415.40</w:t>
      </w:r>
      <w:r>
        <w:rPr/>
        <w:t>亿元和约人民币</w:t>
      </w:r>
      <w:r>
        <w:rPr>
          <w:rFonts w:ascii="Arial" w:hAnsi="Arial" w:cs="Arial" w:eastAsia="Arial" w:hint="default"/>
        </w:rPr>
        <w:t>284.98</w:t>
      </w:r>
      <w:r>
        <w:rPr/>
        <w:t>亿元的可转换债券、外币借款及应付</w:t>
      </w:r>
      <w:r>
        <w:rPr>
          <w:w w:val="99"/>
        </w:rPr>
        <w:t> </w:t>
      </w:r>
      <w:r>
        <w:rPr/>
        <w:t>融资租赁款（包含于长期应付款中）。</w:t>
      </w:r>
    </w:p>
    <w:p>
      <w:pPr>
        <w:spacing w:line="240" w:lineRule="auto" w:before="6"/>
        <w:rPr>
          <w:rFonts w:ascii="宋体" w:hAnsi="宋体" w:cs="宋体" w:eastAsia="宋体" w:hint="default"/>
          <w:sz w:val="20"/>
          <w:szCs w:val="20"/>
        </w:rPr>
      </w:pPr>
    </w:p>
    <w:p>
      <w:pPr>
        <w:pStyle w:val="BodyText"/>
        <w:spacing w:line="225" w:lineRule="auto"/>
        <w:ind w:left="596" w:right="115"/>
        <w:jc w:val="both"/>
      </w:pPr>
      <w:r>
        <w:rPr>
          <w:spacing w:val="-2"/>
        </w:rPr>
        <w:t>于</w:t>
      </w:r>
      <w:r>
        <w:rPr>
          <w:rFonts w:ascii="Arial" w:hAnsi="Arial" w:cs="Arial" w:eastAsia="Arial" w:hint="default"/>
          <w:spacing w:val="-2"/>
        </w:rPr>
        <w:t>2012</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日，对于本集团以外币计价的货币资金、可转换债券、银行借款及应付融资</w:t>
      </w:r>
      <w:r>
        <w:rPr>
          <w:spacing w:val="-99"/>
        </w:rPr>
        <w:t> </w:t>
      </w:r>
      <w:r>
        <w:rPr>
          <w:spacing w:val="-99"/>
        </w:rPr>
      </w:r>
      <w:r>
        <w:rPr/>
        <w:t>租赁款，假设人民币对外币（主要为对美元、港币和欧元）升值或贬值</w:t>
      </w:r>
      <w:r>
        <w:rPr>
          <w:rFonts w:ascii="Arial" w:hAnsi="Arial" w:cs="Arial" w:eastAsia="Arial" w:hint="default"/>
        </w:rPr>
        <w:t>10%</w:t>
      </w:r>
      <w:r>
        <w:rPr/>
        <w:t>，而其他因素保</w:t>
      </w:r>
      <w:r>
        <w:rPr>
          <w:spacing w:val="-86"/>
        </w:rPr>
        <w:t> </w:t>
      </w:r>
      <w:r>
        <w:rPr>
          <w:spacing w:val="-86"/>
        </w:rPr>
      </w:r>
      <w:r>
        <w:rPr/>
        <w:t>持不变，则本集团会额外产生汇兑收益或损失约人民币</w:t>
      </w:r>
      <w:r>
        <w:rPr>
          <w:rFonts w:ascii="Arial" w:hAnsi="Arial" w:cs="Arial" w:eastAsia="Arial" w:hint="default"/>
        </w:rPr>
        <w:t>40.78</w:t>
      </w:r>
      <w:r>
        <w:rPr/>
        <w:t>亿元（</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日：汇兑</w:t>
      </w:r>
      <w:r>
        <w:rPr>
          <w:spacing w:val="-85"/>
        </w:rPr>
        <w:t> </w:t>
      </w:r>
      <w:r>
        <w:rPr/>
        <w:t>收益或损失约人民币</w:t>
      </w:r>
      <w:r>
        <w:rPr>
          <w:rFonts w:ascii="Arial" w:hAnsi="Arial" w:cs="Arial" w:eastAsia="Arial" w:hint="default"/>
        </w:rPr>
        <w:t>27.52</w:t>
      </w:r>
      <w:r>
        <w:rPr/>
        <w:t>亿元）。</w:t>
      </w:r>
    </w:p>
    <w:p>
      <w:pPr>
        <w:spacing w:line="240" w:lineRule="auto" w:before="2"/>
        <w:rPr>
          <w:rFonts w:ascii="宋体" w:hAnsi="宋体" w:cs="宋体" w:eastAsia="宋体" w:hint="default"/>
          <w:sz w:val="18"/>
          <w:szCs w:val="18"/>
        </w:rPr>
      </w:pPr>
    </w:p>
    <w:p>
      <w:pPr>
        <w:pStyle w:val="ListParagraph"/>
        <w:numPr>
          <w:ilvl w:val="0"/>
          <w:numId w:val="2"/>
        </w:numPr>
        <w:tabs>
          <w:tab w:pos="597" w:val="left" w:leader="none"/>
        </w:tabs>
        <w:spacing w:line="240" w:lineRule="auto" w:before="0" w:after="0"/>
        <w:ind w:left="596" w:right="3270" w:hanging="478"/>
        <w:jc w:val="left"/>
        <w:rPr>
          <w:rFonts w:ascii="宋体" w:hAnsi="宋体" w:cs="宋体" w:eastAsia="宋体" w:hint="default"/>
          <w:sz w:val="22"/>
          <w:szCs w:val="22"/>
        </w:rPr>
      </w:pPr>
      <w:r>
        <w:rPr>
          <w:rFonts w:ascii="宋体" w:hAnsi="宋体" w:cs="宋体" w:eastAsia="宋体" w:hint="default"/>
          <w:sz w:val="22"/>
          <w:szCs w:val="22"/>
        </w:rPr>
        <w:t>价格风险</w:t>
      </w:r>
    </w:p>
    <w:p>
      <w:pPr>
        <w:spacing w:line="240" w:lineRule="auto" w:before="0"/>
        <w:rPr>
          <w:rFonts w:ascii="宋体" w:hAnsi="宋体" w:cs="宋体" w:eastAsia="宋体" w:hint="default"/>
          <w:sz w:val="20"/>
          <w:szCs w:val="20"/>
        </w:rPr>
      </w:pPr>
    </w:p>
    <w:p>
      <w:pPr>
        <w:pStyle w:val="BodyText"/>
        <w:spacing w:line="286" w:lineRule="exact"/>
        <w:ind w:left="596" w:right="116"/>
        <w:jc w:val="both"/>
      </w:pPr>
      <w:r>
        <w:rPr/>
        <w:t>本集团在资产负债表中被分类为可供出售金融资产的股票投资主要为西班牙电信的股票，因</w:t>
      </w:r>
      <w:r>
        <w:rPr>
          <w:spacing w:val="-87"/>
        </w:rPr>
        <w:t> </w:t>
      </w:r>
      <w:r>
        <w:rPr>
          <w:spacing w:val="-87"/>
        </w:rPr>
      </w:r>
      <w:r>
        <w:rPr/>
        <w:t>此本集团承受权益证券的市场价格风险。</w:t>
      </w:r>
    </w:p>
    <w:p>
      <w:pPr>
        <w:spacing w:line="240" w:lineRule="auto" w:before="3"/>
        <w:rPr>
          <w:rFonts w:ascii="宋体" w:hAnsi="宋体" w:cs="宋体" w:eastAsia="宋体" w:hint="default"/>
          <w:sz w:val="19"/>
          <w:szCs w:val="19"/>
        </w:rPr>
      </w:pPr>
    </w:p>
    <w:p>
      <w:pPr>
        <w:pStyle w:val="BodyText"/>
        <w:spacing w:line="286" w:lineRule="exact"/>
        <w:ind w:left="596" w:right="115"/>
        <w:jc w:val="both"/>
      </w:pPr>
      <w:r>
        <w:rPr>
          <w:spacing w:val="-2"/>
        </w:rPr>
        <w:t>于</w:t>
      </w:r>
      <w:r>
        <w:rPr>
          <w:rFonts w:ascii="Arial" w:hAnsi="Arial" w:cs="Arial" w:eastAsia="Arial" w:hint="default"/>
          <w:spacing w:val="-2"/>
        </w:rPr>
        <w:t>2012</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日，假设西班牙电信的股票价格上升或下降</w:t>
      </w:r>
      <w:r>
        <w:rPr>
          <w:rFonts w:ascii="Arial" w:hAnsi="Arial" w:cs="Arial" w:eastAsia="Arial" w:hint="default"/>
          <w:spacing w:val="-2"/>
        </w:rPr>
        <w:t>10%</w:t>
      </w:r>
      <w:r>
        <w:rPr>
          <w:spacing w:val="-2"/>
        </w:rPr>
        <w:t>，而其他因素保持不变，则</w:t>
      </w:r>
      <w:r>
        <w:rPr>
          <w:spacing w:val="-100"/>
        </w:rPr>
        <w:t> </w:t>
      </w:r>
      <w:r>
        <w:rPr>
          <w:spacing w:val="-100"/>
        </w:rPr>
      </w:r>
      <w:r>
        <w:rPr>
          <w:w w:val="95"/>
        </w:rPr>
        <w:t>可供出售金融资产账面价值会因公允价值变动而额外增加或减少约人民币</w:t>
      </w:r>
      <w:r>
        <w:rPr>
          <w:rFonts w:ascii="Arial" w:hAnsi="Arial" w:cs="Arial" w:eastAsia="Arial" w:hint="default"/>
          <w:w w:val="95"/>
        </w:rPr>
        <w:t>5.44</w:t>
      </w:r>
      <w:r>
        <w:rPr>
          <w:w w:val="95"/>
        </w:rPr>
        <w:t>亿元（</w:t>
      </w:r>
      <w:r>
        <w:rPr>
          <w:rFonts w:ascii="Arial" w:hAnsi="Arial" w:cs="Arial" w:eastAsia="Arial" w:hint="default"/>
          <w:w w:val="95"/>
        </w:rPr>
        <w:t>2011</w:t>
      </w:r>
      <w:r>
        <w:rPr>
          <w:w w:val="95"/>
        </w:rPr>
        <w:t>年</w:t>
      </w:r>
      <w:r>
        <w:rPr>
          <w:spacing w:val="6"/>
          <w:w w:val="95"/>
        </w:rPr>
        <w:t> </w:t>
      </w:r>
      <w:r>
        <w:rPr>
          <w:rFonts w:ascii="Arial" w:hAnsi="Arial" w:cs="Arial" w:eastAsia="Arial" w:hint="default"/>
        </w:rPr>
        <w:t>12</w:t>
      </w:r>
      <w:r>
        <w:rPr/>
        <w:t>月</w:t>
      </w:r>
      <w:r>
        <w:rPr>
          <w:rFonts w:ascii="Arial" w:hAnsi="Arial" w:cs="Arial" w:eastAsia="Arial" w:hint="default"/>
        </w:rPr>
        <w:t>31</w:t>
      </w:r>
      <w:r>
        <w:rPr/>
        <w:t>日：约人民币</w:t>
      </w:r>
      <w:r>
        <w:rPr>
          <w:rFonts w:ascii="Arial" w:hAnsi="Arial" w:cs="Arial" w:eastAsia="Arial" w:hint="default"/>
        </w:rPr>
        <w:t>6.84</w:t>
      </w:r>
      <w:r>
        <w:rPr/>
        <w:t>亿元）。</w:t>
      </w:r>
    </w:p>
    <w:p>
      <w:pPr>
        <w:spacing w:line="240" w:lineRule="auto" w:before="2"/>
        <w:rPr>
          <w:rFonts w:ascii="宋体" w:hAnsi="宋体" w:cs="宋体" w:eastAsia="宋体" w:hint="default"/>
          <w:sz w:val="17"/>
          <w:szCs w:val="17"/>
        </w:rPr>
      </w:pPr>
    </w:p>
    <w:p>
      <w:pPr>
        <w:pStyle w:val="BodyText"/>
        <w:spacing w:line="240" w:lineRule="auto"/>
        <w:ind w:left="118" w:right="3270"/>
        <w:jc w:val="left"/>
      </w:pPr>
      <w:r>
        <w:rPr>
          <w:rFonts w:ascii="Arial" w:hAnsi="Arial" w:cs="Arial" w:eastAsia="Arial" w:hint="default"/>
        </w:rPr>
        <w:t>(iii) </w:t>
      </w:r>
      <w:r>
        <w:rPr>
          <w:rFonts w:ascii="Arial" w:hAnsi="Arial" w:cs="Arial" w:eastAsia="Arial" w:hint="default"/>
          <w:spacing w:val="56"/>
        </w:rPr>
        <w:t> </w:t>
      </w:r>
      <w:r>
        <w:rPr/>
        <w:t>现金流量和公允价值利率风险</w:t>
      </w:r>
    </w:p>
    <w:p>
      <w:pPr>
        <w:spacing w:line="240" w:lineRule="auto" w:before="0"/>
        <w:rPr>
          <w:rFonts w:ascii="宋体" w:hAnsi="宋体" w:cs="宋体" w:eastAsia="宋体" w:hint="default"/>
          <w:sz w:val="16"/>
          <w:szCs w:val="16"/>
        </w:rPr>
      </w:pPr>
    </w:p>
    <w:p>
      <w:pPr>
        <w:pStyle w:val="BodyText"/>
        <w:spacing w:line="286" w:lineRule="exact"/>
        <w:ind w:left="596" w:right="118"/>
        <w:jc w:val="both"/>
        <w:rPr>
          <w:sz w:val="18"/>
          <w:szCs w:val="18"/>
        </w:rPr>
      </w:pPr>
      <w:r>
        <w:rPr/>
        <w:t>本集团的带息资产主要为银行存款。由于主要的银行存款皆为短期性质并且所涉及的利息金</w:t>
      </w:r>
      <w:r>
        <w:rPr>
          <w:spacing w:val="-87"/>
        </w:rPr>
        <w:t> </w:t>
      </w:r>
      <w:r>
        <w:rPr>
          <w:spacing w:val="-87"/>
        </w:rPr>
      </w:r>
      <w:r>
        <w:rPr/>
        <w:t>额并不重大，管理层认为市场存款利率的波动对财务报表的影响并不重大</w:t>
      </w:r>
      <w:r>
        <w:rPr>
          <w:sz w:val="18"/>
          <w:szCs w:val="18"/>
        </w:rPr>
        <w:t>。</w:t>
      </w:r>
    </w:p>
    <w:p>
      <w:pPr>
        <w:spacing w:after="0" w:line="286" w:lineRule="exact"/>
        <w:jc w:val="both"/>
        <w:rPr>
          <w:sz w:val="18"/>
          <w:szCs w:val="18"/>
        </w:rPr>
        <w:sectPr>
          <w:headerReference w:type="default" r:id="rId62"/>
          <w:pgSz w:w="11910" w:h="16840"/>
          <w:pgMar w:header="967" w:footer="593" w:top="2820" w:bottom="780" w:left="1440" w:right="920"/>
        </w:sectPr>
      </w:pPr>
    </w:p>
    <w:p>
      <w:pPr>
        <w:spacing w:line="240" w:lineRule="auto" w:before="11"/>
        <w:rPr>
          <w:rFonts w:ascii="宋体" w:hAnsi="宋体" w:cs="宋体" w:eastAsia="宋体" w:hint="default"/>
          <w:sz w:val="15"/>
          <w:szCs w:val="15"/>
        </w:rPr>
      </w:pPr>
    </w:p>
    <w:p>
      <w:pPr>
        <w:pStyle w:val="BodyText"/>
        <w:tabs>
          <w:tab w:pos="596" w:val="left" w:leader="none"/>
        </w:tabs>
        <w:spacing w:line="240" w:lineRule="auto" w:before="31"/>
        <w:ind w:left="118" w:right="213"/>
        <w:jc w:val="left"/>
      </w:pPr>
      <w:r>
        <w:rPr>
          <w:rFonts w:ascii="Arial" w:hAnsi="Arial" w:cs="Arial" w:eastAsia="Arial" w:hint="default"/>
          <w:w w:val="95"/>
        </w:rPr>
        <w:t>(1)</w:t>
        <w:tab/>
      </w:r>
      <w:r>
        <w:rPr/>
        <w:t>市场风险（续）</w:t>
      </w:r>
    </w:p>
    <w:p>
      <w:pPr>
        <w:spacing w:line="240" w:lineRule="auto" w:before="13"/>
        <w:rPr>
          <w:rFonts w:ascii="宋体" w:hAnsi="宋体" w:cs="宋体" w:eastAsia="宋体" w:hint="default"/>
          <w:sz w:val="17"/>
          <w:szCs w:val="17"/>
        </w:rPr>
      </w:pPr>
    </w:p>
    <w:p>
      <w:pPr>
        <w:pStyle w:val="BodyText"/>
        <w:spacing w:line="240" w:lineRule="auto"/>
        <w:ind w:left="118" w:right="213"/>
        <w:jc w:val="left"/>
      </w:pPr>
      <w:r>
        <w:rPr>
          <w:rFonts w:ascii="Arial" w:hAnsi="Arial" w:cs="Arial" w:eastAsia="Arial" w:hint="default"/>
        </w:rPr>
        <w:t>(iii) </w:t>
      </w:r>
      <w:r>
        <w:rPr>
          <w:rFonts w:ascii="Arial" w:hAnsi="Arial" w:cs="Arial" w:eastAsia="Arial" w:hint="default"/>
          <w:spacing w:val="55"/>
        </w:rPr>
        <w:t> </w:t>
      </w:r>
      <w:r>
        <w:rPr/>
        <w:t>现金流量和公允价值利率风险（续）</w:t>
      </w:r>
    </w:p>
    <w:p>
      <w:pPr>
        <w:spacing w:line="240" w:lineRule="auto" w:before="2"/>
        <w:rPr>
          <w:rFonts w:ascii="宋体" w:hAnsi="宋体" w:cs="宋体" w:eastAsia="宋体" w:hint="default"/>
          <w:sz w:val="18"/>
          <w:szCs w:val="18"/>
        </w:rPr>
      </w:pPr>
    </w:p>
    <w:p>
      <w:pPr>
        <w:pStyle w:val="BodyText"/>
        <w:spacing w:line="237" w:lineRule="auto"/>
        <w:ind w:left="596" w:right="158"/>
        <w:jc w:val="both"/>
      </w:pPr>
      <w:r>
        <w:rPr/>
        <w:t>本集团的利率风险产生于包括银行借款、长短期债券及关联方借款等在内的计息借款。浮动</w:t>
      </w:r>
      <w:r>
        <w:rPr>
          <w:spacing w:val="-87"/>
        </w:rPr>
        <w:t> </w:t>
      </w:r>
      <w:r>
        <w:rPr>
          <w:spacing w:val="-87"/>
        </w:rPr>
      </w:r>
      <w:r>
        <w:rPr/>
        <w:t>利率计息的借款导致本集团产生现金流量利率风险，而固定利率计息的借款导致本集团产生</w:t>
      </w:r>
      <w:r>
        <w:rPr>
          <w:spacing w:val="-87"/>
        </w:rPr>
        <w:t> </w:t>
      </w:r>
      <w:r>
        <w:rPr>
          <w:spacing w:val="-87"/>
        </w:rPr>
      </w:r>
      <w:r>
        <w:rPr/>
        <w:t>公允价值利率风险。本集团主要根据当时的市场环境来决定使用固定利率或浮动利率借款的</w:t>
      </w:r>
      <w:r>
        <w:rPr>
          <w:spacing w:val="-87"/>
        </w:rPr>
        <w:t> </w:t>
      </w:r>
      <w:r>
        <w:rPr>
          <w:spacing w:val="-87"/>
        </w:rPr>
      </w:r>
      <w:r>
        <w:rPr/>
        <w:t>政策。</w:t>
      </w:r>
    </w:p>
    <w:p>
      <w:pPr>
        <w:spacing w:line="240" w:lineRule="auto" w:before="3"/>
        <w:rPr>
          <w:rFonts w:ascii="宋体" w:hAnsi="宋体" w:cs="宋体" w:eastAsia="宋体" w:hint="default"/>
          <w:sz w:val="21"/>
          <w:szCs w:val="21"/>
        </w:rPr>
      </w:pPr>
    </w:p>
    <w:p>
      <w:pPr>
        <w:pStyle w:val="BodyText"/>
        <w:spacing w:line="286" w:lineRule="exact"/>
        <w:ind w:left="596" w:right="158"/>
        <w:jc w:val="both"/>
      </w:pPr>
      <w:r>
        <w:rPr/>
        <w:t>如果利率上升会增加新增借款的成本以及本集团尚未偿还的以浮动利率计息的借款的利息支</w:t>
      </w:r>
      <w:r>
        <w:rPr>
          <w:spacing w:val="-87"/>
        </w:rPr>
        <w:t> </w:t>
      </w:r>
      <w:r>
        <w:rPr>
          <w:spacing w:val="-87"/>
        </w:rPr>
      </w:r>
      <w:r>
        <w:rPr/>
        <w:t>出，对本集团的财务状况产生重大的不利影响。管理层持续监控本集团利率水平并依据最新</w:t>
      </w:r>
      <w:r>
        <w:rPr>
          <w:spacing w:val="-87"/>
        </w:rPr>
        <w:t> </w:t>
      </w:r>
      <w:r>
        <w:rPr>
          <w:spacing w:val="-87"/>
        </w:rPr>
      </w:r>
      <w:r>
        <w:rPr/>
        <w:t>的市场状况及时做出调整。本集团可能采用利率掉期安排以降低浮动利率计息的借款产生的</w:t>
      </w:r>
      <w:r>
        <w:rPr>
          <w:spacing w:val="-87"/>
        </w:rPr>
        <w:t> </w:t>
      </w:r>
      <w:r>
        <w:rPr>
          <w:spacing w:val="-87"/>
        </w:rPr>
      </w:r>
      <w:r>
        <w:rPr/>
        <w:t>利率风险，但本集团认为在</w:t>
      </w:r>
      <w:r>
        <w:rPr>
          <w:rFonts w:ascii="Arial" w:hAnsi="Arial" w:cs="Arial" w:eastAsia="Arial" w:hint="default"/>
        </w:rPr>
        <w:t>2012</w:t>
      </w:r>
      <w:r>
        <w:rPr/>
        <w:t>年度及</w:t>
      </w:r>
      <w:r>
        <w:rPr>
          <w:rFonts w:ascii="Arial" w:hAnsi="Arial" w:cs="Arial" w:eastAsia="Arial" w:hint="default"/>
        </w:rPr>
        <w:t>2011</w:t>
      </w:r>
      <w:r>
        <w:rPr/>
        <w:t>年度并无该等安排的需要。</w:t>
      </w:r>
    </w:p>
    <w:p>
      <w:pPr>
        <w:spacing w:line="240" w:lineRule="auto" w:before="3"/>
        <w:rPr>
          <w:rFonts w:ascii="宋体" w:hAnsi="宋体" w:cs="宋体" w:eastAsia="宋体" w:hint="default"/>
          <w:sz w:val="19"/>
          <w:szCs w:val="19"/>
        </w:rPr>
      </w:pPr>
    </w:p>
    <w:p>
      <w:pPr>
        <w:pStyle w:val="BodyText"/>
        <w:spacing w:line="286" w:lineRule="exact"/>
        <w:ind w:left="596" w:right="103"/>
        <w:jc w:val="both"/>
      </w:pPr>
      <w:r>
        <w:rPr>
          <w:spacing w:val="-2"/>
        </w:rPr>
        <w:t>于</w:t>
      </w:r>
      <w:r>
        <w:rPr>
          <w:rFonts w:ascii="Arial" w:hAnsi="Arial" w:cs="Arial" w:eastAsia="Arial" w:hint="default"/>
          <w:spacing w:val="-2"/>
        </w:rPr>
        <w:t>2012</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日，本集团以固定利率计息的银行借款、应付债券及应付短期债券等约为人</w:t>
      </w:r>
      <w:r>
        <w:rPr>
          <w:spacing w:val="-103"/>
        </w:rPr>
        <w:t> </w:t>
      </w:r>
      <w:r>
        <w:rPr>
          <w:spacing w:val="-103"/>
        </w:rPr>
      </w:r>
      <w:r>
        <w:rPr>
          <w:w w:val="95"/>
        </w:rPr>
        <w:t>民币</w:t>
      </w:r>
      <w:r>
        <w:rPr>
          <w:rFonts w:ascii="Arial" w:hAnsi="Arial" w:cs="Arial" w:eastAsia="Arial" w:hint="default"/>
          <w:w w:val="95"/>
        </w:rPr>
        <w:t>1,115.81</w:t>
      </w:r>
      <w:r>
        <w:rPr>
          <w:w w:val="95"/>
        </w:rPr>
        <w:t>亿元（</w:t>
      </w:r>
      <w:r>
        <w:rPr>
          <w:rFonts w:ascii="Arial" w:hAnsi="Arial" w:cs="Arial" w:eastAsia="Arial" w:hint="default"/>
          <w:w w:val="95"/>
        </w:rPr>
        <w:t>2011</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日：约人民币</w:t>
      </w:r>
      <w:r>
        <w:rPr>
          <w:rFonts w:ascii="Arial" w:hAnsi="Arial" w:cs="Arial" w:eastAsia="Arial" w:hint="default"/>
          <w:w w:val="95"/>
        </w:rPr>
        <w:t>728.30</w:t>
      </w:r>
      <w:r>
        <w:rPr>
          <w:w w:val="95"/>
        </w:rPr>
        <w:t>亿元），浮动利率计息的银行借款、</w:t>
      </w:r>
      <w:r>
        <w:rPr>
          <w:spacing w:val="13"/>
          <w:w w:val="95"/>
        </w:rPr>
        <w:t> </w:t>
      </w:r>
      <w:r>
        <w:rPr>
          <w:spacing w:val="13"/>
          <w:w w:val="95"/>
        </w:rPr>
      </w:r>
      <w:r>
        <w:rPr>
          <w:spacing w:val="-2"/>
        </w:rPr>
        <w:t>应付融资租赁款及关联方借款等约为人民币</w:t>
      </w:r>
      <w:r>
        <w:rPr>
          <w:rFonts w:ascii="Arial" w:hAnsi="Arial" w:cs="Arial" w:eastAsia="Arial" w:hint="default"/>
          <w:spacing w:val="-2"/>
        </w:rPr>
        <w:t>305.39</w:t>
      </w:r>
      <w:r>
        <w:rPr>
          <w:spacing w:val="-2"/>
        </w:rPr>
        <w:t>亿元（</w:t>
      </w:r>
      <w:r>
        <w:rPr>
          <w:rFonts w:ascii="Arial" w:hAnsi="Arial" w:cs="Arial" w:eastAsia="Arial" w:hint="default"/>
          <w:spacing w:val="-2"/>
        </w:rPr>
        <w:t>2011</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日：约人民币</w:t>
      </w:r>
      <w:r>
        <w:rPr>
          <w:rFonts w:ascii="Arial" w:hAnsi="Arial" w:cs="Arial" w:eastAsia="Arial" w:hint="default"/>
          <w:spacing w:val="-2"/>
        </w:rPr>
        <w:t>342.78</w:t>
      </w:r>
      <w:r>
        <w:rPr>
          <w:rFonts w:ascii="Arial" w:hAnsi="Arial" w:cs="Arial" w:eastAsia="Arial" w:hint="default"/>
          <w:w w:val="99"/>
        </w:rPr>
        <w:t> </w:t>
      </w:r>
      <w:r>
        <w:rPr/>
        <w:t>亿元）。</w:t>
      </w:r>
    </w:p>
    <w:p>
      <w:pPr>
        <w:spacing w:line="240" w:lineRule="auto" w:before="3"/>
        <w:rPr>
          <w:rFonts w:ascii="宋体" w:hAnsi="宋体" w:cs="宋体" w:eastAsia="宋体" w:hint="default"/>
          <w:sz w:val="19"/>
          <w:szCs w:val="19"/>
        </w:rPr>
      </w:pPr>
    </w:p>
    <w:p>
      <w:pPr>
        <w:pStyle w:val="BodyText"/>
        <w:spacing w:line="286" w:lineRule="exact"/>
        <w:ind w:left="596" w:right="155"/>
        <w:jc w:val="both"/>
      </w:pPr>
      <w:r>
        <w:rPr>
          <w:spacing w:val="-2"/>
          <w:w w:val="95"/>
        </w:rPr>
        <w:t>于</w:t>
      </w:r>
      <w:r>
        <w:rPr>
          <w:rFonts w:ascii="Arial" w:hAnsi="Arial" w:cs="Arial" w:eastAsia="Arial" w:hint="default"/>
          <w:spacing w:val="-2"/>
          <w:w w:val="95"/>
        </w:rPr>
        <w:t>2012</w:t>
      </w:r>
      <w:r>
        <w:rPr>
          <w:spacing w:val="-2"/>
          <w:w w:val="95"/>
        </w:rPr>
        <w:t>年</w:t>
      </w:r>
      <w:r>
        <w:rPr>
          <w:rFonts w:ascii="Arial" w:hAnsi="Arial" w:cs="Arial" w:eastAsia="Arial" w:hint="default"/>
          <w:spacing w:val="-2"/>
          <w:w w:val="95"/>
        </w:rPr>
        <w:t>12</w:t>
      </w:r>
      <w:r>
        <w:rPr>
          <w:spacing w:val="-2"/>
          <w:w w:val="95"/>
        </w:rPr>
        <w:t>月</w:t>
      </w:r>
      <w:r>
        <w:rPr>
          <w:rFonts w:ascii="Arial" w:hAnsi="Arial" w:cs="Arial" w:eastAsia="Arial" w:hint="default"/>
          <w:spacing w:val="-2"/>
          <w:w w:val="95"/>
        </w:rPr>
        <w:t>31</w:t>
      </w:r>
      <w:r>
        <w:rPr>
          <w:spacing w:val="-2"/>
          <w:w w:val="95"/>
        </w:rPr>
        <w:t>日，假设以浮动利率计算的借款利率上升或下降</w:t>
      </w:r>
      <w:r>
        <w:rPr>
          <w:rFonts w:ascii="Arial" w:hAnsi="Arial" w:cs="Arial" w:eastAsia="Arial" w:hint="default"/>
          <w:spacing w:val="-2"/>
          <w:w w:val="95"/>
        </w:rPr>
        <w:t>50</w:t>
      </w:r>
      <w:r>
        <w:rPr>
          <w:spacing w:val="-2"/>
          <w:w w:val="95"/>
        </w:rPr>
        <w:t>个基点，而其他因素保持</w:t>
      </w:r>
      <w:r>
        <w:rPr>
          <w:spacing w:val="13"/>
          <w:w w:val="95"/>
        </w:rPr>
        <w:t> </w:t>
      </w:r>
      <w:r>
        <w:rPr>
          <w:spacing w:val="13"/>
          <w:w w:val="95"/>
        </w:rPr>
      </w:r>
      <w:r>
        <w:rPr>
          <w:spacing w:val="-2"/>
        </w:rPr>
        <w:t>不变，本集团的利息费用会额外增加或减少约人民币</w:t>
      </w:r>
      <w:r>
        <w:rPr>
          <w:rFonts w:ascii="Arial" w:hAnsi="Arial" w:cs="Arial" w:eastAsia="Arial" w:hint="default"/>
          <w:spacing w:val="-2"/>
        </w:rPr>
        <w:t>1.53</w:t>
      </w:r>
      <w:r>
        <w:rPr>
          <w:spacing w:val="-2"/>
        </w:rPr>
        <w:t>亿元（</w:t>
      </w:r>
      <w:r>
        <w:rPr>
          <w:rFonts w:ascii="Arial" w:hAnsi="Arial" w:cs="Arial" w:eastAsia="Arial" w:hint="default"/>
          <w:spacing w:val="-2"/>
        </w:rPr>
        <w:t>2011</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日：约人民币</w:t>
      </w:r>
      <w:r>
        <w:rPr>
          <w:spacing w:val="-82"/>
        </w:rPr>
        <w:t> </w:t>
      </w:r>
      <w:r>
        <w:rPr>
          <w:spacing w:val="-82"/>
        </w:rPr>
      </w:r>
      <w:r>
        <w:rPr>
          <w:rFonts w:ascii="Arial" w:hAnsi="Arial" w:cs="Arial" w:eastAsia="Arial" w:hint="default"/>
        </w:rPr>
        <w:t>1.71</w:t>
      </w:r>
      <w:r>
        <w:rPr/>
        <w:t>亿元）。</w:t>
      </w:r>
    </w:p>
    <w:p>
      <w:pPr>
        <w:spacing w:line="240" w:lineRule="auto" w:before="1"/>
        <w:rPr>
          <w:rFonts w:ascii="宋体" w:hAnsi="宋体" w:cs="宋体" w:eastAsia="宋体" w:hint="default"/>
          <w:sz w:val="17"/>
          <w:szCs w:val="17"/>
        </w:rPr>
      </w:pPr>
    </w:p>
    <w:p>
      <w:pPr>
        <w:pStyle w:val="BodyText"/>
        <w:spacing w:line="240" w:lineRule="auto"/>
        <w:ind w:left="118" w:right="213"/>
        <w:jc w:val="left"/>
      </w:pPr>
      <w:r>
        <w:rPr>
          <w:rFonts w:ascii="Arial" w:hAnsi="Arial" w:cs="Arial" w:eastAsia="Arial" w:hint="default"/>
        </w:rPr>
        <w:t>(2)  </w:t>
      </w:r>
      <w:r>
        <w:rPr>
          <w:rFonts w:ascii="Arial" w:hAnsi="Arial" w:cs="Arial" w:eastAsia="Arial" w:hint="default"/>
          <w:spacing w:val="13"/>
        </w:rPr>
        <w:t> </w:t>
      </w:r>
      <w:r>
        <w:rPr/>
        <w:t>信用风险</w:t>
      </w:r>
    </w:p>
    <w:p>
      <w:pPr>
        <w:spacing w:line="240" w:lineRule="auto" w:before="2"/>
        <w:rPr>
          <w:rFonts w:ascii="宋体" w:hAnsi="宋体" w:cs="宋体" w:eastAsia="宋体" w:hint="default"/>
          <w:sz w:val="20"/>
          <w:szCs w:val="20"/>
        </w:rPr>
      </w:pPr>
    </w:p>
    <w:p>
      <w:pPr>
        <w:pStyle w:val="BodyText"/>
        <w:spacing w:line="286" w:lineRule="exact"/>
        <w:ind w:left="596" w:right="158"/>
        <w:jc w:val="both"/>
      </w:pPr>
      <w:r>
        <w:rPr/>
        <w:t>本集团对信用风险按组合分类进行管理。本集团的货币资金，以及提供给企业客户、个人客</w:t>
      </w:r>
      <w:r>
        <w:rPr>
          <w:spacing w:val="-87"/>
        </w:rPr>
        <w:t> </w:t>
      </w:r>
      <w:r>
        <w:rPr>
          <w:spacing w:val="-87"/>
        </w:rPr>
      </w:r>
      <w:r>
        <w:rPr/>
        <w:t>户、关联公司及其它电信运营商的信用额度均会产生信用风险。</w:t>
      </w:r>
    </w:p>
    <w:p>
      <w:pPr>
        <w:spacing w:line="240" w:lineRule="auto" w:before="3"/>
        <w:rPr>
          <w:rFonts w:ascii="宋体" w:hAnsi="宋体" w:cs="宋体" w:eastAsia="宋体" w:hint="default"/>
          <w:sz w:val="19"/>
          <w:szCs w:val="19"/>
        </w:rPr>
      </w:pPr>
    </w:p>
    <w:p>
      <w:pPr>
        <w:pStyle w:val="BodyText"/>
        <w:spacing w:line="286" w:lineRule="exact"/>
        <w:ind w:left="596" w:right="161"/>
        <w:jc w:val="both"/>
      </w:pPr>
      <w:r>
        <w:rPr/>
        <w:t>下表列示了本集团于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日及</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日存放于主要银行的现金及现金等价</w:t>
      </w:r>
      <w:r>
        <w:rPr>
          <w:spacing w:val="-78"/>
        </w:rPr>
        <w:t> </w:t>
      </w:r>
      <w:r>
        <w:rPr>
          <w:spacing w:val="-78"/>
        </w:rPr>
      </w:r>
      <w:r>
        <w:rPr/>
        <w:t>物及银行存款余额：</w:t>
      </w:r>
    </w:p>
    <w:p>
      <w:pPr>
        <w:spacing w:line="240" w:lineRule="auto" w:before="4"/>
        <w:rPr>
          <w:rFonts w:ascii="宋体" w:hAnsi="宋体" w:cs="宋体" w:eastAsia="宋体" w:hint="default"/>
          <w:sz w:val="22"/>
          <w:szCs w:val="22"/>
        </w:rPr>
      </w:pPr>
    </w:p>
    <w:tbl>
      <w:tblPr>
        <w:tblW w:w="0" w:type="auto"/>
        <w:jc w:val="left"/>
        <w:tblInd w:w="476" w:type="dxa"/>
        <w:tblLayout w:type="fixed"/>
        <w:tblCellMar>
          <w:top w:w="0" w:type="dxa"/>
          <w:left w:w="0" w:type="dxa"/>
          <w:bottom w:w="0" w:type="dxa"/>
          <w:right w:w="0" w:type="dxa"/>
        </w:tblCellMar>
        <w:tblLook w:val="01E0"/>
      </w:tblPr>
      <w:tblGrid>
        <w:gridCol w:w="4122"/>
        <w:gridCol w:w="2226"/>
        <w:gridCol w:w="395"/>
        <w:gridCol w:w="2242"/>
      </w:tblGrid>
      <w:tr>
        <w:trPr>
          <w:trHeight w:val="261" w:hRule="exact"/>
        </w:trPr>
        <w:tc>
          <w:tcPr>
            <w:tcW w:w="4122" w:type="dxa"/>
            <w:tcBorders>
              <w:top w:val="nil" w:sz="6" w:space="0" w:color="auto"/>
              <w:left w:val="nil" w:sz="6" w:space="0" w:color="auto"/>
              <w:bottom w:val="nil" w:sz="6" w:space="0" w:color="auto"/>
              <w:right w:val="nil" w:sz="6" w:space="0" w:color="auto"/>
            </w:tcBorders>
          </w:tcPr>
          <w:p>
            <w:pPr>
              <w:pStyle w:val="TableParagraph"/>
              <w:spacing w:line="220" w:lineRule="exact"/>
              <w:ind w:left="200" w:right="0"/>
              <w:jc w:val="left"/>
              <w:rPr>
                <w:rFonts w:ascii="宋体" w:hAnsi="宋体" w:cs="宋体" w:eastAsia="宋体" w:hint="default"/>
                <w:sz w:val="22"/>
                <w:szCs w:val="22"/>
              </w:rPr>
            </w:pPr>
            <w:r>
              <w:rPr>
                <w:rFonts w:ascii="宋体" w:hAnsi="宋体" w:cs="宋体" w:eastAsia="宋体" w:hint="default"/>
                <w:sz w:val="22"/>
                <w:szCs w:val="22"/>
              </w:rPr>
              <w:t>（单位：人民币百万元）</w:t>
            </w:r>
          </w:p>
        </w:tc>
        <w:tc>
          <w:tcPr>
            <w:tcW w:w="2226" w:type="dxa"/>
            <w:tcBorders>
              <w:top w:val="nil" w:sz="6" w:space="0" w:color="auto"/>
              <w:left w:val="nil" w:sz="6" w:space="0" w:color="auto"/>
              <w:bottom w:val="single" w:sz="6" w:space="0" w:color="000000"/>
              <w:right w:val="nil" w:sz="6" w:space="0" w:color="auto"/>
            </w:tcBorders>
          </w:tcPr>
          <w:p>
            <w:pPr>
              <w:pStyle w:val="TableParagraph"/>
              <w:spacing w:line="235" w:lineRule="exact"/>
              <w:ind w:left="238" w:right="0"/>
              <w:jc w:val="lef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395"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single" w:sz="6" w:space="0" w:color="000000"/>
              <w:right w:val="nil" w:sz="6" w:space="0" w:color="auto"/>
            </w:tcBorders>
          </w:tcPr>
          <w:p>
            <w:pPr>
              <w:pStyle w:val="TableParagraph"/>
              <w:spacing w:line="235" w:lineRule="exact"/>
              <w:ind w:right="43"/>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465" w:hRule="exact"/>
        </w:trPr>
        <w:tc>
          <w:tcPr>
            <w:tcW w:w="4122"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200" w:right="0"/>
              <w:jc w:val="left"/>
              <w:rPr>
                <w:rFonts w:ascii="宋体" w:hAnsi="宋体" w:cs="宋体" w:eastAsia="宋体" w:hint="default"/>
                <w:sz w:val="22"/>
                <w:szCs w:val="22"/>
              </w:rPr>
            </w:pPr>
            <w:r>
              <w:rPr>
                <w:rFonts w:ascii="宋体" w:hAnsi="宋体" w:cs="宋体" w:eastAsia="宋体" w:hint="default"/>
                <w:sz w:val="22"/>
                <w:szCs w:val="22"/>
              </w:rPr>
              <w:t>现金及现金等价物</w:t>
            </w:r>
          </w:p>
        </w:tc>
        <w:tc>
          <w:tcPr>
            <w:tcW w:w="2226" w:type="dxa"/>
            <w:tcBorders>
              <w:top w:val="single" w:sz="6" w:space="0" w:color="000000"/>
              <w:left w:val="nil" w:sz="6" w:space="0" w:color="auto"/>
              <w:bottom w:val="nil" w:sz="6" w:space="0" w:color="auto"/>
              <w:right w:val="nil" w:sz="6" w:space="0" w:color="auto"/>
            </w:tcBorders>
          </w:tcPr>
          <w:p>
            <w:pPr/>
          </w:p>
        </w:tc>
        <w:tc>
          <w:tcPr>
            <w:tcW w:w="395" w:type="dxa"/>
            <w:tcBorders>
              <w:top w:val="nil" w:sz="6" w:space="0" w:color="auto"/>
              <w:left w:val="nil" w:sz="6" w:space="0" w:color="auto"/>
              <w:bottom w:val="nil" w:sz="6" w:space="0" w:color="auto"/>
              <w:right w:val="nil" w:sz="6" w:space="0" w:color="auto"/>
            </w:tcBorders>
          </w:tcPr>
          <w:p>
            <w:pPr/>
          </w:p>
        </w:tc>
        <w:tc>
          <w:tcPr>
            <w:tcW w:w="2242" w:type="dxa"/>
            <w:tcBorders>
              <w:top w:val="single" w:sz="6" w:space="0" w:color="000000"/>
              <w:left w:val="nil" w:sz="6" w:space="0" w:color="auto"/>
              <w:bottom w:val="nil" w:sz="6" w:space="0" w:color="auto"/>
              <w:right w:val="nil" w:sz="6" w:space="0" w:color="auto"/>
            </w:tcBorders>
          </w:tcPr>
          <w:p>
            <w:pPr/>
          </w:p>
        </w:tc>
      </w:tr>
      <w:tr>
        <w:trPr>
          <w:trHeight w:val="299" w:hRule="exact"/>
        </w:trPr>
        <w:tc>
          <w:tcPr>
            <w:tcW w:w="4122" w:type="dxa"/>
            <w:tcBorders>
              <w:top w:val="nil" w:sz="6" w:space="0" w:color="auto"/>
              <w:left w:val="nil" w:sz="6" w:space="0" w:color="auto"/>
              <w:bottom w:val="nil" w:sz="6" w:space="0" w:color="auto"/>
              <w:right w:val="nil" w:sz="6" w:space="0" w:color="auto"/>
            </w:tcBorders>
          </w:tcPr>
          <w:p>
            <w:pPr>
              <w:pStyle w:val="TableParagraph"/>
              <w:spacing w:line="253" w:lineRule="exact"/>
              <w:ind w:left="420" w:right="0"/>
              <w:jc w:val="left"/>
              <w:rPr>
                <w:rFonts w:ascii="宋体" w:hAnsi="宋体" w:cs="宋体" w:eastAsia="宋体" w:hint="default"/>
                <w:sz w:val="22"/>
                <w:szCs w:val="22"/>
              </w:rPr>
            </w:pPr>
            <w:r>
              <w:rPr>
                <w:rFonts w:ascii="宋体" w:hAnsi="宋体" w:cs="宋体" w:eastAsia="宋体" w:hint="default"/>
                <w:sz w:val="22"/>
                <w:szCs w:val="22"/>
              </w:rPr>
              <w:t>国有银行</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7"/>
              <w:jc w:val="right"/>
              <w:rPr>
                <w:rFonts w:ascii="Arial" w:hAnsi="Arial" w:cs="Arial" w:eastAsia="Arial" w:hint="default"/>
                <w:sz w:val="22"/>
                <w:szCs w:val="22"/>
              </w:rPr>
            </w:pPr>
            <w:r>
              <w:rPr>
                <w:rFonts w:ascii="Arial"/>
                <w:w w:val="95"/>
                <w:sz w:val="22"/>
              </w:rPr>
              <w:t>17,982</w:t>
            </w:r>
            <w:r>
              <w:rPr>
                <w:rFonts w:ascii="Arial"/>
                <w:sz w:val="22"/>
              </w:rPr>
            </w:r>
          </w:p>
        </w:tc>
        <w:tc>
          <w:tcPr>
            <w:tcW w:w="395"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15"/>
              <w:jc w:val="right"/>
              <w:rPr>
                <w:rFonts w:ascii="Arial" w:hAnsi="Arial" w:cs="Arial" w:eastAsia="Arial" w:hint="default"/>
                <w:sz w:val="22"/>
                <w:szCs w:val="22"/>
              </w:rPr>
            </w:pPr>
            <w:r>
              <w:rPr>
                <w:rFonts w:ascii="Arial"/>
                <w:w w:val="95"/>
                <w:sz w:val="22"/>
              </w:rPr>
              <w:t>14,388</w:t>
            </w:r>
            <w:r>
              <w:rPr>
                <w:rFonts w:ascii="Arial"/>
                <w:sz w:val="22"/>
              </w:rPr>
            </w:r>
          </w:p>
        </w:tc>
      </w:tr>
      <w:tr>
        <w:trPr>
          <w:trHeight w:val="290" w:hRule="exact"/>
        </w:trPr>
        <w:tc>
          <w:tcPr>
            <w:tcW w:w="4122" w:type="dxa"/>
            <w:tcBorders>
              <w:top w:val="nil" w:sz="6" w:space="0" w:color="auto"/>
              <w:left w:val="nil" w:sz="6" w:space="0" w:color="auto"/>
              <w:bottom w:val="nil" w:sz="6" w:space="0" w:color="auto"/>
              <w:right w:val="nil" w:sz="6" w:space="0" w:color="auto"/>
            </w:tcBorders>
          </w:tcPr>
          <w:p>
            <w:pPr>
              <w:pStyle w:val="TableParagraph"/>
              <w:spacing w:line="239" w:lineRule="exact"/>
              <w:ind w:left="420" w:right="0"/>
              <w:jc w:val="left"/>
              <w:rPr>
                <w:rFonts w:ascii="宋体" w:hAnsi="宋体" w:cs="宋体" w:eastAsia="宋体" w:hint="default"/>
                <w:sz w:val="22"/>
                <w:szCs w:val="22"/>
              </w:rPr>
            </w:pPr>
            <w:r>
              <w:rPr>
                <w:rFonts w:ascii="宋体" w:hAnsi="宋体" w:cs="宋体" w:eastAsia="宋体" w:hint="default"/>
                <w:sz w:val="22"/>
                <w:szCs w:val="22"/>
              </w:rPr>
              <w:t>其他银行</w:t>
            </w:r>
          </w:p>
        </w:tc>
        <w:tc>
          <w:tcPr>
            <w:tcW w:w="2226" w:type="dxa"/>
            <w:tcBorders>
              <w:top w:val="nil" w:sz="6" w:space="0" w:color="auto"/>
              <w:left w:val="nil" w:sz="6" w:space="0" w:color="auto"/>
              <w:bottom w:val="nil" w:sz="6" w:space="0" w:color="auto"/>
              <w:right w:val="nil" w:sz="6" w:space="0" w:color="auto"/>
            </w:tcBorders>
          </w:tcPr>
          <w:p>
            <w:pPr>
              <w:pStyle w:val="TableParagraph"/>
              <w:tabs>
                <w:tab w:pos="1749" w:val="left" w:leader="none"/>
                <w:tab w:pos="2226"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306</w:t>
            </w:r>
            <w:r>
              <w:rPr>
                <w:rFonts w:ascii="Arial"/>
                <w:sz w:val="22"/>
                <w:u w:val="single" w:color="000000"/>
              </w:rPr>
              <w:tab/>
            </w:r>
            <w:r>
              <w:rPr>
                <w:rFonts w:ascii="Arial"/>
                <w:sz w:val="22"/>
              </w:rPr>
            </w:r>
          </w:p>
        </w:tc>
        <w:tc>
          <w:tcPr>
            <w:tcW w:w="395"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nil" w:sz="6" w:space="0" w:color="auto"/>
              <w:right w:val="nil" w:sz="6" w:space="0" w:color="auto"/>
            </w:tcBorders>
          </w:tcPr>
          <w:p>
            <w:pPr>
              <w:pStyle w:val="TableParagraph"/>
              <w:tabs>
                <w:tab w:pos="1749" w:val="left" w:leader="none"/>
                <w:tab w:pos="2234"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747</w:t>
            </w:r>
            <w:r>
              <w:rPr>
                <w:rFonts w:ascii="Arial"/>
                <w:sz w:val="22"/>
                <w:u w:val="single" w:color="000000"/>
              </w:rPr>
              <w:tab/>
            </w:r>
            <w:r>
              <w:rPr>
                <w:rFonts w:ascii="Arial"/>
                <w:sz w:val="22"/>
              </w:rPr>
            </w:r>
          </w:p>
        </w:tc>
      </w:tr>
      <w:tr>
        <w:trPr>
          <w:trHeight w:val="271" w:hRule="exact"/>
        </w:trPr>
        <w:tc>
          <w:tcPr>
            <w:tcW w:w="4122" w:type="dxa"/>
            <w:tcBorders>
              <w:top w:val="nil" w:sz="6" w:space="0" w:color="auto"/>
              <w:left w:val="nil" w:sz="6" w:space="0" w:color="auto"/>
              <w:bottom w:val="nil" w:sz="6" w:space="0" w:color="auto"/>
              <w:right w:val="nil" w:sz="6" w:space="0" w:color="auto"/>
            </w:tcBorders>
          </w:tcPr>
          <w:p>
            <w:pPr/>
          </w:p>
        </w:tc>
        <w:tc>
          <w:tcPr>
            <w:tcW w:w="2226" w:type="dxa"/>
            <w:tcBorders>
              <w:top w:val="nil" w:sz="6" w:space="0" w:color="auto"/>
              <w:left w:val="nil" w:sz="6" w:space="0" w:color="auto"/>
              <w:bottom w:val="nil" w:sz="6" w:space="0" w:color="auto"/>
              <w:right w:val="nil" w:sz="6" w:space="0" w:color="auto"/>
            </w:tcBorders>
          </w:tcPr>
          <w:p>
            <w:pPr>
              <w:pStyle w:val="TableParagraph"/>
              <w:tabs>
                <w:tab w:pos="1443" w:val="left" w:leader="none"/>
                <w:tab w:pos="2226" w:val="left" w:leader="none"/>
              </w:tabs>
              <w:spacing w:line="249" w:lineRule="exact"/>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18,288</w:t>
            </w:r>
            <w:r>
              <w:rPr>
                <w:rFonts w:ascii="Arial"/>
                <w:sz w:val="22"/>
                <w:u w:val="single" w:color="000000"/>
              </w:rPr>
              <w:tab/>
            </w:r>
            <w:r>
              <w:rPr>
                <w:rFonts w:ascii="Arial"/>
                <w:sz w:val="22"/>
              </w:rPr>
            </w:r>
          </w:p>
        </w:tc>
        <w:tc>
          <w:tcPr>
            <w:tcW w:w="395"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nil" w:sz="6" w:space="0" w:color="auto"/>
              <w:right w:val="nil" w:sz="6" w:space="0" w:color="auto"/>
            </w:tcBorders>
          </w:tcPr>
          <w:p>
            <w:pPr>
              <w:pStyle w:val="TableParagraph"/>
              <w:tabs>
                <w:tab w:pos="1443" w:val="left" w:leader="none"/>
                <w:tab w:pos="2234" w:val="left" w:leader="none"/>
              </w:tabs>
              <w:spacing w:line="249" w:lineRule="exact"/>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15,135</w:t>
            </w:r>
            <w:r>
              <w:rPr>
                <w:rFonts w:ascii="Arial"/>
                <w:sz w:val="22"/>
                <w:u w:val="single" w:color="000000"/>
              </w:rPr>
              <w:tab/>
            </w:r>
            <w:r>
              <w:rPr>
                <w:rFonts w:ascii="Arial"/>
                <w:sz w:val="22"/>
              </w:rPr>
            </w:r>
          </w:p>
        </w:tc>
      </w:tr>
      <w:tr>
        <w:trPr>
          <w:trHeight w:val="285" w:hRule="exact"/>
        </w:trPr>
        <w:tc>
          <w:tcPr>
            <w:tcW w:w="4122"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2"/>
                <w:szCs w:val="22"/>
              </w:rPr>
            </w:pPr>
            <w:r>
              <w:rPr>
                <w:rFonts w:ascii="Arial" w:hAnsi="Arial" w:cs="Arial" w:eastAsia="Arial" w:hint="default"/>
                <w:sz w:val="22"/>
                <w:szCs w:val="22"/>
              </w:rPr>
              <w:t>3</w:t>
            </w:r>
            <w:r>
              <w:rPr>
                <w:rFonts w:ascii="Arial" w:hAnsi="Arial" w:cs="Arial" w:eastAsia="Arial" w:hint="default"/>
                <w:spacing w:val="-10"/>
                <w:sz w:val="22"/>
                <w:szCs w:val="22"/>
              </w:rPr>
              <w:t> </w:t>
            </w:r>
            <w:r>
              <w:rPr>
                <w:rFonts w:ascii="宋体" w:hAnsi="宋体" w:cs="宋体" w:eastAsia="宋体" w:hint="default"/>
                <w:sz w:val="22"/>
                <w:szCs w:val="22"/>
              </w:rPr>
              <w:t>个月以上银行存款等</w:t>
            </w:r>
          </w:p>
        </w:tc>
        <w:tc>
          <w:tcPr>
            <w:tcW w:w="2226" w:type="dxa"/>
            <w:tcBorders>
              <w:top w:val="nil" w:sz="6" w:space="0" w:color="auto"/>
              <w:left w:val="nil" w:sz="6" w:space="0" w:color="auto"/>
              <w:bottom w:val="nil" w:sz="6" w:space="0" w:color="auto"/>
              <w:right w:val="nil" w:sz="6" w:space="0" w:color="auto"/>
            </w:tcBorders>
          </w:tcPr>
          <w:p>
            <w:pPr/>
          </w:p>
        </w:tc>
        <w:tc>
          <w:tcPr>
            <w:tcW w:w="395"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nil" w:sz="6" w:space="0" w:color="auto"/>
              <w:right w:val="nil" w:sz="6" w:space="0" w:color="auto"/>
            </w:tcBorders>
          </w:tcPr>
          <w:p>
            <w:pPr/>
          </w:p>
        </w:tc>
      </w:tr>
      <w:tr>
        <w:trPr>
          <w:trHeight w:val="293" w:hRule="exact"/>
        </w:trPr>
        <w:tc>
          <w:tcPr>
            <w:tcW w:w="4122" w:type="dxa"/>
            <w:tcBorders>
              <w:top w:val="nil" w:sz="6" w:space="0" w:color="auto"/>
              <w:left w:val="nil" w:sz="6" w:space="0" w:color="auto"/>
              <w:bottom w:val="nil" w:sz="6" w:space="0" w:color="auto"/>
              <w:right w:val="nil" w:sz="6" w:space="0" w:color="auto"/>
            </w:tcBorders>
          </w:tcPr>
          <w:p>
            <w:pPr>
              <w:pStyle w:val="TableParagraph"/>
              <w:spacing w:line="247" w:lineRule="exact"/>
              <w:ind w:left="420" w:right="0"/>
              <w:jc w:val="left"/>
              <w:rPr>
                <w:rFonts w:ascii="宋体" w:hAnsi="宋体" w:cs="宋体" w:eastAsia="宋体" w:hint="default"/>
                <w:sz w:val="22"/>
                <w:szCs w:val="22"/>
              </w:rPr>
            </w:pPr>
            <w:r>
              <w:rPr>
                <w:rFonts w:ascii="宋体" w:hAnsi="宋体" w:cs="宋体" w:eastAsia="宋体" w:hint="default"/>
                <w:sz w:val="22"/>
                <w:szCs w:val="22"/>
              </w:rPr>
              <w:t>国有银行</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Arial" w:hAnsi="Arial" w:cs="Arial" w:eastAsia="Arial" w:hint="default"/>
                <w:sz w:val="22"/>
                <w:szCs w:val="22"/>
              </w:rPr>
            </w:pPr>
            <w:r>
              <w:rPr>
                <w:rFonts w:ascii="Arial"/>
                <w:w w:val="95"/>
                <w:sz w:val="22"/>
              </w:rPr>
              <w:t>32</w:t>
            </w:r>
            <w:r>
              <w:rPr>
                <w:rFonts w:ascii="Arial"/>
                <w:sz w:val="22"/>
              </w:rPr>
            </w:r>
          </w:p>
        </w:tc>
        <w:tc>
          <w:tcPr>
            <w:tcW w:w="395"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15"/>
              <w:jc w:val="right"/>
              <w:rPr>
                <w:rFonts w:ascii="Arial" w:hAnsi="Arial" w:cs="Arial" w:eastAsia="Arial" w:hint="default"/>
                <w:sz w:val="22"/>
                <w:szCs w:val="22"/>
              </w:rPr>
            </w:pPr>
            <w:r>
              <w:rPr>
                <w:rFonts w:ascii="Arial"/>
                <w:w w:val="95"/>
                <w:sz w:val="22"/>
              </w:rPr>
              <w:t>177</w:t>
            </w:r>
            <w:r>
              <w:rPr>
                <w:rFonts w:ascii="Arial"/>
                <w:sz w:val="22"/>
              </w:rPr>
            </w:r>
          </w:p>
        </w:tc>
      </w:tr>
      <w:tr>
        <w:trPr>
          <w:trHeight w:val="290" w:hRule="exact"/>
        </w:trPr>
        <w:tc>
          <w:tcPr>
            <w:tcW w:w="4122" w:type="dxa"/>
            <w:tcBorders>
              <w:top w:val="nil" w:sz="6" w:space="0" w:color="auto"/>
              <w:left w:val="nil" w:sz="6" w:space="0" w:color="auto"/>
              <w:bottom w:val="nil" w:sz="6" w:space="0" w:color="auto"/>
              <w:right w:val="nil" w:sz="6" w:space="0" w:color="auto"/>
            </w:tcBorders>
          </w:tcPr>
          <w:p>
            <w:pPr>
              <w:pStyle w:val="TableParagraph"/>
              <w:spacing w:line="239" w:lineRule="exact"/>
              <w:ind w:left="420" w:right="0"/>
              <w:jc w:val="left"/>
              <w:rPr>
                <w:rFonts w:ascii="宋体" w:hAnsi="宋体" w:cs="宋体" w:eastAsia="宋体" w:hint="default"/>
                <w:sz w:val="22"/>
                <w:szCs w:val="22"/>
              </w:rPr>
            </w:pPr>
            <w:r>
              <w:rPr>
                <w:rFonts w:ascii="宋体" w:hAnsi="宋体" w:cs="宋体" w:eastAsia="宋体" w:hint="default"/>
                <w:sz w:val="22"/>
                <w:szCs w:val="22"/>
              </w:rPr>
              <w:t>其他银行</w:t>
            </w:r>
          </w:p>
        </w:tc>
        <w:tc>
          <w:tcPr>
            <w:tcW w:w="2226" w:type="dxa"/>
            <w:tcBorders>
              <w:top w:val="nil" w:sz="6" w:space="0" w:color="auto"/>
              <w:left w:val="nil" w:sz="6" w:space="0" w:color="auto"/>
              <w:bottom w:val="nil" w:sz="6" w:space="0" w:color="auto"/>
              <w:right w:val="nil" w:sz="6" w:space="0" w:color="auto"/>
            </w:tcBorders>
          </w:tcPr>
          <w:p>
            <w:pPr>
              <w:pStyle w:val="TableParagraph"/>
              <w:tabs>
                <w:tab w:pos="2043" w:val="left" w:leader="none"/>
                <w:tab w:pos="2226"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sz w:val="22"/>
                <w:u w:val="single" w:color="000000"/>
              </w:rPr>
              <w:tab/>
            </w:r>
            <w:r>
              <w:rPr>
                <w:rFonts w:ascii="Arial"/>
                <w:sz w:val="22"/>
              </w:rPr>
            </w:r>
          </w:p>
        </w:tc>
        <w:tc>
          <w:tcPr>
            <w:tcW w:w="395"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nil" w:sz="6" w:space="0" w:color="auto"/>
              <w:right w:val="nil" w:sz="6" w:space="0" w:color="auto"/>
            </w:tcBorders>
          </w:tcPr>
          <w:p>
            <w:pPr>
              <w:pStyle w:val="TableParagraph"/>
              <w:tabs>
                <w:tab w:pos="1749" w:val="left" w:leader="none"/>
                <w:tab w:pos="2234"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127</w:t>
            </w:r>
            <w:r>
              <w:rPr>
                <w:rFonts w:ascii="Arial"/>
                <w:sz w:val="22"/>
                <w:u w:val="single" w:color="000000"/>
              </w:rPr>
              <w:tab/>
            </w:r>
            <w:r>
              <w:rPr>
                <w:rFonts w:ascii="Arial"/>
                <w:sz w:val="22"/>
              </w:rPr>
            </w:r>
          </w:p>
        </w:tc>
      </w:tr>
      <w:tr>
        <w:trPr>
          <w:trHeight w:val="271" w:hRule="exact"/>
        </w:trPr>
        <w:tc>
          <w:tcPr>
            <w:tcW w:w="4122" w:type="dxa"/>
            <w:tcBorders>
              <w:top w:val="nil" w:sz="6" w:space="0" w:color="auto"/>
              <w:left w:val="nil" w:sz="6" w:space="0" w:color="auto"/>
              <w:bottom w:val="nil" w:sz="6" w:space="0" w:color="auto"/>
              <w:right w:val="nil" w:sz="6" w:space="0" w:color="auto"/>
            </w:tcBorders>
          </w:tcPr>
          <w:p>
            <w:pPr/>
          </w:p>
        </w:tc>
        <w:tc>
          <w:tcPr>
            <w:tcW w:w="2226" w:type="dxa"/>
            <w:tcBorders>
              <w:top w:val="nil" w:sz="6" w:space="0" w:color="auto"/>
              <w:left w:val="nil" w:sz="6" w:space="0" w:color="auto"/>
              <w:bottom w:val="nil" w:sz="6" w:space="0" w:color="auto"/>
              <w:right w:val="nil" w:sz="6" w:space="0" w:color="auto"/>
            </w:tcBorders>
          </w:tcPr>
          <w:p>
            <w:pPr>
              <w:pStyle w:val="TableParagraph"/>
              <w:tabs>
                <w:tab w:pos="1872" w:val="left" w:leader="none"/>
                <w:tab w:pos="2226" w:val="left" w:leader="none"/>
              </w:tabs>
              <w:spacing w:line="249" w:lineRule="exact"/>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32</w:t>
            </w:r>
            <w:r>
              <w:rPr>
                <w:rFonts w:ascii="Arial"/>
                <w:sz w:val="22"/>
                <w:u w:val="single" w:color="000000"/>
              </w:rPr>
              <w:tab/>
            </w:r>
            <w:r>
              <w:rPr>
                <w:rFonts w:ascii="Arial"/>
                <w:sz w:val="22"/>
              </w:rPr>
            </w:r>
          </w:p>
        </w:tc>
        <w:tc>
          <w:tcPr>
            <w:tcW w:w="395"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nil" w:sz="6" w:space="0" w:color="auto"/>
              <w:right w:val="nil" w:sz="6" w:space="0" w:color="auto"/>
            </w:tcBorders>
          </w:tcPr>
          <w:p>
            <w:pPr>
              <w:pStyle w:val="TableParagraph"/>
              <w:tabs>
                <w:tab w:pos="1749" w:val="left" w:leader="none"/>
                <w:tab w:pos="2234" w:val="left" w:leader="none"/>
              </w:tabs>
              <w:spacing w:line="249" w:lineRule="exact"/>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304</w:t>
            </w:r>
            <w:r>
              <w:rPr>
                <w:rFonts w:ascii="Arial"/>
                <w:sz w:val="22"/>
                <w:u w:val="single" w:color="000000"/>
              </w:rPr>
              <w:tab/>
            </w:r>
            <w:r>
              <w:rPr>
                <w:rFonts w:ascii="Arial"/>
                <w:sz w:val="22"/>
              </w:rPr>
            </w:r>
          </w:p>
        </w:tc>
      </w:tr>
      <w:tr>
        <w:trPr>
          <w:trHeight w:val="305" w:hRule="exact"/>
        </w:trPr>
        <w:tc>
          <w:tcPr>
            <w:tcW w:w="4122"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2"/>
                <w:szCs w:val="22"/>
              </w:rPr>
            </w:pPr>
            <w:r>
              <w:rPr>
                <w:rFonts w:ascii="宋体" w:hAnsi="宋体" w:cs="宋体" w:eastAsia="宋体" w:hint="default"/>
                <w:sz w:val="22"/>
                <w:szCs w:val="22"/>
              </w:rPr>
              <w:t>货币资金合计</w:t>
            </w:r>
          </w:p>
        </w:tc>
        <w:tc>
          <w:tcPr>
            <w:tcW w:w="2226" w:type="dxa"/>
            <w:tcBorders>
              <w:top w:val="nil" w:sz="6" w:space="0" w:color="auto"/>
              <w:left w:val="nil" w:sz="6" w:space="0" w:color="auto"/>
              <w:bottom w:val="single" w:sz="17" w:space="0" w:color="000000"/>
              <w:right w:val="nil" w:sz="6" w:space="0" w:color="auto"/>
            </w:tcBorders>
          </w:tcPr>
          <w:p>
            <w:pPr>
              <w:pStyle w:val="TableParagraph"/>
              <w:spacing w:line="240" w:lineRule="auto" w:before="25"/>
              <w:ind w:right="107"/>
              <w:jc w:val="right"/>
              <w:rPr>
                <w:rFonts w:ascii="Arial" w:hAnsi="Arial" w:cs="Arial" w:eastAsia="Arial" w:hint="default"/>
                <w:sz w:val="22"/>
                <w:szCs w:val="22"/>
              </w:rPr>
            </w:pPr>
            <w:r>
              <w:rPr>
                <w:rFonts w:ascii="Arial"/>
                <w:w w:val="95"/>
                <w:sz w:val="22"/>
              </w:rPr>
              <w:t>18,320</w:t>
            </w:r>
            <w:r>
              <w:rPr>
                <w:rFonts w:ascii="Arial"/>
                <w:sz w:val="22"/>
              </w:rPr>
            </w:r>
          </w:p>
        </w:tc>
        <w:tc>
          <w:tcPr>
            <w:tcW w:w="395"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single" w:sz="17" w:space="0" w:color="000000"/>
              <w:right w:val="nil" w:sz="6" w:space="0" w:color="auto"/>
            </w:tcBorders>
          </w:tcPr>
          <w:p>
            <w:pPr>
              <w:pStyle w:val="TableParagraph"/>
              <w:spacing w:line="240" w:lineRule="auto" w:before="25"/>
              <w:ind w:right="115"/>
              <w:jc w:val="right"/>
              <w:rPr>
                <w:rFonts w:ascii="Arial" w:hAnsi="Arial" w:cs="Arial" w:eastAsia="Arial" w:hint="default"/>
                <w:sz w:val="22"/>
                <w:szCs w:val="22"/>
              </w:rPr>
            </w:pPr>
            <w:r>
              <w:rPr>
                <w:rFonts w:ascii="Arial"/>
                <w:w w:val="95"/>
                <w:sz w:val="22"/>
              </w:rPr>
              <w:t>15,439</w:t>
            </w:r>
            <w:r>
              <w:rPr>
                <w:rFonts w:ascii="Arial"/>
                <w:sz w:val="22"/>
              </w:rPr>
            </w:r>
          </w:p>
        </w:tc>
      </w:tr>
    </w:tbl>
    <w:p>
      <w:pPr>
        <w:spacing w:after="0" w:line="240" w:lineRule="auto"/>
        <w:jc w:val="right"/>
        <w:rPr>
          <w:rFonts w:ascii="Arial" w:hAnsi="Arial" w:cs="Arial" w:eastAsia="Arial" w:hint="default"/>
          <w:sz w:val="22"/>
          <w:szCs w:val="22"/>
        </w:rPr>
        <w:sectPr>
          <w:headerReference w:type="default" r:id="rId63"/>
          <w:pgSz w:w="11910" w:h="16840"/>
          <w:pgMar w:header="967" w:footer="593" w:top="3880" w:bottom="780" w:left="1440" w:right="880"/>
        </w:sectPr>
      </w:pPr>
    </w:p>
    <w:p>
      <w:pPr>
        <w:pStyle w:val="BodyText"/>
        <w:spacing w:line="240" w:lineRule="auto" w:before="55"/>
        <w:ind w:left="118" w:right="0"/>
        <w:jc w:val="left"/>
      </w:pPr>
      <w:r>
        <w:rPr>
          <w:rFonts w:ascii="Arial" w:hAnsi="Arial" w:cs="Arial" w:eastAsia="Arial" w:hint="default"/>
        </w:rPr>
        <w:t>(2)  </w:t>
      </w:r>
      <w:r>
        <w:rPr>
          <w:rFonts w:ascii="Arial" w:hAnsi="Arial" w:cs="Arial" w:eastAsia="Arial" w:hint="default"/>
          <w:spacing w:val="13"/>
        </w:rPr>
        <w:t> </w:t>
      </w:r>
      <w:r>
        <w:rPr/>
        <w:t>信用风险（续）</w:t>
      </w:r>
    </w:p>
    <w:p>
      <w:pPr>
        <w:pStyle w:val="BodyText"/>
        <w:spacing w:line="286" w:lineRule="exact" w:before="171"/>
        <w:ind w:left="607" w:right="135"/>
        <w:jc w:val="both"/>
      </w:pPr>
      <w:r>
        <w:rPr/>
        <w:t>由于国有银行受到政府的支持，而且其它银行均为大中型的上市银行，本集团认为存放于国</w:t>
      </w:r>
      <w:r>
        <w:rPr>
          <w:w w:val="99"/>
        </w:rPr>
        <w:t> </w:t>
      </w:r>
      <w:r>
        <w:rPr/>
        <w:t>有银行和其它大中型上市银行的现金及现金等价物及银行存款不存在重大的信用风险。管理</w:t>
      </w:r>
      <w:r>
        <w:rPr>
          <w:spacing w:val="1"/>
          <w:w w:val="99"/>
        </w:rPr>
        <w:t> </w:t>
      </w:r>
      <w:r>
        <w:rPr/>
        <w:t>层预计不会因对方单位的违约行为将导致任何重大损失。</w:t>
      </w:r>
    </w:p>
    <w:p>
      <w:pPr>
        <w:pStyle w:val="BodyText"/>
        <w:spacing w:line="235" w:lineRule="auto" w:before="136"/>
        <w:ind w:left="607" w:right="135"/>
        <w:jc w:val="both"/>
      </w:pPr>
      <w:r>
        <w:rPr/>
        <w:t>此外，本集团于企业客户及个人用户方面并无重大集中性的信用风险。本集团的信用风险敞</w:t>
      </w:r>
      <w:r>
        <w:rPr>
          <w:w w:val="99"/>
        </w:rPr>
        <w:t> </w:t>
      </w:r>
      <w:r>
        <w:rPr/>
        <w:t>口主要表现为应收服务款项以及应收合约用户通信终端款的公允价值。本集团设定相关政策</w:t>
      </w:r>
      <w:r>
        <w:rPr>
          <w:w w:val="99"/>
        </w:rPr>
        <w:t> </w:t>
      </w:r>
      <w:r>
        <w:rPr/>
        <w:t>以限制该信用风险敞口。本集团基于对客户的财务状况、从第三方获取担保的可能性、信用</w:t>
      </w:r>
      <w:r>
        <w:rPr>
          <w:w w:val="99"/>
        </w:rPr>
        <w:t> </w:t>
      </w:r>
      <w:r>
        <w:rPr/>
        <w:t>记录及其他因素诸如目前市场状况等评估了信用资质并设置信用额度。本集团授予用户移动</w:t>
      </w:r>
      <w:r>
        <w:rPr>
          <w:spacing w:val="1"/>
          <w:w w:val="99"/>
        </w:rPr>
        <w:t> </w:t>
      </w:r>
      <w:r>
        <w:rPr>
          <w:w w:val="95"/>
        </w:rPr>
        <w:t>通信服务的信用期一般为自账单日起平均</w:t>
      </w:r>
      <w:r>
        <w:rPr>
          <w:rFonts w:ascii="Arial" w:hAnsi="Arial" w:cs="Arial" w:eastAsia="Arial" w:hint="default"/>
          <w:w w:val="95"/>
        </w:rPr>
        <w:t>30</w:t>
      </w:r>
      <w:r>
        <w:rPr>
          <w:w w:val="95"/>
        </w:rPr>
        <w:t>天。本集团定期对客户使用其信用额度的状况以</w:t>
      </w:r>
      <w:r>
        <w:rPr>
          <w:spacing w:val="7"/>
          <w:w w:val="95"/>
        </w:rPr>
        <w:t> </w:t>
      </w:r>
      <w:r>
        <w:rPr>
          <w:spacing w:val="7"/>
          <w:w w:val="95"/>
        </w:rPr>
      </w:r>
      <w:r>
        <w:rPr/>
        <w:t>及结算惯例进行监控。</w:t>
      </w:r>
    </w:p>
    <w:p>
      <w:pPr>
        <w:pStyle w:val="BodyText"/>
        <w:spacing w:line="286" w:lineRule="exact" w:before="187"/>
        <w:ind w:left="607" w:right="147"/>
        <w:jc w:val="both"/>
      </w:pPr>
      <w:r>
        <w:rPr/>
        <w:t>由于关联方及其它电信运营商具有良好的信誉，并且应收此等公司的款项均定期结算，相关</w:t>
      </w:r>
      <w:r>
        <w:rPr>
          <w:w w:val="99"/>
        </w:rPr>
        <w:t> </w:t>
      </w:r>
      <w:r>
        <w:rPr/>
        <w:t>的信用风险并不重大。</w:t>
      </w:r>
    </w:p>
    <w:p>
      <w:pPr>
        <w:pStyle w:val="BodyText"/>
        <w:spacing w:line="240" w:lineRule="auto" w:before="132"/>
        <w:ind w:left="118" w:right="0"/>
        <w:jc w:val="left"/>
      </w:pPr>
      <w:r>
        <w:rPr>
          <w:rFonts w:ascii="Arial" w:hAnsi="Arial" w:cs="Arial" w:eastAsia="Arial" w:hint="default"/>
        </w:rPr>
        <w:t>(3)  </w:t>
      </w:r>
      <w:r>
        <w:rPr>
          <w:rFonts w:ascii="Arial" w:hAnsi="Arial" w:cs="Arial" w:eastAsia="Arial" w:hint="default"/>
          <w:spacing w:val="13"/>
        </w:rPr>
        <w:t> </w:t>
      </w:r>
      <w:r>
        <w:rPr/>
        <w:t>流动性风险</w:t>
      </w:r>
    </w:p>
    <w:p>
      <w:pPr>
        <w:pStyle w:val="BodyText"/>
        <w:spacing w:line="237" w:lineRule="auto" w:before="145"/>
        <w:ind w:left="586" w:right="138"/>
        <w:jc w:val="both"/>
      </w:pPr>
      <w:r>
        <w:rPr/>
        <w:t>谨慎的流动性风险管理指通过不同资金渠道来维持充足的现金和资金获取能力，包括借入银</w:t>
      </w:r>
      <w:r>
        <w:rPr>
          <w:spacing w:val="-98"/>
        </w:rPr>
        <w:t> </w:t>
      </w:r>
      <w:r>
        <w:rPr>
          <w:spacing w:val="-98"/>
        </w:rPr>
      </w:r>
      <w:r>
        <w:rPr/>
        <w:t>行借款及发行债券。由于业务本身的多变性，本集团总部的财务部门通过维持充足的现金及</w:t>
      </w:r>
      <w:r>
        <w:rPr>
          <w:spacing w:val="-102"/>
        </w:rPr>
        <w:t> </w:t>
      </w:r>
      <w:r>
        <w:rPr>
          <w:spacing w:val="-102"/>
        </w:rPr>
      </w:r>
      <w:r>
        <w:rPr/>
        <w:t>现金等价物和通过保持不同的融资渠道来保持营运资金的灵活性。本集团以持续经营基准编</w:t>
      </w:r>
      <w:r>
        <w:rPr>
          <w:spacing w:val="-98"/>
        </w:rPr>
        <w:t> </w:t>
      </w:r>
      <w:r>
        <w:rPr>
          <w:spacing w:val="-98"/>
        </w:rPr>
      </w:r>
      <w:r>
        <w:rPr/>
        <w:t>制其财务报表，请详见附注二</w:t>
      </w:r>
      <w:r>
        <w:rPr>
          <w:rFonts w:ascii="Arial" w:hAnsi="Arial" w:cs="Arial" w:eastAsia="Arial" w:hint="default"/>
        </w:rPr>
        <w:t>(1)(d)</w:t>
      </w:r>
      <w:r>
        <w:rPr/>
        <w:t>的说明。</w:t>
      </w:r>
    </w:p>
    <w:p>
      <w:pPr>
        <w:pStyle w:val="BodyText"/>
        <w:spacing w:line="287" w:lineRule="exact" w:before="143"/>
        <w:ind w:left="586" w:right="0"/>
        <w:jc w:val="both"/>
      </w:pPr>
      <w:r>
        <w:rPr/>
        <w:t>本集团金融资产及金融负债（含利息费用）以未折现金额按合约规定的到期日列示如下。于</w:t>
      </w:r>
    </w:p>
    <w:p>
      <w:pPr>
        <w:pStyle w:val="BodyText"/>
        <w:spacing w:line="293" w:lineRule="exact"/>
        <w:ind w:left="586" w:right="0"/>
        <w:jc w:val="both"/>
      </w:pPr>
      <w:r>
        <w:rPr>
          <w:rFonts w:ascii="Arial" w:hAnsi="Arial" w:cs="Arial" w:eastAsia="Arial" w:hint="default"/>
          <w:spacing w:val="6"/>
        </w:rPr>
        <w:t>2012</w:t>
      </w:r>
      <w:r>
        <w:rPr>
          <w:spacing w:val="6"/>
        </w:rPr>
        <w:t>年</w:t>
      </w:r>
      <w:r>
        <w:rPr>
          <w:rFonts w:ascii="Arial" w:hAnsi="Arial" w:cs="Arial" w:eastAsia="Arial" w:hint="default"/>
          <w:spacing w:val="6"/>
        </w:rPr>
        <w:t>12</w:t>
      </w:r>
      <w:r>
        <w:rPr>
          <w:spacing w:val="6"/>
        </w:rPr>
        <w:t>月</w:t>
      </w:r>
      <w:r>
        <w:rPr>
          <w:rFonts w:ascii="Arial" w:hAnsi="Arial" w:cs="Arial" w:eastAsia="Arial" w:hint="default"/>
          <w:spacing w:val="6"/>
        </w:rPr>
        <w:t>31</w:t>
      </w:r>
      <w:r>
        <w:rPr>
          <w:spacing w:val="6"/>
        </w:rPr>
        <w:t>日，金融资产除下列项目外，还包括可供出售金融资产约人民币</w:t>
      </w:r>
      <w:r>
        <w:rPr>
          <w:rFonts w:ascii="Arial" w:hAnsi="Arial" w:cs="Arial" w:eastAsia="Arial" w:hint="default"/>
          <w:spacing w:val="6"/>
        </w:rPr>
        <w:t>55.67</w:t>
      </w:r>
      <w:r>
        <w:rPr>
          <w:spacing w:val="6"/>
        </w:rPr>
        <w:t>亿元</w:t>
      </w:r>
      <w:r>
        <w:rPr/>
      </w:r>
    </w:p>
    <w:p>
      <w:pPr>
        <w:pStyle w:val="BodyText"/>
        <w:spacing w:line="286" w:lineRule="exact" w:before="18"/>
        <w:ind w:left="586" w:right="137"/>
        <w:jc w:val="both"/>
      </w:pPr>
      <w:r>
        <w:rPr/>
        <w:t>（</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日：约人民币</w:t>
      </w:r>
      <w:r>
        <w:rPr>
          <w:rFonts w:ascii="Arial" w:hAnsi="Arial" w:cs="Arial" w:eastAsia="Arial" w:hint="default"/>
        </w:rPr>
        <w:t>69.51</w:t>
      </w:r>
      <w:r>
        <w:rPr/>
        <w:t>亿元）。在可预见的将来，本集团并没有交易上述可供</w:t>
      </w:r>
      <w:r>
        <w:rPr>
          <w:spacing w:val="-76"/>
        </w:rPr>
        <w:t> </w:t>
      </w:r>
      <w:r>
        <w:rPr>
          <w:spacing w:val="-76"/>
        </w:rPr>
      </w:r>
      <w:r>
        <w:rPr/>
        <w:t>出售金融资产的计划。</w:t>
      </w:r>
    </w:p>
    <w:p>
      <w:pPr>
        <w:spacing w:line="240" w:lineRule="auto" w:before="4"/>
        <w:rPr>
          <w:rFonts w:ascii="宋体" w:hAnsi="宋体" w:cs="宋体" w:eastAsia="宋体" w:hint="default"/>
          <w:sz w:val="15"/>
          <w:szCs w:val="15"/>
        </w:rPr>
      </w:pPr>
    </w:p>
    <w:tbl>
      <w:tblPr>
        <w:tblW w:w="0" w:type="auto"/>
        <w:jc w:val="left"/>
        <w:tblInd w:w="306" w:type="dxa"/>
        <w:tblLayout w:type="fixed"/>
        <w:tblCellMar>
          <w:top w:w="0" w:type="dxa"/>
          <w:left w:w="0" w:type="dxa"/>
          <w:bottom w:w="0" w:type="dxa"/>
          <w:right w:w="0" w:type="dxa"/>
        </w:tblCellMar>
        <w:tblLook w:val="01E0"/>
      </w:tblPr>
      <w:tblGrid>
        <w:gridCol w:w="2657"/>
        <w:gridCol w:w="1134"/>
        <w:gridCol w:w="236"/>
        <w:gridCol w:w="1087"/>
        <w:gridCol w:w="236"/>
        <w:gridCol w:w="1051"/>
        <w:gridCol w:w="236"/>
        <w:gridCol w:w="1024"/>
        <w:gridCol w:w="236"/>
        <w:gridCol w:w="1258"/>
      </w:tblGrid>
      <w:tr>
        <w:trPr>
          <w:trHeight w:val="261" w:hRule="exact"/>
        </w:trPr>
        <w:tc>
          <w:tcPr>
            <w:tcW w:w="9155" w:type="dxa"/>
            <w:gridSpan w:val="10"/>
            <w:tcBorders>
              <w:top w:val="nil" w:sz="6" w:space="0" w:color="auto"/>
              <w:left w:val="nil" w:sz="6" w:space="0" w:color="auto"/>
              <w:bottom w:val="nil" w:sz="6" w:space="0" w:color="auto"/>
              <w:right w:val="nil" w:sz="6" w:space="0" w:color="auto"/>
            </w:tcBorders>
          </w:tcPr>
          <w:p>
            <w:pPr>
              <w:pStyle w:val="TableParagraph"/>
              <w:spacing w:line="235" w:lineRule="exact"/>
              <w:ind w:left="5109" w:right="0"/>
              <w:jc w:val="left"/>
              <w:rPr>
                <w:rFonts w:ascii="宋体" w:hAnsi="宋体" w:cs="宋体" w:eastAsia="宋体" w:hint="default"/>
                <w:sz w:val="22"/>
                <w:szCs w:val="22"/>
              </w:rPr>
            </w:pPr>
            <w:r>
              <w:rPr>
                <w:rFonts w:ascii="Arial" w:hAnsi="Arial" w:cs="Arial" w:eastAsia="Arial" w:hint="default"/>
                <w:sz w:val="22"/>
                <w:szCs w:val="22"/>
              </w:rPr>
              <w:t>2012</w:t>
            </w:r>
            <w:r>
              <w:rPr>
                <w:rFonts w:ascii="宋体" w:hAnsi="宋体" w:cs="宋体" w:eastAsia="宋体" w:hint="default"/>
                <w:sz w:val="22"/>
                <w:szCs w:val="22"/>
              </w:rPr>
              <w:t>年</w:t>
            </w:r>
            <w:r>
              <w:rPr>
                <w:rFonts w:ascii="Arial" w:hAnsi="Arial" w:cs="Arial" w:eastAsia="Arial" w:hint="default"/>
                <w:sz w:val="22"/>
                <w:szCs w:val="22"/>
              </w:rPr>
              <w:t>12</w:t>
            </w:r>
            <w:r>
              <w:rPr>
                <w:rFonts w:ascii="宋体" w:hAnsi="宋体" w:cs="宋体" w:eastAsia="宋体" w:hint="default"/>
                <w:sz w:val="22"/>
                <w:szCs w:val="22"/>
              </w:rPr>
              <w:t>月</w:t>
            </w:r>
            <w:r>
              <w:rPr>
                <w:rFonts w:ascii="Arial" w:hAnsi="Arial" w:cs="Arial" w:eastAsia="Arial" w:hint="default"/>
                <w:sz w:val="22"/>
                <w:szCs w:val="22"/>
              </w:rPr>
              <w:t>31</w:t>
            </w:r>
            <w:r>
              <w:rPr>
                <w:rFonts w:ascii="宋体" w:hAnsi="宋体" w:cs="宋体" w:eastAsia="宋体" w:hint="default"/>
                <w:sz w:val="22"/>
                <w:szCs w:val="22"/>
              </w:rPr>
              <w:t>日</w:t>
            </w:r>
          </w:p>
        </w:tc>
      </w:tr>
      <w:tr>
        <w:trPr>
          <w:trHeight w:val="300" w:hRule="exact"/>
        </w:trPr>
        <w:tc>
          <w:tcPr>
            <w:tcW w:w="2657" w:type="dxa"/>
            <w:tcBorders>
              <w:top w:val="nil" w:sz="6" w:space="0" w:color="auto"/>
              <w:left w:val="nil" w:sz="6" w:space="0" w:color="auto"/>
              <w:bottom w:val="nil" w:sz="6" w:space="0" w:color="auto"/>
              <w:right w:val="nil" w:sz="6" w:space="0" w:color="auto"/>
            </w:tcBorders>
          </w:tcPr>
          <w:p>
            <w:pPr>
              <w:pStyle w:val="TableParagraph"/>
              <w:spacing w:line="259" w:lineRule="exact"/>
              <w:ind w:left="200" w:right="0"/>
              <w:jc w:val="left"/>
              <w:rPr>
                <w:rFonts w:ascii="宋体" w:hAnsi="宋体" w:cs="宋体" w:eastAsia="宋体" w:hint="default"/>
                <w:sz w:val="22"/>
                <w:szCs w:val="22"/>
              </w:rPr>
            </w:pPr>
            <w:r>
              <w:rPr>
                <w:rFonts w:ascii="宋体" w:hAnsi="宋体" w:cs="宋体" w:eastAsia="宋体" w:hint="default"/>
                <w:w w:val="99"/>
                <w:sz w:val="22"/>
                <w:szCs w:val="22"/>
              </w:rPr>
              <w:t>（单位</w:t>
            </w:r>
            <w:r>
              <w:rPr>
                <w:rFonts w:ascii="宋体" w:hAnsi="宋体" w:cs="宋体" w:eastAsia="宋体" w:hint="default"/>
                <w:spacing w:val="-105"/>
                <w:w w:val="99"/>
                <w:sz w:val="22"/>
                <w:szCs w:val="22"/>
              </w:rPr>
              <w:t>：</w:t>
            </w:r>
            <w:r>
              <w:rPr>
                <w:rFonts w:ascii="宋体" w:hAnsi="宋体" w:cs="宋体" w:eastAsia="宋体" w:hint="default"/>
                <w:w w:val="99"/>
                <w:sz w:val="22"/>
                <w:szCs w:val="22"/>
              </w:rPr>
              <w:t>人民币百万元）</w:t>
            </w:r>
            <w:r>
              <w:rPr>
                <w:rFonts w:ascii="宋体" w:hAnsi="宋体" w:cs="宋体" w:eastAsia="宋体" w:hint="default"/>
                <w:sz w:val="22"/>
                <w:szCs w:val="22"/>
              </w:rPr>
            </w:r>
          </w:p>
        </w:tc>
        <w:tc>
          <w:tcPr>
            <w:tcW w:w="1134" w:type="dxa"/>
            <w:tcBorders>
              <w:top w:val="single" w:sz="6" w:space="0" w:color="000000"/>
              <w:left w:val="nil" w:sz="6" w:space="0" w:color="auto"/>
              <w:bottom w:val="single" w:sz="6" w:space="0" w:color="000000"/>
              <w:right w:val="nil" w:sz="6" w:space="0" w:color="auto"/>
            </w:tcBorders>
          </w:tcPr>
          <w:p>
            <w:pPr>
              <w:pStyle w:val="TableParagraph"/>
              <w:spacing w:line="267" w:lineRule="exact"/>
              <w:ind w:left="243" w:right="0"/>
              <w:jc w:val="left"/>
              <w:rPr>
                <w:rFonts w:ascii="宋体" w:hAnsi="宋体" w:cs="宋体" w:eastAsia="宋体" w:hint="default"/>
                <w:sz w:val="22"/>
                <w:szCs w:val="22"/>
              </w:rPr>
            </w:pPr>
            <w:r>
              <w:rPr>
                <w:rFonts w:ascii="Arial" w:hAnsi="Arial" w:cs="Arial" w:eastAsia="Arial" w:hint="default"/>
                <w:sz w:val="22"/>
                <w:szCs w:val="22"/>
              </w:rPr>
              <w:t>1</w:t>
            </w:r>
            <w:r>
              <w:rPr>
                <w:rFonts w:ascii="宋体" w:hAnsi="宋体" w:cs="宋体" w:eastAsia="宋体" w:hint="default"/>
                <w:sz w:val="22"/>
                <w:szCs w:val="22"/>
              </w:rPr>
              <w:t>年以内</w:t>
            </w:r>
          </w:p>
        </w:tc>
        <w:tc>
          <w:tcPr>
            <w:tcW w:w="236" w:type="dxa"/>
            <w:tcBorders>
              <w:top w:val="single" w:sz="6" w:space="0" w:color="000000"/>
              <w:left w:val="nil" w:sz="6" w:space="0" w:color="auto"/>
              <w:bottom w:val="nil" w:sz="6" w:space="0" w:color="auto"/>
              <w:right w:val="nil" w:sz="6" w:space="0" w:color="auto"/>
            </w:tcBorders>
          </w:tcPr>
          <w:p>
            <w:pPr/>
          </w:p>
        </w:tc>
        <w:tc>
          <w:tcPr>
            <w:tcW w:w="1087" w:type="dxa"/>
            <w:tcBorders>
              <w:top w:val="single" w:sz="6" w:space="0" w:color="000000"/>
              <w:left w:val="nil" w:sz="6" w:space="0" w:color="auto"/>
              <w:bottom w:val="single" w:sz="6" w:space="0" w:color="000000"/>
              <w:right w:val="nil" w:sz="6" w:space="0" w:color="auto"/>
            </w:tcBorders>
          </w:tcPr>
          <w:p>
            <w:pPr>
              <w:pStyle w:val="TableParagraph"/>
              <w:spacing w:line="267" w:lineRule="exact"/>
              <w:ind w:left="293" w:right="0"/>
              <w:jc w:val="left"/>
              <w:rPr>
                <w:rFonts w:ascii="宋体" w:hAnsi="宋体" w:cs="宋体" w:eastAsia="宋体" w:hint="default"/>
                <w:sz w:val="22"/>
                <w:szCs w:val="22"/>
              </w:rPr>
            </w:pPr>
            <w:r>
              <w:rPr>
                <w:rFonts w:ascii="Arial" w:hAnsi="Arial" w:cs="Arial" w:eastAsia="Arial" w:hint="default"/>
                <w:sz w:val="22"/>
                <w:szCs w:val="22"/>
              </w:rPr>
              <w:t>1</w:t>
            </w:r>
            <w:r>
              <w:rPr>
                <w:rFonts w:ascii="宋体" w:hAnsi="宋体" w:cs="宋体" w:eastAsia="宋体" w:hint="default"/>
                <w:sz w:val="22"/>
                <w:szCs w:val="22"/>
              </w:rPr>
              <w:t>至</w:t>
            </w:r>
            <w:r>
              <w:rPr>
                <w:rFonts w:ascii="Arial" w:hAnsi="Arial" w:cs="Arial" w:eastAsia="Arial" w:hint="default"/>
                <w:sz w:val="22"/>
                <w:szCs w:val="22"/>
              </w:rPr>
              <w:t>2</w:t>
            </w:r>
            <w:r>
              <w:rPr>
                <w:rFonts w:ascii="宋体" w:hAnsi="宋体" w:cs="宋体" w:eastAsia="宋体" w:hint="default"/>
                <w:sz w:val="22"/>
                <w:szCs w:val="22"/>
              </w:rPr>
              <w:t>年</w:t>
            </w:r>
          </w:p>
        </w:tc>
        <w:tc>
          <w:tcPr>
            <w:tcW w:w="236" w:type="dxa"/>
            <w:tcBorders>
              <w:top w:val="single" w:sz="6" w:space="0" w:color="000000"/>
              <w:left w:val="nil" w:sz="6" w:space="0" w:color="auto"/>
              <w:bottom w:val="nil" w:sz="6" w:space="0" w:color="auto"/>
              <w:right w:val="nil" w:sz="6" w:space="0" w:color="auto"/>
            </w:tcBorders>
          </w:tcPr>
          <w:p>
            <w:pPr/>
          </w:p>
        </w:tc>
        <w:tc>
          <w:tcPr>
            <w:tcW w:w="1051" w:type="dxa"/>
            <w:tcBorders>
              <w:top w:val="single" w:sz="6" w:space="0" w:color="000000"/>
              <w:left w:val="nil" w:sz="6" w:space="0" w:color="auto"/>
              <w:bottom w:val="single" w:sz="6" w:space="0" w:color="000000"/>
              <w:right w:val="nil" w:sz="6" w:space="0" w:color="auto"/>
            </w:tcBorders>
          </w:tcPr>
          <w:p>
            <w:pPr>
              <w:pStyle w:val="TableParagraph"/>
              <w:spacing w:line="267" w:lineRule="exact"/>
              <w:ind w:left="258" w:right="0"/>
              <w:jc w:val="left"/>
              <w:rPr>
                <w:rFonts w:ascii="宋体" w:hAnsi="宋体" w:cs="宋体" w:eastAsia="宋体" w:hint="default"/>
                <w:sz w:val="22"/>
                <w:szCs w:val="22"/>
              </w:rPr>
            </w:pPr>
            <w:r>
              <w:rPr>
                <w:rFonts w:ascii="Arial" w:hAnsi="Arial" w:cs="Arial" w:eastAsia="Arial" w:hint="default"/>
                <w:sz w:val="22"/>
                <w:szCs w:val="22"/>
              </w:rPr>
              <w:t>2</w:t>
            </w:r>
            <w:r>
              <w:rPr>
                <w:rFonts w:ascii="宋体" w:hAnsi="宋体" w:cs="宋体" w:eastAsia="宋体" w:hint="default"/>
                <w:sz w:val="22"/>
                <w:szCs w:val="22"/>
              </w:rPr>
              <w:t>至</w:t>
            </w:r>
            <w:r>
              <w:rPr>
                <w:rFonts w:ascii="Arial" w:hAnsi="Arial" w:cs="Arial" w:eastAsia="Arial" w:hint="default"/>
                <w:sz w:val="22"/>
                <w:szCs w:val="22"/>
              </w:rPr>
              <w:t>5</w:t>
            </w:r>
            <w:r>
              <w:rPr>
                <w:rFonts w:ascii="宋体" w:hAnsi="宋体" w:cs="宋体" w:eastAsia="宋体" w:hint="default"/>
                <w:sz w:val="22"/>
                <w:szCs w:val="22"/>
              </w:rPr>
              <w:t>年</w:t>
            </w:r>
          </w:p>
        </w:tc>
        <w:tc>
          <w:tcPr>
            <w:tcW w:w="236" w:type="dxa"/>
            <w:tcBorders>
              <w:top w:val="single" w:sz="6" w:space="0" w:color="000000"/>
              <w:left w:val="nil" w:sz="6" w:space="0" w:color="auto"/>
              <w:bottom w:val="nil" w:sz="6" w:space="0" w:color="auto"/>
              <w:right w:val="nil" w:sz="6" w:space="0" w:color="auto"/>
            </w:tcBorders>
          </w:tcPr>
          <w:p>
            <w:pPr/>
          </w:p>
        </w:tc>
        <w:tc>
          <w:tcPr>
            <w:tcW w:w="1024" w:type="dxa"/>
            <w:tcBorders>
              <w:top w:val="single" w:sz="6" w:space="0" w:color="000000"/>
              <w:left w:val="nil" w:sz="6" w:space="0" w:color="auto"/>
              <w:bottom w:val="single" w:sz="6" w:space="0" w:color="000000"/>
              <w:right w:val="nil" w:sz="6" w:space="0" w:color="auto"/>
            </w:tcBorders>
          </w:tcPr>
          <w:p>
            <w:pPr>
              <w:pStyle w:val="TableParagraph"/>
              <w:spacing w:line="267" w:lineRule="exact"/>
              <w:ind w:left="181" w:right="0"/>
              <w:jc w:val="left"/>
              <w:rPr>
                <w:rFonts w:ascii="宋体" w:hAnsi="宋体" w:cs="宋体" w:eastAsia="宋体" w:hint="default"/>
                <w:sz w:val="22"/>
                <w:szCs w:val="22"/>
              </w:rPr>
            </w:pPr>
            <w:r>
              <w:rPr>
                <w:rFonts w:ascii="Arial" w:hAnsi="Arial" w:cs="Arial" w:eastAsia="Arial" w:hint="default"/>
                <w:sz w:val="22"/>
                <w:szCs w:val="22"/>
              </w:rPr>
              <w:t>5</w:t>
            </w:r>
            <w:r>
              <w:rPr>
                <w:rFonts w:ascii="宋体" w:hAnsi="宋体" w:cs="宋体" w:eastAsia="宋体" w:hint="default"/>
                <w:sz w:val="22"/>
                <w:szCs w:val="22"/>
              </w:rPr>
              <w:t>年以上</w:t>
            </w:r>
          </w:p>
        </w:tc>
        <w:tc>
          <w:tcPr>
            <w:tcW w:w="236" w:type="dxa"/>
            <w:tcBorders>
              <w:top w:val="single" w:sz="6" w:space="0" w:color="000000"/>
              <w:left w:val="nil" w:sz="6" w:space="0" w:color="auto"/>
              <w:bottom w:val="nil" w:sz="6" w:space="0" w:color="auto"/>
              <w:right w:val="nil" w:sz="6" w:space="0" w:color="auto"/>
            </w:tcBorders>
          </w:tcPr>
          <w:p>
            <w:pPr/>
          </w:p>
        </w:tc>
        <w:tc>
          <w:tcPr>
            <w:tcW w:w="1258" w:type="dxa"/>
            <w:tcBorders>
              <w:top w:val="single" w:sz="6" w:space="0" w:color="000000"/>
              <w:left w:val="nil" w:sz="6" w:space="0" w:color="auto"/>
              <w:bottom w:val="single" w:sz="6" w:space="0" w:color="000000"/>
              <w:right w:val="nil" w:sz="6" w:space="0" w:color="auto"/>
            </w:tcBorders>
          </w:tcPr>
          <w:p>
            <w:pPr>
              <w:pStyle w:val="TableParagraph"/>
              <w:spacing w:line="252" w:lineRule="exact"/>
              <w:ind w:right="97"/>
              <w:jc w:val="right"/>
              <w:rPr>
                <w:rFonts w:ascii="宋体" w:hAnsi="宋体" w:cs="宋体" w:eastAsia="宋体" w:hint="default"/>
                <w:sz w:val="22"/>
                <w:szCs w:val="22"/>
              </w:rPr>
            </w:pPr>
            <w:r>
              <w:rPr>
                <w:rFonts w:ascii="宋体" w:hAnsi="宋体" w:cs="宋体" w:eastAsia="宋体" w:hint="default"/>
                <w:w w:val="95"/>
                <w:sz w:val="22"/>
                <w:szCs w:val="22"/>
              </w:rPr>
              <w:t>合计</w:t>
            </w:r>
            <w:r>
              <w:rPr>
                <w:rFonts w:ascii="宋体" w:hAnsi="宋体" w:cs="宋体" w:eastAsia="宋体" w:hint="default"/>
                <w:sz w:val="22"/>
                <w:szCs w:val="22"/>
              </w:rPr>
            </w:r>
          </w:p>
        </w:tc>
      </w:tr>
      <w:tr>
        <w:trPr>
          <w:trHeight w:val="292" w:hRule="exact"/>
        </w:trPr>
        <w:tc>
          <w:tcPr>
            <w:tcW w:w="2657" w:type="dxa"/>
            <w:tcBorders>
              <w:top w:val="nil" w:sz="6" w:space="0" w:color="auto"/>
              <w:left w:val="nil" w:sz="6" w:space="0" w:color="auto"/>
              <w:bottom w:val="nil" w:sz="6" w:space="0" w:color="auto"/>
              <w:right w:val="nil" w:sz="6" w:space="0" w:color="auto"/>
            </w:tcBorders>
          </w:tcPr>
          <w:p>
            <w:pPr>
              <w:pStyle w:val="TableParagraph"/>
              <w:spacing w:line="260" w:lineRule="exact"/>
              <w:ind w:left="314" w:right="0"/>
              <w:jc w:val="left"/>
              <w:rPr>
                <w:rFonts w:ascii="宋体" w:hAnsi="宋体" w:cs="宋体" w:eastAsia="宋体" w:hint="default"/>
                <w:sz w:val="22"/>
                <w:szCs w:val="22"/>
              </w:rPr>
            </w:pPr>
            <w:r>
              <w:rPr>
                <w:rFonts w:ascii="宋体" w:hAnsi="宋体" w:cs="宋体" w:eastAsia="宋体" w:hint="default"/>
                <w:sz w:val="22"/>
                <w:szCs w:val="22"/>
              </w:rPr>
              <w:t>金融资产</w:t>
            </w:r>
          </w:p>
        </w:tc>
        <w:tc>
          <w:tcPr>
            <w:tcW w:w="1134" w:type="dxa"/>
            <w:tcBorders>
              <w:top w:val="single" w:sz="6"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087" w:type="dxa"/>
            <w:tcBorders>
              <w:top w:val="single" w:sz="6"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051" w:type="dxa"/>
            <w:tcBorders>
              <w:top w:val="single" w:sz="6"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single" w:sz="6"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258" w:type="dxa"/>
            <w:tcBorders>
              <w:top w:val="single" w:sz="6" w:space="0" w:color="000000"/>
              <w:left w:val="nil" w:sz="6" w:space="0" w:color="auto"/>
              <w:bottom w:val="nil" w:sz="6" w:space="0" w:color="auto"/>
              <w:right w:val="nil" w:sz="6" w:space="0" w:color="auto"/>
            </w:tcBorders>
          </w:tcPr>
          <w:p>
            <w:pPr/>
          </w:p>
        </w:tc>
      </w:tr>
      <w:tr>
        <w:trPr>
          <w:trHeight w:val="298" w:hRule="exact"/>
        </w:trPr>
        <w:tc>
          <w:tcPr>
            <w:tcW w:w="2657" w:type="dxa"/>
            <w:tcBorders>
              <w:top w:val="nil" w:sz="6" w:space="0" w:color="auto"/>
              <w:left w:val="nil" w:sz="6" w:space="0" w:color="auto"/>
              <w:bottom w:val="nil" w:sz="6" w:space="0" w:color="auto"/>
              <w:right w:val="nil" w:sz="6" w:space="0" w:color="auto"/>
            </w:tcBorders>
          </w:tcPr>
          <w:p>
            <w:pPr>
              <w:pStyle w:val="TableParagraph"/>
              <w:spacing w:line="252" w:lineRule="exact"/>
              <w:ind w:left="314"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43" w:right="0"/>
              <w:jc w:val="left"/>
              <w:rPr>
                <w:rFonts w:ascii="Arial" w:hAnsi="Arial" w:cs="Arial" w:eastAsia="Arial" w:hint="default"/>
                <w:sz w:val="22"/>
                <w:szCs w:val="22"/>
              </w:rPr>
            </w:pPr>
            <w:r>
              <w:rPr>
                <w:rFonts w:ascii="Arial"/>
                <w:sz w:val="22"/>
              </w:rPr>
              <w:t>18,297</w:t>
            </w:r>
          </w:p>
        </w:tc>
        <w:tc>
          <w:tcPr>
            <w:tcW w:w="236"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14"/>
              <w:jc w:val="right"/>
              <w:rPr>
                <w:rFonts w:ascii="Arial" w:hAnsi="Arial" w:cs="Arial" w:eastAsia="Arial" w:hint="default"/>
                <w:sz w:val="22"/>
                <w:szCs w:val="22"/>
              </w:rPr>
            </w:pPr>
            <w:r>
              <w:rPr>
                <w:rFonts w:ascii="Arial"/>
                <w:w w:val="99"/>
                <w:sz w:val="22"/>
              </w:rPr>
              <w:t>-</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15"/>
              <w:jc w:val="right"/>
              <w:rPr>
                <w:rFonts w:ascii="Arial" w:hAnsi="Arial" w:cs="Arial" w:eastAsia="Arial" w:hint="default"/>
                <w:sz w:val="22"/>
                <w:szCs w:val="22"/>
              </w:rPr>
            </w:pPr>
            <w:r>
              <w:rPr>
                <w:rFonts w:ascii="Arial"/>
                <w:w w:val="99"/>
                <w:sz w:val="22"/>
              </w:rPr>
              <w:t>-</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662" w:right="0"/>
              <w:jc w:val="left"/>
              <w:rPr>
                <w:rFonts w:ascii="Arial" w:hAnsi="Arial" w:cs="Arial" w:eastAsia="Arial" w:hint="default"/>
                <w:sz w:val="22"/>
                <w:szCs w:val="22"/>
              </w:rPr>
            </w:pPr>
            <w:r>
              <w:rPr>
                <w:rFonts w:ascii="Arial"/>
                <w:sz w:val="22"/>
              </w:rPr>
              <w:t>23</w:t>
            </w:r>
          </w:p>
        </w:tc>
        <w:tc>
          <w:tcPr>
            <w:tcW w:w="236"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22"/>
              <w:jc w:val="right"/>
              <w:rPr>
                <w:rFonts w:ascii="Arial" w:hAnsi="Arial" w:cs="Arial" w:eastAsia="Arial" w:hint="default"/>
                <w:sz w:val="22"/>
                <w:szCs w:val="22"/>
              </w:rPr>
            </w:pPr>
            <w:r>
              <w:rPr>
                <w:rFonts w:ascii="Arial"/>
                <w:w w:val="95"/>
                <w:sz w:val="22"/>
              </w:rPr>
              <w:t>18,320</w:t>
            </w:r>
            <w:r>
              <w:rPr>
                <w:rFonts w:ascii="Arial"/>
                <w:sz w:val="22"/>
              </w:rPr>
            </w:r>
          </w:p>
        </w:tc>
      </w:tr>
      <w:tr>
        <w:trPr>
          <w:trHeight w:val="416" w:hRule="exact"/>
        </w:trPr>
        <w:tc>
          <w:tcPr>
            <w:tcW w:w="2657" w:type="dxa"/>
            <w:tcBorders>
              <w:top w:val="nil" w:sz="6" w:space="0" w:color="auto"/>
              <w:left w:val="nil" w:sz="6" w:space="0" w:color="auto"/>
              <w:bottom w:val="nil" w:sz="6" w:space="0" w:color="auto"/>
              <w:right w:val="nil" w:sz="6" w:space="0" w:color="auto"/>
            </w:tcBorders>
          </w:tcPr>
          <w:p>
            <w:pPr>
              <w:pStyle w:val="TableParagraph"/>
              <w:spacing w:line="239" w:lineRule="exact"/>
              <w:ind w:left="314" w:right="0"/>
              <w:jc w:val="left"/>
              <w:rPr>
                <w:rFonts w:ascii="宋体" w:hAnsi="宋体" w:cs="宋体" w:eastAsia="宋体" w:hint="default"/>
                <w:sz w:val="22"/>
                <w:szCs w:val="22"/>
              </w:rPr>
            </w:pPr>
            <w:r>
              <w:rPr>
                <w:rFonts w:ascii="宋体" w:hAnsi="宋体" w:cs="宋体" w:eastAsia="宋体" w:hint="default"/>
                <w:sz w:val="22"/>
                <w:szCs w:val="22"/>
              </w:rPr>
              <w:t>应收款项</w:t>
            </w:r>
          </w:p>
        </w:tc>
        <w:tc>
          <w:tcPr>
            <w:tcW w:w="1134" w:type="dxa"/>
            <w:tcBorders>
              <w:top w:val="nil" w:sz="6" w:space="0" w:color="auto"/>
              <w:left w:val="nil" w:sz="6" w:space="0" w:color="auto"/>
              <w:bottom w:val="nil" w:sz="6" w:space="0" w:color="auto"/>
              <w:right w:val="nil" w:sz="6" w:space="0" w:color="auto"/>
            </w:tcBorders>
          </w:tcPr>
          <w:p>
            <w:pPr>
              <w:pStyle w:val="TableParagraph"/>
              <w:tabs>
                <w:tab w:pos="343" w:val="left" w:leader="none"/>
                <w:tab w:pos="1133"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19,905</w:t>
            </w:r>
            <w:r>
              <w:rPr>
                <w:rFonts w:ascii="Arial"/>
                <w:sz w:val="22"/>
                <w:u w:val="single" w:color="000000"/>
              </w:rPr>
              <w:tab/>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tabs>
                <w:tab w:pos="897" w:val="left" w:leader="none"/>
                <w:tab w:pos="1087" w:val="left" w:leader="none"/>
              </w:tabs>
              <w:spacing w:line="240" w:lineRule="auto" w:before="17"/>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w:t>
              <w:tab/>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tabs>
                <w:tab w:pos="860" w:val="left" w:leader="none"/>
                <w:tab w:pos="1051" w:val="left" w:leader="none"/>
              </w:tabs>
              <w:spacing w:line="240" w:lineRule="auto" w:before="17"/>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w:t>
              <w:tab/>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tabs>
                <w:tab w:pos="833" w:val="left" w:leader="none"/>
                <w:tab w:pos="1023" w:val="left" w:leader="none"/>
              </w:tabs>
              <w:spacing w:line="240" w:lineRule="auto" w:before="17"/>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w:t>
              <w:tab/>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tabs>
                <w:tab w:pos="452" w:val="left" w:leader="none"/>
                <w:tab w:pos="1250"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19,905</w:t>
            </w:r>
            <w:r>
              <w:rPr>
                <w:rFonts w:ascii="Arial"/>
                <w:sz w:val="22"/>
                <w:u w:val="single" w:color="000000"/>
              </w:rPr>
              <w:tab/>
            </w:r>
            <w:r>
              <w:rPr>
                <w:rFonts w:ascii="Arial"/>
                <w:sz w:val="22"/>
              </w:rPr>
            </w:r>
          </w:p>
        </w:tc>
      </w:tr>
      <w:tr>
        <w:trPr>
          <w:trHeight w:val="399" w:hRule="exact"/>
        </w:trPr>
        <w:tc>
          <w:tcPr>
            <w:tcW w:w="2657"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left="343" w:right="0"/>
              <w:jc w:val="left"/>
              <w:rPr>
                <w:rFonts w:ascii="Arial" w:hAnsi="Arial" w:cs="Arial" w:eastAsia="Arial" w:hint="default"/>
                <w:sz w:val="22"/>
                <w:szCs w:val="22"/>
              </w:rPr>
            </w:pPr>
            <w:r>
              <w:rPr>
                <w:rFonts w:ascii="Arial"/>
                <w:sz w:val="22"/>
              </w:rPr>
              <w:t>38,202</w:t>
            </w:r>
          </w:p>
        </w:tc>
        <w:tc>
          <w:tcPr>
            <w:tcW w:w="236"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right="114"/>
              <w:jc w:val="right"/>
              <w:rPr>
                <w:rFonts w:ascii="Arial" w:hAnsi="Arial" w:cs="Arial" w:eastAsia="Arial" w:hint="default"/>
                <w:sz w:val="22"/>
                <w:szCs w:val="22"/>
              </w:rPr>
            </w:pPr>
            <w:r>
              <w:rPr>
                <w:rFonts w:ascii="Arial"/>
                <w:w w:val="99"/>
                <w:sz w:val="22"/>
              </w:rPr>
              <w:t>-</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right="115"/>
              <w:jc w:val="right"/>
              <w:rPr>
                <w:rFonts w:ascii="Arial" w:hAnsi="Arial" w:cs="Arial" w:eastAsia="Arial" w:hint="default"/>
                <w:sz w:val="22"/>
                <w:szCs w:val="22"/>
              </w:rPr>
            </w:pPr>
            <w:r>
              <w:rPr>
                <w:rFonts w:ascii="Arial"/>
                <w:w w:val="99"/>
                <w:sz w:val="22"/>
              </w:rPr>
              <w:t>-</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left="662" w:right="0"/>
              <w:jc w:val="left"/>
              <w:rPr>
                <w:rFonts w:ascii="Arial" w:hAnsi="Arial" w:cs="Arial" w:eastAsia="Arial" w:hint="default"/>
                <w:sz w:val="22"/>
                <w:szCs w:val="22"/>
              </w:rPr>
            </w:pPr>
            <w:r>
              <w:rPr>
                <w:rFonts w:ascii="Arial"/>
                <w:sz w:val="22"/>
              </w:rPr>
              <w:t>23</w:t>
            </w:r>
          </w:p>
        </w:tc>
        <w:tc>
          <w:tcPr>
            <w:tcW w:w="236"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right="123"/>
              <w:jc w:val="right"/>
              <w:rPr>
                <w:rFonts w:ascii="Arial" w:hAnsi="Arial" w:cs="Arial" w:eastAsia="Arial" w:hint="default"/>
                <w:sz w:val="22"/>
                <w:szCs w:val="22"/>
              </w:rPr>
            </w:pPr>
            <w:r>
              <w:rPr>
                <w:rFonts w:ascii="Arial"/>
                <w:w w:val="95"/>
                <w:sz w:val="22"/>
              </w:rPr>
              <w:t>38,225</w:t>
            </w:r>
            <w:r>
              <w:rPr>
                <w:rFonts w:ascii="Arial"/>
                <w:sz w:val="22"/>
              </w:rPr>
            </w:r>
          </w:p>
        </w:tc>
      </w:tr>
      <w:tr>
        <w:trPr>
          <w:trHeight w:val="308" w:hRule="exact"/>
        </w:trPr>
        <w:tc>
          <w:tcPr>
            <w:tcW w:w="2657" w:type="dxa"/>
            <w:tcBorders>
              <w:top w:val="nil" w:sz="6" w:space="0" w:color="auto"/>
              <w:left w:val="nil" w:sz="6" w:space="0" w:color="auto"/>
              <w:bottom w:val="nil" w:sz="6" w:space="0" w:color="auto"/>
              <w:right w:val="nil" w:sz="6" w:space="0" w:color="auto"/>
            </w:tcBorders>
          </w:tcPr>
          <w:p>
            <w:pPr>
              <w:pStyle w:val="TableParagraph"/>
              <w:spacing w:line="276" w:lineRule="exact"/>
              <w:ind w:left="314" w:right="0"/>
              <w:jc w:val="left"/>
              <w:rPr>
                <w:rFonts w:ascii="宋体" w:hAnsi="宋体" w:cs="宋体" w:eastAsia="宋体" w:hint="default"/>
                <w:sz w:val="22"/>
                <w:szCs w:val="22"/>
              </w:rPr>
            </w:pPr>
            <w:r>
              <w:rPr>
                <w:rFonts w:ascii="宋体" w:hAnsi="宋体" w:cs="宋体" w:eastAsia="宋体" w:hint="default"/>
                <w:sz w:val="22"/>
                <w:szCs w:val="22"/>
              </w:rPr>
              <w:t>金融负债</w:t>
            </w:r>
          </w:p>
        </w:tc>
        <w:tc>
          <w:tcPr>
            <w:tcW w:w="1134" w:type="dxa"/>
            <w:tcBorders>
              <w:top w:val="single" w:sz="17"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087" w:type="dxa"/>
            <w:tcBorders>
              <w:top w:val="single" w:sz="17"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051" w:type="dxa"/>
            <w:tcBorders>
              <w:top w:val="single" w:sz="17"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single" w:sz="17"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258" w:type="dxa"/>
            <w:tcBorders>
              <w:top w:val="single" w:sz="17" w:space="0" w:color="000000"/>
              <w:left w:val="nil" w:sz="6" w:space="0" w:color="auto"/>
              <w:bottom w:val="nil" w:sz="6" w:space="0" w:color="auto"/>
              <w:right w:val="nil" w:sz="6" w:space="0" w:color="auto"/>
            </w:tcBorders>
          </w:tcPr>
          <w:p>
            <w:pPr/>
          </w:p>
        </w:tc>
      </w:tr>
      <w:tr>
        <w:trPr>
          <w:trHeight w:val="298" w:hRule="exact"/>
        </w:trPr>
        <w:tc>
          <w:tcPr>
            <w:tcW w:w="2657" w:type="dxa"/>
            <w:tcBorders>
              <w:top w:val="nil" w:sz="6" w:space="0" w:color="auto"/>
              <w:left w:val="nil" w:sz="6" w:space="0" w:color="auto"/>
              <w:bottom w:val="nil" w:sz="6" w:space="0" w:color="auto"/>
              <w:right w:val="nil" w:sz="6" w:space="0" w:color="auto"/>
            </w:tcBorders>
          </w:tcPr>
          <w:p>
            <w:pPr>
              <w:pStyle w:val="TableParagraph"/>
              <w:spacing w:line="252" w:lineRule="exact"/>
              <w:ind w:left="314" w:right="0"/>
              <w:jc w:val="left"/>
              <w:rPr>
                <w:rFonts w:ascii="宋体" w:hAnsi="宋体" w:cs="宋体" w:eastAsia="宋体" w:hint="default"/>
                <w:sz w:val="22"/>
                <w:szCs w:val="22"/>
              </w:rPr>
            </w:pPr>
            <w:r>
              <w:rPr>
                <w:rFonts w:ascii="宋体" w:hAnsi="宋体" w:cs="宋体" w:eastAsia="宋体" w:hint="default"/>
                <w:sz w:val="22"/>
                <w:szCs w:val="22"/>
              </w:rPr>
              <w:t>长期借款</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15"/>
              <w:jc w:val="right"/>
              <w:rPr>
                <w:rFonts w:ascii="Arial" w:hAnsi="Arial" w:cs="Arial" w:eastAsia="Arial" w:hint="default"/>
                <w:sz w:val="22"/>
                <w:szCs w:val="22"/>
              </w:rPr>
            </w:pPr>
            <w:r>
              <w:rPr>
                <w:rFonts w:ascii="Arial"/>
                <w:w w:val="95"/>
                <w:sz w:val="22"/>
              </w:rPr>
              <w:t>886</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14"/>
              <w:jc w:val="right"/>
              <w:rPr>
                <w:rFonts w:ascii="Arial" w:hAnsi="Arial" w:cs="Arial" w:eastAsia="Arial" w:hint="default"/>
                <w:sz w:val="22"/>
                <w:szCs w:val="22"/>
              </w:rPr>
            </w:pPr>
            <w:r>
              <w:rPr>
                <w:rFonts w:ascii="Arial"/>
                <w:w w:val="95"/>
                <w:sz w:val="22"/>
              </w:rPr>
              <w:t>53</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66" w:right="0"/>
              <w:jc w:val="left"/>
              <w:rPr>
                <w:rFonts w:ascii="Arial" w:hAnsi="Arial" w:cs="Arial" w:eastAsia="Arial" w:hint="default"/>
                <w:sz w:val="22"/>
                <w:szCs w:val="22"/>
              </w:rPr>
            </w:pPr>
            <w:r>
              <w:rPr>
                <w:rFonts w:ascii="Arial"/>
                <w:sz w:val="22"/>
              </w:rPr>
              <w:t>154</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30" w:right="0"/>
              <w:jc w:val="left"/>
              <w:rPr>
                <w:rFonts w:ascii="Arial" w:hAnsi="Arial" w:cs="Arial" w:eastAsia="Arial" w:hint="default"/>
                <w:sz w:val="22"/>
                <w:szCs w:val="22"/>
              </w:rPr>
            </w:pPr>
            <w:r>
              <w:rPr>
                <w:rFonts w:ascii="Arial"/>
                <w:sz w:val="22"/>
              </w:rPr>
              <w:t>352</w:t>
            </w:r>
          </w:p>
        </w:tc>
        <w:tc>
          <w:tcPr>
            <w:tcW w:w="236"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2"/>
              <w:jc w:val="right"/>
              <w:rPr>
                <w:rFonts w:ascii="Arial" w:hAnsi="Arial" w:cs="Arial" w:eastAsia="Arial" w:hint="default"/>
                <w:sz w:val="22"/>
                <w:szCs w:val="22"/>
              </w:rPr>
            </w:pPr>
            <w:r>
              <w:rPr>
                <w:rFonts w:ascii="Arial"/>
                <w:w w:val="95"/>
                <w:sz w:val="22"/>
              </w:rPr>
              <w:t>1,445</w:t>
            </w:r>
            <w:r>
              <w:rPr>
                <w:rFonts w:ascii="Arial"/>
                <w:sz w:val="22"/>
              </w:rPr>
            </w:r>
          </w:p>
        </w:tc>
      </w:tr>
      <w:tr>
        <w:trPr>
          <w:trHeight w:val="286" w:hRule="exact"/>
        </w:trPr>
        <w:tc>
          <w:tcPr>
            <w:tcW w:w="2657" w:type="dxa"/>
            <w:tcBorders>
              <w:top w:val="nil" w:sz="6" w:space="0" w:color="auto"/>
              <w:left w:val="nil" w:sz="6" w:space="0" w:color="auto"/>
              <w:bottom w:val="nil" w:sz="6" w:space="0" w:color="auto"/>
              <w:right w:val="nil" w:sz="6" w:space="0" w:color="auto"/>
            </w:tcBorders>
          </w:tcPr>
          <w:p>
            <w:pPr>
              <w:pStyle w:val="TableParagraph"/>
              <w:spacing w:line="239" w:lineRule="exact"/>
              <w:ind w:left="314" w:right="0"/>
              <w:jc w:val="left"/>
              <w:rPr>
                <w:rFonts w:ascii="宋体" w:hAnsi="宋体" w:cs="宋体" w:eastAsia="宋体" w:hint="default"/>
                <w:sz w:val="22"/>
                <w:szCs w:val="22"/>
              </w:rPr>
            </w:pPr>
            <w:r>
              <w:rPr>
                <w:rFonts w:ascii="宋体" w:hAnsi="宋体" w:cs="宋体" w:eastAsia="宋体" w:hint="default"/>
                <w:sz w:val="22"/>
                <w:szCs w:val="22"/>
              </w:rPr>
              <w:t>长期应付款</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5"/>
              <w:jc w:val="right"/>
              <w:rPr>
                <w:rFonts w:ascii="Arial" w:hAnsi="Arial" w:cs="Arial" w:eastAsia="Arial" w:hint="default"/>
                <w:sz w:val="22"/>
                <w:szCs w:val="22"/>
              </w:rPr>
            </w:pPr>
            <w:r>
              <w:rPr>
                <w:rFonts w:ascii="Arial"/>
                <w:w w:val="95"/>
                <w:sz w:val="22"/>
              </w:rPr>
              <w:t>150</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03" w:right="0"/>
              <w:jc w:val="left"/>
              <w:rPr>
                <w:rFonts w:ascii="Arial" w:hAnsi="Arial" w:cs="Arial" w:eastAsia="Arial" w:hint="default"/>
                <w:sz w:val="22"/>
                <w:szCs w:val="22"/>
              </w:rPr>
            </w:pPr>
            <w:r>
              <w:rPr>
                <w:rFonts w:ascii="Arial"/>
                <w:sz w:val="22"/>
              </w:rPr>
              <w:t>141</w:t>
            </w:r>
          </w:p>
        </w:tc>
        <w:tc>
          <w:tcPr>
            <w:tcW w:w="236"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66" w:right="0"/>
              <w:jc w:val="left"/>
              <w:rPr>
                <w:rFonts w:ascii="Arial" w:hAnsi="Arial" w:cs="Arial" w:eastAsia="Arial" w:hint="default"/>
                <w:sz w:val="22"/>
                <w:szCs w:val="22"/>
              </w:rPr>
            </w:pPr>
            <w:r>
              <w:rPr>
                <w:rFonts w:ascii="Arial"/>
                <w:sz w:val="22"/>
              </w:rPr>
              <w:t>113</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52" w:right="0"/>
              <w:jc w:val="left"/>
              <w:rPr>
                <w:rFonts w:ascii="Arial" w:hAnsi="Arial" w:cs="Arial" w:eastAsia="Arial" w:hint="default"/>
                <w:sz w:val="22"/>
                <w:szCs w:val="22"/>
              </w:rPr>
            </w:pPr>
            <w:r>
              <w:rPr>
                <w:rFonts w:ascii="Arial"/>
                <w:sz w:val="22"/>
              </w:rPr>
              <w:t>85</w:t>
            </w:r>
          </w:p>
        </w:tc>
        <w:tc>
          <w:tcPr>
            <w:tcW w:w="236"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2"/>
              <w:jc w:val="right"/>
              <w:rPr>
                <w:rFonts w:ascii="Arial" w:hAnsi="Arial" w:cs="Arial" w:eastAsia="Arial" w:hint="default"/>
                <w:sz w:val="22"/>
                <w:szCs w:val="22"/>
              </w:rPr>
            </w:pPr>
            <w:r>
              <w:rPr>
                <w:rFonts w:ascii="Arial"/>
                <w:w w:val="95"/>
                <w:sz w:val="22"/>
              </w:rPr>
              <w:t>489</w:t>
            </w:r>
            <w:r>
              <w:rPr>
                <w:rFonts w:ascii="Arial"/>
                <w:sz w:val="22"/>
              </w:rPr>
            </w:r>
          </w:p>
        </w:tc>
      </w:tr>
      <w:tr>
        <w:trPr>
          <w:trHeight w:val="286" w:hRule="exact"/>
        </w:trPr>
        <w:tc>
          <w:tcPr>
            <w:tcW w:w="2657" w:type="dxa"/>
            <w:tcBorders>
              <w:top w:val="nil" w:sz="6" w:space="0" w:color="auto"/>
              <w:left w:val="nil" w:sz="6" w:space="0" w:color="auto"/>
              <w:bottom w:val="nil" w:sz="6" w:space="0" w:color="auto"/>
              <w:right w:val="nil" w:sz="6" w:space="0" w:color="auto"/>
            </w:tcBorders>
          </w:tcPr>
          <w:p>
            <w:pPr>
              <w:pStyle w:val="TableParagraph"/>
              <w:spacing w:line="239" w:lineRule="exact"/>
              <w:ind w:left="314" w:right="0"/>
              <w:jc w:val="left"/>
              <w:rPr>
                <w:rFonts w:ascii="宋体" w:hAnsi="宋体" w:cs="宋体" w:eastAsia="宋体" w:hint="default"/>
                <w:sz w:val="22"/>
                <w:szCs w:val="22"/>
              </w:rPr>
            </w:pPr>
            <w:r>
              <w:rPr>
                <w:rFonts w:ascii="宋体" w:hAnsi="宋体" w:cs="宋体" w:eastAsia="宋体" w:hint="default"/>
                <w:sz w:val="22"/>
                <w:szCs w:val="22"/>
              </w:rPr>
              <w:t>应付短期债券</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43" w:right="0"/>
              <w:jc w:val="left"/>
              <w:rPr>
                <w:rFonts w:ascii="Arial" w:hAnsi="Arial" w:cs="Arial" w:eastAsia="Arial" w:hint="default"/>
                <w:sz w:val="22"/>
                <w:szCs w:val="22"/>
              </w:rPr>
            </w:pPr>
            <w:r>
              <w:rPr>
                <w:rFonts w:ascii="Arial"/>
                <w:sz w:val="22"/>
              </w:rPr>
              <w:t>39,057</w:t>
            </w:r>
          </w:p>
        </w:tc>
        <w:tc>
          <w:tcPr>
            <w:tcW w:w="236"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4"/>
              <w:jc w:val="right"/>
              <w:rPr>
                <w:rFonts w:ascii="Arial" w:hAnsi="Arial" w:cs="Arial" w:eastAsia="Arial" w:hint="default"/>
                <w:sz w:val="22"/>
                <w:szCs w:val="22"/>
              </w:rPr>
            </w:pPr>
            <w:r>
              <w:rPr>
                <w:rFonts w:ascii="Arial"/>
                <w:w w:val="99"/>
                <w:sz w:val="22"/>
              </w:rPr>
              <w:t>-</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5"/>
              <w:jc w:val="right"/>
              <w:rPr>
                <w:rFonts w:ascii="Arial" w:hAnsi="Arial" w:cs="Arial" w:eastAsia="Arial" w:hint="default"/>
                <w:sz w:val="22"/>
                <w:szCs w:val="22"/>
              </w:rPr>
            </w:pPr>
            <w:r>
              <w:rPr>
                <w:rFonts w:ascii="Arial"/>
                <w:w w:val="99"/>
                <w:sz w:val="22"/>
              </w:rPr>
              <w:t>-</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4"/>
              <w:jc w:val="right"/>
              <w:rPr>
                <w:rFonts w:ascii="Arial" w:hAnsi="Arial" w:cs="Arial" w:eastAsia="Arial" w:hint="default"/>
                <w:sz w:val="22"/>
                <w:szCs w:val="22"/>
              </w:rPr>
            </w:pPr>
            <w:r>
              <w:rPr>
                <w:rFonts w:ascii="Arial"/>
                <w:w w:val="99"/>
                <w:sz w:val="22"/>
              </w:rPr>
              <w:t>-</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32"/>
              <w:jc w:val="right"/>
              <w:rPr>
                <w:rFonts w:ascii="Arial" w:hAnsi="Arial" w:cs="Arial" w:eastAsia="Arial" w:hint="default"/>
                <w:sz w:val="22"/>
                <w:szCs w:val="22"/>
              </w:rPr>
            </w:pPr>
            <w:r>
              <w:rPr>
                <w:rFonts w:ascii="Arial"/>
                <w:w w:val="95"/>
                <w:sz w:val="22"/>
              </w:rPr>
              <w:t>39,057</w:t>
            </w:r>
            <w:r>
              <w:rPr>
                <w:rFonts w:ascii="Arial"/>
                <w:sz w:val="22"/>
              </w:rPr>
            </w:r>
          </w:p>
        </w:tc>
      </w:tr>
      <w:tr>
        <w:trPr>
          <w:trHeight w:val="285" w:hRule="exact"/>
        </w:trPr>
        <w:tc>
          <w:tcPr>
            <w:tcW w:w="2657" w:type="dxa"/>
            <w:tcBorders>
              <w:top w:val="nil" w:sz="6" w:space="0" w:color="auto"/>
              <w:left w:val="nil" w:sz="6" w:space="0" w:color="auto"/>
              <w:bottom w:val="nil" w:sz="6" w:space="0" w:color="auto"/>
              <w:right w:val="nil" w:sz="6" w:space="0" w:color="auto"/>
            </w:tcBorders>
          </w:tcPr>
          <w:p>
            <w:pPr>
              <w:pStyle w:val="TableParagraph"/>
              <w:spacing w:line="239" w:lineRule="exact"/>
              <w:ind w:left="314" w:right="0"/>
              <w:jc w:val="left"/>
              <w:rPr>
                <w:rFonts w:ascii="宋体" w:hAnsi="宋体" w:cs="宋体" w:eastAsia="宋体" w:hint="default"/>
                <w:sz w:val="22"/>
                <w:szCs w:val="22"/>
              </w:rPr>
            </w:pPr>
            <w:r>
              <w:rPr>
                <w:rFonts w:ascii="宋体" w:hAnsi="宋体" w:cs="宋体" w:eastAsia="宋体" w:hint="default"/>
                <w:sz w:val="22"/>
                <w:szCs w:val="22"/>
              </w:rPr>
              <w:t>应付债券</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43" w:right="0"/>
              <w:jc w:val="left"/>
              <w:rPr>
                <w:rFonts w:ascii="Arial" w:hAnsi="Arial" w:cs="Arial" w:eastAsia="Arial" w:hint="default"/>
                <w:sz w:val="22"/>
                <w:szCs w:val="22"/>
              </w:rPr>
            </w:pPr>
            <w:r>
              <w:rPr>
                <w:rFonts w:ascii="Arial"/>
                <w:sz w:val="22"/>
              </w:rPr>
              <w:t>20,664</w:t>
            </w:r>
          </w:p>
        </w:tc>
        <w:tc>
          <w:tcPr>
            <w:tcW w:w="236"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03" w:right="0"/>
              <w:jc w:val="left"/>
              <w:rPr>
                <w:rFonts w:ascii="Arial" w:hAnsi="Arial" w:cs="Arial" w:eastAsia="Arial" w:hint="default"/>
                <w:sz w:val="22"/>
                <w:szCs w:val="22"/>
              </w:rPr>
            </w:pPr>
            <w:r>
              <w:rPr>
                <w:rFonts w:ascii="Arial"/>
                <w:sz w:val="22"/>
              </w:rPr>
              <w:t>177</w:t>
            </w:r>
          </w:p>
        </w:tc>
        <w:tc>
          <w:tcPr>
            <w:tcW w:w="236"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60" w:right="0"/>
              <w:jc w:val="left"/>
              <w:rPr>
                <w:rFonts w:ascii="Arial" w:hAnsi="Arial" w:cs="Arial" w:eastAsia="Arial" w:hint="default"/>
                <w:sz w:val="22"/>
                <w:szCs w:val="22"/>
              </w:rPr>
            </w:pPr>
            <w:r>
              <w:rPr>
                <w:rFonts w:ascii="Arial"/>
                <w:sz w:val="22"/>
              </w:rPr>
              <w:t>13,846</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4"/>
              <w:jc w:val="right"/>
              <w:rPr>
                <w:rFonts w:ascii="Arial" w:hAnsi="Arial" w:cs="Arial" w:eastAsia="Arial" w:hint="default"/>
                <w:sz w:val="22"/>
                <w:szCs w:val="22"/>
              </w:rPr>
            </w:pPr>
            <w:r>
              <w:rPr>
                <w:rFonts w:ascii="Arial"/>
                <w:w w:val="99"/>
                <w:sz w:val="22"/>
              </w:rPr>
              <w:t>-</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32"/>
              <w:jc w:val="right"/>
              <w:rPr>
                <w:rFonts w:ascii="Arial" w:hAnsi="Arial" w:cs="Arial" w:eastAsia="Arial" w:hint="default"/>
                <w:sz w:val="22"/>
                <w:szCs w:val="22"/>
              </w:rPr>
            </w:pPr>
            <w:r>
              <w:rPr>
                <w:rFonts w:ascii="Arial"/>
                <w:w w:val="95"/>
                <w:sz w:val="22"/>
              </w:rPr>
              <w:t>34,687</w:t>
            </w:r>
            <w:r>
              <w:rPr>
                <w:rFonts w:ascii="Arial"/>
                <w:sz w:val="22"/>
              </w:rPr>
            </w:r>
          </w:p>
        </w:tc>
      </w:tr>
      <w:tr>
        <w:trPr>
          <w:trHeight w:val="285" w:hRule="exact"/>
        </w:trPr>
        <w:tc>
          <w:tcPr>
            <w:tcW w:w="2657" w:type="dxa"/>
            <w:tcBorders>
              <w:top w:val="nil" w:sz="6" w:space="0" w:color="auto"/>
              <w:left w:val="nil" w:sz="6" w:space="0" w:color="auto"/>
              <w:bottom w:val="nil" w:sz="6" w:space="0" w:color="auto"/>
              <w:right w:val="nil" w:sz="6" w:space="0" w:color="auto"/>
            </w:tcBorders>
          </w:tcPr>
          <w:p>
            <w:pPr>
              <w:pStyle w:val="TableParagraph"/>
              <w:spacing w:line="239" w:lineRule="exact"/>
              <w:ind w:left="314" w:right="0"/>
              <w:jc w:val="left"/>
              <w:rPr>
                <w:rFonts w:ascii="宋体" w:hAnsi="宋体" w:cs="宋体" w:eastAsia="宋体" w:hint="default"/>
                <w:sz w:val="22"/>
                <w:szCs w:val="22"/>
              </w:rPr>
            </w:pPr>
            <w:r>
              <w:rPr>
                <w:rFonts w:ascii="宋体" w:hAnsi="宋体" w:cs="宋体" w:eastAsia="宋体" w:hint="default"/>
                <w:sz w:val="22"/>
                <w:szCs w:val="22"/>
              </w:rPr>
              <w:t>应付款项</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20" w:right="0"/>
              <w:jc w:val="left"/>
              <w:rPr>
                <w:rFonts w:ascii="Arial" w:hAnsi="Arial" w:cs="Arial" w:eastAsia="Arial" w:hint="default"/>
                <w:sz w:val="22"/>
                <w:szCs w:val="22"/>
              </w:rPr>
            </w:pPr>
            <w:r>
              <w:rPr>
                <w:rFonts w:ascii="Arial"/>
                <w:sz w:val="22"/>
              </w:rPr>
              <w:t>113,548</w:t>
            </w:r>
          </w:p>
        </w:tc>
        <w:tc>
          <w:tcPr>
            <w:tcW w:w="236"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4"/>
              <w:jc w:val="right"/>
              <w:rPr>
                <w:rFonts w:ascii="Arial" w:hAnsi="Arial" w:cs="Arial" w:eastAsia="Arial" w:hint="default"/>
                <w:sz w:val="22"/>
                <w:szCs w:val="22"/>
              </w:rPr>
            </w:pPr>
            <w:r>
              <w:rPr>
                <w:rFonts w:ascii="Arial"/>
                <w:w w:val="99"/>
                <w:sz w:val="22"/>
              </w:rPr>
              <w:t>-</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5"/>
              <w:jc w:val="right"/>
              <w:rPr>
                <w:rFonts w:ascii="Arial" w:hAnsi="Arial" w:cs="Arial" w:eastAsia="Arial" w:hint="default"/>
                <w:sz w:val="22"/>
                <w:szCs w:val="22"/>
              </w:rPr>
            </w:pPr>
            <w:r>
              <w:rPr>
                <w:rFonts w:ascii="Arial"/>
                <w:w w:val="99"/>
                <w:sz w:val="22"/>
              </w:rPr>
              <w:t>-</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4"/>
              <w:jc w:val="right"/>
              <w:rPr>
                <w:rFonts w:ascii="Arial" w:hAnsi="Arial" w:cs="Arial" w:eastAsia="Arial" w:hint="default"/>
                <w:sz w:val="22"/>
                <w:szCs w:val="22"/>
              </w:rPr>
            </w:pPr>
            <w:r>
              <w:rPr>
                <w:rFonts w:ascii="Arial"/>
                <w:w w:val="99"/>
                <w:sz w:val="22"/>
              </w:rPr>
              <w:t>-</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
              <w:ind w:left="327" w:right="0"/>
              <w:jc w:val="left"/>
              <w:rPr>
                <w:rFonts w:ascii="Arial" w:hAnsi="Arial" w:cs="Arial" w:eastAsia="Arial" w:hint="default"/>
                <w:sz w:val="22"/>
                <w:szCs w:val="22"/>
              </w:rPr>
            </w:pPr>
            <w:r>
              <w:rPr>
                <w:rFonts w:ascii="Arial"/>
                <w:sz w:val="22"/>
              </w:rPr>
              <w:t>113,548</w:t>
            </w:r>
          </w:p>
        </w:tc>
      </w:tr>
      <w:tr>
        <w:trPr>
          <w:trHeight w:val="281" w:hRule="exact"/>
        </w:trPr>
        <w:tc>
          <w:tcPr>
            <w:tcW w:w="2657" w:type="dxa"/>
            <w:tcBorders>
              <w:top w:val="nil" w:sz="6" w:space="0" w:color="auto"/>
              <w:left w:val="nil" w:sz="6" w:space="0" w:color="auto"/>
              <w:bottom w:val="nil" w:sz="6" w:space="0" w:color="auto"/>
              <w:right w:val="nil" w:sz="6" w:space="0" w:color="auto"/>
            </w:tcBorders>
          </w:tcPr>
          <w:p>
            <w:pPr>
              <w:pStyle w:val="TableParagraph"/>
              <w:spacing w:line="239" w:lineRule="exact"/>
              <w:ind w:left="314"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1134" w:type="dxa"/>
            <w:tcBorders>
              <w:top w:val="nil" w:sz="6" w:space="0" w:color="auto"/>
              <w:left w:val="nil" w:sz="6" w:space="0" w:color="auto"/>
              <w:bottom w:val="nil" w:sz="6" w:space="0" w:color="auto"/>
              <w:right w:val="nil" w:sz="6" w:space="0" w:color="auto"/>
            </w:tcBorders>
          </w:tcPr>
          <w:p>
            <w:pPr>
              <w:pStyle w:val="TableParagraph"/>
              <w:tabs>
                <w:tab w:pos="343" w:val="left" w:leader="none"/>
                <w:tab w:pos="1133"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70,249</w:t>
            </w:r>
            <w:r>
              <w:rPr>
                <w:rFonts w:ascii="Arial"/>
                <w:sz w:val="22"/>
                <w:u w:val="single" w:color="000000"/>
              </w:rPr>
              <w:tab/>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tabs>
                <w:tab w:pos="897" w:val="left" w:leader="none"/>
                <w:tab w:pos="1087" w:val="left" w:leader="none"/>
              </w:tabs>
              <w:spacing w:line="240" w:lineRule="auto" w:before="17"/>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w:t>
              <w:tab/>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tabs>
                <w:tab w:pos="860" w:val="left" w:leader="none"/>
                <w:tab w:pos="1051" w:val="left" w:leader="none"/>
              </w:tabs>
              <w:spacing w:line="240" w:lineRule="auto" w:before="17"/>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w:t>
              <w:tab/>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tabs>
                <w:tab w:pos="824" w:val="left" w:leader="none"/>
                <w:tab w:pos="1023" w:val="left" w:leader="none"/>
              </w:tabs>
              <w:spacing w:line="240" w:lineRule="auto" w:before="17"/>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w:t>
              <w:tab/>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single" w:sz="6" w:space="0" w:color="000000"/>
              <w:right w:val="nil" w:sz="6" w:space="0" w:color="auto"/>
            </w:tcBorders>
          </w:tcPr>
          <w:p>
            <w:pPr>
              <w:pStyle w:val="TableParagraph"/>
              <w:spacing w:line="240" w:lineRule="auto" w:before="2"/>
              <w:ind w:right="132"/>
              <w:jc w:val="right"/>
              <w:rPr>
                <w:rFonts w:ascii="Arial" w:hAnsi="Arial" w:cs="Arial" w:eastAsia="Arial" w:hint="default"/>
                <w:sz w:val="22"/>
                <w:szCs w:val="22"/>
              </w:rPr>
            </w:pPr>
            <w:r>
              <w:rPr>
                <w:rFonts w:ascii="Arial"/>
                <w:w w:val="95"/>
                <w:sz w:val="22"/>
              </w:rPr>
              <w:t>70,249</w:t>
            </w:r>
            <w:r>
              <w:rPr>
                <w:rFonts w:ascii="Arial"/>
                <w:sz w:val="22"/>
              </w:rPr>
            </w:r>
          </w:p>
        </w:tc>
      </w:tr>
      <w:tr>
        <w:trPr>
          <w:trHeight w:val="538" w:hRule="exact"/>
        </w:trPr>
        <w:tc>
          <w:tcPr>
            <w:tcW w:w="2657"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0" w:right="0"/>
              <w:jc w:val="left"/>
              <w:rPr>
                <w:rFonts w:ascii="Arial" w:hAnsi="Arial" w:cs="Arial" w:eastAsia="Arial" w:hint="default"/>
                <w:sz w:val="22"/>
                <w:szCs w:val="22"/>
              </w:rPr>
            </w:pPr>
            <w:r>
              <w:rPr>
                <w:rFonts w:ascii="Arial"/>
                <w:sz w:val="22"/>
              </w:rPr>
              <w:t>244,554</w:t>
            </w:r>
          </w:p>
        </w:tc>
        <w:tc>
          <w:tcPr>
            <w:tcW w:w="236"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03" w:right="0"/>
              <w:jc w:val="left"/>
              <w:rPr>
                <w:rFonts w:ascii="Arial" w:hAnsi="Arial" w:cs="Arial" w:eastAsia="Arial" w:hint="default"/>
                <w:sz w:val="22"/>
                <w:szCs w:val="22"/>
              </w:rPr>
            </w:pPr>
            <w:r>
              <w:rPr>
                <w:rFonts w:ascii="Arial"/>
                <w:sz w:val="22"/>
              </w:rPr>
              <w:t>371</w:t>
            </w:r>
          </w:p>
        </w:tc>
        <w:tc>
          <w:tcPr>
            <w:tcW w:w="236"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60" w:right="0"/>
              <w:jc w:val="left"/>
              <w:rPr>
                <w:rFonts w:ascii="Arial" w:hAnsi="Arial" w:cs="Arial" w:eastAsia="Arial" w:hint="default"/>
                <w:sz w:val="22"/>
                <w:szCs w:val="22"/>
              </w:rPr>
            </w:pPr>
            <w:r>
              <w:rPr>
                <w:rFonts w:ascii="Arial"/>
                <w:sz w:val="22"/>
              </w:rPr>
              <w:t>14,113</w:t>
            </w:r>
          </w:p>
        </w:tc>
        <w:tc>
          <w:tcPr>
            <w:tcW w:w="236"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30" w:right="0"/>
              <w:jc w:val="left"/>
              <w:rPr>
                <w:rFonts w:ascii="Arial" w:hAnsi="Arial" w:cs="Arial" w:eastAsia="Arial" w:hint="default"/>
                <w:sz w:val="22"/>
                <w:szCs w:val="22"/>
              </w:rPr>
            </w:pPr>
            <w:r>
              <w:rPr>
                <w:rFonts w:ascii="Arial"/>
                <w:sz w:val="22"/>
              </w:rPr>
              <w:t>437</w:t>
            </w:r>
          </w:p>
        </w:tc>
        <w:tc>
          <w:tcPr>
            <w:tcW w:w="236" w:type="dxa"/>
            <w:tcBorders>
              <w:top w:val="nil" w:sz="6" w:space="0" w:color="auto"/>
              <w:left w:val="nil" w:sz="6" w:space="0" w:color="auto"/>
              <w:bottom w:val="nil" w:sz="6" w:space="0" w:color="auto"/>
              <w:right w:val="nil" w:sz="6" w:space="0" w:color="auto"/>
            </w:tcBorders>
          </w:tcPr>
          <w:p>
            <w:pPr/>
          </w:p>
        </w:tc>
        <w:tc>
          <w:tcPr>
            <w:tcW w:w="1258" w:type="dxa"/>
            <w:tcBorders>
              <w:top w:val="single" w:sz="6" w:space="0" w:color="000000"/>
              <w:left w:val="nil" w:sz="6" w:space="0" w:color="auto"/>
              <w:bottom w:val="single" w:sz="17"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7" w:right="0"/>
              <w:jc w:val="left"/>
              <w:rPr>
                <w:rFonts w:ascii="Arial" w:hAnsi="Arial" w:cs="Arial" w:eastAsia="Arial" w:hint="default"/>
                <w:sz w:val="22"/>
                <w:szCs w:val="22"/>
              </w:rPr>
            </w:pPr>
            <w:r>
              <w:rPr>
                <w:rFonts w:ascii="Arial"/>
                <w:sz w:val="22"/>
              </w:rPr>
              <w:t>259,475</w:t>
            </w:r>
          </w:p>
        </w:tc>
      </w:tr>
    </w:tbl>
    <w:p>
      <w:pPr>
        <w:spacing w:after="0" w:line="240" w:lineRule="auto"/>
        <w:jc w:val="left"/>
        <w:rPr>
          <w:rFonts w:ascii="Arial" w:hAnsi="Arial" w:cs="Arial" w:eastAsia="Arial" w:hint="default"/>
          <w:sz w:val="22"/>
          <w:szCs w:val="22"/>
        </w:rPr>
        <w:sectPr>
          <w:headerReference w:type="default" r:id="rId64"/>
          <w:pgSz w:w="11910" w:h="16840"/>
          <w:pgMar w:header="967" w:footer="593" w:top="3880" w:bottom="780" w:left="1440" w:right="900"/>
        </w:sectPr>
      </w:pPr>
    </w:p>
    <w:p>
      <w:pPr>
        <w:spacing w:line="240" w:lineRule="auto" w:before="11"/>
        <w:rPr>
          <w:rFonts w:ascii="宋体" w:hAnsi="宋体" w:cs="宋体" w:eastAsia="宋体" w:hint="default"/>
          <w:sz w:val="15"/>
          <w:szCs w:val="15"/>
        </w:rPr>
      </w:pPr>
    </w:p>
    <w:p>
      <w:pPr>
        <w:pStyle w:val="BodyText"/>
        <w:spacing w:line="240" w:lineRule="auto" w:before="31"/>
        <w:ind w:left="118" w:right="3270"/>
        <w:jc w:val="left"/>
      </w:pPr>
      <w:r>
        <w:rPr>
          <w:rFonts w:ascii="Arial" w:hAnsi="Arial" w:cs="Arial" w:eastAsia="Arial" w:hint="default"/>
        </w:rPr>
        <w:t>(3)  </w:t>
      </w:r>
      <w:r>
        <w:rPr>
          <w:rFonts w:ascii="Arial" w:hAnsi="Arial" w:cs="Arial" w:eastAsia="Arial" w:hint="default"/>
          <w:spacing w:val="13"/>
        </w:rPr>
        <w:t> </w:t>
      </w:r>
      <w:r>
        <w:rPr/>
        <w:t>流动性风险（续）</w:t>
      </w:r>
    </w:p>
    <w:p>
      <w:pPr>
        <w:spacing w:line="240" w:lineRule="auto" w:before="2"/>
        <w:rPr>
          <w:rFonts w:ascii="宋体" w:hAnsi="宋体" w:cs="宋体" w:eastAsia="宋体" w:hint="default"/>
          <w:sz w:val="23"/>
          <w:szCs w:val="23"/>
        </w:rPr>
      </w:pPr>
    </w:p>
    <w:tbl>
      <w:tblPr>
        <w:tblW w:w="0" w:type="auto"/>
        <w:jc w:val="left"/>
        <w:tblInd w:w="270" w:type="dxa"/>
        <w:tblLayout w:type="fixed"/>
        <w:tblCellMar>
          <w:top w:w="0" w:type="dxa"/>
          <w:left w:w="0" w:type="dxa"/>
          <w:bottom w:w="0" w:type="dxa"/>
          <w:right w:w="0" w:type="dxa"/>
        </w:tblCellMar>
        <w:tblLook w:val="01E0"/>
      </w:tblPr>
      <w:tblGrid>
        <w:gridCol w:w="2756"/>
        <w:gridCol w:w="1134"/>
        <w:gridCol w:w="235"/>
        <w:gridCol w:w="1088"/>
        <w:gridCol w:w="236"/>
        <w:gridCol w:w="1042"/>
        <w:gridCol w:w="245"/>
        <w:gridCol w:w="1025"/>
        <w:gridCol w:w="235"/>
        <w:gridCol w:w="1177"/>
      </w:tblGrid>
      <w:tr>
        <w:trPr>
          <w:trHeight w:val="261" w:hRule="exact"/>
        </w:trPr>
        <w:tc>
          <w:tcPr>
            <w:tcW w:w="9173" w:type="dxa"/>
            <w:gridSpan w:val="10"/>
            <w:tcBorders>
              <w:top w:val="nil" w:sz="6" w:space="0" w:color="auto"/>
              <w:left w:val="nil" w:sz="6" w:space="0" w:color="auto"/>
              <w:bottom w:val="nil" w:sz="6" w:space="0" w:color="auto"/>
              <w:right w:val="nil" w:sz="6" w:space="0" w:color="auto"/>
            </w:tcBorders>
          </w:tcPr>
          <w:p>
            <w:pPr>
              <w:pStyle w:val="TableParagraph"/>
              <w:spacing w:line="235" w:lineRule="exact"/>
              <w:ind w:left="5169" w:right="0"/>
              <w:jc w:val="left"/>
              <w:rPr>
                <w:rFonts w:ascii="宋体" w:hAnsi="宋体" w:cs="宋体" w:eastAsia="宋体" w:hint="default"/>
                <w:sz w:val="22"/>
                <w:szCs w:val="22"/>
              </w:rPr>
            </w:pPr>
            <w:r>
              <w:rPr>
                <w:rFonts w:ascii="Arial" w:hAnsi="Arial" w:cs="Arial" w:eastAsia="Arial" w:hint="default"/>
                <w:sz w:val="22"/>
                <w:szCs w:val="22"/>
              </w:rPr>
              <w:t>2011</w:t>
            </w:r>
            <w:r>
              <w:rPr>
                <w:rFonts w:ascii="宋体" w:hAnsi="宋体" w:cs="宋体" w:eastAsia="宋体" w:hint="default"/>
                <w:sz w:val="22"/>
                <w:szCs w:val="22"/>
              </w:rPr>
              <w:t>年</w:t>
            </w:r>
            <w:r>
              <w:rPr>
                <w:rFonts w:ascii="Arial" w:hAnsi="Arial" w:cs="Arial" w:eastAsia="Arial" w:hint="default"/>
                <w:sz w:val="22"/>
                <w:szCs w:val="22"/>
              </w:rPr>
              <w:t>12</w:t>
            </w:r>
            <w:r>
              <w:rPr>
                <w:rFonts w:ascii="宋体" w:hAnsi="宋体" w:cs="宋体" w:eastAsia="宋体" w:hint="default"/>
                <w:sz w:val="22"/>
                <w:szCs w:val="22"/>
              </w:rPr>
              <w:t>月</w:t>
            </w:r>
            <w:r>
              <w:rPr>
                <w:rFonts w:ascii="Arial" w:hAnsi="Arial" w:cs="Arial" w:eastAsia="Arial" w:hint="default"/>
                <w:sz w:val="22"/>
                <w:szCs w:val="22"/>
              </w:rPr>
              <w:t>31</w:t>
            </w:r>
            <w:r>
              <w:rPr>
                <w:rFonts w:ascii="宋体" w:hAnsi="宋体" w:cs="宋体" w:eastAsia="宋体" w:hint="default"/>
                <w:sz w:val="22"/>
                <w:szCs w:val="22"/>
              </w:rPr>
              <w:t>日</w:t>
            </w:r>
          </w:p>
        </w:tc>
      </w:tr>
      <w:tr>
        <w:trPr>
          <w:trHeight w:val="300" w:hRule="exact"/>
        </w:trPr>
        <w:tc>
          <w:tcPr>
            <w:tcW w:w="2756" w:type="dxa"/>
            <w:tcBorders>
              <w:top w:val="nil" w:sz="6" w:space="0" w:color="auto"/>
              <w:left w:val="nil" w:sz="6" w:space="0" w:color="auto"/>
              <w:bottom w:val="nil" w:sz="6" w:space="0" w:color="auto"/>
              <w:right w:val="nil" w:sz="6" w:space="0" w:color="auto"/>
            </w:tcBorders>
          </w:tcPr>
          <w:p>
            <w:pPr>
              <w:pStyle w:val="TableParagraph"/>
              <w:spacing w:line="259" w:lineRule="exact"/>
              <w:ind w:left="200" w:right="0"/>
              <w:jc w:val="left"/>
              <w:rPr>
                <w:rFonts w:ascii="宋体" w:hAnsi="宋体" w:cs="宋体" w:eastAsia="宋体" w:hint="default"/>
                <w:sz w:val="22"/>
                <w:szCs w:val="22"/>
              </w:rPr>
            </w:pPr>
            <w:r>
              <w:rPr>
                <w:rFonts w:ascii="宋体" w:hAnsi="宋体" w:cs="宋体" w:eastAsia="宋体" w:hint="default"/>
                <w:w w:val="99"/>
                <w:sz w:val="22"/>
                <w:szCs w:val="22"/>
              </w:rPr>
              <w:t>（单位</w:t>
            </w:r>
            <w:r>
              <w:rPr>
                <w:rFonts w:ascii="宋体" w:hAnsi="宋体" w:cs="宋体" w:eastAsia="宋体" w:hint="default"/>
                <w:spacing w:val="-105"/>
                <w:w w:val="99"/>
                <w:sz w:val="22"/>
                <w:szCs w:val="22"/>
              </w:rPr>
              <w:t>：</w:t>
            </w:r>
            <w:r>
              <w:rPr>
                <w:rFonts w:ascii="宋体" w:hAnsi="宋体" w:cs="宋体" w:eastAsia="宋体" w:hint="default"/>
                <w:w w:val="99"/>
                <w:sz w:val="22"/>
                <w:szCs w:val="22"/>
              </w:rPr>
              <w:t>人民币百万元）</w:t>
            </w:r>
            <w:r>
              <w:rPr>
                <w:rFonts w:ascii="宋体" w:hAnsi="宋体" w:cs="宋体" w:eastAsia="宋体" w:hint="default"/>
                <w:sz w:val="22"/>
                <w:szCs w:val="22"/>
              </w:rPr>
            </w:r>
          </w:p>
        </w:tc>
        <w:tc>
          <w:tcPr>
            <w:tcW w:w="1134" w:type="dxa"/>
            <w:tcBorders>
              <w:top w:val="single" w:sz="6" w:space="0" w:color="000000"/>
              <w:left w:val="nil" w:sz="6" w:space="0" w:color="auto"/>
              <w:bottom w:val="single" w:sz="6" w:space="0" w:color="000000"/>
              <w:right w:val="nil" w:sz="6" w:space="0" w:color="auto"/>
            </w:tcBorders>
          </w:tcPr>
          <w:p>
            <w:pPr>
              <w:pStyle w:val="TableParagraph"/>
              <w:spacing w:line="267" w:lineRule="exact"/>
              <w:ind w:left="243" w:right="0"/>
              <w:jc w:val="left"/>
              <w:rPr>
                <w:rFonts w:ascii="宋体" w:hAnsi="宋体" w:cs="宋体" w:eastAsia="宋体" w:hint="default"/>
                <w:sz w:val="22"/>
                <w:szCs w:val="22"/>
              </w:rPr>
            </w:pPr>
            <w:r>
              <w:rPr>
                <w:rFonts w:ascii="Arial" w:hAnsi="Arial" w:cs="Arial" w:eastAsia="Arial" w:hint="default"/>
                <w:sz w:val="22"/>
                <w:szCs w:val="22"/>
              </w:rPr>
              <w:t>1</w:t>
            </w:r>
            <w:r>
              <w:rPr>
                <w:rFonts w:ascii="宋体" w:hAnsi="宋体" w:cs="宋体" w:eastAsia="宋体" w:hint="default"/>
                <w:sz w:val="22"/>
                <w:szCs w:val="22"/>
              </w:rPr>
              <w:t>年以内</w:t>
            </w:r>
          </w:p>
        </w:tc>
        <w:tc>
          <w:tcPr>
            <w:tcW w:w="235" w:type="dxa"/>
            <w:tcBorders>
              <w:top w:val="single" w:sz="6" w:space="0" w:color="000000"/>
              <w:left w:val="nil" w:sz="6" w:space="0" w:color="auto"/>
              <w:bottom w:val="nil" w:sz="6" w:space="0" w:color="auto"/>
              <w:right w:val="nil" w:sz="6" w:space="0" w:color="auto"/>
            </w:tcBorders>
          </w:tcPr>
          <w:p>
            <w:pPr/>
          </w:p>
        </w:tc>
        <w:tc>
          <w:tcPr>
            <w:tcW w:w="1088" w:type="dxa"/>
            <w:tcBorders>
              <w:top w:val="single" w:sz="6" w:space="0" w:color="000000"/>
              <w:left w:val="nil" w:sz="6" w:space="0" w:color="auto"/>
              <w:bottom w:val="single" w:sz="6" w:space="0" w:color="000000"/>
              <w:right w:val="nil" w:sz="6" w:space="0" w:color="auto"/>
            </w:tcBorders>
          </w:tcPr>
          <w:p>
            <w:pPr>
              <w:pStyle w:val="TableParagraph"/>
              <w:spacing w:line="267" w:lineRule="exact"/>
              <w:ind w:left="293" w:right="0"/>
              <w:jc w:val="left"/>
              <w:rPr>
                <w:rFonts w:ascii="宋体" w:hAnsi="宋体" w:cs="宋体" w:eastAsia="宋体" w:hint="default"/>
                <w:sz w:val="22"/>
                <w:szCs w:val="22"/>
              </w:rPr>
            </w:pPr>
            <w:r>
              <w:rPr>
                <w:rFonts w:ascii="Arial" w:hAnsi="Arial" w:cs="Arial" w:eastAsia="Arial" w:hint="default"/>
                <w:sz w:val="22"/>
                <w:szCs w:val="22"/>
              </w:rPr>
              <w:t>1</w:t>
            </w:r>
            <w:r>
              <w:rPr>
                <w:rFonts w:ascii="宋体" w:hAnsi="宋体" w:cs="宋体" w:eastAsia="宋体" w:hint="default"/>
                <w:sz w:val="22"/>
                <w:szCs w:val="22"/>
              </w:rPr>
              <w:t>至</w:t>
            </w:r>
            <w:r>
              <w:rPr>
                <w:rFonts w:ascii="Arial" w:hAnsi="Arial" w:cs="Arial" w:eastAsia="Arial" w:hint="default"/>
                <w:sz w:val="22"/>
                <w:szCs w:val="22"/>
              </w:rPr>
              <w:t>2</w:t>
            </w:r>
            <w:r>
              <w:rPr>
                <w:rFonts w:ascii="宋体" w:hAnsi="宋体" w:cs="宋体" w:eastAsia="宋体" w:hint="default"/>
                <w:sz w:val="22"/>
                <w:szCs w:val="22"/>
              </w:rPr>
              <w:t>年</w:t>
            </w:r>
          </w:p>
        </w:tc>
        <w:tc>
          <w:tcPr>
            <w:tcW w:w="236" w:type="dxa"/>
            <w:tcBorders>
              <w:top w:val="single" w:sz="6" w:space="0" w:color="000000"/>
              <w:left w:val="nil" w:sz="6" w:space="0" w:color="auto"/>
              <w:bottom w:val="nil" w:sz="6" w:space="0" w:color="auto"/>
              <w:right w:val="nil" w:sz="6" w:space="0" w:color="auto"/>
            </w:tcBorders>
          </w:tcPr>
          <w:p>
            <w:pPr/>
          </w:p>
        </w:tc>
        <w:tc>
          <w:tcPr>
            <w:tcW w:w="1042" w:type="dxa"/>
            <w:tcBorders>
              <w:top w:val="single" w:sz="6" w:space="0" w:color="000000"/>
              <w:left w:val="nil" w:sz="6" w:space="0" w:color="auto"/>
              <w:bottom w:val="single" w:sz="6" w:space="0" w:color="000000"/>
              <w:right w:val="nil" w:sz="6" w:space="0" w:color="auto"/>
            </w:tcBorders>
          </w:tcPr>
          <w:p>
            <w:pPr>
              <w:pStyle w:val="TableParagraph"/>
              <w:spacing w:line="267" w:lineRule="exact"/>
              <w:ind w:left="248" w:right="0"/>
              <w:jc w:val="left"/>
              <w:rPr>
                <w:rFonts w:ascii="宋体" w:hAnsi="宋体" w:cs="宋体" w:eastAsia="宋体" w:hint="default"/>
                <w:sz w:val="22"/>
                <w:szCs w:val="22"/>
              </w:rPr>
            </w:pPr>
            <w:r>
              <w:rPr>
                <w:rFonts w:ascii="Arial" w:hAnsi="Arial" w:cs="Arial" w:eastAsia="Arial" w:hint="default"/>
                <w:sz w:val="22"/>
                <w:szCs w:val="22"/>
              </w:rPr>
              <w:t>2</w:t>
            </w:r>
            <w:r>
              <w:rPr>
                <w:rFonts w:ascii="宋体" w:hAnsi="宋体" w:cs="宋体" w:eastAsia="宋体" w:hint="default"/>
                <w:sz w:val="22"/>
                <w:szCs w:val="22"/>
              </w:rPr>
              <w:t>至</w:t>
            </w:r>
            <w:r>
              <w:rPr>
                <w:rFonts w:ascii="Arial" w:hAnsi="Arial" w:cs="Arial" w:eastAsia="Arial" w:hint="default"/>
                <w:sz w:val="22"/>
                <w:szCs w:val="22"/>
              </w:rPr>
              <w:t>5</w:t>
            </w:r>
            <w:r>
              <w:rPr>
                <w:rFonts w:ascii="宋体" w:hAnsi="宋体" w:cs="宋体" w:eastAsia="宋体" w:hint="default"/>
                <w:sz w:val="22"/>
                <w:szCs w:val="22"/>
              </w:rPr>
              <w:t>年</w:t>
            </w:r>
          </w:p>
        </w:tc>
        <w:tc>
          <w:tcPr>
            <w:tcW w:w="245" w:type="dxa"/>
            <w:tcBorders>
              <w:top w:val="single" w:sz="6" w:space="0" w:color="000000"/>
              <w:left w:val="nil" w:sz="6" w:space="0" w:color="auto"/>
              <w:bottom w:val="nil" w:sz="6" w:space="0" w:color="auto"/>
              <w:right w:val="nil" w:sz="6" w:space="0" w:color="auto"/>
            </w:tcBorders>
          </w:tcPr>
          <w:p>
            <w:pPr/>
          </w:p>
        </w:tc>
        <w:tc>
          <w:tcPr>
            <w:tcW w:w="1025" w:type="dxa"/>
            <w:tcBorders>
              <w:top w:val="single" w:sz="6" w:space="0" w:color="000000"/>
              <w:left w:val="nil" w:sz="6" w:space="0" w:color="auto"/>
              <w:bottom w:val="single" w:sz="6" w:space="0" w:color="000000"/>
              <w:right w:val="nil" w:sz="6" w:space="0" w:color="auto"/>
            </w:tcBorders>
          </w:tcPr>
          <w:p>
            <w:pPr>
              <w:pStyle w:val="TableParagraph"/>
              <w:spacing w:line="267" w:lineRule="exact"/>
              <w:ind w:right="60"/>
              <w:jc w:val="right"/>
              <w:rPr>
                <w:rFonts w:ascii="宋体" w:hAnsi="宋体" w:cs="宋体" w:eastAsia="宋体" w:hint="default"/>
                <w:sz w:val="22"/>
                <w:szCs w:val="22"/>
              </w:rPr>
            </w:pPr>
            <w:r>
              <w:rPr>
                <w:rFonts w:ascii="Arial" w:hAnsi="Arial" w:cs="Arial" w:eastAsia="Arial" w:hint="default"/>
                <w:w w:val="95"/>
                <w:sz w:val="22"/>
                <w:szCs w:val="22"/>
              </w:rPr>
              <w:t>5</w:t>
            </w:r>
            <w:r>
              <w:rPr>
                <w:rFonts w:ascii="宋体" w:hAnsi="宋体" w:cs="宋体" w:eastAsia="宋体" w:hint="default"/>
                <w:w w:val="95"/>
                <w:sz w:val="22"/>
                <w:szCs w:val="22"/>
              </w:rPr>
              <w:t>年以上</w:t>
            </w:r>
            <w:r>
              <w:rPr>
                <w:rFonts w:ascii="宋体" w:hAnsi="宋体" w:cs="宋体" w:eastAsia="宋体" w:hint="default"/>
                <w:sz w:val="22"/>
                <w:szCs w:val="22"/>
              </w:rPr>
            </w:r>
          </w:p>
        </w:tc>
        <w:tc>
          <w:tcPr>
            <w:tcW w:w="235" w:type="dxa"/>
            <w:tcBorders>
              <w:top w:val="single" w:sz="6" w:space="0" w:color="000000"/>
              <w:left w:val="nil" w:sz="6" w:space="0" w:color="auto"/>
              <w:bottom w:val="nil" w:sz="6" w:space="0" w:color="auto"/>
              <w:right w:val="nil" w:sz="6" w:space="0" w:color="auto"/>
            </w:tcBorders>
          </w:tcPr>
          <w:p>
            <w:pPr/>
          </w:p>
        </w:tc>
        <w:tc>
          <w:tcPr>
            <w:tcW w:w="1177" w:type="dxa"/>
            <w:tcBorders>
              <w:top w:val="single" w:sz="6" w:space="0" w:color="000000"/>
              <w:left w:val="nil" w:sz="6" w:space="0" w:color="auto"/>
              <w:bottom w:val="single" w:sz="6" w:space="0" w:color="000000"/>
              <w:right w:val="nil" w:sz="6" w:space="0" w:color="auto"/>
            </w:tcBorders>
          </w:tcPr>
          <w:p>
            <w:pPr>
              <w:pStyle w:val="TableParagraph"/>
              <w:spacing w:line="252" w:lineRule="exact"/>
              <w:ind w:left="610" w:right="0"/>
              <w:jc w:val="left"/>
              <w:rPr>
                <w:rFonts w:ascii="宋体" w:hAnsi="宋体" w:cs="宋体" w:eastAsia="宋体" w:hint="default"/>
                <w:sz w:val="22"/>
                <w:szCs w:val="22"/>
              </w:rPr>
            </w:pPr>
            <w:r>
              <w:rPr>
                <w:rFonts w:ascii="宋体" w:hAnsi="宋体" w:cs="宋体" w:eastAsia="宋体" w:hint="default"/>
                <w:sz w:val="22"/>
                <w:szCs w:val="22"/>
              </w:rPr>
              <w:t>合计</w:t>
            </w:r>
          </w:p>
        </w:tc>
      </w:tr>
      <w:tr>
        <w:trPr>
          <w:trHeight w:val="292" w:hRule="exact"/>
        </w:trPr>
        <w:tc>
          <w:tcPr>
            <w:tcW w:w="2756" w:type="dxa"/>
            <w:tcBorders>
              <w:top w:val="nil" w:sz="6" w:space="0" w:color="auto"/>
              <w:left w:val="nil" w:sz="6" w:space="0" w:color="auto"/>
              <w:bottom w:val="nil" w:sz="6" w:space="0" w:color="auto"/>
              <w:right w:val="nil" w:sz="6" w:space="0" w:color="auto"/>
            </w:tcBorders>
          </w:tcPr>
          <w:p>
            <w:pPr>
              <w:pStyle w:val="TableParagraph"/>
              <w:spacing w:line="259" w:lineRule="exact"/>
              <w:ind w:left="314" w:right="0"/>
              <w:jc w:val="left"/>
              <w:rPr>
                <w:rFonts w:ascii="宋体" w:hAnsi="宋体" w:cs="宋体" w:eastAsia="宋体" w:hint="default"/>
                <w:sz w:val="22"/>
                <w:szCs w:val="22"/>
              </w:rPr>
            </w:pPr>
            <w:r>
              <w:rPr>
                <w:rFonts w:ascii="宋体" w:hAnsi="宋体" w:cs="宋体" w:eastAsia="宋体" w:hint="default"/>
                <w:sz w:val="22"/>
                <w:szCs w:val="22"/>
              </w:rPr>
              <w:t>金融资产</w:t>
            </w:r>
          </w:p>
        </w:tc>
        <w:tc>
          <w:tcPr>
            <w:tcW w:w="1134" w:type="dxa"/>
            <w:tcBorders>
              <w:top w:val="single" w:sz="6"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single" w:sz="6"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042" w:type="dxa"/>
            <w:tcBorders>
              <w:top w:val="single" w:sz="6" w:space="0" w:color="000000"/>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025" w:type="dxa"/>
            <w:tcBorders>
              <w:top w:val="single" w:sz="6"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177" w:type="dxa"/>
            <w:tcBorders>
              <w:top w:val="single" w:sz="6" w:space="0" w:color="000000"/>
              <w:left w:val="nil" w:sz="6" w:space="0" w:color="auto"/>
              <w:bottom w:val="nil" w:sz="6" w:space="0" w:color="auto"/>
              <w:right w:val="nil" w:sz="6" w:space="0" w:color="auto"/>
            </w:tcBorders>
          </w:tcPr>
          <w:p>
            <w:pPr/>
          </w:p>
        </w:tc>
      </w:tr>
      <w:tr>
        <w:trPr>
          <w:trHeight w:val="299" w:hRule="exact"/>
        </w:trPr>
        <w:tc>
          <w:tcPr>
            <w:tcW w:w="2756" w:type="dxa"/>
            <w:tcBorders>
              <w:top w:val="nil" w:sz="6" w:space="0" w:color="auto"/>
              <w:left w:val="nil" w:sz="6" w:space="0" w:color="auto"/>
              <w:bottom w:val="nil" w:sz="6" w:space="0" w:color="auto"/>
              <w:right w:val="nil" w:sz="6" w:space="0" w:color="auto"/>
            </w:tcBorders>
          </w:tcPr>
          <w:p>
            <w:pPr>
              <w:pStyle w:val="TableParagraph"/>
              <w:spacing w:line="253" w:lineRule="exact"/>
              <w:ind w:left="314"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43" w:right="0"/>
              <w:jc w:val="left"/>
              <w:rPr>
                <w:rFonts w:ascii="Arial" w:hAnsi="Arial" w:cs="Arial" w:eastAsia="Arial" w:hint="default"/>
                <w:sz w:val="22"/>
                <w:szCs w:val="22"/>
              </w:rPr>
            </w:pPr>
            <w:r>
              <w:rPr>
                <w:rFonts w:ascii="Arial"/>
                <w:sz w:val="22"/>
              </w:rPr>
              <w:t>15,423</w:t>
            </w: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14"/>
              <w:jc w:val="right"/>
              <w:rPr>
                <w:rFonts w:ascii="Arial" w:hAnsi="Arial" w:cs="Arial" w:eastAsia="Arial" w:hint="default"/>
                <w:sz w:val="22"/>
                <w:szCs w:val="22"/>
              </w:rPr>
            </w:pPr>
            <w:r>
              <w:rPr>
                <w:rFonts w:ascii="Arial"/>
                <w:w w:val="99"/>
                <w:sz w:val="22"/>
              </w:rPr>
              <w:t>-</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86"/>
              <w:jc w:val="right"/>
              <w:rPr>
                <w:rFonts w:ascii="Arial" w:hAnsi="Arial" w:cs="Arial" w:eastAsia="Arial" w:hint="default"/>
                <w:sz w:val="22"/>
                <w:szCs w:val="22"/>
              </w:rPr>
            </w:pPr>
            <w:r>
              <w:rPr>
                <w:rFonts w:ascii="Arial"/>
                <w:w w:val="99"/>
                <w:sz w:val="22"/>
              </w:rPr>
              <w:t>-</w:t>
            </w:r>
            <w:r>
              <w:rPr>
                <w:rFonts w:ascii="Arial"/>
                <w:sz w:val="22"/>
              </w:rPr>
            </w:r>
          </w:p>
        </w:tc>
        <w:tc>
          <w:tcPr>
            <w:tcW w:w="24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15"/>
              <w:jc w:val="right"/>
              <w:rPr>
                <w:rFonts w:ascii="Arial" w:hAnsi="Arial" w:cs="Arial" w:eastAsia="Arial" w:hint="default"/>
                <w:sz w:val="22"/>
                <w:szCs w:val="22"/>
              </w:rPr>
            </w:pPr>
            <w:r>
              <w:rPr>
                <w:rFonts w:ascii="Arial"/>
                <w:w w:val="95"/>
                <w:sz w:val="22"/>
              </w:rPr>
              <w:t>16</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04" w:right="0"/>
              <w:jc w:val="left"/>
              <w:rPr>
                <w:rFonts w:ascii="Arial" w:hAnsi="Arial" w:cs="Arial" w:eastAsia="Arial" w:hint="default"/>
                <w:sz w:val="22"/>
                <w:szCs w:val="22"/>
              </w:rPr>
            </w:pPr>
            <w:r>
              <w:rPr>
                <w:rFonts w:ascii="Arial"/>
                <w:sz w:val="22"/>
              </w:rPr>
              <w:t>15,439</w:t>
            </w:r>
          </w:p>
        </w:tc>
      </w:tr>
      <w:tr>
        <w:trPr>
          <w:trHeight w:val="416" w:hRule="exact"/>
        </w:trPr>
        <w:tc>
          <w:tcPr>
            <w:tcW w:w="2756" w:type="dxa"/>
            <w:tcBorders>
              <w:top w:val="nil" w:sz="6" w:space="0" w:color="auto"/>
              <w:left w:val="nil" w:sz="6" w:space="0" w:color="auto"/>
              <w:bottom w:val="nil" w:sz="6" w:space="0" w:color="auto"/>
              <w:right w:val="nil" w:sz="6" w:space="0" w:color="auto"/>
            </w:tcBorders>
          </w:tcPr>
          <w:p>
            <w:pPr>
              <w:pStyle w:val="TableParagraph"/>
              <w:spacing w:line="239" w:lineRule="exact"/>
              <w:ind w:left="314" w:right="0"/>
              <w:jc w:val="left"/>
              <w:rPr>
                <w:rFonts w:ascii="宋体" w:hAnsi="宋体" w:cs="宋体" w:eastAsia="宋体" w:hint="default"/>
                <w:sz w:val="22"/>
                <w:szCs w:val="22"/>
              </w:rPr>
            </w:pPr>
            <w:r>
              <w:rPr>
                <w:rFonts w:ascii="宋体" w:hAnsi="宋体" w:cs="宋体" w:eastAsia="宋体" w:hint="default"/>
                <w:sz w:val="22"/>
                <w:szCs w:val="22"/>
              </w:rPr>
              <w:t>应收款项</w:t>
            </w:r>
          </w:p>
        </w:tc>
        <w:tc>
          <w:tcPr>
            <w:tcW w:w="1134" w:type="dxa"/>
            <w:tcBorders>
              <w:top w:val="nil" w:sz="6" w:space="0" w:color="auto"/>
              <w:left w:val="nil" w:sz="6" w:space="0" w:color="auto"/>
              <w:bottom w:val="nil" w:sz="6" w:space="0" w:color="auto"/>
              <w:right w:val="nil" w:sz="6" w:space="0" w:color="auto"/>
            </w:tcBorders>
          </w:tcPr>
          <w:p>
            <w:pPr>
              <w:pStyle w:val="TableParagraph"/>
              <w:tabs>
                <w:tab w:pos="343" w:val="left" w:leader="none"/>
                <w:tab w:pos="1133"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14,395</w:t>
            </w:r>
            <w:r>
              <w:rPr>
                <w:rFonts w:ascii="Arial"/>
                <w:sz w:val="22"/>
                <w:u w:val="single" w:color="000000"/>
              </w:rPr>
              <w:tab/>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tabs>
                <w:tab w:pos="897" w:val="left" w:leader="none"/>
                <w:tab w:pos="1087" w:val="left" w:leader="none"/>
              </w:tabs>
              <w:spacing w:line="240" w:lineRule="auto" w:before="17"/>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w:t>
              <w:tab/>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tabs>
                <w:tab w:pos="879" w:val="left" w:leader="none"/>
                <w:tab w:pos="1041" w:val="left" w:leader="none"/>
              </w:tabs>
              <w:spacing w:line="240" w:lineRule="auto" w:before="17"/>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w:t>
              <w:tab/>
            </w:r>
            <w:r>
              <w:rPr>
                <w:rFonts w:ascii="Arial"/>
                <w:sz w:val="22"/>
              </w:rPr>
            </w:r>
          </w:p>
        </w:tc>
        <w:tc>
          <w:tcPr>
            <w:tcW w:w="24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tabs>
                <w:tab w:pos="826" w:val="left" w:leader="none"/>
                <w:tab w:pos="1017"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sz w:val="22"/>
                <w:u w:val="single" w:color="000000"/>
              </w:rPr>
              <w:tab/>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Style w:val="TableParagraph"/>
              <w:tabs>
                <w:tab w:pos="404" w:val="left" w:leader="none"/>
                <w:tab w:pos="1177" w:val="left" w:leader="none"/>
              </w:tabs>
              <w:spacing w:line="240" w:lineRule="auto" w:before="17"/>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14,395</w:t>
              <w:tab/>
            </w:r>
            <w:r>
              <w:rPr>
                <w:rFonts w:ascii="Arial"/>
                <w:sz w:val="22"/>
              </w:rPr>
            </w:r>
          </w:p>
        </w:tc>
      </w:tr>
      <w:tr>
        <w:trPr>
          <w:trHeight w:val="399" w:hRule="exact"/>
        </w:trPr>
        <w:tc>
          <w:tcPr>
            <w:tcW w:w="2756"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left="343" w:right="0"/>
              <w:jc w:val="left"/>
              <w:rPr>
                <w:rFonts w:ascii="Arial" w:hAnsi="Arial" w:cs="Arial" w:eastAsia="Arial" w:hint="default"/>
                <w:sz w:val="22"/>
                <w:szCs w:val="22"/>
              </w:rPr>
            </w:pPr>
            <w:r>
              <w:rPr>
                <w:rFonts w:ascii="Arial"/>
                <w:sz w:val="22"/>
              </w:rPr>
              <w:t>29,818</w:t>
            </w: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right="114"/>
              <w:jc w:val="right"/>
              <w:rPr>
                <w:rFonts w:ascii="Arial" w:hAnsi="Arial" w:cs="Arial" w:eastAsia="Arial" w:hint="default"/>
                <w:sz w:val="22"/>
                <w:szCs w:val="22"/>
              </w:rPr>
            </w:pPr>
            <w:r>
              <w:rPr>
                <w:rFonts w:ascii="Arial"/>
                <w:w w:val="99"/>
                <w:sz w:val="22"/>
              </w:rPr>
              <w:t>-</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right="86"/>
              <w:jc w:val="right"/>
              <w:rPr>
                <w:rFonts w:ascii="Arial" w:hAnsi="Arial" w:cs="Arial" w:eastAsia="Arial" w:hint="default"/>
                <w:sz w:val="22"/>
                <w:szCs w:val="22"/>
              </w:rPr>
            </w:pPr>
            <w:r>
              <w:rPr>
                <w:rFonts w:ascii="Arial"/>
                <w:w w:val="99"/>
                <w:sz w:val="22"/>
              </w:rPr>
              <w:t>-</w:t>
            </w:r>
            <w:r>
              <w:rPr>
                <w:rFonts w:ascii="Arial"/>
                <w:sz w:val="22"/>
              </w:rPr>
            </w:r>
          </w:p>
        </w:tc>
        <w:tc>
          <w:tcPr>
            <w:tcW w:w="24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right="115"/>
              <w:jc w:val="right"/>
              <w:rPr>
                <w:rFonts w:ascii="Arial" w:hAnsi="Arial" w:cs="Arial" w:eastAsia="Arial" w:hint="default"/>
                <w:sz w:val="22"/>
                <w:szCs w:val="22"/>
              </w:rPr>
            </w:pPr>
            <w:r>
              <w:rPr>
                <w:rFonts w:ascii="Arial"/>
                <w:w w:val="95"/>
                <w:sz w:val="22"/>
              </w:rPr>
              <w:t>16</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left="404" w:right="0"/>
              <w:jc w:val="left"/>
              <w:rPr>
                <w:rFonts w:ascii="Arial" w:hAnsi="Arial" w:cs="Arial" w:eastAsia="Arial" w:hint="default"/>
                <w:sz w:val="22"/>
                <w:szCs w:val="22"/>
              </w:rPr>
            </w:pPr>
            <w:r>
              <w:rPr>
                <w:rFonts w:ascii="Arial"/>
                <w:sz w:val="22"/>
              </w:rPr>
              <w:t>29,834</w:t>
            </w:r>
          </w:p>
        </w:tc>
      </w:tr>
      <w:tr>
        <w:trPr>
          <w:trHeight w:val="307" w:hRule="exact"/>
        </w:trPr>
        <w:tc>
          <w:tcPr>
            <w:tcW w:w="2756" w:type="dxa"/>
            <w:tcBorders>
              <w:top w:val="nil" w:sz="6" w:space="0" w:color="auto"/>
              <w:left w:val="nil" w:sz="6" w:space="0" w:color="auto"/>
              <w:bottom w:val="nil" w:sz="6" w:space="0" w:color="auto"/>
              <w:right w:val="nil" w:sz="6" w:space="0" w:color="auto"/>
            </w:tcBorders>
          </w:tcPr>
          <w:p>
            <w:pPr>
              <w:pStyle w:val="TableParagraph"/>
              <w:spacing w:line="275" w:lineRule="exact"/>
              <w:ind w:left="314" w:right="0"/>
              <w:jc w:val="left"/>
              <w:rPr>
                <w:rFonts w:ascii="宋体" w:hAnsi="宋体" w:cs="宋体" w:eastAsia="宋体" w:hint="default"/>
                <w:sz w:val="22"/>
                <w:szCs w:val="22"/>
              </w:rPr>
            </w:pPr>
            <w:r>
              <w:rPr>
                <w:rFonts w:ascii="宋体" w:hAnsi="宋体" w:cs="宋体" w:eastAsia="宋体" w:hint="default"/>
                <w:sz w:val="22"/>
                <w:szCs w:val="22"/>
              </w:rPr>
              <w:t>金融负债</w:t>
            </w:r>
          </w:p>
        </w:tc>
        <w:tc>
          <w:tcPr>
            <w:tcW w:w="1134" w:type="dxa"/>
            <w:tcBorders>
              <w:top w:val="single" w:sz="17"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single" w:sz="17"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042" w:type="dxa"/>
            <w:tcBorders>
              <w:top w:val="single" w:sz="17" w:space="0" w:color="000000"/>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025" w:type="dxa"/>
            <w:tcBorders>
              <w:top w:val="single" w:sz="17"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177" w:type="dxa"/>
            <w:tcBorders>
              <w:top w:val="single" w:sz="17" w:space="0" w:color="000000"/>
              <w:left w:val="nil" w:sz="6" w:space="0" w:color="auto"/>
              <w:bottom w:val="nil" w:sz="6" w:space="0" w:color="auto"/>
              <w:right w:val="nil" w:sz="6" w:space="0" w:color="auto"/>
            </w:tcBorders>
          </w:tcPr>
          <w:p>
            <w:pPr/>
          </w:p>
        </w:tc>
      </w:tr>
      <w:tr>
        <w:trPr>
          <w:trHeight w:val="299" w:hRule="exact"/>
        </w:trPr>
        <w:tc>
          <w:tcPr>
            <w:tcW w:w="2756" w:type="dxa"/>
            <w:tcBorders>
              <w:top w:val="nil" w:sz="6" w:space="0" w:color="auto"/>
              <w:left w:val="nil" w:sz="6" w:space="0" w:color="auto"/>
              <w:bottom w:val="nil" w:sz="6" w:space="0" w:color="auto"/>
              <w:right w:val="nil" w:sz="6" w:space="0" w:color="auto"/>
            </w:tcBorders>
          </w:tcPr>
          <w:p>
            <w:pPr>
              <w:pStyle w:val="TableParagraph"/>
              <w:spacing w:line="253" w:lineRule="exact"/>
              <w:ind w:left="314" w:right="0"/>
              <w:jc w:val="left"/>
              <w:rPr>
                <w:rFonts w:ascii="宋体" w:hAnsi="宋体" w:cs="宋体" w:eastAsia="宋体" w:hint="default"/>
                <w:sz w:val="22"/>
                <w:szCs w:val="22"/>
              </w:rPr>
            </w:pPr>
            <w:r>
              <w:rPr>
                <w:rFonts w:ascii="宋体" w:hAnsi="宋体" w:cs="宋体" w:eastAsia="宋体" w:hint="default"/>
                <w:sz w:val="22"/>
                <w:szCs w:val="22"/>
              </w:rPr>
              <w:t>长期借款</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15"/>
              <w:jc w:val="right"/>
              <w:rPr>
                <w:rFonts w:ascii="Arial" w:hAnsi="Arial" w:cs="Arial" w:eastAsia="Arial" w:hint="default"/>
                <w:sz w:val="22"/>
                <w:szCs w:val="22"/>
              </w:rPr>
            </w:pPr>
            <w:r>
              <w:rPr>
                <w:rFonts w:ascii="Arial"/>
                <w:w w:val="95"/>
                <w:sz w:val="22"/>
              </w:rPr>
              <w:t>101</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603" w:right="0"/>
              <w:jc w:val="left"/>
              <w:rPr>
                <w:rFonts w:ascii="Arial" w:hAnsi="Arial" w:cs="Arial" w:eastAsia="Arial" w:hint="default"/>
                <w:sz w:val="22"/>
                <w:szCs w:val="22"/>
              </w:rPr>
            </w:pPr>
            <w:r>
              <w:rPr>
                <w:rFonts w:ascii="Arial"/>
                <w:sz w:val="22"/>
              </w:rPr>
              <w:t>898</w:t>
            </w:r>
          </w:p>
        </w:tc>
        <w:tc>
          <w:tcPr>
            <w:tcW w:w="236"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85" w:right="0"/>
              <w:jc w:val="left"/>
              <w:rPr>
                <w:rFonts w:ascii="Arial" w:hAnsi="Arial" w:cs="Arial" w:eastAsia="Arial" w:hint="default"/>
                <w:sz w:val="22"/>
                <w:szCs w:val="22"/>
              </w:rPr>
            </w:pPr>
            <w:r>
              <w:rPr>
                <w:rFonts w:ascii="Arial"/>
                <w:sz w:val="22"/>
              </w:rPr>
              <w:t>163</w:t>
            </w:r>
          </w:p>
        </w:tc>
        <w:tc>
          <w:tcPr>
            <w:tcW w:w="24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15"/>
              <w:jc w:val="right"/>
              <w:rPr>
                <w:rFonts w:ascii="Arial" w:hAnsi="Arial" w:cs="Arial" w:eastAsia="Arial" w:hint="default"/>
                <w:sz w:val="22"/>
                <w:szCs w:val="22"/>
              </w:rPr>
            </w:pPr>
            <w:r>
              <w:rPr>
                <w:rFonts w:ascii="Arial"/>
                <w:w w:val="95"/>
                <w:sz w:val="22"/>
              </w:rPr>
              <w:t>391</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26" w:right="0"/>
              <w:jc w:val="left"/>
              <w:rPr>
                <w:rFonts w:ascii="Arial" w:hAnsi="Arial" w:cs="Arial" w:eastAsia="Arial" w:hint="default"/>
                <w:sz w:val="22"/>
                <w:szCs w:val="22"/>
              </w:rPr>
            </w:pPr>
            <w:r>
              <w:rPr>
                <w:rFonts w:ascii="Arial"/>
                <w:sz w:val="22"/>
              </w:rPr>
              <w:t>1,553</w:t>
            </w:r>
          </w:p>
        </w:tc>
      </w:tr>
      <w:tr>
        <w:trPr>
          <w:trHeight w:val="286" w:hRule="exact"/>
        </w:trPr>
        <w:tc>
          <w:tcPr>
            <w:tcW w:w="2756" w:type="dxa"/>
            <w:tcBorders>
              <w:top w:val="nil" w:sz="6" w:space="0" w:color="auto"/>
              <w:left w:val="nil" w:sz="6" w:space="0" w:color="auto"/>
              <w:bottom w:val="nil" w:sz="6" w:space="0" w:color="auto"/>
              <w:right w:val="nil" w:sz="6" w:space="0" w:color="auto"/>
            </w:tcBorders>
          </w:tcPr>
          <w:p>
            <w:pPr>
              <w:pStyle w:val="TableParagraph"/>
              <w:spacing w:line="239" w:lineRule="exact"/>
              <w:ind w:left="314" w:right="0"/>
              <w:jc w:val="left"/>
              <w:rPr>
                <w:rFonts w:ascii="宋体" w:hAnsi="宋体" w:cs="宋体" w:eastAsia="宋体" w:hint="default"/>
                <w:sz w:val="22"/>
                <w:szCs w:val="22"/>
              </w:rPr>
            </w:pPr>
            <w:r>
              <w:rPr>
                <w:rFonts w:ascii="宋体" w:hAnsi="宋体" w:cs="宋体" w:eastAsia="宋体" w:hint="default"/>
                <w:sz w:val="22"/>
                <w:szCs w:val="22"/>
              </w:rPr>
              <w:t>长期应付款</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5"/>
              <w:jc w:val="right"/>
              <w:rPr>
                <w:rFonts w:ascii="Arial" w:hAnsi="Arial" w:cs="Arial" w:eastAsia="Arial" w:hint="default"/>
                <w:sz w:val="22"/>
                <w:szCs w:val="22"/>
              </w:rPr>
            </w:pPr>
            <w:r>
              <w:rPr>
                <w:rFonts w:ascii="Arial"/>
                <w:w w:val="95"/>
                <w:sz w:val="22"/>
              </w:rPr>
              <w:t>84</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5"/>
              <w:jc w:val="right"/>
              <w:rPr>
                <w:rFonts w:ascii="Arial" w:hAnsi="Arial" w:cs="Arial" w:eastAsia="Arial" w:hint="default"/>
                <w:sz w:val="22"/>
                <w:szCs w:val="22"/>
              </w:rPr>
            </w:pPr>
            <w:r>
              <w:rPr>
                <w:rFonts w:ascii="Arial"/>
                <w:w w:val="99"/>
                <w:sz w:val="22"/>
              </w:rPr>
              <w:t>6</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6"/>
              <w:jc w:val="right"/>
              <w:rPr>
                <w:rFonts w:ascii="Arial" w:hAnsi="Arial" w:cs="Arial" w:eastAsia="Arial" w:hint="default"/>
                <w:sz w:val="22"/>
                <w:szCs w:val="22"/>
              </w:rPr>
            </w:pPr>
            <w:r>
              <w:rPr>
                <w:rFonts w:ascii="Arial"/>
                <w:w w:val="95"/>
                <w:sz w:val="22"/>
              </w:rPr>
              <w:t>17</w:t>
            </w:r>
            <w:r>
              <w:rPr>
                <w:rFonts w:ascii="Arial"/>
                <w:sz w:val="22"/>
              </w:rPr>
            </w:r>
          </w:p>
        </w:tc>
        <w:tc>
          <w:tcPr>
            <w:tcW w:w="24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5"/>
              <w:jc w:val="right"/>
              <w:rPr>
                <w:rFonts w:ascii="Arial" w:hAnsi="Arial" w:cs="Arial" w:eastAsia="Arial" w:hint="default"/>
                <w:sz w:val="22"/>
                <w:szCs w:val="22"/>
              </w:rPr>
            </w:pPr>
            <w:r>
              <w:rPr>
                <w:rFonts w:ascii="Arial"/>
                <w:w w:val="95"/>
                <w:sz w:val="22"/>
              </w:rPr>
              <w:t>65</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10" w:right="0"/>
              <w:jc w:val="left"/>
              <w:rPr>
                <w:rFonts w:ascii="Arial" w:hAnsi="Arial" w:cs="Arial" w:eastAsia="Arial" w:hint="default"/>
                <w:sz w:val="22"/>
                <w:szCs w:val="22"/>
              </w:rPr>
            </w:pPr>
            <w:r>
              <w:rPr>
                <w:rFonts w:ascii="Arial"/>
                <w:sz w:val="22"/>
              </w:rPr>
              <w:t>172</w:t>
            </w:r>
          </w:p>
        </w:tc>
      </w:tr>
      <w:tr>
        <w:trPr>
          <w:trHeight w:val="285" w:hRule="exact"/>
        </w:trPr>
        <w:tc>
          <w:tcPr>
            <w:tcW w:w="2756" w:type="dxa"/>
            <w:tcBorders>
              <w:top w:val="nil" w:sz="6" w:space="0" w:color="auto"/>
              <w:left w:val="nil" w:sz="6" w:space="0" w:color="auto"/>
              <w:bottom w:val="nil" w:sz="6" w:space="0" w:color="auto"/>
              <w:right w:val="nil" w:sz="6" w:space="0" w:color="auto"/>
            </w:tcBorders>
          </w:tcPr>
          <w:p>
            <w:pPr>
              <w:pStyle w:val="TableParagraph"/>
              <w:spacing w:line="239" w:lineRule="exact"/>
              <w:ind w:left="314" w:right="0"/>
              <w:jc w:val="left"/>
              <w:rPr>
                <w:rFonts w:ascii="宋体" w:hAnsi="宋体" w:cs="宋体" w:eastAsia="宋体" w:hint="default"/>
                <w:sz w:val="22"/>
                <w:szCs w:val="22"/>
              </w:rPr>
            </w:pPr>
            <w:r>
              <w:rPr>
                <w:rFonts w:ascii="宋体" w:hAnsi="宋体" w:cs="宋体" w:eastAsia="宋体" w:hint="default"/>
                <w:sz w:val="22"/>
                <w:szCs w:val="22"/>
              </w:rPr>
              <w:t>应付短期债券</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43" w:right="0"/>
              <w:jc w:val="left"/>
              <w:rPr>
                <w:rFonts w:ascii="Arial" w:hAnsi="Arial" w:cs="Arial" w:eastAsia="Arial" w:hint="default"/>
                <w:sz w:val="22"/>
                <w:szCs w:val="22"/>
              </w:rPr>
            </w:pPr>
            <w:r>
              <w:rPr>
                <w:rFonts w:ascii="Arial"/>
                <w:sz w:val="22"/>
              </w:rPr>
              <w:t>39,150</w:t>
            </w: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4"/>
              <w:jc w:val="right"/>
              <w:rPr>
                <w:rFonts w:ascii="Arial" w:hAnsi="Arial" w:cs="Arial" w:eastAsia="Arial" w:hint="default"/>
                <w:sz w:val="22"/>
                <w:szCs w:val="22"/>
              </w:rPr>
            </w:pPr>
            <w:r>
              <w:rPr>
                <w:rFonts w:ascii="Arial"/>
                <w:w w:val="99"/>
                <w:sz w:val="22"/>
              </w:rPr>
              <w:t>-</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6"/>
              <w:jc w:val="right"/>
              <w:rPr>
                <w:rFonts w:ascii="Arial" w:hAnsi="Arial" w:cs="Arial" w:eastAsia="Arial" w:hint="default"/>
                <w:sz w:val="22"/>
                <w:szCs w:val="22"/>
              </w:rPr>
            </w:pPr>
            <w:r>
              <w:rPr>
                <w:rFonts w:ascii="Arial"/>
                <w:w w:val="99"/>
                <w:sz w:val="22"/>
              </w:rPr>
              <w:t>-</w:t>
            </w:r>
            <w:r>
              <w:rPr>
                <w:rFonts w:ascii="Arial"/>
                <w:sz w:val="22"/>
              </w:rPr>
            </w:r>
          </w:p>
        </w:tc>
        <w:tc>
          <w:tcPr>
            <w:tcW w:w="24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5"/>
              <w:jc w:val="right"/>
              <w:rPr>
                <w:rFonts w:ascii="Arial" w:hAnsi="Arial" w:cs="Arial" w:eastAsia="Arial" w:hint="default"/>
                <w:sz w:val="22"/>
                <w:szCs w:val="22"/>
              </w:rPr>
            </w:pPr>
            <w:r>
              <w:rPr>
                <w:rFonts w:ascii="Arial"/>
                <w:w w:val="99"/>
                <w:sz w:val="22"/>
              </w:rPr>
              <w:t>-</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04" w:right="0"/>
              <w:jc w:val="left"/>
              <w:rPr>
                <w:rFonts w:ascii="Arial" w:hAnsi="Arial" w:cs="Arial" w:eastAsia="Arial" w:hint="default"/>
                <w:sz w:val="22"/>
                <w:szCs w:val="22"/>
              </w:rPr>
            </w:pPr>
            <w:r>
              <w:rPr>
                <w:rFonts w:ascii="Arial"/>
                <w:sz w:val="22"/>
              </w:rPr>
              <w:t>39,150</w:t>
            </w:r>
          </w:p>
        </w:tc>
      </w:tr>
      <w:tr>
        <w:trPr>
          <w:trHeight w:val="285" w:hRule="exact"/>
        </w:trPr>
        <w:tc>
          <w:tcPr>
            <w:tcW w:w="2756" w:type="dxa"/>
            <w:tcBorders>
              <w:top w:val="nil" w:sz="6" w:space="0" w:color="auto"/>
              <w:left w:val="nil" w:sz="6" w:space="0" w:color="auto"/>
              <w:bottom w:val="nil" w:sz="6" w:space="0" w:color="auto"/>
              <w:right w:val="nil" w:sz="6" w:space="0" w:color="auto"/>
            </w:tcBorders>
          </w:tcPr>
          <w:p>
            <w:pPr>
              <w:pStyle w:val="TableParagraph"/>
              <w:spacing w:line="239" w:lineRule="exact"/>
              <w:ind w:left="314" w:right="0"/>
              <w:jc w:val="left"/>
              <w:rPr>
                <w:rFonts w:ascii="宋体" w:hAnsi="宋体" w:cs="宋体" w:eastAsia="宋体" w:hint="default"/>
                <w:sz w:val="22"/>
                <w:szCs w:val="22"/>
              </w:rPr>
            </w:pPr>
            <w:r>
              <w:rPr>
                <w:rFonts w:ascii="宋体" w:hAnsi="宋体" w:cs="宋体" w:eastAsia="宋体" w:hint="default"/>
                <w:sz w:val="22"/>
                <w:szCs w:val="22"/>
              </w:rPr>
              <w:t>应付债券</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5"/>
              <w:jc w:val="right"/>
              <w:rPr>
                <w:rFonts w:ascii="Arial" w:hAnsi="Arial" w:cs="Arial" w:eastAsia="Arial" w:hint="default"/>
                <w:sz w:val="22"/>
                <w:szCs w:val="22"/>
              </w:rPr>
            </w:pPr>
            <w:r>
              <w:rPr>
                <w:rFonts w:ascii="Arial"/>
                <w:w w:val="95"/>
                <w:sz w:val="22"/>
              </w:rPr>
              <w:t>951</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97" w:right="0"/>
              <w:jc w:val="left"/>
              <w:rPr>
                <w:rFonts w:ascii="Arial" w:hAnsi="Arial" w:cs="Arial" w:eastAsia="Arial" w:hint="default"/>
                <w:sz w:val="22"/>
                <w:szCs w:val="22"/>
              </w:rPr>
            </w:pPr>
            <w:r>
              <w:rPr>
                <w:rFonts w:ascii="Arial"/>
                <w:sz w:val="22"/>
              </w:rPr>
              <w:t>20,666</w:t>
            </w:r>
          </w:p>
        </w:tc>
        <w:tc>
          <w:tcPr>
            <w:tcW w:w="236"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79" w:right="0"/>
              <w:jc w:val="left"/>
              <w:rPr>
                <w:rFonts w:ascii="Arial" w:hAnsi="Arial" w:cs="Arial" w:eastAsia="Arial" w:hint="default"/>
                <w:sz w:val="22"/>
                <w:szCs w:val="22"/>
              </w:rPr>
            </w:pPr>
            <w:r>
              <w:rPr>
                <w:rFonts w:ascii="Arial"/>
                <w:sz w:val="22"/>
              </w:rPr>
              <w:t>12,012</w:t>
            </w:r>
          </w:p>
        </w:tc>
        <w:tc>
          <w:tcPr>
            <w:tcW w:w="24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6" w:right="0"/>
              <w:jc w:val="left"/>
              <w:rPr>
                <w:rFonts w:ascii="Arial" w:hAnsi="Arial" w:cs="Arial" w:eastAsia="Arial" w:hint="default"/>
                <w:sz w:val="22"/>
                <w:szCs w:val="22"/>
              </w:rPr>
            </w:pPr>
            <w:r>
              <w:rPr>
                <w:rFonts w:ascii="Arial"/>
                <w:sz w:val="22"/>
              </w:rPr>
              <w:t>2,039</w:t>
            </w:r>
          </w:p>
        </w:tc>
        <w:tc>
          <w:tcPr>
            <w:tcW w:w="235"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04" w:right="0"/>
              <w:jc w:val="left"/>
              <w:rPr>
                <w:rFonts w:ascii="Arial" w:hAnsi="Arial" w:cs="Arial" w:eastAsia="Arial" w:hint="default"/>
                <w:sz w:val="22"/>
                <w:szCs w:val="22"/>
              </w:rPr>
            </w:pPr>
            <w:r>
              <w:rPr>
                <w:rFonts w:ascii="Arial"/>
                <w:sz w:val="22"/>
              </w:rPr>
              <w:t>35,668</w:t>
            </w:r>
          </w:p>
        </w:tc>
      </w:tr>
      <w:tr>
        <w:trPr>
          <w:trHeight w:val="286" w:hRule="exact"/>
        </w:trPr>
        <w:tc>
          <w:tcPr>
            <w:tcW w:w="2756" w:type="dxa"/>
            <w:tcBorders>
              <w:top w:val="nil" w:sz="6" w:space="0" w:color="auto"/>
              <w:left w:val="nil" w:sz="6" w:space="0" w:color="auto"/>
              <w:bottom w:val="nil" w:sz="6" w:space="0" w:color="auto"/>
              <w:right w:val="nil" w:sz="6" w:space="0" w:color="auto"/>
            </w:tcBorders>
          </w:tcPr>
          <w:p>
            <w:pPr>
              <w:pStyle w:val="TableParagraph"/>
              <w:spacing w:line="239" w:lineRule="exact"/>
              <w:ind w:left="314" w:right="0"/>
              <w:jc w:val="left"/>
              <w:rPr>
                <w:rFonts w:ascii="宋体" w:hAnsi="宋体" w:cs="宋体" w:eastAsia="宋体" w:hint="default"/>
                <w:sz w:val="22"/>
                <w:szCs w:val="22"/>
              </w:rPr>
            </w:pPr>
            <w:r>
              <w:rPr>
                <w:rFonts w:ascii="宋体" w:hAnsi="宋体" w:cs="宋体" w:eastAsia="宋体" w:hint="default"/>
                <w:sz w:val="22"/>
                <w:szCs w:val="22"/>
              </w:rPr>
              <w:t>应付款项</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20" w:right="0"/>
              <w:jc w:val="left"/>
              <w:rPr>
                <w:rFonts w:ascii="Arial" w:hAnsi="Arial" w:cs="Arial" w:eastAsia="Arial" w:hint="default"/>
                <w:sz w:val="22"/>
                <w:szCs w:val="22"/>
              </w:rPr>
            </w:pPr>
            <w:r>
              <w:rPr>
                <w:rFonts w:ascii="Arial"/>
                <w:sz w:val="22"/>
              </w:rPr>
              <w:t>101,660</w:t>
            </w: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4"/>
              <w:jc w:val="right"/>
              <w:rPr>
                <w:rFonts w:ascii="Arial" w:hAnsi="Arial" w:cs="Arial" w:eastAsia="Arial" w:hint="default"/>
                <w:sz w:val="22"/>
                <w:szCs w:val="22"/>
              </w:rPr>
            </w:pPr>
            <w:r>
              <w:rPr>
                <w:rFonts w:ascii="Arial"/>
                <w:w w:val="99"/>
                <w:sz w:val="22"/>
              </w:rPr>
              <w:t>-</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6"/>
              <w:jc w:val="right"/>
              <w:rPr>
                <w:rFonts w:ascii="Arial" w:hAnsi="Arial" w:cs="Arial" w:eastAsia="Arial" w:hint="default"/>
                <w:sz w:val="22"/>
                <w:szCs w:val="22"/>
              </w:rPr>
            </w:pPr>
            <w:r>
              <w:rPr>
                <w:rFonts w:ascii="Arial"/>
                <w:w w:val="99"/>
                <w:sz w:val="22"/>
              </w:rPr>
              <w:t>-</w:t>
            </w:r>
            <w:r>
              <w:rPr>
                <w:rFonts w:ascii="Arial"/>
                <w:sz w:val="22"/>
              </w:rPr>
            </w:r>
          </w:p>
        </w:tc>
        <w:tc>
          <w:tcPr>
            <w:tcW w:w="24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5"/>
              <w:jc w:val="right"/>
              <w:rPr>
                <w:rFonts w:ascii="Arial" w:hAnsi="Arial" w:cs="Arial" w:eastAsia="Arial" w:hint="default"/>
                <w:sz w:val="22"/>
                <w:szCs w:val="22"/>
              </w:rPr>
            </w:pPr>
            <w:r>
              <w:rPr>
                <w:rFonts w:ascii="Arial"/>
                <w:w w:val="99"/>
                <w:sz w:val="22"/>
              </w:rPr>
              <w:t>-</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82" w:right="0"/>
              <w:jc w:val="left"/>
              <w:rPr>
                <w:rFonts w:ascii="Arial" w:hAnsi="Arial" w:cs="Arial" w:eastAsia="Arial" w:hint="default"/>
                <w:sz w:val="22"/>
                <w:szCs w:val="22"/>
              </w:rPr>
            </w:pPr>
            <w:r>
              <w:rPr>
                <w:rFonts w:ascii="Arial"/>
                <w:sz w:val="22"/>
              </w:rPr>
              <w:t>101,660</w:t>
            </w:r>
          </w:p>
        </w:tc>
      </w:tr>
      <w:tr>
        <w:trPr>
          <w:trHeight w:val="416" w:hRule="exact"/>
        </w:trPr>
        <w:tc>
          <w:tcPr>
            <w:tcW w:w="2756" w:type="dxa"/>
            <w:tcBorders>
              <w:top w:val="nil" w:sz="6" w:space="0" w:color="auto"/>
              <w:left w:val="nil" w:sz="6" w:space="0" w:color="auto"/>
              <w:bottom w:val="nil" w:sz="6" w:space="0" w:color="auto"/>
              <w:right w:val="nil" w:sz="6" w:space="0" w:color="auto"/>
            </w:tcBorders>
          </w:tcPr>
          <w:p>
            <w:pPr>
              <w:pStyle w:val="TableParagraph"/>
              <w:spacing w:line="239" w:lineRule="exact"/>
              <w:ind w:left="314"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1134" w:type="dxa"/>
            <w:tcBorders>
              <w:top w:val="nil" w:sz="6" w:space="0" w:color="auto"/>
              <w:left w:val="nil" w:sz="6" w:space="0" w:color="auto"/>
              <w:bottom w:val="nil" w:sz="6" w:space="0" w:color="auto"/>
              <w:right w:val="nil" w:sz="6" w:space="0" w:color="auto"/>
            </w:tcBorders>
          </w:tcPr>
          <w:p>
            <w:pPr>
              <w:pStyle w:val="TableParagraph"/>
              <w:tabs>
                <w:tab w:pos="343" w:val="left" w:leader="none"/>
                <w:tab w:pos="1133"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32,877</w:t>
            </w:r>
            <w:r>
              <w:rPr>
                <w:rFonts w:ascii="Arial"/>
                <w:sz w:val="22"/>
                <w:u w:val="single" w:color="000000"/>
              </w:rPr>
              <w:tab/>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tabs>
                <w:tab w:pos="897" w:val="left" w:leader="none"/>
                <w:tab w:pos="1087" w:val="left" w:leader="none"/>
              </w:tabs>
              <w:spacing w:line="240" w:lineRule="auto" w:before="17"/>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w:t>
              <w:tab/>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tabs>
                <w:tab w:pos="879" w:val="left" w:leader="none"/>
                <w:tab w:pos="1041" w:val="left" w:leader="none"/>
              </w:tabs>
              <w:spacing w:line="240" w:lineRule="auto" w:before="17"/>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w:t>
              <w:tab/>
            </w:r>
            <w:r>
              <w:rPr>
                <w:rFonts w:ascii="Arial"/>
                <w:sz w:val="22"/>
              </w:rPr>
            </w:r>
          </w:p>
        </w:tc>
        <w:tc>
          <w:tcPr>
            <w:tcW w:w="24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tabs>
                <w:tab w:pos="826" w:val="left" w:leader="none"/>
                <w:tab w:pos="1017"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sz w:val="22"/>
                <w:u w:val="single" w:color="000000"/>
              </w:rPr>
              <w:tab/>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Style w:val="TableParagraph"/>
              <w:tabs>
                <w:tab w:pos="404" w:val="left" w:leader="none"/>
                <w:tab w:pos="1177" w:val="left" w:leader="none"/>
              </w:tabs>
              <w:spacing w:line="240" w:lineRule="auto" w:before="17"/>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32,877</w:t>
              <w:tab/>
            </w:r>
            <w:r>
              <w:rPr>
                <w:rFonts w:ascii="Arial"/>
                <w:sz w:val="22"/>
              </w:rPr>
            </w:r>
          </w:p>
        </w:tc>
      </w:tr>
      <w:tr>
        <w:trPr>
          <w:trHeight w:val="401" w:hRule="exact"/>
        </w:trPr>
        <w:tc>
          <w:tcPr>
            <w:tcW w:w="2756"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left="220" w:right="0"/>
              <w:jc w:val="left"/>
              <w:rPr>
                <w:rFonts w:ascii="Arial" w:hAnsi="Arial" w:cs="Arial" w:eastAsia="Arial" w:hint="default"/>
                <w:sz w:val="22"/>
                <w:szCs w:val="22"/>
              </w:rPr>
            </w:pPr>
            <w:r>
              <w:rPr>
                <w:rFonts w:ascii="Arial"/>
                <w:sz w:val="22"/>
              </w:rPr>
              <w:t>174,823</w:t>
            </w: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left="297" w:right="0"/>
              <w:jc w:val="left"/>
              <w:rPr>
                <w:rFonts w:ascii="Arial" w:hAnsi="Arial" w:cs="Arial" w:eastAsia="Arial" w:hint="default"/>
                <w:sz w:val="22"/>
                <w:szCs w:val="22"/>
              </w:rPr>
            </w:pPr>
            <w:r>
              <w:rPr>
                <w:rFonts w:ascii="Arial"/>
                <w:sz w:val="22"/>
              </w:rPr>
              <w:t>21,570</w:t>
            </w:r>
          </w:p>
        </w:tc>
        <w:tc>
          <w:tcPr>
            <w:tcW w:w="236"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left="279" w:right="0"/>
              <w:jc w:val="left"/>
              <w:rPr>
                <w:rFonts w:ascii="Arial" w:hAnsi="Arial" w:cs="Arial" w:eastAsia="Arial" w:hint="default"/>
                <w:sz w:val="22"/>
                <w:szCs w:val="22"/>
              </w:rPr>
            </w:pPr>
            <w:r>
              <w:rPr>
                <w:rFonts w:ascii="Arial"/>
                <w:sz w:val="22"/>
              </w:rPr>
              <w:t>12,192</w:t>
            </w:r>
          </w:p>
        </w:tc>
        <w:tc>
          <w:tcPr>
            <w:tcW w:w="24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left="356" w:right="0"/>
              <w:jc w:val="left"/>
              <w:rPr>
                <w:rFonts w:ascii="Arial" w:hAnsi="Arial" w:cs="Arial" w:eastAsia="Arial" w:hint="default"/>
                <w:sz w:val="22"/>
                <w:szCs w:val="22"/>
              </w:rPr>
            </w:pPr>
            <w:r>
              <w:rPr>
                <w:rFonts w:ascii="Arial"/>
                <w:sz w:val="22"/>
              </w:rPr>
              <w:t>2,495</w:t>
            </w:r>
          </w:p>
        </w:tc>
        <w:tc>
          <w:tcPr>
            <w:tcW w:w="235"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left="282" w:right="0"/>
              <w:jc w:val="left"/>
              <w:rPr>
                <w:rFonts w:ascii="Arial" w:hAnsi="Arial" w:cs="Arial" w:eastAsia="Arial" w:hint="default"/>
                <w:sz w:val="22"/>
                <w:szCs w:val="22"/>
              </w:rPr>
            </w:pPr>
            <w:r>
              <w:rPr>
                <w:rFonts w:ascii="Arial"/>
                <w:sz w:val="22"/>
              </w:rPr>
              <w:t>211,080</w:t>
            </w:r>
          </w:p>
        </w:tc>
      </w:tr>
    </w:tbl>
    <w:p>
      <w:pPr>
        <w:spacing w:line="240" w:lineRule="auto" w:before="2"/>
        <w:rPr>
          <w:rFonts w:ascii="宋体" w:hAnsi="宋体" w:cs="宋体" w:eastAsia="宋体" w:hint="default"/>
          <w:sz w:val="14"/>
          <w:szCs w:val="14"/>
        </w:rPr>
      </w:pPr>
    </w:p>
    <w:p>
      <w:pPr>
        <w:pStyle w:val="BodyText"/>
        <w:spacing w:line="424" w:lineRule="auto" w:before="31"/>
        <w:ind w:left="596" w:right="6292" w:hanging="478"/>
        <w:jc w:val="left"/>
      </w:pPr>
      <w:r>
        <w:rPr>
          <w:rFonts w:ascii="Arial" w:hAnsi="Arial" w:cs="Arial" w:eastAsia="Arial" w:hint="default"/>
        </w:rPr>
        <w:t>(b)</w:t>
      </w:r>
      <w:r>
        <w:rPr>
          <w:rFonts w:ascii="Arial" w:hAnsi="Arial" w:cs="Arial" w:eastAsia="Arial" w:hint="default"/>
          <w:spacing w:val="15"/>
        </w:rPr>
        <w:t> </w:t>
      </w:r>
      <w:r>
        <w:rPr/>
        <w:t>资本风险管理</w:t>
      </w:r>
      <w:r>
        <w:rPr>
          <w:w w:val="99"/>
        </w:rPr>
        <w:t> </w:t>
      </w:r>
      <w:r>
        <w:rPr/>
        <w:t>本集团资本管理的目标为：</w:t>
      </w:r>
    </w:p>
    <w:p>
      <w:pPr>
        <w:pStyle w:val="BodyText"/>
        <w:spacing w:line="295" w:lineRule="exact" w:before="80"/>
        <w:ind w:left="637" w:right="0"/>
        <w:jc w:val="both"/>
      </w:pPr>
      <w:r>
        <w:rPr>
          <w:rFonts w:ascii="Symbol" w:hAnsi="Symbol" w:cs="Symbol" w:eastAsia="Symbol" w:hint="default"/>
        </w:rPr>
        <w:t></w:t>
      </w:r>
      <w:r>
        <w:rPr>
          <w:rFonts w:ascii="Symbol" w:hAnsi="Symbol" w:cs="Symbol" w:eastAsia="Symbol" w:hint="default"/>
          <w:spacing w:val="36"/>
        </w:rPr>
        <w:t></w:t>
      </w:r>
      <w:r>
        <w:rPr>
          <w:rFonts w:ascii="Times New Roman" w:hAnsi="Times New Roman" w:cs="Times New Roman" w:eastAsia="Times New Roman" w:hint="default"/>
          <w:spacing w:val="36"/>
        </w:rPr>
      </w:r>
      <w:r>
        <w:rPr/>
        <w:t>保障本集团的持续经营能力，从而持续地为股东提供回报及使其它利益相关者受益。</w:t>
      </w:r>
    </w:p>
    <w:p>
      <w:pPr>
        <w:pStyle w:val="BodyText"/>
        <w:spacing w:line="286" w:lineRule="exact"/>
        <w:ind w:left="637" w:right="0"/>
        <w:jc w:val="both"/>
      </w:pPr>
      <w:r>
        <w:rPr>
          <w:rFonts w:ascii="Symbol" w:hAnsi="Symbol" w:cs="Symbol" w:eastAsia="Symbol" w:hint="default"/>
        </w:rPr>
        <w:t></w:t>
      </w:r>
      <w:r>
        <w:rPr>
          <w:rFonts w:ascii="Symbol" w:hAnsi="Symbol" w:cs="Symbol" w:eastAsia="Symbol" w:hint="default"/>
          <w:spacing w:val="47"/>
        </w:rPr>
        <w:t></w:t>
      </w:r>
      <w:r>
        <w:rPr>
          <w:rFonts w:ascii="Times New Roman" w:hAnsi="Times New Roman" w:cs="Times New Roman" w:eastAsia="Times New Roman" w:hint="default"/>
          <w:spacing w:val="47"/>
        </w:rPr>
      </w:r>
      <w:r>
        <w:rPr/>
        <w:t>保持本集团的稳定及增长。</w:t>
      </w:r>
    </w:p>
    <w:p>
      <w:pPr>
        <w:pStyle w:val="BodyText"/>
        <w:spacing w:line="295" w:lineRule="exact"/>
        <w:ind w:left="637" w:right="0"/>
        <w:jc w:val="both"/>
      </w:pPr>
      <w:r>
        <w:rPr>
          <w:rFonts w:ascii="Symbol" w:hAnsi="Symbol" w:cs="Symbol" w:eastAsia="Symbol" w:hint="default"/>
        </w:rPr>
        <w:t></w:t>
      </w:r>
      <w:r>
        <w:rPr>
          <w:rFonts w:ascii="Symbol" w:hAnsi="Symbol" w:cs="Symbol" w:eastAsia="Symbol" w:hint="default"/>
          <w:spacing w:val="44"/>
        </w:rPr>
        <w:t></w:t>
      </w:r>
      <w:r>
        <w:rPr>
          <w:rFonts w:ascii="Times New Roman" w:hAnsi="Times New Roman" w:cs="Times New Roman" w:eastAsia="Times New Roman" w:hint="default"/>
          <w:spacing w:val="44"/>
        </w:rPr>
      </w:r>
      <w:r>
        <w:rPr/>
        <w:t>提供资本，以强化本集团的风险管理能力。</w:t>
      </w:r>
    </w:p>
    <w:p>
      <w:pPr>
        <w:spacing w:line="240" w:lineRule="auto" w:before="12"/>
        <w:rPr>
          <w:rFonts w:ascii="宋体" w:hAnsi="宋体" w:cs="宋体" w:eastAsia="宋体" w:hint="default"/>
          <w:sz w:val="19"/>
          <w:szCs w:val="19"/>
        </w:rPr>
      </w:pPr>
    </w:p>
    <w:p>
      <w:pPr>
        <w:pStyle w:val="BodyText"/>
        <w:spacing w:line="286" w:lineRule="exact"/>
        <w:ind w:left="596" w:right="117"/>
        <w:jc w:val="both"/>
      </w:pPr>
      <w:r>
        <w:rPr/>
        <w:t>为了保持及调整资本结构，本集团积极定期复核及管理自身的资本结构，力求达到最理想的</w:t>
      </w:r>
      <w:r>
        <w:rPr>
          <w:spacing w:val="-87"/>
        </w:rPr>
        <w:t> </w:t>
      </w:r>
      <w:r>
        <w:rPr>
          <w:spacing w:val="-87"/>
        </w:rPr>
      </w:r>
      <w:r>
        <w:rPr/>
        <w:t>资本结构及股东回报。本集团考虑的因素包括：本集团未来的资本需求、资本效率、现时的</w:t>
      </w:r>
      <w:r>
        <w:rPr>
          <w:spacing w:val="-87"/>
        </w:rPr>
        <w:t> </w:t>
      </w:r>
      <w:r>
        <w:rPr>
          <w:spacing w:val="-87"/>
        </w:rPr>
      </w:r>
      <w:r>
        <w:rPr/>
        <w:t>及预期的盈利能力、预期的经营现金流、预期资本开支及预期的战略投资机会。</w:t>
      </w:r>
    </w:p>
    <w:p>
      <w:pPr>
        <w:spacing w:line="240" w:lineRule="auto" w:before="5"/>
        <w:rPr>
          <w:rFonts w:ascii="宋体" w:hAnsi="宋体" w:cs="宋体" w:eastAsia="宋体" w:hint="default"/>
          <w:sz w:val="17"/>
          <w:szCs w:val="17"/>
        </w:rPr>
      </w:pPr>
    </w:p>
    <w:p>
      <w:pPr>
        <w:pStyle w:val="BodyText"/>
        <w:spacing w:line="237" w:lineRule="auto"/>
        <w:ind w:left="596" w:right="117"/>
        <w:jc w:val="both"/>
      </w:pPr>
      <w:r>
        <w:rPr/>
        <w:t>本集团以债务资本率来检查资本状况，债务资本率为带息债务加少数股东权益除以带息债务</w:t>
      </w:r>
      <w:r>
        <w:rPr>
          <w:spacing w:val="-87"/>
        </w:rPr>
        <w:t> </w:t>
      </w:r>
      <w:r>
        <w:rPr>
          <w:spacing w:val="-87"/>
        </w:rPr>
      </w:r>
      <w:r>
        <w:rPr/>
        <w:t>加总股东权益。带息债务主要包括资产负债表中的长短期银行借款、关联方借款、长短期债</w:t>
      </w:r>
      <w:r>
        <w:rPr>
          <w:spacing w:val="-87"/>
        </w:rPr>
        <w:t> </w:t>
      </w:r>
      <w:r>
        <w:rPr>
          <w:spacing w:val="-87"/>
        </w:rPr>
      </w:r>
      <w:r>
        <w:rPr/>
        <w:t>券及应付融资租赁款（包含于长期应付款中）等。</w:t>
      </w:r>
    </w:p>
    <w:p>
      <w:pPr>
        <w:spacing w:after="0" w:line="237" w:lineRule="auto"/>
        <w:jc w:val="both"/>
        <w:sectPr>
          <w:headerReference w:type="default" r:id="rId65"/>
          <w:pgSz w:w="11910" w:h="16840"/>
          <w:pgMar w:header="967" w:footer="593" w:top="3880" w:bottom="780" w:left="1440" w:right="920"/>
        </w:sectPr>
      </w:pPr>
    </w:p>
    <w:p>
      <w:pPr>
        <w:spacing w:line="240" w:lineRule="auto" w:before="13"/>
        <w:rPr>
          <w:rFonts w:ascii="宋体" w:hAnsi="宋体" w:cs="宋体" w:eastAsia="宋体" w:hint="default"/>
          <w:sz w:val="15"/>
          <w:szCs w:val="15"/>
        </w:rPr>
      </w:pPr>
    </w:p>
    <w:p>
      <w:pPr>
        <w:pStyle w:val="BodyText"/>
        <w:spacing w:line="424" w:lineRule="auto" w:before="31"/>
        <w:ind w:left="608" w:right="837" w:hanging="490"/>
        <w:jc w:val="left"/>
      </w:pPr>
      <w:r>
        <w:rPr>
          <w:rFonts w:ascii="Arial" w:hAnsi="Arial" w:cs="Arial" w:eastAsia="Arial" w:hint="default"/>
        </w:rPr>
        <w:t>(b)</w:t>
      </w:r>
      <w:r>
        <w:rPr>
          <w:rFonts w:ascii="Arial" w:hAnsi="Arial" w:cs="Arial" w:eastAsia="Arial" w:hint="default"/>
          <w:spacing w:val="15"/>
        </w:rPr>
        <w:t> </w:t>
      </w:r>
      <w:r>
        <w:rPr/>
        <w:t>资本风险管理（续）</w:t>
      </w:r>
      <w:r>
        <w:rPr>
          <w:w w:val="99"/>
        </w:rPr>
        <w:t> </w:t>
      </w:r>
      <w:r>
        <w:rPr>
          <w:w w:val="95"/>
        </w:rPr>
        <w:t>于</w:t>
      </w:r>
      <w:r>
        <w:rPr>
          <w:rFonts w:ascii="Arial" w:hAnsi="Arial" w:cs="Arial" w:eastAsia="Arial" w:hint="default"/>
          <w:w w:val="95"/>
        </w:rPr>
        <w:t>2012</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日及</w:t>
      </w:r>
      <w:r>
        <w:rPr>
          <w:rFonts w:ascii="Arial" w:hAnsi="Arial" w:cs="Arial" w:eastAsia="Arial" w:hint="default"/>
          <w:w w:val="95"/>
        </w:rPr>
        <w:t>2011</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日，本集团的债务资本率如下：</w:t>
      </w:r>
      <w:r>
        <w:rPr/>
      </w:r>
    </w:p>
    <w:p>
      <w:pPr>
        <w:spacing w:line="240" w:lineRule="auto" w:before="10"/>
        <w:rPr>
          <w:rFonts w:ascii="宋体" w:hAnsi="宋体" w:cs="宋体" w:eastAsia="宋体" w:hint="default"/>
          <w:sz w:val="8"/>
          <w:szCs w:val="8"/>
        </w:rPr>
      </w:pPr>
    </w:p>
    <w:tbl>
      <w:tblPr>
        <w:tblW w:w="0" w:type="auto"/>
        <w:jc w:val="left"/>
        <w:tblInd w:w="408" w:type="dxa"/>
        <w:tblLayout w:type="fixed"/>
        <w:tblCellMar>
          <w:top w:w="0" w:type="dxa"/>
          <w:left w:w="0" w:type="dxa"/>
          <w:bottom w:w="0" w:type="dxa"/>
          <w:right w:w="0" w:type="dxa"/>
        </w:tblCellMar>
        <w:tblLook w:val="01E0"/>
      </w:tblPr>
      <w:tblGrid>
        <w:gridCol w:w="5339"/>
        <w:gridCol w:w="1706"/>
        <w:gridCol w:w="120"/>
        <w:gridCol w:w="1835"/>
      </w:tblGrid>
      <w:tr>
        <w:trPr>
          <w:trHeight w:val="261"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20" w:lineRule="exact"/>
              <w:ind w:left="200" w:right="0"/>
              <w:jc w:val="left"/>
              <w:rPr>
                <w:rFonts w:ascii="宋体" w:hAnsi="宋体" w:cs="宋体" w:eastAsia="宋体" w:hint="default"/>
                <w:sz w:val="22"/>
                <w:szCs w:val="22"/>
              </w:rPr>
            </w:pPr>
            <w:r>
              <w:rPr>
                <w:rFonts w:ascii="宋体" w:hAnsi="宋体" w:cs="宋体" w:eastAsia="宋体" w:hint="default"/>
                <w:sz w:val="22"/>
                <w:szCs w:val="22"/>
              </w:rPr>
              <w:t>（单位：人民币百万元）</w:t>
            </w:r>
          </w:p>
        </w:tc>
        <w:tc>
          <w:tcPr>
            <w:tcW w:w="1706" w:type="dxa"/>
            <w:tcBorders>
              <w:top w:val="nil" w:sz="6" w:space="0" w:color="auto"/>
              <w:left w:val="nil" w:sz="6" w:space="0" w:color="auto"/>
              <w:bottom w:val="single" w:sz="6" w:space="0" w:color="000000"/>
              <w:right w:val="nil" w:sz="6" w:space="0" w:color="auto"/>
            </w:tcBorders>
          </w:tcPr>
          <w:p>
            <w:pPr>
              <w:pStyle w:val="TableParagraph"/>
              <w:spacing w:line="235" w:lineRule="exact"/>
              <w:ind w:left="6" w:right="0"/>
              <w:jc w:val="left"/>
              <w:rPr>
                <w:rFonts w:ascii="宋体" w:hAnsi="宋体" w:cs="宋体" w:eastAsia="宋体" w:hint="default"/>
                <w:sz w:val="22"/>
                <w:szCs w:val="22"/>
              </w:rPr>
            </w:pPr>
            <w:r>
              <w:rPr>
                <w:rFonts w:ascii="Arial" w:hAnsi="Arial" w:cs="Arial" w:eastAsia="Arial" w:hint="default"/>
                <w:sz w:val="22"/>
                <w:szCs w:val="22"/>
              </w:rPr>
              <w:t>2012</w:t>
            </w:r>
            <w:r>
              <w:rPr>
                <w:rFonts w:ascii="宋体" w:hAnsi="宋体" w:cs="宋体" w:eastAsia="宋体" w:hint="default"/>
                <w:sz w:val="22"/>
                <w:szCs w:val="22"/>
              </w:rPr>
              <w:t>年</w:t>
            </w:r>
            <w:r>
              <w:rPr>
                <w:rFonts w:ascii="Arial" w:hAnsi="Arial" w:cs="Arial" w:eastAsia="Arial" w:hint="default"/>
                <w:sz w:val="22"/>
                <w:szCs w:val="22"/>
              </w:rPr>
              <w:t>12</w:t>
            </w:r>
            <w:r>
              <w:rPr>
                <w:rFonts w:ascii="宋体" w:hAnsi="宋体" w:cs="宋体" w:eastAsia="宋体" w:hint="default"/>
                <w:sz w:val="22"/>
                <w:szCs w:val="22"/>
              </w:rPr>
              <w:t>月</w:t>
            </w:r>
            <w:r>
              <w:rPr>
                <w:rFonts w:ascii="Arial" w:hAnsi="Arial" w:cs="Arial" w:eastAsia="Arial" w:hint="default"/>
                <w:sz w:val="22"/>
                <w:szCs w:val="22"/>
              </w:rPr>
              <w:t>31</w:t>
            </w:r>
            <w:r>
              <w:rPr>
                <w:rFonts w:ascii="宋体" w:hAnsi="宋体" w:cs="宋体" w:eastAsia="宋体" w:hint="default"/>
                <w:sz w:val="22"/>
                <w:szCs w:val="22"/>
              </w:rPr>
              <w:t>日</w:t>
            </w:r>
          </w:p>
        </w:tc>
        <w:tc>
          <w:tcPr>
            <w:tcW w:w="12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single" w:sz="6" w:space="0" w:color="000000"/>
              <w:right w:val="nil" w:sz="6" w:space="0" w:color="auto"/>
            </w:tcBorders>
          </w:tcPr>
          <w:p>
            <w:pPr>
              <w:pStyle w:val="TableParagraph"/>
              <w:spacing w:line="235" w:lineRule="exact"/>
              <w:ind w:right="35"/>
              <w:jc w:val="right"/>
              <w:rPr>
                <w:rFonts w:ascii="宋体" w:hAnsi="宋体" w:cs="宋体" w:eastAsia="宋体" w:hint="default"/>
                <w:sz w:val="22"/>
                <w:szCs w:val="22"/>
              </w:rPr>
            </w:pPr>
            <w:r>
              <w:rPr>
                <w:rFonts w:ascii="Arial" w:hAnsi="Arial" w:cs="Arial" w:eastAsia="Arial" w:hint="default"/>
                <w:w w:val="95"/>
                <w:sz w:val="22"/>
                <w:szCs w:val="22"/>
              </w:rPr>
              <w:t>2011</w:t>
            </w:r>
            <w:r>
              <w:rPr>
                <w:rFonts w:ascii="宋体" w:hAnsi="宋体" w:cs="宋体" w:eastAsia="宋体" w:hint="default"/>
                <w:w w:val="95"/>
                <w:sz w:val="22"/>
                <w:szCs w:val="22"/>
              </w:rPr>
              <w:t>年</w:t>
            </w:r>
            <w:r>
              <w:rPr>
                <w:rFonts w:ascii="Arial" w:hAnsi="Arial" w:cs="Arial" w:eastAsia="Arial" w:hint="default"/>
                <w:w w:val="95"/>
                <w:sz w:val="22"/>
                <w:szCs w:val="22"/>
              </w:rPr>
              <w:t>12</w:t>
            </w:r>
            <w:r>
              <w:rPr>
                <w:rFonts w:ascii="宋体" w:hAnsi="宋体" w:cs="宋体" w:eastAsia="宋体" w:hint="default"/>
                <w:w w:val="95"/>
                <w:sz w:val="22"/>
                <w:szCs w:val="22"/>
              </w:rPr>
              <w:t>月</w:t>
            </w:r>
            <w:r>
              <w:rPr>
                <w:rFonts w:ascii="Arial" w:hAnsi="Arial" w:cs="Arial" w:eastAsia="Arial" w:hint="default"/>
                <w:w w:val="95"/>
                <w:sz w:val="22"/>
                <w:szCs w:val="22"/>
              </w:rPr>
              <w:t>31</w:t>
            </w:r>
            <w:r>
              <w:rPr>
                <w:rFonts w:ascii="宋体" w:hAnsi="宋体" w:cs="宋体" w:eastAsia="宋体" w:hint="default"/>
                <w:w w:val="95"/>
                <w:sz w:val="22"/>
                <w:szCs w:val="22"/>
              </w:rPr>
              <w:t>日</w:t>
            </w:r>
            <w:r>
              <w:rPr>
                <w:rFonts w:ascii="宋体" w:hAnsi="宋体" w:cs="宋体" w:eastAsia="宋体" w:hint="default"/>
                <w:sz w:val="22"/>
                <w:szCs w:val="22"/>
              </w:rPr>
            </w:r>
          </w:p>
        </w:tc>
      </w:tr>
      <w:tr>
        <w:trPr>
          <w:trHeight w:val="545"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带息债务：</w:t>
            </w:r>
          </w:p>
        </w:tc>
        <w:tc>
          <w:tcPr>
            <w:tcW w:w="1706" w:type="dxa"/>
            <w:tcBorders>
              <w:top w:val="single" w:sz="6" w:space="0" w:color="000000"/>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835" w:type="dxa"/>
            <w:tcBorders>
              <w:top w:val="single" w:sz="6" w:space="0" w:color="000000"/>
              <w:left w:val="nil" w:sz="6" w:space="0" w:color="auto"/>
              <w:bottom w:val="nil" w:sz="6" w:space="0" w:color="auto"/>
              <w:right w:val="nil" w:sz="6" w:space="0" w:color="auto"/>
            </w:tcBorders>
          </w:tcPr>
          <w:p>
            <w:pPr/>
          </w:p>
        </w:tc>
      </w:tr>
      <w:tr>
        <w:trPr>
          <w:trHeight w:val="299"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53" w:lineRule="exact"/>
              <w:ind w:left="412" w:right="0"/>
              <w:jc w:val="left"/>
              <w:rPr>
                <w:rFonts w:ascii="宋体" w:hAnsi="宋体" w:cs="宋体" w:eastAsia="宋体" w:hint="default"/>
                <w:sz w:val="22"/>
                <w:szCs w:val="22"/>
              </w:rPr>
            </w:pPr>
            <w:r>
              <w:rPr>
                <w:rFonts w:ascii="宋体" w:hAnsi="宋体" w:cs="宋体" w:eastAsia="宋体" w:hint="default"/>
                <w:sz w:val="22"/>
                <w:szCs w:val="22"/>
              </w:rPr>
              <w:t>应付短期债券</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Arial" w:hAnsi="Arial" w:cs="Arial" w:eastAsia="Arial" w:hint="default"/>
                <w:sz w:val="22"/>
                <w:szCs w:val="22"/>
              </w:rPr>
            </w:pPr>
            <w:r>
              <w:rPr>
                <w:rFonts w:ascii="Arial"/>
                <w:w w:val="95"/>
                <w:sz w:val="22"/>
              </w:rPr>
              <w:t>38,000</w:t>
            </w:r>
            <w:r>
              <w:rPr>
                <w:rFonts w:ascii="Arial"/>
                <w:sz w:val="22"/>
              </w:rPr>
            </w:r>
          </w:p>
        </w:tc>
        <w:tc>
          <w:tcPr>
            <w:tcW w:w="12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23"/>
              <w:jc w:val="right"/>
              <w:rPr>
                <w:rFonts w:ascii="Arial" w:hAnsi="Arial" w:cs="Arial" w:eastAsia="Arial" w:hint="default"/>
                <w:sz w:val="22"/>
                <w:szCs w:val="22"/>
              </w:rPr>
            </w:pPr>
            <w:r>
              <w:rPr>
                <w:rFonts w:ascii="Arial"/>
                <w:w w:val="95"/>
                <w:sz w:val="22"/>
              </w:rPr>
              <w:t>38,000</w:t>
            </w:r>
            <w:r>
              <w:rPr>
                <w:rFonts w:ascii="Arial"/>
                <w:sz w:val="22"/>
              </w:rPr>
            </w:r>
          </w:p>
        </w:tc>
      </w:tr>
      <w:tr>
        <w:trPr>
          <w:trHeight w:val="285"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39" w:lineRule="exact"/>
              <w:ind w:left="412"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5"/>
              <w:jc w:val="right"/>
              <w:rPr>
                <w:rFonts w:ascii="Arial" w:hAnsi="Arial" w:cs="Arial" w:eastAsia="Arial" w:hint="default"/>
                <w:sz w:val="22"/>
                <w:szCs w:val="22"/>
              </w:rPr>
            </w:pPr>
            <w:r>
              <w:rPr>
                <w:rFonts w:ascii="Arial"/>
                <w:w w:val="95"/>
                <w:sz w:val="22"/>
              </w:rPr>
              <w:t>69,175</w:t>
            </w:r>
            <w:r>
              <w:rPr>
                <w:rFonts w:ascii="Arial"/>
                <w:sz w:val="22"/>
              </w:rPr>
            </w:r>
          </w:p>
        </w:tc>
        <w:tc>
          <w:tcPr>
            <w:tcW w:w="12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3"/>
              <w:jc w:val="right"/>
              <w:rPr>
                <w:rFonts w:ascii="Arial" w:hAnsi="Arial" w:cs="Arial" w:eastAsia="Arial" w:hint="default"/>
                <w:sz w:val="22"/>
                <w:szCs w:val="22"/>
              </w:rPr>
            </w:pPr>
            <w:r>
              <w:rPr>
                <w:rFonts w:ascii="Arial"/>
                <w:w w:val="95"/>
                <w:sz w:val="22"/>
              </w:rPr>
              <w:t>32,322</w:t>
            </w:r>
            <w:r>
              <w:rPr>
                <w:rFonts w:ascii="Arial"/>
                <w:sz w:val="22"/>
              </w:rPr>
            </w:r>
          </w:p>
        </w:tc>
      </w:tr>
      <w:tr>
        <w:trPr>
          <w:trHeight w:val="285"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39" w:lineRule="exact"/>
              <w:ind w:left="412" w:right="0"/>
              <w:jc w:val="left"/>
              <w:rPr>
                <w:rFonts w:ascii="宋体" w:hAnsi="宋体" w:cs="宋体" w:eastAsia="宋体" w:hint="default"/>
                <w:sz w:val="22"/>
                <w:szCs w:val="22"/>
              </w:rPr>
            </w:pPr>
            <w:r>
              <w:rPr>
                <w:rFonts w:ascii="宋体" w:hAnsi="宋体" w:cs="宋体" w:eastAsia="宋体" w:hint="default"/>
                <w:sz w:val="22"/>
                <w:szCs w:val="22"/>
              </w:rPr>
              <w:t>关联公司借款</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2"/>
                <w:szCs w:val="22"/>
              </w:rPr>
            </w:pPr>
            <w:r>
              <w:rPr>
                <w:rFonts w:ascii="Arial"/>
                <w:w w:val="99"/>
                <w:sz w:val="22"/>
              </w:rPr>
              <w:t>-</w:t>
            </w:r>
            <w:r>
              <w:rPr>
                <w:rFonts w:ascii="Arial"/>
                <w:sz w:val="22"/>
              </w:rPr>
            </w:r>
          </w:p>
        </w:tc>
        <w:tc>
          <w:tcPr>
            <w:tcW w:w="12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4"/>
              <w:jc w:val="right"/>
              <w:rPr>
                <w:rFonts w:ascii="Arial" w:hAnsi="Arial" w:cs="Arial" w:eastAsia="Arial" w:hint="default"/>
                <w:sz w:val="22"/>
                <w:szCs w:val="22"/>
              </w:rPr>
            </w:pPr>
            <w:r>
              <w:rPr>
                <w:rFonts w:ascii="Arial"/>
                <w:w w:val="95"/>
                <w:sz w:val="22"/>
              </w:rPr>
              <w:t>2,156</w:t>
            </w:r>
            <w:r>
              <w:rPr>
                <w:rFonts w:ascii="Arial"/>
                <w:sz w:val="22"/>
              </w:rPr>
            </w:r>
          </w:p>
        </w:tc>
      </w:tr>
      <w:tr>
        <w:trPr>
          <w:trHeight w:val="286"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39" w:lineRule="exact"/>
              <w:ind w:left="412" w:right="0"/>
              <w:jc w:val="left"/>
              <w:rPr>
                <w:rFonts w:ascii="宋体" w:hAnsi="宋体" w:cs="宋体" w:eastAsia="宋体" w:hint="default"/>
                <w:sz w:val="22"/>
                <w:szCs w:val="22"/>
              </w:rPr>
            </w:pPr>
            <w:r>
              <w:rPr>
                <w:rFonts w:ascii="宋体" w:hAnsi="宋体" w:cs="宋体" w:eastAsia="宋体" w:hint="default"/>
                <w:sz w:val="22"/>
                <w:szCs w:val="22"/>
              </w:rPr>
              <w:t>一年内到期的长期借款</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2"/>
                <w:szCs w:val="22"/>
              </w:rPr>
            </w:pPr>
            <w:r>
              <w:rPr>
                <w:rFonts w:ascii="Arial"/>
                <w:w w:val="95"/>
                <w:sz w:val="22"/>
              </w:rPr>
              <w:t>850</w:t>
            </w:r>
            <w:r>
              <w:rPr>
                <w:rFonts w:ascii="Arial"/>
                <w:sz w:val="22"/>
              </w:rPr>
            </w:r>
          </w:p>
        </w:tc>
        <w:tc>
          <w:tcPr>
            <w:tcW w:w="12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4"/>
              <w:jc w:val="right"/>
              <w:rPr>
                <w:rFonts w:ascii="Arial" w:hAnsi="Arial" w:cs="Arial" w:eastAsia="Arial" w:hint="default"/>
                <w:sz w:val="22"/>
                <w:szCs w:val="22"/>
              </w:rPr>
            </w:pPr>
            <w:r>
              <w:rPr>
                <w:rFonts w:ascii="Arial"/>
                <w:w w:val="95"/>
                <w:sz w:val="22"/>
              </w:rPr>
              <w:t>50</w:t>
            </w:r>
            <w:r>
              <w:rPr>
                <w:rFonts w:ascii="Arial"/>
                <w:sz w:val="22"/>
              </w:rPr>
            </w:r>
          </w:p>
        </w:tc>
      </w:tr>
      <w:tr>
        <w:trPr>
          <w:trHeight w:val="286"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39" w:lineRule="exact"/>
              <w:ind w:left="412" w:right="0"/>
              <w:jc w:val="left"/>
              <w:rPr>
                <w:rFonts w:ascii="宋体" w:hAnsi="宋体" w:cs="宋体" w:eastAsia="宋体" w:hint="default"/>
                <w:sz w:val="22"/>
                <w:szCs w:val="22"/>
              </w:rPr>
            </w:pPr>
            <w:r>
              <w:rPr>
                <w:rFonts w:ascii="宋体" w:hAnsi="宋体" w:cs="宋体" w:eastAsia="宋体" w:hint="default"/>
                <w:sz w:val="22"/>
                <w:szCs w:val="22"/>
              </w:rPr>
              <w:t>一年内到期的应付债券</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2"/>
                <w:szCs w:val="22"/>
              </w:rPr>
            </w:pPr>
            <w:r>
              <w:rPr>
                <w:rFonts w:ascii="Arial"/>
                <w:w w:val="95"/>
                <w:sz w:val="22"/>
              </w:rPr>
              <w:t>31,215</w:t>
            </w:r>
            <w:r>
              <w:rPr>
                <w:rFonts w:ascii="Arial"/>
                <w:sz w:val="22"/>
              </w:rPr>
            </w:r>
          </w:p>
        </w:tc>
        <w:tc>
          <w:tcPr>
            <w:tcW w:w="12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4"/>
              <w:jc w:val="right"/>
              <w:rPr>
                <w:rFonts w:ascii="Arial" w:hAnsi="Arial" w:cs="Arial" w:eastAsia="Arial" w:hint="default"/>
                <w:sz w:val="22"/>
                <w:szCs w:val="22"/>
              </w:rPr>
            </w:pPr>
            <w:r>
              <w:rPr>
                <w:rFonts w:ascii="Arial"/>
                <w:w w:val="99"/>
                <w:sz w:val="22"/>
              </w:rPr>
              <w:t>-</w:t>
            </w:r>
            <w:r>
              <w:rPr>
                <w:rFonts w:ascii="Arial"/>
                <w:sz w:val="22"/>
              </w:rPr>
            </w:r>
          </w:p>
        </w:tc>
      </w:tr>
      <w:tr>
        <w:trPr>
          <w:trHeight w:val="285"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39" w:lineRule="exact"/>
              <w:ind w:left="412" w:right="0"/>
              <w:jc w:val="left"/>
              <w:rPr>
                <w:rFonts w:ascii="宋体" w:hAnsi="宋体" w:cs="宋体" w:eastAsia="宋体" w:hint="default"/>
                <w:sz w:val="22"/>
                <w:szCs w:val="22"/>
              </w:rPr>
            </w:pPr>
            <w:r>
              <w:rPr>
                <w:rFonts w:ascii="宋体" w:hAnsi="宋体" w:cs="宋体" w:eastAsia="宋体" w:hint="default"/>
                <w:sz w:val="22"/>
                <w:szCs w:val="22"/>
              </w:rPr>
              <w:t>一年内到期的应付融资租赁款</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2"/>
                <w:szCs w:val="22"/>
              </w:rPr>
            </w:pPr>
            <w:r>
              <w:rPr>
                <w:rFonts w:ascii="Arial"/>
                <w:w w:val="95"/>
                <w:sz w:val="22"/>
              </w:rPr>
              <w:t>128</w:t>
            </w:r>
            <w:r>
              <w:rPr>
                <w:rFonts w:ascii="Arial"/>
                <w:sz w:val="22"/>
              </w:rPr>
            </w:r>
          </w:p>
        </w:tc>
        <w:tc>
          <w:tcPr>
            <w:tcW w:w="12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4"/>
              <w:jc w:val="right"/>
              <w:rPr>
                <w:rFonts w:ascii="Arial" w:hAnsi="Arial" w:cs="Arial" w:eastAsia="Arial" w:hint="default"/>
                <w:sz w:val="22"/>
                <w:szCs w:val="22"/>
              </w:rPr>
            </w:pPr>
            <w:r>
              <w:rPr>
                <w:rFonts w:ascii="Arial"/>
                <w:w w:val="95"/>
                <w:sz w:val="22"/>
              </w:rPr>
              <w:t>78</w:t>
            </w:r>
            <w:r>
              <w:rPr>
                <w:rFonts w:ascii="Arial"/>
                <w:sz w:val="22"/>
              </w:rPr>
            </w:r>
          </w:p>
        </w:tc>
      </w:tr>
      <w:tr>
        <w:trPr>
          <w:trHeight w:val="285"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39" w:lineRule="exact"/>
              <w:ind w:left="412" w:right="0"/>
              <w:jc w:val="left"/>
              <w:rPr>
                <w:rFonts w:ascii="宋体" w:hAnsi="宋体" w:cs="宋体" w:eastAsia="宋体" w:hint="default"/>
                <w:sz w:val="22"/>
                <w:szCs w:val="22"/>
              </w:rPr>
            </w:pPr>
            <w:r>
              <w:rPr>
                <w:rFonts w:ascii="宋体" w:hAnsi="宋体" w:cs="宋体" w:eastAsia="宋体" w:hint="default"/>
                <w:sz w:val="22"/>
                <w:szCs w:val="22"/>
              </w:rPr>
              <w:t>长期借款</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2"/>
                <w:szCs w:val="22"/>
              </w:rPr>
            </w:pPr>
            <w:r>
              <w:rPr>
                <w:rFonts w:ascii="Arial"/>
                <w:w w:val="95"/>
                <w:sz w:val="22"/>
              </w:rPr>
              <w:t>536</w:t>
            </w:r>
            <w:r>
              <w:rPr>
                <w:rFonts w:ascii="Arial"/>
                <w:sz w:val="22"/>
              </w:rPr>
            </w:r>
          </w:p>
        </w:tc>
        <w:tc>
          <w:tcPr>
            <w:tcW w:w="12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3"/>
              <w:jc w:val="right"/>
              <w:rPr>
                <w:rFonts w:ascii="Arial" w:hAnsi="Arial" w:cs="Arial" w:eastAsia="Arial" w:hint="default"/>
                <w:sz w:val="22"/>
                <w:szCs w:val="22"/>
              </w:rPr>
            </w:pPr>
            <w:r>
              <w:rPr>
                <w:rFonts w:ascii="Arial"/>
                <w:w w:val="95"/>
                <w:sz w:val="22"/>
              </w:rPr>
              <w:t>1,384</w:t>
            </w:r>
            <w:r>
              <w:rPr>
                <w:rFonts w:ascii="Arial"/>
                <w:sz w:val="22"/>
              </w:rPr>
            </w:r>
          </w:p>
        </w:tc>
      </w:tr>
      <w:tr>
        <w:trPr>
          <w:trHeight w:val="286"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39" w:lineRule="exact"/>
              <w:ind w:left="412" w:right="0"/>
              <w:jc w:val="left"/>
              <w:rPr>
                <w:rFonts w:ascii="宋体" w:hAnsi="宋体" w:cs="宋体" w:eastAsia="宋体" w:hint="default"/>
                <w:sz w:val="22"/>
                <w:szCs w:val="22"/>
              </w:rPr>
            </w:pPr>
            <w:r>
              <w:rPr>
                <w:rFonts w:ascii="宋体" w:hAnsi="宋体" w:cs="宋体" w:eastAsia="宋体" w:hint="default"/>
                <w:sz w:val="22"/>
                <w:szCs w:val="22"/>
              </w:rPr>
              <w:t>应付债券</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2"/>
                <w:szCs w:val="22"/>
              </w:rPr>
            </w:pPr>
            <w:r>
              <w:rPr>
                <w:rFonts w:ascii="Arial"/>
                <w:w w:val="95"/>
                <w:sz w:val="22"/>
              </w:rPr>
              <w:t>2,000</w:t>
            </w:r>
            <w:r>
              <w:rPr>
                <w:rFonts w:ascii="Arial"/>
                <w:sz w:val="22"/>
              </w:rPr>
            </w:r>
          </w:p>
        </w:tc>
        <w:tc>
          <w:tcPr>
            <w:tcW w:w="12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3"/>
              <w:jc w:val="right"/>
              <w:rPr>
                <w:rFonts w:ascii="Arial" w:hAnsi="Arial" w:cs="Arial" w:eastAsia="Arial" w:hint="default"/>
                <w:sz w:val="22"/>
                <w:szCs w:val="22"/>
              </w:rPr>
            </w:pPr>
            <w:r>
              <w:rPr>
                <w:rFonts w:ascii="Arial"/>
                <w:w w:val="95"/>
                <w:sz w:val="22"/>
              </w:rPr>
              <w:t>33,118</w:t>
            </w:r>
            <w:r>
              <w:rPr>
                <w:rFonts w:ascii="Arial"/>
                <w:sz w:val="22"/>
              </w:rPr>
            </w:r>
          </w:p>
        </w:tc>
      </w:tr>
      <w:tr>
        <w:trPr>
          <w:trHeight w:val="293"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39" w:lineRule="exact"/>
              <w:ind w:left="412" w:right="0"/>
              <w:jc w:val="left"/>
              <w:rPr>
                <w:rFonts w:ascii="宋体" w:hAnsi="宋体" w:cs="宋体" w:eastAsia="宋体" w:hint="default"/>
                <w:sz w:val="22"/>
                <w:szCs w:val="22"/>
              </w:rPr>
            </w:pPr>
            <w:r>
              <w:rPr>
                <w:rFonts w:ascii="宋体" w:hAnsi="宋体" w:cs="宋体" w:eastAsia="宋体" w:hint="default"/>
                <w:sz w:val="22"/>
                <w:szCs w:val="22"/>
              </w:rPr>
              <w:t>应付融资租赁款</w:t>
            </w:r>
          </w:p>
        </w:tc>
        <w:tc>
          <w:tcPr>
            <w:tcW w:w="1706" w:type="dxa"/>
            <w:tcBorders>
              <w:top w:val="nil" w:sz="6" w:space="0" w:color="auto"/>
              <w:left w:val="nil" w:sz="6" w:space="0" w:color="auto"/>
              <w:bottom w:val="nil" w:sz="6" w:space="0" w:color="auto"/>
              <w:right w:val="nil" w:sz="6" w:space="0" w:color="auto"/>
            </w:tcBorders>
          </w:tcPr>
          <w:p>
            <w:pPr>
              <w:pStyle w:val="TableParagraph"/>
              <w:tabs>
                <w:tab w:pos="1231" w:val="left" w:leader="none"/>
                <w:tab w:pos="1706" w:val="left" w:leader="none"/>
              </w:tabs>
              <w:spacing w:line="240" w:lineRule="auto" w:before="17"/>
              <w:ind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217</w:t>
              <w:tab/>
            </w:r>
            <w:r>
              <w:rPr>
                <w:rFonts w:ascii="Arial"/>
                <w:sz w:val="22"/>
              </w:rPr>
            </w:r>
          </w:p>
        </w:tc>
        <w:tc>
          <w:tcPr>
            <w:tcW w:w="12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tabs>
                <w:tab w:pos="1628" w:val="left" w:leader="none"/>
                <w:tab w:pos="1827"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sz w:val="22"/>
                <w:u w:val="single" w:color="000000"/>
              </w:rPr>
              <w:tab/>
            </w:r>
            <w:r>
              <w:rPr>
                <w:rFonts w:ascii="Arial"/>
                <w:sz w:val="22"/>
              </w:rPr>
            </w:r>
          </w:p>
        </w:tc>
      </w:tr>
      <w:tr>
        <w:trPr>
          <w:trHeight w:val="419"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Arial" w:hAnsi="Arial" w:cs="Arial" w:eastAsia="Arial" w:hint="default"/>
                <w:sz w:val="22"/>
                <w:szCs w:val="22"/>
              </w:rPr>
            </w:pPr>
            <w:r>
              <w:rPr>
                <w:rFonts w:ascii="Arial"/>
                <w:w w:val="95"/>
                <w:sz w:val="22"/>
              </w:rPr>
              <w:t>142,121</w:t>
            </w:r>
            <w:r>
              <w:rPr>
                <w:rFonts w:ascii="Arial"/>
                <w:sz w:val="22"/>
              </w:rPr>
            </w:r>
          </w:p>
        </w:tc>
        <w:tc>
          <w:tcPr>
            <w:tcW w:w="12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24"/>
              <w:jc w:val="right"/>
              <w:rPr>
                <w:rFonts w:ascii="Arial" w:hAnsi="Arial" w:cs="Arial" w:eastAsia="Arial" w:hint="default"/>
                <w:sz w:val="22"/>
                <w:szCs w:val="22"/>
              </w:rPr>
            </w:pPr>
            <w:r>
              <w:rPr>
                <w:rFonts w:ascii="Arial"/>
                <w:w w:val="95"/>
                <w:sz w:val="22"/>
              </w:rPr>
              <w:t>107,108</w:t>
            </w:r>
            <w:r>
              <w:rPr>
                <w:rFonts w:ascii="Arial"/>
                <w:sz w:val="22"/>
              </w:rPr>
            </w:r>
          </w:p>
        </w:tc>
      </w:tr>
      <w:tr>
        <w:trPr>
          <w:trHeight w:val="546"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00" w:right="0"/>
              <w:jc w:val="left"/>
              <w:rPr>
                <w:rFonts w:ascii="宋体" w:hAnsi="宋体" w:cs="宋体" w:eastAsia="宋体" w:hint="default"/>
                <w:sz w:val="22"/>
                <w:szCs w:val="22"/>
              </w:rPr>
            </w:pPr>
            <w:r>
              <w:rPr>
                <w:rFonts w:ascii="宋体" w:hAnsi="宋体" w:cs="宋体" w:eastAsia="宋体" w:hint="default"/>
                <w:sz w:val="22"/>
                <w:szCs w:val="22"/>
              </w:rPr>
              <w:t>少数股东权益</w:t>
            </w:r>
          </w:p>
        </w:tc>
        <w:tc>
          <w:tcPr>
            <w:tcW w:w="1706" w:type="dxa"/>
            <w:tcBorders>
              <w:top w:val="nil" w:sz="6" w:space="0" w:color="auto"/>
              <w:left w:val="nil" w:sz="6" w:space="0" w:color="auto"/>
              <w:bottom w:val="nil" w:sz="6" w:space="0" w:color="auto"/>
              <w:right w:val="nil" w:sz="6" w:space="0" w:color="auto"/>
            </w:tcBorders>
          </w:tcPr>
          <w:p>
            <w:pPr>
              <w:pStyle w:val="TableParagraph"/>
              <w:tabs>
                <w:tab w:pos="802" w:val="left" w:leader="none"/>
                <w:tab w:pos="1706" w:val="left" w:leader="none"/>
              </w:tabs>
              <w:spacing w:line="240" w:lineRule="auto" w:before="144"/>
              <w:ind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139,937</w:t>
              <w:tab/>
            </w:r>
            <w:r>
              <w:rPr>
                <w:rFonts w:ascii="Arial"/>
                <w:sz w:val="22"/>
              </w:rPr>
            </w:r>
          </w:p>
        </w:tc>
        <w:tc>
          <w:tcPr>
            <w:tcW w:w="12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tabs>
                <w:tab w:pos="905" w:val="left" w:leader="none"/>
                <w:tab w:pos="1827" w:val="left" w:leader="none"/>
              </w:tabs>
              <w:spacing w:line="240" w:lineRule="auto" w:before="144"/>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137,587</w:t>
            </w:r>
            <w:r>
              <w:rPr>
                <w:rFonts w:ascii="Arial"/>
                <w:sz w:val="22"/>
                <w:u w:val="single" w:color="000000"/>
              </w:rPr>
              <w:tab/>
            </w:r>
            <w:r>
              <w:rPr>
                <w:rFonts w:ascii="Arial"/>
                <w:sz w:val="22"/>
              </w:rPr>
            </w:r>
          </w:p>
        </w:tc>
      </w:tr>
      <w:tr>
        <w:trPr>
          <w:trHeight w:val="553"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带息债务加少数股东权益</w:t>
            </w:r>
          </w:p>
        </w:tc>
        <w:tc>
          <w:tcPr>
            <w:tcW w:w="1706" w:type="dxa"/>
            <w:tcBorders>
              <w:top w:val="nil" w:sz="6" w:space="0" w:color="auto"/>
              <w:left w:val="nil" w:sz="6" w:space="0" w:color="auto"/>
              <w:bottom w:val="nil" w:sz="6" w:space="0" w:color="auto"/>
              <w:right w:val="nil" w:sz="6" w:space="0" w:color="auto"/>
            </w:tcBorders>
          </w:tcPr>
          <w:p>
            <w:pPr>
              <w:pStyle w:val="TableParagraph"/>
              <w:tabs>
                <w:tab w:pos="802" w:val="left" w:leader="none"/>
                <w:tab w:pos="1706" w:val="left" w:leader="none"/>
              </w:tabs>
              <w:spacing w:line="240" w:lineRule="auto" w:before="151"/>
              <w:ind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282,058</w:t>
              <w:tab/>
            </w:r>
            <w:r>
              <w:rPr>
                <w:rFonts w:ascii="Arial"/>
                <w:sz w:val="22"/>
              </w:rPr>
            </w:r>
          </w:p>
        </w:tc>
        <w:tc>
          <w:tcPr>
            <w:tcW w:w="12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tabs>
                <w:tab w:pos="905" w:val="left" w:leader="none"/>
                <w:tab w:pos="1827" w:val="left" w:leader="none"/>
              </w:tabs>
              <w:spacing w:line="240" w:lineRule="auto" w:before="151"/>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244,695</w:t>
            </w:r>
            <w:r>
              <w:rPr>
                <w:rFonts w:ascii="Arial"/>
                <w:sz w:val="22"/>
                <w:u w:val="single" w:color="000000"/>
              </w:rPr>
              <w:tab/>
            </w:r>
            <w:r>
              <w:rPr>
                <w:rFonts w:ascii="Arial"/>
                <w:sz w:val="22"/>
              </w:rPr>
            </w:r>
          </w:p>
        </w:tc>
      </w:tr>
      <w:tr>
        <w:trPr>
          <w:trHeight w:val="406"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总权益：</w:t>
            </w:r>
          </w:p>
        </w:tc>
        <w:tc>
          <w:tcPr>
            <w:tcW w:w="1706"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
        </w:tc>
      </w:tr>
      <w:tr>
        <w:trPr>
          <w:trHeight w:val="298"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53" w:lineRule="exact"/>
              <w:ind w:left="430" w:right="0"/>
              <w:jc w:val="left"/>
              <w:rPr>
                <w:rFonts w:ascii="宋体" w:hAnsi="宋体" w:cs="宋体" w:eastAsia="宋体" w:hint="default"/>
                <w:sz w:val="22"/>
                <w:szCs w:val="22"/>
              </w:rPr>
            </w:pPr>
            <w:r>
              <w:rPr>
                <w:rFonts w:ascii="宋体" w:hAnsi="宋体" w:cs="宋体" w:eastAsia="宋体" w:hint="default"/>
                <w:sz w:val="22"/>
                <w:szCs w:val="22"/>
              </w:rPr>
              <w:t>归属于母公司股东权益</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Arial" w:hAnsi="Arial" w:cs="Arial" w:eastAsia="Arial" w:hint="default"/>
                <w:sz w:val="22"/>
                <w:szCs w:val="22"/>
              </w:rPr>
            </w:pPr>
            <w:r>
              <w:rPr>
                <w:rFonts w:ascii="Arial"/>
                <w:w w:val="95"/>
                <w:sz w:val="22"/>
              </w:rPr>
              <w:t>72,297</w:t>
            </w:r>
            <w:r>
              <w:rPr>
                <w:rFonts w:ascii="Arial"/>
                <w:sz w:val="22"/>
              </w:rPr>
            </w:r>
          </w:p>
        </w:tc>
        <w:tc>
          <w:tcPr>
            <w:tcW w:w="12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23"/>
              <w:jc w:val="right"/>
              <w:rPr>
                <w:rFonts w:ascii="Arial" w:hAnsi="Arial" w:cs="Arial" w:eastAsia="Arial" w:hint="default"/>
                <w:sz w:val="22"/>
                <w:szCs w:val="22"/>
              </w:rPr>
            </w:pPr>
            <w:r>
              <w:rPr>
                <w:rFonts w:ascii="Arial"/>
                <w:w w:val="95"/>
                <w:sz w:val="22"/>
              </w:rPr>
              <w:t>71,024</w:t>
            </w:r>
            <w:r>
              <w:rPr>
                <w:rFonts w:ascii="Arial"/>
                <w:sz w:val="22"/>
              </w:rPr>
            </w:r>
          </w:p>
        </w:tc>
      </w:tr>
      <w:tr>
        <w:trPr>
          <w:trHeight w:val="290"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39" w:lineRule="exact"/>
              <w:ind w:left="430" w:right="0"/>
              <w:jc w:val="left"/>
              <w:rPr>
                <w:rFonts w:ascii="宋体" w:hAnsi="宋体" w:cs="宋体" w:eastAsia="宋体" w:hint="default"/>
                <w:sz w:val="22"/>
                <w:szCs w:val="22"/>
              </w:rPr>
            </w:pPr>
            <w:r>
              <w:rPr>
                <w:rFonts w:ascii="宋体" w:hAnsi="宋体" w:cs="宋体" w:eastAsia="宋体" w:hint="default"/>
                <w:sz w:val="22"/>
                <w:szCs w:val="22"/>
              </w:rPr>
              <w:t>少数股东权益</w:t>
            </w:r>
          </w:p>
        </w:tc>
        <w:tc>
          <w:tcPr>
            <w:tcW w:w="1706" w:type="dxa"/>
            <w:tcBorders>
              <w:top w:val="nil" w:sz="6" w:space="0" w:color="auto"/>
              <w:left w:val="nil" w:sz="6" w:space="0" w:color="auto"/>
              <w:bottom w:val="nil" w:sz="6" w:space="0" w:color="auto"/>
              <w:right w:val="nil" w:sz="6" w:space="0" w:color="auto"/>
            </w:tcBorders>
          </w:tcPr>
          <w:p>
            <w:pPr>
              <w:pStyle w:val="TableParagraph"/>
              <w:tabs>
                <w:tab w:pos="802" w:val="left" w:leader="none"/>
                <w:tab w:pos="1706" w:val="left" w:leader="none"/>
              </w:tabs>
              <w:spacing w:line="240" w:lineRule="auto" w:before="17"/>
              <w:ind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139,937</w:t>
              <w:tab/>
            </w:r>
            <w:r>
              <w:rPr>
                <w:rFonts w:ascii="Arial"/>
                <w:sz w:val="22"/>
              </w:rPr>
            </w:r>
          </w:p>
        </w:tc>
        <w:tc>
          <w:tcPr>
            <w:tcW w:w="12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tabs>
                <w:tab w:pos="905" w:val="left" w:leader="none"/>
                <w:tab w:pos="1827"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137,587</w:t>
            </w:r>
            <w:r>
              <w:rPr>
                <w:rFonts w:ascii="Arial"/>
                <w:sz w:val="22"/>
                <w:u w:val="single" w:color="000000"/>
              </w:rPr>
              <w:tab/>
            </w:r>
            <w:r>
              <w:rPr>
                <w:rFonts w:ascii="Arial"/>
                <w:sz w:val="22"/>
              </w:rPr>
            </w:r>
          </w:p>
        </w:tc>
      </w:tr>
      <w:tr>
        <w:trPr>
          <w:trHeight w:val="390" w:hRule="exact"/>
        </w:trPr>
        <w:tc>
          <w:tcPr>
            <w:tcW w:w="5339"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9" w:lineRule="exact"/>
              <w:ind w:right="105"/>
              <w:jc w:val="right"/>
              <w:rPr>
                <w:rFonts w:ascii="Arial" w:hAnsi="Arial" w:cs="Arial" w:eastAsia="Arial" w:hint="default"/>
                <w:sz w:val="22"/>
                <w:szCs w:val="22"/>
              </w:rPr>
            </w:pPr>
            <w:r>
              <w:rPr>
                <w:rFonts w:ascii="Arial"/>
                <w:w w:val="95"/>
                <w:sz w:val="22"/>
              </w:rPr>
              <w:t>212,234</w:t>
            </w:r>
            <w:r>
              <w:rPr>
                <w:rFonts w:ascii="Arial"/>
                <w:sz w:val="22"/>
              </w:rPr>
            </w:r>
          </w:p>
        </w:tc>
        <w:tc>
          <w:tcPr>
            <w:tcW w:w="12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9" w:lineRule="exact"/>
              <w:ind w:right="123"/>
              <w:jc w:val="right"/>
              <w:rPr>
                <w:rFonts w:ascii="Arial" w:hAnsi="Arial" w:cs="Arial" w:eastAsia="Arial" w:hint="default"/>
                <w:sz w:val="22"/>
                <w:szCs w:val="22"/>
              </w:rPr>
            </w:pPr>
            <w:r>
              <w:rPr>
                <w:rFonts w:ascii="Arial"/>
                <w:w w:val="95"/>
                <w:sz w:val="22"/>
              </w:rPr>
              <w:t>208,611</w:t>
            </w:r>
            <w:r>
              <w:rPr>
                <w:rFonts w:ascii="Arial"/>
                <w:sz w:val="22"/>
              </w:rPr>
            </w:r>
          </w:p>
        </w:tc>
      </w:tr>
      <w:tr>
        <w:trPr>
          <w:trHeight w:val="545"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00" w:right="0"/>
              <w:jc w:val="left"/>
              <w:rPr>
                <w:rFonts w:ascii="宋体" w:hAnsi="宋体" w:cs="宋体" w:eastAsia="宋体" w:hint="default"/>
                <w:sz w:val="22"/>
                <w:szCs w:val="22"/>
              </w:rPr>
            </w:pPr>
            <w:r>
              <w:rPr>
                <w:rFonts w:ascii="宋体" w:hAnsi="宋体" w:cs="宋体" w:eastAsia="宋体" w:hint="default"/>
                <w:sz w:val="22"/>
                <w:szCs w:val="22"/>
              </w:rPr>
              <w:t>带息债务加股东权益合计</w:t>
            </w:r>
          </w:p>
        </w:tc>
        <w:tc>
          <w:tcPr>
            <w:tcW w:w="1706" w:type="dxa"/>
            <w:tcBorders>
              <w:top w:val="nil" w:sz="6" w:space="0" w:color="auto"/>
              <w:left w:val="nil" w:sz="6" w:space="0" w:color="auto"/>
              <w:bottom w:val="nil" w:sz="6" w:space="0" w:color="auto"/>
              <w:right w:val="nil" w:sz="6" w:space="0" w:color="auto"/>
            </w:tcBorders>
          </w:tcPr>
          <w:p>
            <w:pPr>
              <w:pStyle w:val="TableParagraph"/>
              <w:tabs>
                <w:tab w:pos="802" w:val="left" w:leader="none"/>
                <w:tab w:pos="1706" w:val="left" w:leader="none"/>
              </w:tabs>
              <w:spacing w:line="240" w:lineRule="auto" w:before="143"/>
              <w:ind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354,355</w:t>
              <w:tab/>
            </w:r>
            <w:r>
              <w:rPr>
                <w:rFonts w:ascii="Arial"/>
                <w:sz w:val="22"/>
              </w:rPr>
            </w:r>
          </w:p>
        </w:tc>
        <w:tc>
          <w:tcPr>
            <w:tcW w:w="12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tabs>
                <w:tab w:pos="905" w:val="left" w:leader="none"/>
                <w:tab w:pos="1827" w:val="left" w:leader="none"/>
              </w:tabs>
              <w:spacing w:line="240" w:lineRule="auto" w:before="143"/>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315,719</w:t>
            </w:r>
            <w:r>
              <w:rPr>
                <w:rFonts w:ascii="Arial"/>
                <w:sz w:val="22"/>
                <w:u w:val="single" w:color="000000"/>
              </w:rPr>
              <w:tab/>
            </w:r>
            <w:r>
              <w:rPr>
                <w:rFonts w:ascii="Arial"/>
                <w:sz w:val="22"/>
              </w:rPr>
            </w:r>
          </w:p>
        </w:tc>
      </w:tr>
      <w:tr>
        <w:trPr>
          <w:trHeight w:val="431"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债务资本率</w:t>
            </w:r>
          </w:p>
        </w:tc>
        <w:tc>
          <w:tcPr>
            <w:tcW w:w="1706"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69"/>
              <w:jc w:val="right"/>
              <w:rPr>
                <w:rFonts w:ascii="Arial" w:hAnsi="Arial" w:cs="Arial" w:eastAsia="Arial" w:hint="default"/>
                <w:sz w:val="22"/>
                <w:szCs w:val="22"/>
              </w:rPr>
            </w:pPr>
            <w:r>
              <w:rPr>
                <w:rFonts w:ascii="Arial"/>
                <w:w w:val="95"/>
                <w:sz w:val="22"/>
              </w:rPr>
              <w:t>79.60%</w:t>
            </w:r>
            <w:r>
              <w:rPr>
                <w:rFonts w:ascii="Arial"/>
                <w:sz w:val="22"/>
              </w:rPr>
            </w:r>
          </w:p>
        </w:tc>
        <w:tc>
          <w:tcPr>
            <w:tcW w:w="12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89"/>
              <w:jc w:val="right"/>
              <w:rPr>
                <w:rFonts w:ascii="Arial" w:hAnsi="Arial" w:cs="Arial" w:eastAsia="Arial" w:hint="default"/>
                <w:sz w:val="22"/>
                <w:szCs w:val="22"/>
              </w:rPr>
            </w:pPr>
            <w:r>
              <w:rPr>
                <w:rFonts w:ascii="Arial"/>
                <w:w w:val="95"/>
                <w:sz w:val="22"/>
              </w:rPr>
              <w:t>77.50%</w:t>
            </w:r>
            <w:r>
              <w:rPr>
                <w:rFonts w:ascii="Arial"/>
                <w:sz w:val="22"/>
              </w:rPr>
            </w:r>
          </w:p>
        </w:tc>
      </w:tr>
    </w:tbl>
    <w:p>
      <w:pPr>
        <w:spacing w:after="0" w:line="240" w:lineRule="auto"/>
        <w:jc w:val="right"/>
        <w:rPr>
          <w:rFonts w:ascii="Arial" w:hAnsi="Arial" w:cs="Arial" w:eastAsia="Arial" w:hint="default"/>
          <w:sz w:val="22"/>
          <w:szCs w:val="22"/>
        </w:rPr>
        <w:sectPr>
          <w:headerReference w:type="default" r:id="rId66"/>
          <w:pgSz w:w="11910" w:h="16840"/>
          <w:pgMar w:header="967" w:footer="593" w:top="3340" w:bottom="780" w:left="1440" w:right="960"/>
        </w:sectPr>
      </w:pPr>
    </w:p>
    <w:p>
      <w:pPr>
        <w:spacing w:line="240" w:lineRule="auto" w:before="3"/>
        <w:rPr>
          <w:rFonts w:ascii="宋体" w:hAnsi="宋体" w:cs="宋体" w:eastAsia="宋体" w:hint="default"/>
          <w:sz w:val="14"/>
          <w:szCs w:val="14"/>
        </w:rPr>
      </w:pPr>
    </w:p>
    <w:p>
      <w:pPr>
        <w:pStyle w:val="BodyText"/>
        <w:tabs>
          <w:tab w:pos="586" w:val="left" w:leader="none"/>
        </w:tabs>
        <w:spacing w:line="436" w:lineRule="auto" w:before="31"/>
        <w:ind w:left="586" w:right="102" w:hanging="468"/>
        <w:jc w:val="left"/>
      </w:pPr>
      <w:r>
        <w:rPr>
          <w:rFonts w:ascii="Arial" w:hAnsi="Arial" w:cs="Arial" w:eastAsia="Arial" w:hint="default"/>
          <w:w w:val="95"/>
        </w:rPr>
        <w:t>(c)</w:t>
        <w:tab/>
      </w:r>
      <w:r>
        <w:rPr/>
        <w:t>公允价值估计</w:t>
      </w:r>
      <w:r>
        <w:rPr>
          <w:w w:val="99"/>
        </w:rPr>
        <w:t> </w:t>
      </w:r>
      <w:r>
        <w:rPr>
          <w:spacing w:val="-2"/>
        </w:rPr>
        <w:t>根据在公允价值计量中对计量整体具有重大意义的最低层级的输入值，公允价值层级可分为：</w:t>
      </w:r>
      <w:r>
        <w:rPr>
          <w:w w:val="99"/>
        </w:rPr>
        <w:t> </w:t>
      </w:r>
      <w:r>
        <w:rPr/>
        <w:t>第一层级：相同资产或负债在活跃市场上（未经调整）的报价。</w:t>
      </w:r>
    </w:p>
    <w:p>
      <w:pPr>
        <w:pStyle w:val="BodyText"/>
        <w:spacing w:line="286" w:lineRule="exact" w:before="97"/>
        <w:ind w:left="586" w:right="262"/>
        <w:jc w:val="both"/>
      </w:pPr>
      <w:r>
        <w:rPr>
          <w:w w:val="95"/>
        </w:rPr>
        <w:t>第二层级：直接（比如取自价格）或间接（比如根据价格推算的）可观察到的、除第一层级</w:t>
      </w:r>
      <w:r>
        <w:rPr>
          <w:spacing w:val="5"/>
          <w:w w:val="95"/>
        </w:rPr>
        <w:t> </w:t>
      </w:r>
      <w:r>
        <w:rPr/>
        <w:t>中的市场报价以外的资产或负债的输入值。</w:t>
      </w:r>
    </w:p>
    <w:p>
      <w:pPr>
        <w:spacing w:line="240" w:lineRule="auto" w:before="6"/>
        <w:rPr>
          <w:rFonts w:ascii="宋体" w:hAnsi="宋体" w:cs="宋体" w:eastAsia="宋体" w:hint="default"/>
          <w:sz w:val="19"/>
          <w:szCs w:val="19"/>
        </w:rPr>
      </w:pPr>
    </w:p>
    <w:p>
      <w:pPr>
        <w:pStyle w:val="BodyText"/>
        <w:spacing w:line="284" w:lineRule="exact"/>
        <w:ind w:left="586" w:right="257"/>
        <w:jc w:val="both"/>
      </w:pPr>
      <w:r>
        <w:rPr>
          <w:w w:val="95"/>
        </w:rPr>
        <w:t>第三层级：以可观察到的市场数据以外的变量为基础确定的资产或负债的输入值（不可观察</w:t>
      </w:r>
      <w:r>
        <w:rPr>
          <w:spacing w:val="6"/>
          <w:w w:val="95"/>
        </w:rPr>
        <w:t> </w:t>
      </w:r>
      <w:r>
        <w:rPr/>
        <w:t>输入值）。</w:t>
      </w:r>
    </w:p>
    <w:p>
      <w:pPr>
        <w:spacing w:line="240" w:lineRule="auto" w:before="5"/>
        <w:rPr>
          <w:rFonts w:ascii="宋体" w:hAnsi="宋体" w:cs="宋体" w:eastAsia="宋体" w:hint="default"/>
          <w:sz w:val="17"/>
          <w:szCs w:val="17"/>
        </w:rPr>
      </w:pPr>
    </w:p>
    <w:p>
      <w:pPr>
        <w:pStyle w:val="BodyText"/>
        <w:spacing w:line="237" w:lineRule="auto"/>
        <w:ind w:left="586" w:right="257"/>
        <w:jc w:val="both"/>
      </w:pPr>
      <w:r>
        <w:rPr/>
        <w:t>在活跃市场上交易的金融工具的公允价值以资产负债表日的市场报价为基础。若报价可方便</w:t>
      </w:r>
      <w:r>
        <w:rPr>
          <w:w w:val="99"/>
        </w:rPr>
        <w:t> </w:t>
      </w:r>
      <w:r>
        <w:rPr>
          <w:w w:val="95"/>
        </w:rPr>
        <w:t>及定期的自交易所、证券商、经纪、行业团体、报价服务者、或监管代理处获得，且该等报</w:t>
      </w:r>
      <w:r>
        <w:rPr>
          <w:spacing w:val="5"/>
          <w:w w:val="95"/>
        </w:rPr>
        <w:t> </w:t>
      </w:r>
      <w:r>
        <w:rPr>
          <w:w w:val="95"/>
        </w:rPr>
        <w:t>价代表按公平交易基准进行的实际或常规市场交易时，该市场被视为活跃。本集团持有的可</w:t>
      </w:r>
      <w:r>
        <w:rPr>
          <w:spacing w:val="5"/>
          <w:w w:val="95"/>
        </w:rPr>
        <w:t> </w:t>
      </w:r>
      <w:r>
        <w:rPr>
          <w:w w:val="95"/>
        </w:rPr>
        <w:t>供出售金融资产（如对西班牙电信的股票投资）的市场报价为当时公开股票交易市场上的买</w:t>
      </w:r>
      <w:r>
        <w:rPr>
          <w:spacing w:val="5"/>
          <w:w w:val="95"/>
        </w:rPr>
        <w:t> </w:t>
      </w:r>
      <w:r>
        <w:rPr/>
        <w:t>方报价。</w:t>
      </w:r>
    </w:p>
    <w:p>
      <w:pPr>
        <w:spacing w:line="240" w:lineRule="auto" w:before="3"/>
        <w:rPr>
          <w:rFonts w:ascii="宋体" w:hAnsi="宋体" w:cs="宋体" w:eastAsia="宋体" w:hint="default"/>
          <w:sz w:val="19"/>
          <w:szCs w:val="19"/>
        </w:rPr>
      </w:pPr>
    </w:p>
    <w:p>
      <w:pPr>
        <w:pStyle w:val="BodyText"/>
        <w:spacing w:line="240" w:lineRule="auto"/>
        <w:ind w:left="586" w:right="0"/>
        <w:jc w:val="both"/>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日，以公允价值计量的金融资产按上述三个层级列示如下：</w:t>
      </w:r>
    </w:p>
    <w:p>
      <w:pPr>
        <w:spacing w:line="240" w:lineRule="auto" w:before="1"/>
        <w:rPr>
          <w:rFonts w:ascii="宋体" w:hAnsi="宋体" w:cs="宋体" w:eastAsia="宋体" w:hint="default"/>
          <w:sz w:val="23"/>
          <w:szCs w:val="23"/>
        </w:rPr>
      </w:pPr>
    </w:p>
    <w:tbl>
      <w:tblPr>
        <w:tblW w:w="0" w:type="auto"/>
        <w:jc w:val="left"/>
        <w:tblInd w:w="386" w:type="dxa"/>
        <w:tblLayout w:type="fixed"/>
        <w:tblCellMar>
          <w:top w:w="0" w:type="dxa"/>
          <w:left w:w="0" w:type="dxa"/>
          <w:bottom w:w="0" w:type="dxa"/>
          <w:right w:w="0" w:type="dxa"/>
        </w:tblCellMar>
        <w:tblLook w:val="01E0"/>
      </w:tblPr>
      <w:tblGrid>
        <w:gridCol w:w="2856"/>
        <w:gridCol w:w="1512"/>
        <w:gridCol w:w="108"/>
        <w:gridCol w:w="1494"/>
        <w:gridCol w:w="119"/>
        <w:gridCol w:w="1339"/>
        <w:gridCol w:w="108"/>
        <w:gridCol w:w="1538"/>
      </w:tblGrid>
      <w:tr>
        <w:trPr>
          <w:trHeight w:val="261"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20" w:lineRule="exact"/>
              <w:ind w:left="200" w:right="0"/>
              <w:jc w:val="left"/>
              <w:rPr>
                <w:rFonts w:ascii="宋体" w:hAnsi="宋体" w:cs="宋体" w:eastAsia="宋体" w:hint="default"/>
                <w:sz w:val="22"/>
                <w:szCs w:val="22"/>
              </w:rPr>
            </w:pPr>
            <w:r>
              <w:rPr>
                <w:rFonts w:ascii="宋体" w:hAnsi="宋体" w:cs="宋体" w:eastAsia="宋体" w:hint="default"/>
                <w:sz w:val="22"/>
                <w:szCs w:val="22"/>
              </w:rPr>
              <w:t>（单位：人民币百万元）</w:t>
            </w:r>
          </w:p>
        </w:tc>
        <w:tc>
          <w:tcPr>
            <w:tcW w:w="1512" w:type="dxa"/>
            <w:tcBorders>
              <w:top w:val="nil" w:sz="6" w:space="0" w:color="auto"/>
              <w:left w:val="nil" w:sz="6" w:space="0" w:color="auto"/>
              <w:bottom w:val="single" w:sz="6" w:space="0" w:color="000000"/>
              <w:right w:val="nil" w:sz="6" w:space="0" w:color="auto"/>
            </w:tcBorders>
          </w:tcPr>
          <w:p>
            <w:pPr>
              <w:pStyle w:val="TableParagraph"/>
              <w:spacing w:line="220" w:lineRule="exact"/>
              <w:ind w:right="71"/>
              <w:jc w:val="right"/>
              <w:rPr>
                <w:rFonts w:ascii="宋体" w:hAnsi="宋体" w:cs="宋体" w:eastAsia="宋体" w:hint="default"/>
                <w:sz w:val="22"/>
                <w:szCs w:val="22"/>
              </w:rPr>
            </w:pPr>
            <w:r>
              <w:rPr>
                <w:rFonts w:ascii="宋体" w:hAnsi="宋体" w:cs="宋体" w:eastAsia="宋体" w:hint="default"/>
                <w:w w:val="95"/>
                <w:sz w:val="22"/>
                <w:szCs w:val="22"/>
              </w:rPr>
              <w:t>第一层级</w:t>
            </w:r>
            <w:r>
              <w:rPr>
                <w:rFonts w:ascii="宋体" w:hAnsi="宋体" w:cs="宋体" w:eastAsia="宋体" w:hint="default"/>
                <w:sz w:val="22"/>
                <w:szCs w:val="22"/>
              </w:rPr>
            </w:r>
          </w:p>
        </w:tc>
        <w:tc>
          <w:tcPr>
            <w:tcW w:w="108"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single" w:sz="6" w:space="0" w:color="000000"/>
              <w:right w:val="nil" w:sz="6" w:space="0" w:color="auto"/>
            </w:tcBorders>
          </w:tcPr>
          <w:p>
            <w:pPr>
              <w:pStyle w:val="TableParagraph"/>
              <w:spacing w:line="220" w:lineRule="exact"/>
              <w:ind w:right="81"/>
              <w:jc w:val="right"/>
              <w:rPr>
                <w:rFonts w:ascii="宋体" w:hAnsi="宋体" w:cs="宋体" w:eastAsia="宋体" w:hint="default"/>
                <w:sz w:val="22"/>
                <w:szCs w:val="22"/>
              </w:rPr>
            </w:pPr>
            <w:r>
              <w:rPr>
                <w:rFonts w:ascii="宋体" w:hAnsi="宋体" w:cs="宋体" w:eastAsia="宋体" w:hint="default"/>
                <w:w w:val="95"/>
                <w:sz w:val="22"/>
                <w:szCs w:val="22"/>
              </w:rPr>
              <w:t>第二层级</w:t>
            </w:r>
            <w:r>
              <w:rPr>
                <w:rFonts w:ascii="宋体" w:hAnsi="宋体" w:cs="宋体" w:eastAsia="宋体" w:hint="default"/>
                <w:sz w:val="22"/>
                <w:szCs w:val="22"/>
              </w:rPr>
            </w:r>
          </w:p>
        </w:tc>
        <w:tc>
          <w:tcPr>
            <w:tcW w:w="119"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single" w:sz="6" w:space="0" w:color="000000"/>
              <w:right w:val="nil" w:sz="6" w:space="0" w:color="auto"/>
            </w:tcBorders>
          </w:tcPr>
          <w:p>
            <w:pPr>
              <w:pStyle w:val="TableParagraph"/>
              <w:spacing w:line="220" w:lineRule="exact"/>
              <w:ind w:right="61"/>
              <w:jc w:val="right"/>
              <w:rPr>
                <w:rFonts w:ascii="宋体" w:hAnsi="宋体" w:cs="宋体" w:eastAsia="宋体" w:hint="default"/>
                <w:sz w:val="22"/>
                <w:szCs w:val="22"/>
              </w:rPr>
            </w:pPr>
            <w:r>
              <w:rPr>
                <w:rFonts w:ascii="宋体" w:hAnsi="宋体" w:cs="宋体" w:eastAsia="宋体" w:hint="default"/>
                <w:w w:val="95"/>
                <w:sz w:val="22"/>
                <w:szCs w:val="22"/>
              </w:rPr>
              <w:t>第三层级</w:t>
            </w:r>
            <w:r>
              <w:rPr>
                <w:rFonts w:ascii="宋体" w:hAnsi="宋体" w:cs="宋体" w:eastAsia="宋体" w:hint="default"/>
                <w:sz w:val="22"/>
                <w:szCs w:val="22"/>
              </w:rPr>
            </w:r>
          </w:p>
        </w:tc>
        <w:tc>
          <w:tcPr>
            <w:tcW w:w="108"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single" w:sz="6" w:space="0" w:color="000000"/>
              <w:right w:val="nil" w:sz="6" w:space="0" w:color="auto"/>
            </w:tcBorders>
          </w:tcPr>
          <w:p>
            <w:pPr>
              <w:pStyle w:val="TableParagraph"/>
              <w:spacing w:line="220" w:lineRule="exact"/>
              <w:ind w:right="71"/>
              <w:jc w:val="right"/>
              <w:rPr>
                <w:rFonts w:ascii="宋体" w:hAnsi="宋体" w:cs="宋体" w:eastAsia="宋体" w:hint="default"/>
                <w:sz w:val="22"/>
                <w:szCs w:val="22"/>
              </w:rPr>
            </w:pPr>
            <w:r>
              <w:rPr>
                <w:rFonts w:ascii="宋体" w:hAnsi="宋体" w:cs="宋体" w:eastAsia="宋体" w:hint="default"/>
                <w:w w:val="95"/>
                <w:sz w:val="22"/>
                <w:szCs w:val="22"/>
              </w:rPr>
              <w:t>合计</w:t>
            </w:r>
            <w:r>
              <w:rPr>
                <w:rFonts w:ascii="宋体" w:hAnsi="宋体" w:cs="宋体" w:eastAsia="宋体" w:hint="default"/>
                <w:sz w:val="22"/>
                <w:szCs w:val="22"/>
              </w:rPr>
            </w:r>
          </w:p>
        </w:tc>
      </w:tr>
      <w:tr>
        <w:trPr>
          <w:trHeight w:val="298"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76" w:lineRule="exact"/>
              <w:ind w:left="200" w:right="0"/>
              <w:jc w:val="left"/>
              <w:rPr>
                <w:rFonts w:ascii="Arial" w:hAnsi="Arial" w:cs="Arial" w:eastAsia="Arial" w:hint="default"/>
                <w:sz w:val="22"/>
                <w:szCs w:val="22"/>
              </w:rPr>
            </w:pPr>
            <w:r>
              <w:rPr>
                <w:rFonts w:ascii="宋体" w:hAnsi="宋体" w:cs="宋体" w:eastAsia="宋体" w:hint="default"/>
                <w:sz w:val="22"/>
                <w:szCs w:val="22"/>
              </w:rPr>
              <w:t>金融资产</w:t>
            </w:r>
            <w:r>
              <w:rPr>
                <w:rFonts w:ascii="Arial" w:hAnsi="Arial" w:cs="Arial" w:eastAsia="Arial" w:hint="default"/>
                <w:sz w:val="22"/>
                <w:szCs w:val="22"/>
              </w:rPr>
              <w:t>-</w:t>
            </w:r>
          </w:p>
        </w:tc>
        <w:tc>
          <w:tcPr>
            <w:tcW w:w="1512" w:type="dxa"/>
            <w:tcBorders>
              <w:top w:val="single" w:sz="6" w:space="0" w:color="000000"/>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494" w:type="dxa"/>
            <w:tcBorders>
              <w:top w:val="single" w:sz="6" w:space="0" w:color="000000"/>
              <w:left w:val="nil" w:sz="6" w:space="0" w:color="auto"/>
              <w:bottom w:val="nil" w:sz="6" w:space="0" w:color="auto"/>
              <w:right w:val="nil" w:sz="6" w:space="0" w:color="auto"/>
            </w:tcBorders>
          </w:tcPr>
          <w:p>
            <w:pPr/>
          </w:p>
        </w:tc>
        <w:tc>
          <w:tcPr>
            <w:tcW w:w="119" w:type="dxa"/>
            <w:tcBorders>
              <w:top w:val="nil" w:sz="6" w:space="0" w:color="auto"/>
              <w:left w:val="nil" w:sz="6" w:space="0" w:color="auto"/>
              <w:bottom w:val="nil" w:sz="6" w:space="0" w:color="auto"/>
              <w:right w:val="nil" w:sz="6" w:space="0" w:color="auto"/>
            </w:tcBorders>
          </w:tcPr>
          <w:p>
            <w:pPr/>
          </w:p>
        </w:tc>
        <w:tc>
          <w:tcPr>
            <w:tcW w:w="1339" w:type="dxa"/>
            <w:tcBorders>
              <w:top w:val="single" w:sz="6" w:space="0" w:color="000000"/>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538" w:type="dxa"/>
            <w:tcBorders>
              <w:top w:val="single" w:sz="6" w:space="0" w:color="000000"/>
              <w:left w:val="nil" w:sz="6" w:space="0" w:color="auto"/>
              <w:bottom w:val="nil" w:sz="6" w:space="0" w:color="auto"/>
              <w:right w:val="nil" w:sz="6" w:space="0" w:color="auto"/>
            </w:tcBorders>
          </w:tcPr>
          <w:p>
            <w:pPr/>
          </w:p>
        </w:tc>
      </w:tr>
      <w:tr>
        <w:trPr>
          <w:trHeight w:val="589"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53" w:lineRule="exact"/>
              <w:ind w:left="380" w:right="0"/>
              <w:jc w:val="left"/>
              <w:rPr>
                <w:rFonts w:ascii="宋体" w:hAnsi="宋体" w:cs="宋体" w:eastAsia="宋体" w:hint="default"/>
                <w:sz w:val="22"/>
                <w:szCs w:val="22"/>
              </w:rPr>
            </w:pPr>
            <w:r>
              <w:rPr>
                <w:rFonts w:ascii="宋体" w:hAnsi="宋体" w:cs="宋体" w:eastAsia="宋体" w:hint="default"/>
                <w:sz w:val="22"/>
                <w:szCs w:val="22"/>
              </w:rPr>
              <w:t>可供出售金融资产</w:t>
            </w:r>
            <w:r>
              <w:rPr>
                <w:rFonts w:ascii="Arial" w:hAnsi="Arial" w:cs="Arial" w:eastAsia="Arial" w:hint="default"/>
                <w:sz w:val="22"/>
                <w:szCs w:val="22"/>
              </w:rPr>
              <w:t>-</w:t>
            </w:r>
            <w:r>
              <w:rPr>
                <w:rFonts w:ascii="宋体" w:hAnsi="宋体" w:cs="宋体" w:eastAsia="宋体" w:hint="default"/>
                <w:sz w:val="22"/>
                <w:szCs w:val="22"/>
              </w:rPr>
              <w:t>可供</w:t>
            </w:r>
          </w:p>
          <w:p>
            <w:pPr>
              <w:pStyle w:val="TableParagraph"/>
              <w:spacing w:line="279" w:lineRule="exact"/>
              <w:ind w:left="587" w:right="0"/>
              <w:jc w:val="left"/>
              <w:rPr>
                <w:rFonts w:ascii="宋体" w:hAnsi="宋体" w:cs="宋体" w:eastAsia="宋体" w:hint="default"/>
                <w:sz w:val="22"/>
                <w:szCs w:val="22"/>
              </w:rPr>
            </w:pPr>
            <w:r>
              <w:rPr>
                <w:rFonts w:ascii="宋体" w:hAnsi="宋体" w:cs="宋体" w:eastAsia="宋体" w:hint="default"/>
                <w:sz w:val="22"/>
                <w:szCs w:val="22"/>
              </w:rPr>
              <w:t>出售权益工具</w:t>
            </w:r>
          </w:p>
        </w:tc>
        <w:tc>
          <w:tcPr>
            <w:tcW w:w="1512" w:type="dxa"/>
            <w:tcBorders>
              <w:top w:val="nil" w:sz="6" w:space="0" w:color="auto"/>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69"/>
              <w:jc w:val="right"/>
              <w:rPr>
                <w:rFonts w:ascii="Arial" w:hAnsi="Arial" w:cs="Arial" w:eastAsia="Arial" w:hint="default"/>
                <w:sz w:val="22"/>
                <w:szCs w:val="22"/>
              </w:rPr>
            </w:pPr>
            <w:r>
              <w:rPr>
                <w:rFonts w:ascii="Arial"/>
                <w:w w:val="95"/>
                <w:sz w:val="22"/>
              </w:rPr>
              <w:t>5,567</w:t>
            </w:r>
            <w:r>
              <w:rPr>
                <w:rFonts w:ascii="Arial"/>
                <w:sz w:val="22"/>
              </w:rPr>
            </w:r>
          </w:p>
        </w:tc>
        <w:tc>
          <w:tcPr>
            <w:tcW w:w="108"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79"/>
              <w:jc w:val="right"/>
              <w:rPr>
                <w:rFonts w:ascii="Arial" w:hAnsi="Arial" w:cs="Arial" w:eastAsia="Arial" w:hint="default"/>
                <w:sz w:val="22"/>
                <w:szCs w:val="22"/>
              </w:rPr>
            </w:pPr>
            <w:r>
              <w:rPr>
                <w:rFonts w:ascii="Arial"/>
                <w:w w:val="99"/>
                <w:sz w:val="22"/>
              </w:rPr>
              <w:t>-</w:t>
            </w:r>
            <w:r>
              <w:rPr>
                <w:rFonts w:ascii="Arial"/>
                <w:sz w:val="22"/>
              </w:rPr>
            </w:r>
          </w:p>
        </w:tc>
        <w:tc>
          <w:tcPr>
            <w:tcW w:w="119"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88"/>
              <w:jc w:val="right"/>
              <w:rPr>
                <w:rFonts w:ascii="Arial" w:hAnsi="Arial" w:cs="Arial" w:eastAsia="Arial" w:hint="default"/>
                <w:sz w:val="22"/>
                <w:szCs w:val="22"/>
              </w:rPr>
            </w:pPr>
            <w:r>
              <w:rPr>
                <w:rFonts w:ascii="Arial"/>
                <w:w w:val="99"/>
                <w:sz w:val="22"/>
              </w:rPr>
              <w:t>-</w:t>
            </w:r>
            <w:r>
              <w:rPr>
                <w:rFonts w:ascii="Arial"/>
                <w:sz w:val="22"/>
              </w:rPr>
            </w:r>
          </w:p>
        </w:tc>
        <w:tc>
          <w:tcPr>
            <w:tcW w:w="108"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69"/>
              <w:jc w:val="right"/>
              <w:rPr>
                <w:rFonts w:ascii="Arial" w:hAnsi="Arial" w:cs="Arial" w:eastAsia="Arial" w:hint="default"/>
                <w:sz w:val="22"/>
                <w:szCs w:val="22"/>
              </w:rPr>
            </w:pPr>
            <w:r>
              <w:rPr>
                <w:rFonts w:ascii="Arial"/>
                <w:w w:val="95"/>
                <w:sz w:val="22"/>
              </w:rPr>
              <w:t>5,567</w:t>
            </w:r>
            <w:r>
              <w:rPr>
                <w:rFonts w:ascii="Arial"/>
                <w:sz w:val="22"/>
              </w:rPr>
            </w:r>
          </w:p>
        </w:tc>
      </w:tr>
    </w:tbl>
    <w:p>
      <w:pPr>
        <w:spacing w:line="240" w:lineRule="auto" w:before="2"/>
        <w:rPr>
          <w:rFonts w:ascii="宋体" w:hAnsi="宋体" w:cs="宋体" w:eastAsia="宋体" w:hint="default"/>
          <w:sz w:val="14"/>
          <w:szCs w:val="14"/>
        </w:rPr>
      </w:pPr>
    </w:p>
    <w:p>
      <w:pPr>
        <w:pStyle w:val="BodyText"/>
        <w:spacing w:line="240" w:lineRule="auto" w:before="31"/>
        <w:ind w:left="586" w:right="28"/>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日，以公允价值计量的金融资产按上述三个层级列示如下：</w:t>
      </w:r>
    </w:p>
    <w:p>
      <w:pPr>
        <w:spacing w:line="240" w:lineRule="auto" w:before="3"/>
        <w:rPr>
          <w:rFonts w:ascii="宋体" w:hAnsi="宋体" w:cs="宋体" w:eastAsia="宋体" w:hint="default"/>
          <w:sz w:val="23"/>
          <w:szCs w:val="23"/>
        </w:rPr>
      </w:pPr>
    </w:p>
    <w:tbl>
      <w:tblPr>
        <w:tblW w:w="0" w:type="auto"/>
        <w:jc w:val="left"/>
        <w:tblInd w:w="386" w:type="dxa"/>
        <w:tblLayout w:type="fixed"/>
        <w:tblCellMar>
          <w:top w:w="0" w:type="dxa"/>
          <w:left w:w="0" w:type="dxa"/>
          <w:bottom w:w="0" w:type="dxa"/>
          <w:right w:w="0" w:type="dxa"/>
        </w:tblCellMar>
        <w:tblLook w:val="01E0"/>
      </w:tblPr>
      <w:tblGrid>
        <w:gridCol w:w="2856"/>
        <w:gridCol w:w="1512"/>
        <w:gridCol w:w="108"/>
        <w:gridCol w:w="1494"/>
        <w:gridCol w:w="108"/>
        <w:gridCol w:w="1332"/>
        <w:gridCol w:w="1664"/>
      </w:tblGrid>
      <w:tr>
        <w:trPr>
          <w:trHeight w:val="260"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20" w:lineRule="exact"/>
              <w:ind w:left="200" w:right="0"/>
              <w:jc w:val="left"/>
              <w:rPr>
                <w:rFonts w:ascii="宋体" w:hAnsi="宋体" w:cs="宋体" w:eastAsia="宋体" w:hint="default"/>
                <w:sz w:val="22"/>
                <w:szCs w:val="22"/>
              </w:rPr>
            </w:pPr>
            <w:r>
              <w:rPr>
                <w:rFonts w:ascii="宋体" w:hAnsi="宋体" w:cs="宋体" w:eastAsia="宋体" w:hint="default"/>
                <w:sz w:val="22"/>
                <w:szCs w:val="22"/>
              </w:rPr>
              <w:t>（单位：人民币百万元）</w:t>
            </w:r>
          </w:p>
        </w:tc>
        <w:tc>
          <w:tcPr>
            <w:tcW w:w="1512" w:type="dxa"/>
            <w:tcBorders>
              <w:top w:val="nil" w:sz="6" w:space="0" w:color="auto"/>
              <w:left w:val="nil" w:sz="6" w:space="0" w:color="auto"/>
              <w:bottom w:val="single" w:sz="6" w:space="0" w:color="000000"/>
              <w:right w:val="nil" w:sz="6" w:space="0" w:color="auto"/>
            </w:tcBorders>
          </w:tcPr>
          <w:p>
            <w:pPr>
              <w:pStyle w:val="TableParagraph"/>
              <w:spacing w:line="220" w:lineRule="exact"/>
              <w:ind w:right="71"/>
              <w:jc w:val="right"/>
              <w:rPr>
                <w:rFonts w:ascii="宋体" w:hAnsi="宋体" w:cs="宋体" w:eastAsia="宋体" w:hint="default"/>
                <w:sz w:val="22"/>
                <w:szCs w:val="22"/>
              </w:rPr>
            </w:pPr>
            <w:r>
              <w:rPr>
                <w:rFonts w:ascii="宋体" w:hAnsi="宋体" w:cs="宋体" w:eastAsia="宋体" w:hint="default"/>
                <w:w w:val="95"/>
                <w:sz w:val="22"/>
                <w:szCs w:val="22"/>
              </w:rPr>
              <w:t>第一层级</w:t>
            </w:r>
            <w:r>
              <w:rPr>
                <w:rFonts w:ascii="宋体" w:hAnsi="宋体" w:cs="宋体" w:eastAsia="宋体" w:hint="default"/>
                <w:sz w:val="22"/>
                <w:szCs w:val="22"/>
              </w:rPr>
            </w:r>
          </w:p>
        </w:tc>
        <w:tc>
          <w:tcPr>
            <w:tcW w:w="108"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single" w:sz="6" w:space="0" w:color="000000"/>
              <w:right w:val="nil" w:sz="6" w:space="0" w:color="auto"/>
            </w:tcBorders>
          </w:tcPr>
          <w:p>
            <w:pPr>
              <w:pStyle w:val="TableParagraph"/>
              <w:spacing w:line="220" w:lineRule="exact"/>
              <w:ind w:right="81"/>
              <w:jc w:val="right"/>
              <w:rPr>
                <w:rFonts w:ascii="宋体" w:hAnsi="宋体" w:cs="宋体" w:eastAsia="宋体" w:hint="default"/>
                <w:sz w:val="22"/>
                <w:szCs w:val="22"/>
              </w:rPr>
            </w:pPr>
            <w:r>
              <w:rPr>
                <w:rFonts w:ascii="宋体" w:hAnsi="宋体" w:cs="宋体" w:eastAsia="宋体" w:hint="default"/>
                <w:w w:val="95"/>
                <w:sz w:val="22"/>
                <w:szCs w:val="22"/>
              </w:rPr>
              <w:t>第二层级</w:t>
            </w:r>
            <w:r>
              <w:rPr>
                <w:rFonts w:ascii="宋体" w:hAnsi="宋体" w:cs="宋体" w:eastAsia="宋体" w:hint="default"/>
                <w:sz w:val="22"/>
                <w:szCs w:val="22"/>
              </w:rPr>
            </w:r>
          </w:p>
        </w:tc>
        <w:tc>
          <w:tcPr>
            <w:tcW w:w="108"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single" w:sz="6" w:space="0" w:color="000000"/>
              <w:right w:val="nil" w:sz="6" w:space="0" w:color="auto"/>
            </w:tcBorders>
          </w:tcPr>
          <w:p>
            <w:pPr>
              <w:pStyle w:val="TableParagraph"/>
              <w:spacing w:line="220" w:lineRule="exact"/>
              <w:ind w:right="61"/>
              <w:jc w:val="right"/>
              <w:rPr>
                <w:rFonts w:ascii="宋体" w:hAnsi="宋体" w:cs="宋体" w:eastAsia="宋体" w:hint="default"/>
                <w:sz w:val="22"/>
                <w:szCs w:val="22"/>
              </w:rPr>
            </w:pPr>
            <w:r>
              <w:rPr>
                <w:rFonts w:ascii="宋体" w:hAnsi="宋体" w:cs="宋体" w:eastAsia="宋体" w:hint="default"/>
                <w:w w:val="95"/>
                <w:sz w:val="22"/>
                <w:szCs w:val="22"/>
              </w:rPr>
              <w:t>第三层级</w:t>
            </w:r>
            <w:r>
              <w:rPr>
                <w:rFonts w:ascii="宋体" w:hAnsi="宋体" w:cs="宋体" w:eastAsia="宋体" w:hint="default"/>
                <w:sz w:val="22"/>
                <w:szCs w:val="22"/>
              </w:rPr>
            </w:r>
          </w:p>
        </w:tc>
        <w:tc>
          <w:tcPr>
            <w:tcW w:w="1664" w:type="dxa"/>
            <w:tcBorders>
              <w:top w:val="nil" w:sz="6" w:space="0" w:color="auto"/>
              <w:left w:val="nil" w:sz="6" w:space="0" w:color="auto"/>
              <w:bottom w:val="single" w:sz="6" w:space="0" w:color="000000"/>
              <w:right w:val="nil" w:sz="6" w:space="0" w:color="auto"/>
            </w:tcBorders>
          </w:tcPr>
          <w:p>
            <w:pPr>
              <w:pStyle w:val="TableParagraph"/>
              <w:spacing w:line="220" w:lineRule="exact"/>
              <w:ind w:right="71"/>
              <w:jc w:val="right"/>
              <w:rPr>
                <w:rFonts w:ascii="宋体" w:hAnsi="宋体" w:cs="宋体" w:eastAsia="宋体" w:hint="default"/>
                <w:sz w:val="22"/>
                <w:szCs w:val="22"/>
              </w:rPr>
            </w:pPr>
            <w:r>
              <w:rPr>
                <w:rFonts w:ascii="宋体" w:hAnsi="宋体" w:cs="宋体" w:eastAsia="宋体" w:hint="default"/>
                <w:w w:val="95"/>
                <w:sz w:val="22"/>
                <w:szCs w:val="22"/>
              </w:rPr>
              <w:t>合计</w:t>
            </w:r>
            <w:r>
              <w:rPr>
                <w:rFonts w:ascii="宋体" w:hAnsi="宋体" w:cs="宋体" w:eastAsia="宋体" w:hint="default"/>
                <w:sz w:val="22"/>
                <w:szCs w:val="22"/>
              </w:rPr>
            </w:r>
          </w:p>
        </w:tc>
      </w:tr>
      <w:tr>
        <w:trPr>
          <w:trHeight w:val="298"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76" w:lineRule="exact"/>
              <w:ind w:left="200" w:right="0"/>
              <w:jc w:val="left"/>
              <w:rPr>
                <w:rFonts w:ascii="Arial" w:hAnsi="Arial" w:cs="Arial" w:eastAsia="Arial" w:hint="default"/>
                <w:sz w:val="22"/>
                <w:szCs w:val="22"/>
              </w:rPr>
            </w:pPr>
            <w:r>
              <w:rPr>
                <w:rFonts w:ascii="宋体" w:hAnsi="宋体" w:cs="宋体" w:eastAsia="宋体" w:hint="default"/>
                <w:sz w:val="22"/>
                <w:szCs w:val="22"/>
              </w:rPr>
              <w:t>金融资产</w:t>
            </w:r>
            <w:r>
              <w:rPr>
                <w:rFonts w:ascii="Arial" w:hAnsi="Arial" w:cs="Arial" w:eastAsia="Arial" w:hint="default"/>
                <w:sz w:val="22"/>
                <w:szCs w:val="22"/>
              </w:rPr>
              <w:t>-</w:t>
            </w:r>
          </w:p>
        </w:tc>
        <w:tc>
          <w:tcPr>
            <w:tcW w:w="1512" w:type="dxa"/>
            <w:tcBorders>
              <w:top w:val="single" w:sz="6" w:space="0" w:color="000000"/>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494" w:type="dxa"/>
            <w:tcBorders>
              <w:top w:val="single" w:sz="6" w:space="0" w:color="000000"/>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332" w:type="dxa"/>
            <w:tcBorders>
              <w:top w:val="single" w:sz="6" w:space="0" w:color="000000"/>
              <w:left w:val="nil" w:sz="6" w:space="0" w:color="auto"/>
              <w:bottom w:val="nil" w:sz="6" w:space="0" w:color="auto"/>
              <w:right w:val="nil" w:sz="6" w:space="0" w:color="auto"/>
            </w:tcBorders>
          </w:tcPr>
          <w:p>
            <w:pPr/>
          </w:p>
        </w:tc>
        <w:tc>
          <w:tcPr>
            <w:tcW w:w="1664" w:type="dxa"/>
            <w:tcBorders>
              <w:top w:val="single" w:sz="6" w:space="0" w:color="000000"/>
              <w:left w:val="nil" w:sz="6" w:space="0" w:color="auto"/>
              <w:bottom w:val="nil" w:sz="6" w:space="0" w:color="auto"/>
              <w:right w:val="nil" w:sz="6" w:space="0" w:color="auto"/>
            </w:tcBorders>
          </w:tcPr>
          <w:p>
            <w:pPr/>
          </w:p>
        </w:tc>
      </w:tr>
      <w:tr>
        <w:trPr>
          <w:trHeight w:val="590"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53" w:lineRule="exact"/>
              <w:ind w:left="380" w:right="0"/>
              <w:jc w:val="left"/>
              <w:rPr>
                <w:rFonts w:ascii="宋体" w:hAnsi="宋体" w:cs="宋体" w:eastAsia="宋体" w:hint="default"/>
                <w:sz w:val="22"/>
                <w:szCs w:val="22"/>
              </w:rPr>
            </w:pPr>
            <w:r>
              <w:rPr>
                <w:rFonts w:ascii="宋体" w:hAnsi="宋体" w:cs="宋体" w:eastAsia="宋体" w:hint="default"/>
                <w:sz w:val="22"/>
                <w:szCs w:val="22"/>
              </w:rPr>
              <w:t>可供出售金融资产</w:t>
            </w:r>
            <w:r>
              <w:rPr>
                <w:rFonts w:ascii="Arial" w:hAnsi="Arial" w:cs="Arial" w:eastAsia="Arial" w:hint="default"/>
                <w:sz w:val="22"/>
                <w:szCs w:val="22"/>
              </w:rPr>
              <w:t>-</w:t>
            </w:r>
            <w:r>
              <w:rPr>
                <w:rFonts w:ascii="宋体" w:hAnsi="宋体" w:cs="宋体" w:eastAsia="宋体" w:hint="default"/>
                <w:sz w:val="22"/>
                <w:szCs w:val="22"/>
              </w:rPr>
              <w:t>可供</w:t>
            </w:r>
          </w:p>
          <w:p>
            <w:pPr>
              <w:pStyle w:val="TableParagraph"/>
              <w:spacing w:line="278" w:lineRule="exact"/>
              <w:ind w:left="587" w:right="0"/>
              <w:jc w:val="left"/>
              <w:rPr>
                <w:rFonts w:ascii="宋体" w:hAnsi="宋体" w:cs="宋体" w:eastAsia="宋体" w:hint="default"/>
                <w:sz w:val="22"/>
                <w:szCs w:val="22"/>
              </w:rPr>
            </w:pPr>
            <w:r>
              <w:rPr>
                <w:rFonts w:ascii="宋体" w:hAnsi="宋体" w:cs="宋体" w:eastAsia="宋体" w:hint="default"/>
                <w:sz w:val="22"/>
                <w:szCs w:val="22"/>
              </w:rPr>
              <w:t>出售权益工具</w:t>
            </w:r>
          </w:p>
        </w:tc>
        <w:tc>
          <w:tcPr>
            <w:tcW w:w="1512" w:type="dxa"/>
            <w:tcBorders>
              <w:top w:val="nil" w:sz="6" w:space="0" w:color="auto"/>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69"/>
              <w:jc w:val="right"/>
              <w:rPr>
                <w:rFonts w:ascii="Arial" w:hAnsi="Arial" w:cs="Arial" w:eastAsia="Arial" w:hint="default"/>
                <w:sz w:val="22"/>
                <w:szCs w:val="22"/>
              </w:rPr>
            </w:pPr>
            <w:r>
              <w:rPr>
                <w:rFonts w:ascii="Arial"/>
                <w:w w:val="95"/>
                <w:sz w:val="22"/>
              </w:rPr>
              <w:t>6,951</w:t>
            </w:r>
            <w:r>
              <w:rPr>
                <w:rFonts w:ascii="Arial"/>
                <w:sz w:val="22"/>
              </w:rPr>
            </w:r>
          </w:p>
        </w:tc>
        <w:tc>
          <w:tcPr>
            <w:tcW w:w="108"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79"/>
              <w:jc w:val="right"/>
              <w:rPr>
                <w:rFonts w:ascii="Arial" w:hAnsi="Arial" w:cs="Arial" w:eastAsia="Arial" w:hint="default"/>
                <w:sz w:val="22"/>
                <w:szCs w:val="22"/>
              </w:rPr>
            </w:pPr>
            <w:r>
              <w:rPr>
                <w:rFonts w:ascii="Arial"/>
                <w:w w:val="99"/>
                <w:sz w:val="22"/>
              </w:rPr>
              <w:t>-</w:t>
            </w:r>
            <w:r>
              <w:rPr>
                <w:rFonts w:ascii="Arial"/>
                <w:sz w:val="22"/>
              </w:rPr>
            </w:r>
          </w:p>
        </w:tc>
        <w:tc>
          <w:tcPr>
            <w:tcW w:w="108"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88"/>
              <w:jc w:val="right"/>
              <w:rPr>
                <w:rFonts w:ascii="Arial" w:hAnsi="Arial" w:cs="Arial" w:eastAsia="Arial" w:hint="default"/>
                <w:sz w:val="22"/>
                <w:szCs w:val="22"/>
              </w:rPr>
            </w:pPr>
            <w:r>
              <w:rPr>
                <w:rFonts w:ascii="Arial"/>
                <w:w w:val="99"/>
                <w:sz w:val="22"/>
              </w:rPr>
              <w:t>-</w:t>
            </w:r>
            <w:r>
              <w:rPr>
                <w:rFonts w:ascii="Arial"/>
                <w:sz w:val="22"/>
              </w:rPr>
            </w:r>
          </w:p>
        </w:tc>
        <w:tc>
          <w:tcPr>
            <w:tcW w:w="1664" w:type="dxa"/>
            <w:tcBorders>
              <w:top w:val="nil" w:sz="6" w:space="0" w:color="auto"/>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69"/>
              <w:jc w:val="right"/>
              <w:rPr>
                <w:rFonts w:ascii="Arial" w:hAnsi="Arial" w:cs="Arial" w:eastAsia="Arial" w:hint="default"/>
                <w:sz w:val="22"/>
                <w:szCs w:val="22"/>
              </w:rPr>
            </w:pPr>
            <w:r>
              <w:rPr>
                <w:rFonts w:ascii="Arial"/>
                <w:w w:val="95"/>
                <w:sz w:val="22"/>
              </w:rPr>
              <w:t>6,951</w:t>
            </w:r>
            <w:r>
              <w:rPr>
                <w:rFonts w:ascii="Arial"/>
                <w:sz w:val="22"/>
              </w:rPr>
            </w:r>
          </w:p>
        </w:tc>
      </w:tr>
    </w:tbl>
    <w:p>
      <w:pPr>
        <w:spacing w:line="240" w:lineRule="auto" w:before="2"/>
        <w:rPr>
          <w:rFonts w:ascii="宋体" w:hAnsi="宋体" w:cs="宋体" w:eastAsia="宋体" w:hint="default"/>
          <w:sz w:val="14"/>
          <w:szCs w:val="14"/>
        </w:rPr>
      </w:pPr>
    </w:p>
    <w:p>
      <w:pPr>
        <w:pStyle w:val="BodyText"/>
        <w:spacing w:line="240" w:lineRule="auto" w:before="31"/>
        <w:ind w:left="586" w:right="28"/>
        <w:jc w:val="left"/>
      </w:pPr>
      <w:r>
        <w:rPr/>
        <w:t>于</w:t>
      </w:r>
      <w:r>
        <w:rPr>
          <w:rFonts w:ascii="Arial" w:hAnsi="Arial" w:cs="Arial" w:eastAsia="Arial" w:hint="default"/>
        </w:rPr>
        <w:t>2012</w:t>
      </w:r>
      <w:r>
        <w:rPr/>
        <w:t>年度以及</w:t>
      </w:r>
      <w:r>
        <w:rPr>
          <w:rFonts w:ascii="Arial" w:hAnsi="Arial" w:cs="Arial" w:eastAsia="Arial" w:hint="default"/>
        </w:rPr>
        <w:t>2011</w:t>
      </w:r>
      <w:r>
        <w:rPr/>
        <w:t>年度，无金融资产在第一层级和第二层级之间转移。</w:t>
      </w:r>
    </w:p>
    <w:p>
      <w:pPr>
        <w:spacing w:after="0" w:line="240" w:lineRule="auto"/>
        <w:jc w:val="left"/>
        <w:sectPr>
          <w:headerReference w:type="default" r:id="rId67"/>
          <w:pgSz w:w="11910" w:h="16840"/>
          <w:pgMar w:header="967" w:footer="593" w:top="3340" w:bottom="780" w:left="1440" w:right="820"/>
        </w:sectPr>
      </w:pPr>
    </w:p>
    <w:p>
      <w:pPr>
        <w:spacing w:line="240" w:lineRule="auto" w:before="12"/>
        <w:rPr>
          <w:rFonts w:ascii="宋体" w:hAnsi="宋体" w:cs="宋体" w:eastAsia="宋体" w:hint="default"/>
          <w:sz w:val="16"/>
          <w:szCs w:val="16"/>
        </w:rPr>
      </w:pPr>
    </w:p>
    <w:p>
      <w:pPr>
        <w:pStyle w:val="BodyText"/>
        <w:spacing w:line="240" w:lineRule="auto" w:before="31"/>
        <w:ind w:left="118" w:right="5567"/>
        <w:jc w:val="left"/>
      </w:pPr>
      <w:r>
        <w:rPr>
          <w:rFonts w:ascii="Arial" w:hAnsi="Arial" w:cs="Arial" w:eastAsia="Arial" w:hint="default"/>
        </w:rPr>
        <w:t>1</w:t>
      </w:r>
      <w:r>
        <w:rPr/>
        <w:t>、</w:t>
      </w:r>
      <w:r>
        <w:rPr>
          <w:spacing w:val="-37"/>
        </w:rPr>
        <w:t> </w:t>
      </w:r>
      <w:r>
        <w:rPr/>
        <w:t>营业税</w:t>
      </w:r>
    </w:p>
    <w:p>
      <w:pPr>
        <w:spacing w:line="240" w:lineRule="auto" w:before="7"/>
        <w:rPr>
          <w:rFonts w:ascii="宋体" w:hAnsi="宋体" w:cs="宋体" w:eastAsia="宋体" w:hint="default"/>
          <w:sz w:val="17"/>
          <w:szCs w:val="17"/>
        </w:rPr>
      </w:pPr>
    </w:p>
    <w:p>
      <w:pPr>
        <w:pStyle w:val="BodyText"/>
        <w:spacing w:line="230" w:lineRule="auto"/>
        <w:ind w:left="541" w:right="210"/>
        <w:jc w:val="both"/>
      </w:pPr>
      <w:r>
        <w:rPr>
          <w:spacing w:val="2"/>
        </w:rPr>
        <w:t>根据《中华人民共和国营业税暂行条例》的规定，本公司所属中国境内各个子公司（见附注</w:t>
      </w:r>
      <w:r>
        <w:rPr>
          <w:spacing w:val="-107"/>
        </w:rPr>
        <w:t> </w:t>
      </w:r>
      <w:r>
        <w:rPr>
          <w:spacing w:val="-107"/>
        </w:rPr>
      </w:r>
      <w:r>
        <w:rPr>
          <w:spacing w:val="2"/>
        </w:rPr>
        <w:t>四），包括联通运营公司、联通信息导航有限公司（“联通信息导航”，原名为联通新国信</w:t>
      </w:r>
      <w:r>
        <w:rPr>
          <w:spacing w:val="-106"/>
        </w:rPr>
        <w:t> </w:t>
      </w:r>
      <w:r>
        <w:rPr>
          <w:spacing w:val="-106"/>
        </w:rPr>
      </w:r>
      <w:r>
        <w:rPr/>
        <w:t>通信有限公司，于</w:t>
      </w:r>
      <w:r>
        <w:rPr>
          <w:spacing w:val="-56"/>
        </w:rPr>
        <w:t> </w:t>
      </w:r>
      <w:r>
        <w:rPr>
          <w:rFonts w:ascii="Arial" w:hAnsi="Arial" w:cs="Arial" w:eastAsia="Arial" w:hint="default"/>
        </w:rPr>
        <w:t>2011</w:t>
      </w:r>
      <w:r>
        <w:rPr>
          <w:rFonts w:ascii="Arial" w:hAnsi="Arial" w:cs="Arial" w:eastAsia="Arial" w:hint="default"/>
          <w:spacing w:val="-8"/>
        </w:rPr>
        <w:t> </w:t>
      </w:r>
      <w:r>
        <w:rPr/>
        <w:t>年</w:t>
      </w:r>
      <w:r>
        <w:rPr>
          <w:spacing w:val="-57"/>
        </w:rPr>
        <w:t> </w:t>
      </w:r>
      <w:r>
        <w:rPr>
          <w:rFonts w:ascii="Arial" w:hAnsi="Arial" w:cs="Arial" w:eastAsia="Arial" w:hint="default"/>
        </w:rPr>
        <w:t>4</w:t>
      </w:r>
      <w:r>
        <w:rPr>
          <w:rFonts w:ascii="Arial" w:hAnsi="Arial" w:cs="Arial" w:eastAsia="Arial" w:hint="default"/>
          <w:spacing w:val="-8"/>
        </w:rPr>
        <w:t> </w:t>
      </w:r>
      <w:r>
        <w:rPr/>
        <w:t>月</w:t>
      </w:r>
      <w:r>
        <w:rPr>
          <w:spacing w:val="-57"/>
        </w:rPr>
        <w:t> </w:t>
      </w:r>
      <w:r>
        <w:rPr>
          <w:rFonts w:ascii="Arial" w:hAnsi="Arial" w:cs="Arial" w:eastAsia="Arial" w:hint="default"/>
        </w:rPr>
        <w:t>22</w:t>
      </w:r>
      <w:r>
        <w:rPr>
          <w:rFonts w:ascii="Arial" w:hAnsi="Arial" w:cs="Arial" w:eastAsia="Arial" w:hint="default"/>
          <w:spacing w:val="-9"/>
        </w:rPr>
        <w:t> </w:t>
      </w:r>
      <w:r>
        <w:rPr/>
        <w:t>日进行了公司名称变更）、宽带在线、联通新时讯等对其</w:t>
      </w:r>
      <w:r>
        <w:rPr>
          <w:spacing w:val="1"/>
          <w:w w:val="99"/>
        </w:rPr>
        <w:t> </w:t>
      </w:r>
      <w:r>
        <w:rPr/>
        <w:t>提供电信服务的收入以及随同电信服务收入一并收取的销售手机识别卡（</w:t>
      </w:r>
      <w:r>
        <w:rPr>
          <w:rFonts w:ascii="Arial" w:hAnsi="Arial" w:cs="Arial" w:eastAsia="Arial" w:hint="default"/>
        </w:rPr>
        <w:t>SIM </w:t>
      </w:r>
      <w:r>
        <w:rPr/>
        <w:t>卡及 </w:t>
      </w:r>
      <w:r>
        <w:rPr>
          <w:rFonts w:ascii="Arial" w:hAnsi="Arial" w:cs="Arial" w:eastAsia="Arial" w:hint="default"/>
        </w:rPr>
        <w:t>USIM</w:t>
      </w:r>
      <w:r>
        <w:rPr>
          <w:rFonts w:ascii="Arial" w:hAnsi="Arial" w:cs="Arial" w:eastAsia="Arial" w:hint="default"/>
          <w:spacing w:val="8"/>
        </w:rPr>
        <w:t> </w:t>
      </w:r>
      <w:r>
        <w:rPr/>
        <w:t>卡</w:t>
      </w:r>
      <w:r>
        <w:rPr>
          <w:w w:val="99"/>
        </w:rPr>
        <w:t> </w:t>
      </w:r>
      <w:r>
        <w:rPr>
          <w:spacing w:val="-3"/>
        </w:rPr>
        <w:t>等）、手机等电信产品的收入均按</w:t>
      </w:r>
      <w:r>
        <w:rPr>
          <w:spacing w:val="-77"/>
        </w:rPr>
        <w:t> </w:t>
      </w:r>
      <w:r>
        <w:rPr>
          <w:rFonts w:ascii="Arial" w:hAnsi="Arial" w:cs="Arial" w:eastAsia="Arial" w:hint="default"/>
        </w:rPr>
        <w:t>3%</w:t>
      </w:r>
      <w:r>
        <w:rPr/>
        <w:t>的税率缴纳营业税；对于提供其他非电信服务的劳务或</w:t>
      </w:r>
      <w:r>
        <w:rPr>
          <w:w w:val="99"/>
        </w:rPr>
        <w:t> </w:t>
      </w:r>
      <w:r>
        <w:rPr/>
        <w:t>服务收入，均按</w:t>
      </w:r>
      <w:r>
        <w:rPr>
          <w:spacing w:val="-62"/>
        </w:rPr>
        <w:t> </w:t>
      </w:r>
      <w:r>
        <w:rPr>
          <w:rFonts w:ascii="Arial" w:hAnsi="Arial" w:cs="Arial" w:eastAsia="Arial" w:hint="default"/>
        </w:rPr>
        <w:t>5%</w:t>
      </w:r>
      <w:r>
        <w:rPr/>
        <w:t>的税率缴纳营业税。</w:t>
      </w:r>
    </w:p>
    <w:p>
      <w:pPr>
        <w:spacing w:line="240" w:lineRule="auto" w:before="2"/>
        <w:rPr>
          <w:rFonts w:ascii="宋体" w:hAnsi="宋体" w:cs="宋体" w:eastAsia="宋体" w:hint="default"/>
          <w:sz w:val="18"/>
          <w:szCs w:val="18"/>
        </w:rPr>
      </w:pPr>
    </w:p>
    <w:p>
      <w:pPr>
        <w:pStyle w:val="BodyText"/>
        <w:spacing w:line="403" w:lineRule="auto"/>
        <w:ind w:left="118" w:right="1464" w:firstLine="422"/>
        <w:jc w:val="left"/>
      </w:pPr>
      <w:r>
        <w:rPr/>
        <w:t>本公司所属中国境内各个子公司均按缴纳营业税额的</w:t>
      </w:r>
      <w:r>
        <w:rPr>
          <w:spacing w:val="-64"/>
        </w:rPr>
        <w:t> </w:t>
      </w:r>
      <w:r>
        <w:rPr>
          <w:rFonts w:ascii="Arial" w:hAnsi="Arial" w:cs="Arial" w:eastAsia="Arial" w:hint="default"/>
        </w:rPr>
        <w:t>7%</w:t>
      </w:r>
      <w:r>
        <w:rPr/>
        <w:t>缴纳城市维护建设税。</w:t>
      </w:r>
      <w:r>
        <w:rPr>
          <w:w w:val="99"/>
        </w:rPr>
        <w:t> </w:t>
      </w:r>
      <w:r>
        <w:rPr>
          <w:rFonts w:ascii="Arial" w:hAnsi="Arial" w:cs="Arial" w:eastAsia="Arial" w:hint="default"/>
        </w:rPr>
        <w:t>2</w:t>
      </w:r>
      <w:r>
        <w:rPr/>
        <w:t>、</w:t>
      </w:r>
      <w:r>
        <w:rPr>
          <w:spacing w:val="-37"/>
        </w:rPr>
        <w:t> </w:t>
      </w:r>
      <w:r>
        <w:rPr/>
        <w:t>增值税</w:t>
      </w:r>
    </w:p>
    <w:p>
      <w:pPr>
        <w:pStyle w:val="BodyText"/>
        <w:spacing w:line="232" w:lineRule="auto" w:before="59"/>
        <w:ind w:left="541" w:right="213"/>
        <w:jc w:val="both"/>
      </w:pPr>
      <w:r>
        <w:rPr>
          <w:spacing w:val="2"/>
        </w:rPr>
        <w:t>根据《中华人民共和国增值税暂行条例》的规定，联通运营公司子公司联通华盛通信有限公</w:t>
      </w:r>
      <w:r>
        <w:rPr>
          <w:w w:val="99"/>
        </w:rPr>
        <w:t> </w:t>
      </w:r>
      <w:r>
        <w:rPr>
          <w:spacing w:val="2"/>
        </w:rPr>
        <w:t>司（“联通华盛”）与联通兴业通信技术有限公司（“联通兴业”，原名为联通兴业科贸有</w:t>
      </w:r>
      <w:r>
        <w:rPr>
          <w:w w:val="99"/>
        </w:rPr>
        <w:t> </w:t>
      </w:r>
      <w:r>
        <w:rPr/>
        <w:t>限公司，于</w:t>
      </w:r>
      <w:r>
        <w:rPr>
          <w:spacing w:val="-55"/>
        </w:rPr>
        <w:t> </w:t>
      </w:r>
      <w:r>
        <w:rPr>
          <w:rFonts w:ascii="Arial" w:hAnsi="Arial" w:cs="Arial" w:eastAsia="Arial" w:hint="default"/>
        </w:rPr>
        <w:t>2011</w:t>
      </w:r>
      <w:r>
        <w:rPr>
          <w:rFonts w:ascii="Arial" w:hAnsi="Arial" w:cs="Arial" w:eastAsia="Arial" w:hint="default"/>
          <w:spacing w:val="-8"/>
        </w:rPr>
        <w:t> </w:t>
      </w:r>
      <w:r>
        <w:rPr/>
        <w:t>年</w:t>
      </w:r>
      <w:r>
        <w:rPr>
          <w:spacing w:val="-57"/>
        </w:rPr>
        <w:t> </w:t>
      </w:r>
      <w:r>
        <w:rPr>
          <w:rFonts w:ascii="Arial" w:hAnsi="Arial" w:cs="Arial" w:eastAsia="Arial" w:hint="default"/>
        </w:rPr>
        <w:t>7</w:t>
      </w:r>
      <w:r>
        <w:rPr>
          <w:rFonts w:ascii="Arial" w:hAnsi="Arial" w:cs="Arial" w:eastAsia="Arial" w:hint="default"/>
          <w:spacing w:val="-9"/>
        </w:rPr>
        <w:t> </w:t>
      </w:r>
      <w:r>
        <w:rPr/>
        <w:t>月</w:t>
      </w:r>
      <w:r>
        <w:rPr>
          <w:spacing w:val="-57"/>
        </w:rPr>
        <w:t> </w:t>
      </w:r>
      <w:r>
        <w:rPr>
          <w:rFonts w:ascii="Arial" w:hAnsi="Arial" w:cs="Arial" w:eastAsia="Arial" w:hint="default"/>
        </w:rPr>
        <w:t>15</w:t>
      </w:r>
      <w:r>
        <w:rPr>
          <w:rFonts w:ascii="Arial" w:hAnsi="Arial" w:cs="Arial" w:eastAsia="Arial" w:hint="default"/>
          <w:spacing w:val="-8"/>
        </w:rPr>
        <w:t> </w:t>
      </w:r>
      <w:r>
        <w:rPr/>
        <w:t>日进行了公司名称变更）的通信终端或通信配件销售和维修业务</w:t>
      </w:r>
      <w:r>
        <w:rPr>
          <w:w w:val="99"/>
        </w:rPr>
        <w:t> </w:t>
      </w:r>
      <w:r>
        <w:rPr>
          <w:spacing w:val="2"/>
        </w:rPr>
        <w:t>及联通系统集成有限公司（“系统集成公司”）的信息与通信技术业务中对第三方产品销售</w:t>
      </w:r>
      <w:r>
        <w:rPr>
          <w:w w:val="99"/>
        </w:rPr>
        <w:t> </w:t>
      </w:r>
      <w:r>
        <w:rPr/>
        <w:t>的业务适用增值税，税率为</w:t>
      </w:r>
      <w:r>
        <w:rPr>
          <w:spacing w:val="-32"/>
        </w:rPr>
        <w:t> </w:t>
      </w:r>
      <w:r>
        <w:rPr>
          <w:rFonts w:ascii="Arial" w:hAnsi="Arial" w:cs="Arial" w:eastAsia="Arial" w:hint="default"/>
        </w:rPr>
        <w:t>17%</w:t>
      </w:r>
      <w:r>
        <w:rPr/>
        <w:t>。其购买商品、运费等支付的增值税进项税额可以按相关规</w:t>
      </w:r>
      <w:r>
        <w:rPr>
          <w:w w:val="99"/>
        </w:rPr>
        <w:t> </w:t>
      </w:r>
      <w:r>
        <w:rPr/>
        <w:t>定抵扣销项税额。增值税应纳税额为当期销项税额抵减当期可以抵扣的进项税额后的余额。</w:t>
      </w:r>
    </w:p>
    <w:p>
      <w:pPr>
        <w:spacing w:line="240" w:lineRule="auto" w:before="2"/>
        <w:rPr>
          <w:rFonts w:ascii="宋体" w:hAnsi="宋体" w:cs="宋体" w:eastAsia="宋体" w:hint="default"/>
          <w:sz w:val="19"/>
          <w:szCs w:val="19"/>
        </w:rPr>
      </w:pPr>
    </w:p>
    <w:p>
      <w:pPr>
        <w:pStyle w:val="BodyText"/>
        <w:spacing w:line="403" w:lineRule="auto"/>
        <w:ind w:left="118" w:right="1464" w:firstLine="422"/>
        <w:jc w:val="left"/>
      </w:pPr>
      <w:r>
        <w:rPr/>
        <w:t>本公司所属中国境内各个子公司均按缴纳增值税额的</w:t>
      </w:r>
      <w:r>
        <w:rPr>
          <w:spacing w:val="-64"/>
        </w:rPr>
        <w:t> </w:t>
      </w:r>
      <w:r>
        <w:rPr>
          <w:rFonts w:ascii="Arial" w:hAnsi="Arial" w:cs="Arial" w:eastAsia="Arial" w:hint="default"/>
        </w:rPr>
        <w:t>7%</w:t>
      </w:r>
      <w:r>
        <w:rPr/>
        <w:t>缴纳城市维护建设税。</w:t>
      </w:r>
      <w:r>
        <w:rPr>
          <w:w w:val="99"/>
        </w:rPr>
        <w:t> </w:t>
      </w:r>
      <w:r>
        <w:rPr>
          <w:rFonts w:ascii="Arial" w:hAnsi="Arial" w:cs="Arial" w:eastAsia="Arial" w:hint="default"/>
        </w:rPr>
        <w:t>3</w:t>
      </w:r>
      <w:r>
        <w:rPr/>
        <w:t>、</w:t>
      </w:r>
      <w:r>
        <w:rPr>
          <w:spacing w:val="-38"/>
        </w:rPr>
        <w:t> </w:t>
      </w:r>
      <w:r>
        <w:rPr/>
        <w:t>企业所得税</w:t>
      </w:r>
    </w:p>
    <w:p>
      <w:pPr>
        <w:pStyle w:val="BodyText"/>
        <w:spacing w:line="240" w:lineRule="auto" w:before="51"/>
        <w:ind w:left="118" w:right="5567"/>
        <w:jc w:val="left"/>
      </w:pPr>
      <w:r>
        <w:rPr>
          <w:rFonts w:ascii="Arial" w:hAnsi="Arial" w:cs="Arial" w:eastAsia="Arial" w:hint="default"/>
        </w:rPr>
        <w:t>(a) </w:t>
      </w:r>
      <w:r>
        <w:rPr>
          <w:rFonts w:ascii="Arial" w:hAnsi="Arial" w:cs="Arial" w:eastAsia="Arial" w:hint="default"/>
          <w:spacing w:val="23"/>
        </w:rPr>
        <w:t> </w:t>
      </w:r>
      <w:r>
        <w:rPr/>
        <w:t>本公司企业所得税</w:t>
      </w:r>
    </w:p>
    <w:p>
      <w:pPr>
        <w:spacing w:line="240" w:lineRule="auto" w:before="0"/>
        <w:rPr>
          <w:rFonts w:ascii="宋体" w:hAnsi="宋体" w:cs="宋体" w:eastAsia="宋体" w:hint="default"/>
          <w:sz w:val="20"/>
          <w:szCs w:val="20"/>
        </w:rPr>
      </w:pPr>
    </w:p>
    <w:p>
      <w:pPr>
        <w:pStyle w:val="BodyText"/>
        <w:spacing w:line="286" w:lineRule="exact"/>
        <w:ind w:left="541" w:right="100"/>
        <w:jc w:val="left"/>
      </w:pPr>
      <w:r>
        <w:rPr>
          <w:spacing w:val="-8"/>
        </w:rPr>
        <w:t>根据《中华人民共和国企业所得税法》（“所得税法”），本公司适用的企业所得税率为</w:t>
      </w:r>
      <w:r>
        <w:rPr>
          <w:spacing w:val="-51"/>
        </w:rPr>
        <w:t> </w:t>
      </w:r>
      <w:r>
        <w:rPr>
          <w:rFonts w:ascii="Arial" w:hAnsi="Arial" w:cs="Arial" w:eastAsia="Arial" w:hint="default"/>
        </w:rPr>
        <w:t>25%</w:t>
      </w:r>
      <w:r>
        <w:rPr/>
        <w:t>。</w:t>
      </w:r>
      <w:r>
        <w:rPr>
          <w:w w:val="99"/>
        </w:rPr>
        <w:t> </w:t>
      </w:r>
      <w:r>
        <w:rPr/>
        <w:t>本公司按收入总额减去准予扣除项目后计算应纳税所得额。</w:t>
      </w:r>
    </w:p>
    <w:p>
      <w:pPr>
        <w:spacing w:line="240" w:lineRule="auto" w:before="3"/>
        <w:rPr>
          <w:rFonts w:ascii="宋体" w:hAnsi="宋体" w:cs="宋体" w:eastAsia="宋体" w:hint="default"/>
          <w:sz w:val="17"/>
          <w:szCs w:val="17"/>
        </w:rPr>
      </w:pPr>
    </w:p>
    <w:p>
      <w:pPr>
        <w:pStyle w:val="BodyText"/>
        <w:spacing w:line="240" w:lineRule="auto"/>
        <w:ind w:left="118" w:right="5567"/>
        <w:jc w:val="left"/>
      </w:pPr>
      <w:r>
        <w:rPr>
          <w:rFonts w:ascii="Arial" w:hAnsi="Arial" w:cs="Arial" w:eastAsia="Arial" w:hint="default"/>
        </w:rPr>
        <w:t>(b) </w:t>
      </w:r>
      <w:r>
        <w:rPr>
          <w:rFonts w:ascii="Arial" w:hAnsi="Arial" w:cs="Arial" w:eastAsia="Arial" w:hint="default"/>
          <w:spacing w:val="22"/>
        </w:rPr>
        <w:t> </w:t>
      </w:r>
      <w:r>
        <w:rPr/>
        <w:t>联通运营公司企业所得税</w:t>
      </w:r>
    </w:p>
    <w:p>
      <w:pPr>
        <w:spacing w:line="240" w:lineRule="auto" w:before="0"/>
        <w:rPr>
          <w:rFonts w:ascii="宋体" w:hAnsi="宋体" w:cs="宋体" w:eastAsia="宋体" w:hint="default"/>
          <w:sz w:val="20"/>
          <w:szCs w:val="20"/>
        </w:rPr>
      </w:pPr>
    </w:p>
    <w:p>
      <w:pPr>
        <w:pStyle w:val="BodyText"/>
        <w:spacing w:line="286" w:lineRule="exact"/>
        <w:ind w:left="541" w:right="214"/>
        <w:jc w:val="both"/>
      </w:pPr>
      <w:r>
        <w:rPr/>
        <w:t>本公司境内子公司联通运营公司自</w:t>
      </w:r>
      <w:r>
        <w:rPr>
          <w:spacing w:val="-34"/>
        </w:rPr>
        <w:t> </w:t>
      </w:r>
      <w:r>
        <w:rPr>
          <w:rFonts w:ascii="Arial" w:hAnsi="Arial" w:cs="Arial" w:eastAsia="Arial" w:hint="default"/>
        </w:rPr>
        <w:t>2008</w:t>
      </w:r>
      <w:r>
        <w:rPr>
          <w:rFonts w:ascii="Arial" w:hAnsi="Arial" w:cs="Arial" w:eastAsia="Arial" w:hint="default"/>
          <w:spacing w:val="13"/>
        </w:rPr>
        <w:t> </w:t>
      </w:r>
      <w:r>
        <w:rPr/>
        <w:t>年</w:t>
      </w:r>
      <w:r>
        <w:rPr>
          <w:spacing w:val="-37"/>
        </w:rPr>
        <w:t> </w:t>
      </w:r>
      <w:r>
        <w:rPr>
          <w:rFonts w:ascii="Arial" w:hAnsi="Arial" w:cs="Arial" w:eastAsia="Arial" w:hint="default"/>
        </w:rPr>
        <w:t>1</w:t>
      </w:r>
      <w:r>
        <w:rPr>
          <w:rFonts w:ascii="Arial" w:hAnsi="Arial" w:cs="Arial" w:eastAsia="Arial" w:hint="default"/>
          <w:spacing w:val="11"/>
        </w:rPr>
        <w:t> </w:t>
      </w:r>
      <w:r>
        <w:rPr/>
        <w:t>月</w:t>
      </w:r>
      <w:r>
        <w:rPr>
          <w:spacing w:val="-37"/>
        </w:rPr>
        <w:t> </w:t>
      </w:r>
      <w:r>
        <w:rPr>
          <w:rFonts w:ascii="Arial" w:hAnsi="Arial" w:cs="Arial" w:eastAsia="Arial" w:hint="default"/>
        </w:rPr>
        <w:t>1</w:t>
      </w:r>
      <w:r>
        <w:rPr>
          <w:rFonts w:ascii="Arial" w:hAnsi="Arial" w:cs="Arial" w:eastAsia="Arial" w:hint="default"/>
          <w:spacing w:val="13"/>
        </w:rPr>
        <w:t> </w:t>
      </w:r>
      <w:r>
        <w:rPr/>
        <w:t>日起按照所得税法及其实施细则的有关规</w:t>
      </w:r>
      <w:r>
        <w:rPr>
          <w:w w:val="99"/>
        </w:rPr>
        <w:t> </w:t>
      </w:r>
      <w:r>
        <w:rPr>
          <w:spacing w:val="2"/>
        </w:rPr>
        <w:t>定，对其所属各省、市、区分公司分别按所在地适用的所得税税率计算及预缴所得税，并在</w:t>
      </w:r>
      <w:r>
        <w:rPr>
          <w:w w:val="99"/>
        </w:rPr>
        <w:t> </w:t>
      </w:r>
      <w:r>
        <w:rPr/>
        <w:t>北京于每财年结束后汇算清缴所得税。</w:t>
      </w:r>
    </w:p>
    <w:p>
      <w:pPr>
        <w:spacing w:after="0" w:line="286" w:lineRule="exact"/>
        <w:jc w:val="both"/>
        <w:sectPr>
          <w:headerReference w:type="default" r:id="rId68"/>
          <w:pgSz w:w="11910" w:h="16840"/>
          <w:pgMar w:header="967" w:footer="593" w:top="2820" w:bottom="780" w:left="1440" w:right="820"/>
        </w:sectPr>
      </w:pPr>
    </w:p>
    <w:p>
      <w:pPr>
        <w:spacing w:line="240" w:lineRule="auto" w:before="6"/>
        <w:rPr>
          <w:rFonts w:ascii="宋体" w:hAnsi="宋体" w:cs="宋体" w:eastAsia="宋体" w:hint="default"/>
          <w:sz w:val="11"/>
          <w:szCs w:val="11"/>
        </w:rPr>
      </w:pPr>
    </w:p>
    <w:p>
      <w:pPr>
        <w:pStyle w:val="BodyText"/>
        <w:tabs>
          <w:tab w:pos="669" w:val="left" w:leader="none"/>
        </w:tabs>
        <w:spacing w:line="424" w:lineRule="auto" w:before="31"/>
        <w:ind w:left="670" w:right="3678" w:hanging="560"/>
        <w:jc w:val="left"/>
      </w:pPr>
      <w:r>
        <w:rPr>
          <w:rFonts w:ascii="Arial" w:hAnsi="Arial" w:cs="Arial" w:eastAsia="Arial" w:hint="default"/>
          <w:w w:val="95"/>
        </w:rPr>
        <w:t>(b)</w:t>
        <w:tab/>
      </w:r>
      <w:r>
        <w:rPr/>
        <w:t>联通运营公司企业所得税（续）</w:t>
      </w:r>
      <w:r>
        <w:rPr>
          <w:w w:val="99"/>
        </w:rPr>
        <w:t> </w:t>
      </w:r>
      <w:r>
        <w:rPr>
          <w:w w:val="95"/>
        </w:rPr>
        <w:t>联通运营公司部分分公司于所得税法下的税收优惠政策：</w:t>
      </w:r>
      <w:r>
        <w:rPr/>
      </w:r>
    </w:p>
    <w:p>
      <w:pPr>
        <w:spacing w:line="240" w:lineRule="auto" w:before="2"/>
        <w:rPr>
          <w:rFonts w:ascii="宋体" w:hAnsi="宋体" w:cs="宋体" w:eastAsia="宋体" w:hint="default"/>
          <w:sz w:val="11"/>
          <w:szCs w:val="11"/>
        </w:rPr>
      </w:pPr>
    </w:p>
    <w:tbl>
      <w:tblPr>
        <w:tblW w:w="0" w:type="auto"/>
        <w:jc w:val="left"/>
        <w:tblInd w:w="670" w:type="dxa"/>
        <w:tblLayout w:type="fixed"/>
        <w:tblCellMar>
          <w:top w:w="0" w:type="dxa"/>
          <w:left w:w="0" w:type="dxa"/>
          <w:bottom w:w="0" w:type="dxa"/>
          <w:right w:w="0" w:type="dxa"/>
        </w:tblCellMar>
        <w:tblLook w:val="01E0"/>
      </w:tblPr>
      <w:tblGrid>
        <w:gridCol w:w="1512"/>
        <w:gridCol w:w="1663"/>
        <w:gridCol w:w="1153"/>
        <w:gridCol w:w="1950"/>
        <w:gridCol w:w="2794"/>
      </w:tblGrid>
      <w:tr>
        <w:trPr>
          <w:trHeight w:val="238" w:hRule="exact"/>
        </w:trPr>
        <w:tc>
          <w:tcPr>
            <w:tcW w:w="1512" w:type="dxa"/>
            <w:tcBorders>
              <w:top w:val="nil" w:sz="6" w:space="0" w:color="auto"/>
              <w:left w:val="nil" w:sz="6" w:space="0" w:color="auto"/>
              <w:bottom w:val="single" w:sz="6" w:space="0" w:color="000000"/>
              <w:right w:val="nil" w:sz="6" w:space="0" w:color="auto"/>
            </w:tcBorders>
          </w:tcPr>
          <w:p>
            <w:pPr>
              <w:pStyle w:val="TableParagraph"/>
              <w:spacing w:line="200" w:lineRule="exact"/>
              <w:ind w:left="35" w:right="0"/>
              <w:jc w:val="left"/>
              <w:rPr>
                <w:rFonts w:ascii="宋体" w:hAnsi="宋体" w:cs="宋体" w:eastAsia="宋体" w:hint="default"/>
                <w:sz w:val="20"/>
                <w:szCs w:val="20"/>
              </w:rPr>
            </w:pPr>
            <w:r>
              <w:rPr>
                <w:rFonts w:ascii="宋体" w:hAnsi="宋体" w:cs="宋体" w:eastAsia="宋体" w:hint="default"/>
                <w:sz w:val="20"/>
                <w:szCs w:val="20"/>
              </w:rPr>
              <w:t>分公司名称</w:t>
            </w:r>
          </w:p>
        </w:tc>
        <w:tc>
          <w:tcPr>
            <w:tcW w:w="1663" w:type="dxa"/>
            <w:tcBorders>
              <w:top w:val="nil" w:sz="6" w:space="0" w:color="auto"/>
              <w:left w:val="nil" w:sz="6" w:space="0" w:color="auto"/>
              <w:bottom w:val="single" w:sz="6" w:space="0" w:color="000000"/>
              <w:right w:val="nil" w:sz="6" w:space="0" w:color="auto"/>
            </w:tcBorders>
          </w:tcPr>
          <w:p>
            <w:pPr>
              <w:pStyle w:val="TableParagraph"/>
              <w:spacing w:line="200" w:lineRule="exact"/>
              <w:ind w:right="107"/>
              <w:jc w:val="right"/>
              <w:rPr>
                <w:rFonts w:ascii="宋体" w:hAnsi="宋体" w:cs="宋体" w:eastAsia="宋体" w:hint="default"/>
                <w:sz w:val="20"/>
                <w:szCs w:val="20"/>
              </w:rPr>
            </w:pPr>
            <w:r>
              <w:rPr>
                <w:rFonts w:ascii="宋体" w:hAnsi="宋体" w:cs="宋体" w:eastAsia="宋体" w:hint="default"/>
                <w:sz w:val="20"/>
                <w:szCs w:val="20"/>
              </w:rPr>
              <w:t>税率</w:t>
            </w:r>
          </w:p>
        </w:tc>
        <w:tc>
          <w:tcPr>
            <w:tcW w:w="1153" w:type="dxa"/>
            <w:tcBorders>
              <w:top w:val="nil" w:sz="6" w:space="0" w:color="auto"/>
              <w:left w:val="nil" w:sz="6" w:space="0" w:color="auto"/>
              <w:bottom w:val="single" w:sz="6" w:space="0" w:color="000000"/>
              <w:right w:val="nil" w:sz="6" w:space="0" w:color="auto"/>
            </w:tcBorders>
          </w:tcPr>
          <w:p>
            <w:pPr/>
          </w:p>
        </w:tc>
        <w:tc>
          <w:tcPr>
            <w:tcW w:w="1950" w:type="dxa"/>
            <w:tcBorders>
              <w:top w:val="nil" w:sz="6" w:space="0" w:color="auto"/>
              <w:left w:val="nil" w:sz="6" w:space="0" w:color="auto"/>
              <w:bottom w:val="single" w:sz="6" w:space="0" w:color="000000"/>
              <w:right w:val="nil" w:sz="6" w:space="0" w:color="auto"/>
            </w:tcBorders>
          </w:tcPr>
          <w:p>
            <w:pPr>
              <w:pStyle w:val="TableParagraph"/>
              <w:spacing w:line="200" w:lineRule="exact"/>
              <w:ind w:left="643" w:right="0"/>
              <w:jc w:val="left"/>
              <w:rPr>
                <w:rFonts w:ascii="宋体" w:hAnsi="宋体" w:cs="宋体" w:eastAsia="宋体" w:hint="default"/>
                <w:sz w:val="20"/>
                <w:szCs w:val="20"/>
              </w:rPr>
            </w:pPr>
            <w:r>
              <w:rPr>
                <w:rFonts w:ascii="宋体" w:hAnsi="宋体" w:cs="宋体" w:eastAsia="宋体" w:hint="default"/>
                <w:sz w:val="20"/>
                <w:szCs w:val="20"/>
              </w:rPr>
              <w:t>批准单位</w:t>
            </w:r>
          </w:p>
        </w:tc>
        <w:tc>
          <w:tcPr>
            <w:tcW w:w="2794" w:type="dxa"/>
            <w:tcBorders>
              <w:top w:val="nil" w:sz="6" w:space="0" w:color="auto"/>
              <w:left w:val="nil" w:sz="6" w:space="0" w:color="auto"/>
              <w:bottom w:val="single" w:sz="6" w:space="0" w:color="000000"/>
              <w:right w:val="nil" w:sz="6" w:space="0" w:color="auto"/>
            </w:tcBorders>
          </w:tcPr>
          <w:p>
            <w:pPr>
              <w:pStyle w:val="TableParagraph"/>
              <w:spacing w:line="200" w:lineRule="exact"/>
              <w:ind w:left="525" w:right="0"/>
              <w:jc w:val="left"/>
              <w:rPr>
                <w:rFonts w:ascii="宋体" w:hAnsi="宋体" w:cs="宋体" w:eastAsia="宋体" w:hint="default"/>
                <w:sz w:val="20"/>
                <w:szCs w:val="20"/>
              </w:rPr>
            </w:pPr>
            <w:r>
              <w:rPr>
                <w:rFonts w:ascii="宋体" w:hAnsi="宋体" w:cs="宋体" w:eastAsia="宋体" w:hint="default"/>
                <w:sz w:val="20"/>
                <w:szCs w:val="20"/>
              </w:rPr>
              <w:t>政府文件及适用期限</w:t>
            </w:r>
          </w:p>
        </w:tc>
      </w:tr>
      <w:tr>
        <w:trPr>
          <w:trHeight w:val="274" w:hRule="exact"/>
        </w:trPr>
        <w:tc>
          <w:tcPr>
            <w:tcW w:w="1512" w:type="dxa"/>
            <w:tcBorders>
              <w:top w:val="single" w:sz="6" w:space="0" w:color="000000"/>
              <w:left w:val="nil" w:sz="6" w:space="0" w:color="auto"/>
              <w:bottom w:val="nil" w:sz="6" w:space="0" w:color="auto"/>
              <w:right w:val="nil" w:sz="6" w:space="0" w:color="auto"/>
            </w:tcBorders>
          </w:tcPr>
          <w:p>
            <w:pPr/>
          </w:p>
        </w:tc>
        <w:tc>
          <w:tcPr>
            <w:tcW w:w="1663" w:type="dxa"/>
            <w:tcBorders>
              <w:top w:val="single" w:sz="6" w:space="0" w:color="000000"/>
              <w:left w:val="nil" w:sz="6" w:space="0" w:color="auto"/>
              <w:bottom w:val="single" w:sz="6" w:space="0" w:color="000000"/>
              <w:right w:val="nil" w:sz="6" w:space="0" w:color="auto"/>
            </w:tcBorders>
          </w:tcPr>
          <w:p>
            <w:pPr>
              <w:pStyle w:val="TableParagraph"/>
              <w:spacing w:line="244" w:lineRule="exact"/>
              <w:ind w:left="334"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153" w:type="dxa"/>
            <w:tcBorders>
              <w:top w:val="single" w:sz="6" w:space="0" w:color="000000"/>
              <w:left w:val="nil" w:sz="6" w:space="0" w:color="auto"/>
              <w:bottom w:val="single" w:sz="6" w:space="0" w:color="000000"/>
              <w:right w:val="nil" w:sz="6" w:space="0" w:color="auto"/>
            </w:tcBorders>
          </w:tcPr>
          <w:p>
            <w:pPr>
              <w:pStyle w:val="TableParagraph"/>
              <w:spacing w:line="244" w:lineRule="exact"/>
              <w:ind w:right="239"/>
              <w:jc w:val="center"/>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p>
        </w:tc>
        <w:tc>
          <w:tcPr>
            <w:tcW w:w="1950" w:type="dxa"/>
            <w:tcBorders>
              <w:top w:val="single" w:sz="6" w:space="0" w:color="000000"/>
              <w:left w:val="nil" w:sz="6" w:space="0" w:color="auto"/>
              <w:bottom w:val="nil" w:sz="6" w:space="0" w:color="auto"/>
              <w:right w:val="nil" w:sz="6" w:space="0" w:color="auto"/>
            </w:tcBorders>
          </w:tcPr>
          <w:p>
            <w:pPr/>
          </w:p>
        </w:tc>
        <w:tc>
          <w:tcPr>
            <w:tcW w:w="2794" w:type="dxa"/>
            <w:tcBorders>
              <w:top w:val="single" w:sz="6" w:space="0" w:color="000000"/>
              <w:left w:val="nil" w:sz="6" w:space="0" w:color="auto"/>
              <w:bottom w:val="nil" w:sz="6" w:space="0" w:color="auto"/>
              <w:right w:val="nil" w:sz="6" w:space="0" w:color="auto"/>
            </w:tcBorders>
          </w:tcPr>
          <w:p>
            <w:pPr/>
          </w:p>
        </w:tc>
      </w:tr>
      <w:tr>
        <w:trPr>
          <w:trHeight w:val="275" w:hRule="exact"/>
        </w:trPr>
        <w:tc>
          <w:tcPr>
            <w:tcW w:w="1512" w:type="dxa"/>
            <w:tcBorders>
              <w:top w:val="nil" w:sz="6" w:space="0" w:color="auto"/>
              <w:left w:val="nil" w:sz="6" w:space="0" w:color="auto"/>
              <w:bottom w:val="single" w:sz="6" w:space="0" w:color="000000"/>
              <w:right w:val="nil" w:sz="6" w:space="0" w:color="auto"/>
            </w:tcBorders>
          </w:tcPr>
          <w:p>
            <w:pPr>
              <w:pStyle w:val="TableParagraph"/>
              <w:spacing w:line="238" w:lineRule="exact"/>
              <w:ind w:left="35" w:right="0"/>
              <w:jc w:val="left"/>
              <w:rPr>
                <w:rFonts w:ascii="宋体" w:hAnsi="宋体" w:cs="宋体" w:eastAsia="宋体" w:hint="default"/>
                <w:sz w:val="20"/>
                <w:szCs w:val="20"/>
              </w:rPr>
            </w:pPr>
            <w:r>
              <w:rPr>
                <w:rFonts w:ascii="宋体" w:hAnsi="宋体" w:cs="宋体" w:eastAsia="宋体" w:hint="default"/>
                <w:sz w:val="20"/>
                <w:szCs w:val="20"/>
              </w:rPr>
              <w:t>联通运营公司：</w:t>
            </w:r>
          </w:p>
        </w:tc>
        <w:tc>
          <w:tcPr>
            <w:tcW w:w="1663" w:type="dxa"/>
            <w:tcBorders>
              <w:top w:val="single" w:sz="6" w:space="0" w:color="000000"/>
              <w:left w:val="nil" w:sz="6" w:space="0" w:color="auto"/>
              <w:bottom w:val="nil" w:sz="6" w:space="0" w:color="auto"/>
              <w:right w:val="nil" w:sz="6" w:space="0" w:color="auto"/>
            </w:tcBorders>
          </w:tcPr>
          <w:p>
            <w:pPr/>
          </w:p>
        </w:tc>
        <w:tc>
          <w:tcPr>
            <w:tcW w:w="1153" w:type="dxa"/>
            <w:tcBorders>
              <w:top w:val="single" w:sz="6" w:space="0" w:color="000000"/>
              <w:left w:val="nil" w:sz="6" w:space="0" w:color="auto"/>
              <w:bottom w:val="nil" w:sz="6" w:space="0" w:color="auto"/>
              <w:right w:val="nil" w:sz="6" w:space="0" w:color="auto"/>
            </w:tcBorders>
          </w:tcPr>
          <w:p>
            <w:pPr/>
          </w:p>
        </w:tc>
        <w:tc>
          <w:tcPr>
            <w:tcW w:w="1950" w:type="dxa"/>
            <w:tcBorders>
              <w:top w:val="nil" w:sz="6" w:space="0" w:color="auto"/>
              <w:left w:val="nil" w:sz="6" w:space="0" w:color="auto"/>
              <w:bottom w:val="nil" w:sz="6" w:space="0" w:color="auto"/>
              <w:right w:val="nil" w:sz="6" w:space="0" w:color="auto"/>
            </w:tcBorders>
          </w:tcPr>
          <w:p>
            <w:pPr/>
          </w:p>
        </w:tc>
        <w:tc>
          <w:tcPr>
            <w:tcW w:w="2794" w:type="dxa"/>
            <w:tcBorders>
              <w:top w:val="nil" w:sz="6" w:space="0" w:color="auto"/>
              <w:left w:val="nil" w:sz="6" w:space="0" w:color="auto"/>
              <w:bottom w:val="nil" w:sz="6" w:space="0" w:color="auto"/>
              <w:right w:val="nil" w:sz="6" w:space="0" w:color="auto"/>
            </w:tcBorders>
          </w:tcPr>
          <w:p>
            <w:pPr/>
          </w:p>
        </w:tc>
      </w:tr>
      <w:tr>
        <w:trPr>
          <w:trHeight w:val="278" w:hRule="exact"/>
        </w:trPr>
        <w:tc>
          <w:tcPr>
            <w:tcW w:w="1512" w:type="dxa"/>
            <w:tcBorders>
              <w:top w:val="single" w:sz="6" w:space="0" w:color="000000"/>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20"/>
                <w:szCs w:val="20"/>
              </w:rPr>
            </w:pPr>
            <w:r>
              <w:rPr>
                <w:rFonts w:ascii="宋体" w:hAnsi="宋体" w:cs="宋体" w:eastAsia="宋体" w:hint="default"/>
                <w:sz w:val="20"/>
                <w:szCs w:val="20"/>
              </w:rPr>
              <w:t>深圳分公司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91" w:right="0"/>
              <w:jc w:val="left"/>
              <w:rPr>
                <w:rFonts w:ascii="Arial" w:hAnsi="Arial" w:cs="Arial" w:eastAsia="Arial" w:hint="default"/>
                <w:sz w:val="20"/>
                <w:szCs w:val="20"/>
              </w:rPr>
            </w:pPr>
            <w:r>
              <w:rPr>
                <w:rFonts w:ascii="Arial"/>
                <w:sz w:val="20"/>
              </w:rPr>
              <w:t>24%</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21"/>
              <w:jc w:val="center"/>
              <w:rPr>
                <w:rFonts w:ascii="Arial" w:hAnsi="Arial" w:cs="Arial" w:eastAsia="Arial" w:hint="default"/>
                <w:sz w:val="20"/>
                <w:szCs w:val="20"/>
              </w:rPr>
            </w:pPr>
            <w:r>
              <w:rPr>
                <w:rFonts w:ascii="Arial"/>
                <w:sz w:val="20"/>
              </w:rPr>
              <w:t>25%</w:t>
            </w:r>
          </w:p>
        </w:tc>
        <w:tc>
          <w:tcPr>
            <w:tcW w:w="1950" w:type="dxa"/>
            <w:tcBorders>
              <w:top w:val="nil" w:sz="6" w:space="0" w:color="auto"/>
              <w:left w:val="nil" w:sz="6" w:space="0" w:color="auto"/>
              <w:bottom w:val="nil" w:sz="6" w:space="0" w:color="auto"/>
              <w:right w:val="nil" w:sz="6" w:space="0" w:color="auto"/>
            </w:tcBorders>
          </w:tcPr>
          <w:p>
            <w:pPr>
              <w:pStyle w:val="TableParagraph"/>
              <w:spacing w:line="237" w:lineRule="exact"/>
              <w:ind w:left="72" w:right="0"/>
              <w:jc w:val="left"/>
              <w:rPr>
                <w:rFonts w:ascii="宋体" w:hAnsi="宋体" w:cs="宋体" w:eastAsia="宋体" w:hint="default"/>
                <w:sz w:val="20"/>
                <w:szCs w:val="20"/>
              </w:rPr>
            </w:pPr>
            <w:r>
              <w:rPr>
                <w:rFonts w:ascii="宋体" w:hAnsi="宋体" w:cs="宋体" w:eastAsia="宋体" w:hint="default"/>
                <w:sz w:val="20"/>
                <w:szCs w:val="20"/>
              </w:rPr>
              <w:t>国务院</w:t>
            </w:r>
          </w:p>
        </w:tc>
        <w:tc>
          <w:tcPr>
            <w:tcW w:w="2794" w:type="dxa"/>
            <w:tcBorders>
              <w:top w:val="nil" w:sz="6" w:space="0" w:color="auto"/>
              <w:left w:val="nil" w:sz="6" w:space="0" w:color="auto"/>
              <w:bottom w:val="nil" w:sz="6" w:space="0" w:color="auto"/>
              <w:right w:val="nil" w:sz="6" w:space="0" w:color="auto"/>
            </w:tcBorders>
          </w:tcPr>
          <w:p>
            <w:pPr>
              <w:pStyle w:val="TableParagraph"/>
              <w:spacing w:line="251" w:lineRule="exact"/>
              <w:ind w:left="76" w:right="0"/>
              <w:jc w:val="left"/>
              <w:rPr>
                <w:rFonts w:ascii="宋体" w:hAnsi="宋体" w:cs="宋体" w:eastAsia="宋体" w:hint="default"/>
                <w:sz w:val="20"/>
                <w:szCs w:val="20"/>
              </w:rPr>
            </w:pPr>
            <w:r>
              <w:rPr>
                <w:rFonts w:ascii="宋体" w:hAnsi="宋体" w:cs="宋体" w:eastAsia="宋体" w:hint="default"/>
                <w:sz w:val="20"/>
                <w:szCs w:val="20"/>
              </w:rPr>
              <w:t>国发</w:t>
            </w:r>
            <w:r>
              <w:rPr>
                <w:rFonts w:ascii="Arial" w:hAnsi="Arial" w:cs="Arial" w:eastAsia="Arial" w:hint="default"/>
                <w:sz w:val="20"/>
                <w:szCs w:val="20"/>
              </w:rPr>
              <w:t>[2007]39</w:t>
            </w:r>
            <w:r>
              <w:rPr>
                <w:rFonts w:ascii="Arial" w:hAnsi="Arial" w:cs="Arial" w:eastAsia="Arial" w:hint="default"/>
                <w:spacing w:val="-7"/>
                <w:sz w:val="20"/>
                <w:szCs w:val="20"/>
              </w:rPr>
              <w:t> </w:t>
            </w:r>
            <w:r>
              <w:rPr>
                <w:rFonts w:ascii="宋体" w:hAnsi="宋体" w:cs="宋体" w:eastAsia="宋体" w:hint="default"/>
                <w:sz w:val="20"/>
                <w:szCs w:val="20"/>
              </w:rPr>
              <w:t>号，至</w:t>
            </w:r>
            <w:r>
              <w:rPr>
                <w:rFonts w:ascii="宋体" w:hAnsi="宋体" w:cs="宋体" w:eastAsia="宋体" w:hint="default"/>
                <w:spacing w:val="-52"/>
                <w:sz w:val="20"/>
                <w:szCs w:val="20"/>
              </w:rPr>
              <w:t> </w:t>
            </w:r>
            <w:r>
              <w:rPr>
                <w:rFonts w:ascii="Arial" w:hAnsi="Arial" w:cs="Arial" w:eastAsia="Arial" w:hint="default"/>
                <w:sz w:val="20"/>
                <w:szCs w:val="20"/>
              </w:rPr>
              <w:t>2012</w:t>
            </w:r>
            <w:r>
              <w:rPr>
                <w:rFonts w:ascii="Arial" w:hAnsi="Arial" w:cs="Arial" w:eastAsia="Arial" w:hint="default"/>
                <w:spacing w:val="-8"/>
                <w:sz w:val="20"/>
                <w:szCs w:val="20"/>
              </w:rPr>
              <w:t> </w:t>
            </w:r>
            <w:r>
              <w:rPr>
                <w:rFonts w:ascii="宋体" w:hAnsi="宋体" w:cs="宋体" w:eastAsia="宋体" w:hint="default"/>
                <w:sz w:val="20"/>
                <w:szCs w:val="20"/>
              </w:rPr>
              <w:t>年</w:t>
            </w:r>
          </w:p>
        </w:tc>
      </w:tr>
      <w:tr>
        <w:trPr>
          <w:trHeight w:val="260" w:hRule="exact"/>
        </w:trPr>
        <w:tc>
          <w:tcPr>
            <w:tcW w:w="1512"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20"/>
                <w:szCs w:val="20"/>
              </w:rPr>
            </w:pPr>
            <w:r>
              <w:rPr>
                <w:rFonts w:ascii="宋体" w:hAnsi="宋体" w:cs="宋体" w:eastAsia="宋体" w:hint="default"/>
                <w:sz w:val="20"/>
                <w:szCs w:val="20"/>
              </w:rPr>
              <w:t>珠海分公司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91" w:right="0"/>
              <w:jc w:val="left"/>
              <w:rPr>
                <w:rFonts w:ascii="Arial" w:hAnsi="Arial" w:cs="Arial" w:eastAsia="Arial" w:hint="default"/>
                <w:sz w:val="20"/>
                <w:szCs w:val="20"/>
              </w:rPr>
            </w:pPr>
            <w:r>
              <w:rPr>
                <w:rFonts w:ascii="Arial"/>
                <w:sz w:val="20"/>
              </w:rPr>
              <w:t>24%</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21"/>
              <w:jc w:val="center"/>
              <w:rPr>
                <w:rFonts w:ascii="Arial" w:hAnsi="Arial" w:cs="Arial" w:eastAsia="Arial" w:hint="default"/>
                <w:sz w:val="20"/>
                <w:szCs w:val="20"/>
              </w:rPr>
            </w:pPr>
            <w:r>
              <w:rPr>
                <w:rFonts w:ascii="Arial"/>
                <w:sz w:val="20"/>
              </w:rPr>
              <w:t>25%</w:t>
            </w:r>
          </w:p>
        </w:tc>
        <w:tc>
          <w:tcPr>
            <w:tcW w:w="1950" w:type="dxa"/>
            <w:tcBorders>
              <w:top w:val="nil" w:sz="6" w:space="0" w:color="auto"/>
              <w:left w:val="nil" w:sz="6" w:space="0" w:color="auto"/>
              <w:bottom w:val="nil" w:sz="6" w:space="0" w:color="auto"/>
              <w:right w:val="nil" w:sz="6" w:space="0" w:color="auto"/>
            </w:tcBorders>
          </w:tcPr>
          <w:p>
            <w:pPr>
              <w:pStyle w:val="TableParagraph"/>
              <w:spacing w:line="218" w:lineRule="exact"/>
              <w:ind w:left="72" w:right="0"/>
              <w:jc w:val="left"/>
              <w:rPr>
                <w:rFonts w:ascii="宋体" w:hAnsi="宋体" w:cs="宋体" w:eastAsia="宋体" w:hint="default"/>
                <w:sz w:val="20"/>
                <w:szCs w:val="20"/>
              </w:rPr>
            </w:pPr>
            <w:r>
              <w:rPr>
                <w:rFonts w:ascii="宋体" w:hAnsi="宋体" w:cs="宋体" w:eastAsia="宋体" w:hint="default"/>
                <w:sz w:val="20"/>
                <w:szCs w:val="20"/>
              </w:rPr>
              <w:t>国务院</w:t>
            </w:r>
          </w:p>
        </w:tc>
        <w:tc>
          <w:tcPr>
            <w:tcW w:w="2794" w:type="dxa"/>
            <w:tcBorders>
              <w:top w:val="nil" w:sz="6" w:space="0" w:color="auto"/>
              <w:left w:val="nil" w:sz="6" w:space="0" w:color="auto"/>
              <w:bottom w:val="nil" w:sz="6" w:space="0" w:color="auto"/>
              <w:right w:val="nil" w:sz="6" w:space="0" w:color="auto"/>
            </w:tcBorders>
          </w:tcPr>
          <w:p>
            <w:pPr>
              <w:pStyle w:val="TableParagraph"/>
              <w:spacing w:line="232" w:lineRule="exact"/>
              <w:ind w:left="76" w:right="0"/>
              <w:jc w:val="left"/>
              <w:rPr>
                <w:rFonts w:ascii="宋体" w:hAnsi="宋体" w:cs="宋体" w:eastAsia="宋体" w:hint="default"/>
                <w:sz w:val="20"/>
                <w:szCs w:val="20"/>
              </w:rPr>
            </w:pPr>
            <w:r>
              <w:rPr>
                <w:rFonts w:ascii="宋体" w:hAnsi="宋体" w:cs="宋体" w:eastAsia="宋体" w:hint="default"/>
                <w:sz w:val="20"/>
                <w:szCs w:val="20"/>
              </w:rPr>
              <w:t>国发</w:t>
            </w:r>
            <w:r>
              <w:rPr>
                <w:rFonts w:ascii="Arial" w:hAnsi="Arial" w:cs="Arial" w:eastAsia="Arial" w:hint="default"/>
                <w:sz w:val="20"/>
                <w:szCs w:val="20"/>
              </w:rPr>
              <w:t>[2007]39</w:t>
            </w:r>
            <w:r>
              <w:rPr>
                <w:rFonts w:ascii="Arial" w:hAnsi="Arial" w:cs="Arial" w:eastAsia="Arial" w:hint="default"/>
                <w:spacing w:val="-7"/>
                <w:sz w:val="20"/>
                <w:szCs w:val="20"/>
              </w:rPr>
              <w:t> </w:t>
            </w:r>
            <w:r>
              <w:rPr>
                <w:rFonts w:ascii="宋体" w:hAnsi="宋体" w:cs="宋体" w:eastAsia="宋体" w:hint="default"/>
                <w:sz w:val="20"/>
                <w:szCs w:val="20"/>
              </w:rPr>
              <w:t>号，至</w:t>
            </w:r>
            <w:r>
              <w:rPr>
                <w:rFonts w:ascii="宋体" w:hAnsi="宋体" w:cs="宋体" w:eastAsia="宋体" w:hint="default"/>
                <w:spacing w:val="-52"/>
                <w:sz w:val="20"/>
                <w:szCs w:val="20"/>
              </w:rPr>
              <w:t> </w:t>
            </w:r>
            <w:r>
              <w:rPr>
                <w:rFonts w:ascii="Arial" w:hAnsi="Arial" w:cs="Arial" w:eastAsia="Arial" w:hint="default"/>
                <w:sz w:val="20"/>
                <w:szCs w:val="20"/>
              </w:rPr>
              <w:t>2012</w:t>
            </w:r>
            <w:r>
              <w:rPr>
                <w:rFonts w:ascii="Arial" w:hAnsi="Arial" w:cs="Arial" w:eastAsia="Arial" w:hint="default"/>
                <w:spacing w:val="-8"/>
                <w:sz w:val="20"/>
                <w:szCs w:val="20"/>
              </w:rPr>
              <w:t> </w:t>
            </w:r>
            <w:r>
              <w:rPr>
                <w:rFonts w:ascii="宋体" w:hAnsi="宋体" w:cs="宋体" w:eastAsia="宋体" w:hint="default"/>
                <w:sz w:val="20"/>
                <w:szCs w:val="20"/>
              </w:rPr>
              <w:t>年</w:t>
            </w:r>
          </w:p>
        </w:tc>
      </w:tr>
      <w:tr>
        <w:trPr>
          <w:trHeight w:val="259" w:hRule="exact"/>
        </w:trPr>
        <w:tc>
          <w:tcPr>
            <w:tcW w:w="1512"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20"/>
                <w:szCs w:val="20"/>
              </w:rPr>
            </w:pPr>
            <w:r>
              <w:rPr>
                <w:rFonts w:ascii="宋体" w:hAnsi="宋体" w:cs="宋体" w:eastAsia="宋体" w:hint="default"/>
                <w:sz w:val="20"/>
                <w:szCs w:val="20"/>
              </w:rPr>
              <w:t>厦门分公司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91" w:right="0"/>
              <w:jc w:val="left"/>
              <w:rPr>
                <w:rFonts w:ascii="Arial" w:hAnsi="Arial" w:cs="Arial" w:eastAsia="Arial" w:hint="default"/>
                <w:sz w:val="20"/>
                <w:szCs w:val="20"/>
              </w:rPr>
            </w:pPr>
            <w:r>
              <w:rPr>
                <w:rFonts w:ascii="Arial"/>
                <w:sz w:val="20"/>
              </w:rPr>
              <w:t>24%</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21"/>
              <w:jc w:val="center"/>
              <w:rPr>
                <w:rFonts w:ascii="Arial" w:hAnsi="Arial" w:cs="Arial" w:eastAsia="Arial" w:hint="default"/>
                <w:sz w:val="20"/>
                <w:szCs w:val="20"/>
              </w:rPr>
            </w:pPr>
            <w:r>
              <w:rPr>
                <w:rFonts w:ascii="Arial"/>
                <w:sz w:val="20"/>
              </w:rPr>
              <w:t>25%</w:t>
            </w:r>
          </w:p>
        </w:tc>
        <w:tc>
          <w:tcPr>
            <w:tcW w:w="1950" w:type="dxa"/>
            <w:tcBorders>
              <w:top w:val="nil" w:sz="6" w:space="0" w:color="auto"/>
              <w:left w:val="nil" w:sz="6" w:space="0" w:color="auto"/>
              <w:bottom w:val="nil" w:sz="6" w:space="0" w:color="auto"/>
              <w:right w:val="nil" w:sz="6" w:space="0" w:color="auto"/>
            </w:tcBorders>
          </w:tcPr>
          <w:p>
            <w:pPr>
              <w:pStyle w:val="TableParagraph"/>
              <w:spacing w:line="219" w:lineRule="exact"/>
              <w:ind w:left="72" w:right="0"/>
              <w:jc w:val="left"/>
              <w:rPr>
                <w:rFonts w:ascii="宋体" w:hAnsi="宋体" w:cs="宋体" w:eastAsia="宋体" w:hint="default"/>
                <w:sz w:val="20"/>
                <w:szCs w:val="20"/>
              </w:rPr>
            </w:pPr>
            <w:r>
              <w:rPr>
                <w:rFonts w:ascii="宋体" w:hAnsi="宋体" w:cs="宋体" w:eastAsia="宋体" w:hint="default"/>
                <w:sz w:val="20"/>
                <w:szCs w:val="20"/>
              </w:rPr>
              <w:t>国务院</w:t>
            </w:r>
          </w:p>
        </w:tc>
        <w:tc>
          <w:tcPr>
            <w:tcW w:w="2794" w:type="dxa"/>
            <w:tcBorders>
              <w:top w:val="nil" w:sz="6" w:space="0" w:color="auto"/>
              <w:left w:val="nil" w:sz="6" w:space="0" w:color="auto"/>
              <w:bottom w:val="nil" w:sz="6" w:space="0" w:color="auto"/>
              <w:right w:val="nil" w:sz="6" w:space="0" w:color="auto"/>
            </w:tcBorders>
          </w:tcPr>
          <w:p>
            <w:pPr>
              <w:pStyle w:val="TableParagraph"/>
              <w:spacing w:line="233" w:lineRule="exact"/>
              <w:ind w:left="76" w:right="0"/>
              <w:jc w:val="left"/>
              <w:rPr>
                <w:rFonts w:ascii="宋体" w:hAnsi="宋体" w:cs="宋体" w:eastAsia="宋体" w:hint="default"/>
                <w:sz w:val="20"/>
                <w:szCs w:val="20"/>
              </w:rPr>
            </w:pPr>
            <w:r>
              <w:rPr>
                <w:rFonts w:ascii="宋体" w:hAnsi="宋体" w:cs="宋体" w:eastAsia="宋体" w:hint="default"/>
                <w:sz w:val="20"/>
                <w:szCs w:val="20"/>
              </w:rPr>
              <w:t>国发</w:t>
            </w:r>
            <w:r>
              <w:rPr>
                <w:rFonts w:ascii="Arial" w:hAnsi="Arial" w:cs="Arial" w:eastAsia="Arial" w:hint="default"/>
                <w:sz w:val="20"/>
                <w:szCs w:val="20"/>
              </w:rPr>
              <w:t>[2007]39</w:t>
            </w:r>
            <w:r>
              <w:rPr>
                <w:rFonts w:ascii="Arial" w:hAnsi="Arial" w:cs="Arial" w:eastAsia="Arial" w:hint="default"/>
                <w:spacing w:val="-7"/>
                <w:sz w:val="20"/>
                <w:szCs w:val="20"/>
              </w:rPr>
              <w:t> </w:t>
            </w:r>
            <w:r>
              <w:rPr>
                <w:rFonts w:ascii="宋体" w:hAnsi="宋体" w:cs="宋体" w:eastAsia="宋体" w:hint="default"/>
                <w:sz w:val="20"/>
                <w:szCs w:val="20"/>
              </w:rPr>
              <w:t>号，至</w:t>
            </w:r>
            <w:r>
              <w:rPr>
                <w:rFonts w:ascii="宋体" w:hAnsi="宋体" w:cs="宋体" w:eastAsia="宋体" w:hint="default"/>
                <w:spacing w:val="-52"/>
                <w:sz w:val="20"/>
                <w:szCs w:val="20"/>
              </w:rPr>
              <w:t> </w:t>
            </w:r>
            <w:r>
              <w:rPr>
                <w:rFonts w:ascii="Arial" w:hAnsi="Arial" w:cs="Arial" w:eastAsia="Arial" w:hint="default"/>
                <w:sz w:val="20"/>
                <w:szCs w:val="20"/>
              </w:rPr>
              <w:t>2012</w:t>
            </w:r>
            <w:r>
              <w:rPr>
                <w:rFonts w:ascii="Arial" w:hAnsi="Arial" w:cs="Arial" w:eastAsia="Arial" w:hint="default"/>
                <w:spacing w:val="-8"/>
                <w:sz w:val="20"/>
                <w:szCs w:val="20"/>
              </w:rPr>
              <w:t> </w:t>
            </w:r>
            <w:r>
              <w:rPr>
                <w:rFonts w:ascii="宋体" w:hAnsi="宋体" w:cs="宋体" w:eastAsia="宋体" w:hint="default"/>
                <w:sz w:val="20"/>
                <w:szCs w:val="20"/>
              </w:rPr>
              <w:t>年</w:t>
            </w:r>
          </w:p>
        </w:tc>
      </w:tr>
      <w:tr>
        <w:trPr>
          <w:trHeight w:val="259" w:hRule="exact"/>
        </w:trPr>
        <w:tc>
          <w:tcPr>
            <w:tcW w:w="1512"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20"/>
                <w:szCs w:val="20"/>
              </w:rPr>
            </w:pPr>
            <w:r>
              <w:rPr>
                <w:rFonts w:ascii="宋体" w:hAnsi="宋体" w:cs="宋体" w:eastAsia="宋体" w:hint="default"/>
                <w:sz w:val="20"/>
                <w:szCs w:val="20"/>
              </w:rPr>
              <w:t>汕头分公司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91" w:right="0"/>
              <w:jc w:val="left"/>
              <w:rPr>
                <w:rFonts w:ascii="Arial" w:hAnsi="Arial" w:cs="Arial" w:eastAsia="Arial" w:hint="default"/>
                <w:sz w:val="20"/>
                <w:szCs w:val="20"/>
              </w:rPr>
            </w:pPr>
            <w:r>
              <w:rPr>
                <w:rFonts w:ascii="Arial"/>
                <w:sz w:val="20"/>
              </w:rPr>
              <w:t>24%</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21"/>
              <w:jc w:val="center"/>
              <w:rPr>
                <w:rFonts w:ascii="Arial" w:hAnsi="Arial" w:cs="Arial" w:eastAsia="Arial" w:hint="default"/>
                <w:sz w:val="20"/>
                <w:szCs w:val="20"/>
              </w:rPr>
            </w:pPr>
            <w:r>
              <w:rPr>
                <w:rFonts w:ascii="Arial"/>
                <w:sz w:val="20"/>
              </w:rPr>
              <w:t>25%</w:t>
            </w:r>
          </w:p>
        </w:tc>
        <w:tc>
          <w:tcPr>
            <w:tcW w:w="1950" w:type="dxa"/>
            <w:tcBorders>
              <w:top w:val="nil" w:sz="6" w:space="0" w:color="auto"/>
              <w:left w:val="nil" w:sz="6" w:space="0" w:color="auto"/>
              <w:bottom w:val="nil" w:sz="6" w:space="0" w:color="auto"/>
              <w:right w:val="nil" w:sz="6" w:space="0" w:color="auto"/>
            </w:tcBorders>
          </w:tcPr>
          <w:p>
            <w:pPr>
              <w:pStyle w:val="TableParagraph"/>
              <w:spacing w:line="219" w:lineRule="exact"/>
              <w:ind w:left="72" w:right="0"/>
              <w:jc w:val="left"/>
              <w:rPr>
                <w:rFonts w:ascii="宋体" w:hAnsi="宋体" w:cs="宋体" w:eastAsia="宋体" w:hint="default"/>
                <w:sz w:val="20"/>
                <w:szCs w:val="20"/>
              </w:rPr>
            </w:pPr>
            <w:r>
              <w:rPr>
                <w:rFonts w:ascii="宋体" w:hAnsi="宋体" w:cs="宋体" w:eastAsia="宋体" w:hint="default"/>
                <w:sz w:val="20"/>
                <w:szCs w:val="20"/>
              </w:rPr>
              <w:t>国务院</w:t>
            </w:r>
          </w:p>
        </w:tc>
        <w:tc>
          <w:tcPr>
            <w:tcW w:w="2794" w:type="dxa"/>
            <w:tcBorders>
              <w:top w:val="nil" w:sz="6" w:space="0" w:color="auto"/>
              <w:left w:val="nil" w:sz="6" w:space="0" w:color="auto"/>
              <w:bottom w:val="nil" w:sz="6" w:space="0" w:color="auto"/>
              <w:right w:val="nil" w:sz="6" w:space="0" w:color="auto"/>
            </w:tcBorders>
          </w:tcPr>
          <w:p>
            <w:pPr>
              <w:pStyle w:val="TableParagraph"/>
              <w:spacing w:line="233" w:lineRule="exact"/>
              <w:ind w:left="76" w:right="0"/>
              <w:jc w:val="left"/>
              <w:rPr>
                <w:rFonts w:ascii="宋体" w:hAnsi="宋体" w:cs="宋体" w:eastAsia="宋体" w:hint="default"/>
                <w:sz w:val="20"/>
                <w:szCs w:val="20"/>
              </w:rPr>
            </w:pPr>
            <w:r>
              <w:rPr>
                <w:rFonts w:ascii="宋体" w:hAnsi="宋体" w:cs="宋体" w:eastAsia="宋体" w:hint="default"/>
                <w:sz w:val="20"/>
                <w:szCs w:val="20"/>
              </w:rPr>
              <w:t>国发</w:t>
            </w:r>
            <w:r>
              <w:rPr>
                <w:rFonts w:ascii="Arial" w:hAnsi="Arial" w:cs="Arial" w:eastAsia="Arial" w:hint="default"/>
                <w:sz w:val="20"/>
                <w:szCs w:val="20"/>
              </w:rPr>
              <w:t>[2007]39</w:t>
            </w:r>
            <w:r>
              <w:rPr>
                <w:rFonts w:ascii="Arial" w:hAnsi="Arial" w:cs="Arial" w:eastAsia="Arial" w:hint="default"/>
                <w:spacing w:val="-7"/>
                <w:sz w:val="20"/>
                <w:szCs w:val="20"/>
              </w:rPr>
              <w:t> </w:t>
            </w:r>
            <w:r>
              <w:rPr>
                <w:rFonts w:ascii="宋体" w:hAnsi="宋体" w:cs="宋体" w:eastAsia="宋体" w:hint="default"/>
                <w:sz w:val="20"/>
                <w:szCs w:val="20"/>
              </w:rPr>
              <w:t>号，至</w:t>
            </w:r>
            <w:r>
              <w:rPr>
                <w:rFonts w:ascii="宋体" w:hAnsi="宋体" w:cs="宋体" w:eastAsia="宋体" w:hint="default"/>
                <w:spacing w:val="-52"/>
                <w:sz w:val="20"/>
                <w:szCs w:val="20"/>
              </w:rPr>
              <w:t> </w:t>
            </w:r>
            <w:r>
              <w:rPr>
                <w:rFonts w:ascii="Arial" w:hAnsi="Arial" w:cs="Arial" w:eastAsia="Arial" w:hint="default"/>
                <w:sz w:val="20"/>
                <w:szCs w:val="20"/>
              </w:rPr>
              <w:t>2012</w:t>
            </w:r>
            <w:r>
              <w:rPr>
                <w:rFonts w:ascii="Arial" w:hAnsi="Arial" w:cs="Arial" w:eastAsia="Arial" w:hint="default"/>
                <w:spacing w:val="-8"/>
                <w:sz w:val="20"/>
                <w:szCs w:val="20"/>
              </w:rPr>
              <w:t> </w:t>
            </w:r>
            <w:r>
              <w:rPr>
                <w:rFonts w:ascii="宋体" w:hAnsi="宋体" w:cs="宋体" w:eastAsia="宋体" w:hint="default"/>
                <w:sz w:val="20"/>
                <w:szCs w:val="20"/>
              </w:rPr>
              <w:t>年</w:t>
            </w:r>
          </w:p>
        </w:tc>
      </w:tr>
      <w:tr>
        <w:trPr>
          <w:trHeight w:val="259" w:hRule="exact"/>
        </w:trPr>
        <w:tc>
          <w:tcPr>
            <w:tcW w:w="1512"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20"/>
                <w:szCs w:val="20"/>
              </w:rPr>
            </w:pPr>
            <w:r>
              <w:rPr>
                <w:rFonts w:ascii="宋体" w:hAnsi="宋体" w:cs="宋体" w:eastAsia="宋体" w:hint="default"/>
                <w:sz w:val="20"/>
                <w:szCs w:val="20"/>
              </w:rPr>
              <w:t>海南分公司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91" w:right="0"/>
              <w:jc w:val="left"/>
              <w:rPr>
                <w:rFonts w:ascii="Arial" w:hAnsi="Arial" w:cs="Arial" w:eastAsia="Arial" w:hint="default"/>
                <w:sz w:val="20"/>
                <w:szCs w:val="20"/>
              </w:rPr>
            </w:pPr>
            <w:r>
              <w:rPr>
                <w:rFonts w:ascii="Arial"/>
                <w:sz w:val="20"/>
              </w:rPr>
              <w:t>24%</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21"/>
              <w:jc w:val="center"/>
              <w:rPr>
                <w:rFonts w:ascii="Arial" w:hAnsi="Arial" w:cs="Arial" w:eastAsia="Arial" w:hint="default"/>
                <w:sz w:val="20"/>
                <w:szCs w:val="20"/>
              </w:rPr>
            </w:pPr>
            <w:r>
              <w:rPr>
                <w:rFonts w:ascii="Arial"/>
                <w:sz w:val="20"/>
              </w:rPr>
              <w:t>25%</w:t>
            </w:r>
          </w:p>
        </w:tc>
        <w:tc>
          <w:tcPr>
            <w:tcW w:w="1950" w:type="dxa"/>
            <w:tcBorders>
              <w:top w:val="nil" w:sz="6" w:space="0" w:color="auto"/>
              <w:left w:val="nil" w:sz="6" w:space="0" w:color="auto"/>
              <w:bottom w:val="nil" w:sz="6" w:space="0" w:color="auto"/>
              <w:right w:val="nil" w:sz="6" w:space="0" w:color="auto"/>
            </w:tcBorders>
          </w:tcPr>
          <w:p>
            <w:pPr>
              <w:pStyle w:val="TableParagraph"/>
              <w:spacing w:line="219" w:lineRule="exact"/>
              <w:ind w:left="72" w:right="0"/>
              <w:jc w:val="left"/>
              <w:rPr>
                <w:rFonts w:ascii="宋体" w:hAnsi="宋体" w:cs="宋体" w:eastAsia="宋体" w:hint="default"/>
                <w:sz w:val="20"/>
                <w:szCs w:val="20"/>
              </w:rPr>
            </w:pPr>
            <w:r>
              <w:rPr>
                <w:rFonts w:ascii="宋体" w:hAnsi="宋体" w:cs="宋体" w:eastAsia="宋体" w:hint="default"/>
                <w:sz w:val="20"/>
                <w:szCs w:val="20"/>
              </w:rPr>
              <w:t>国务院</w:t>
            </w:r>
          </w:p>
        </w:tc>
        <w:tc>
          <w:tcPr>
            <w:tcW w:w="2794" w:type="dxa"/>
            <w:tcBorders>
              <w:top w:val="nil" w:sz="6" w:space="0" w:color="auto"/>
              <w:left w:val="nil" w:sz="6" w:space="0" w:color="auto"/>
              <w:bottom w:val="nil" w:sz="6" w:space="0" w:color="auto"/>
              <w:right w:val="nil" w:sz="6" w:space="0" w:color="auto"/>
            </w:tcBorders>
          </w:tcPr>
          <w:p>
            <w:pPr>
              <w:pStyle w:val="TableParagraph"/>
              <w:spacing w:line="233" w:lineRule="exact"/>
              <w:ind w:left="76" w:right="0"/>
              <w:jc w:val="left"/>
              <w:rPr>
                <w:rFonts w:ascii="宋体" w:hAnsi="宋体" w:cs="宋体" w:eastAsia="宋体" w:hint="default"/>
                <w:sz w:val="20"/>
                <w:szCs w:val="20"/>
              </w:rPr>
            </w:pPr>
            <w:r>
              <w:rPr>
                <w:rFonts w:ascii="宋体" w:hAnsi="宋体" w:cs="宋体" w:eastAsia="宋体" w:hint="default"/>
                <w:sz w:val="20"/>
                <w:szCs w:val="20"/>
              </w:rPr>
              <w:t>国发</w:t>
            </w:r>
            <w:r>
              <w:rPr>
                <w:rFonts w:ascii="Arial" w:hAnsi="Arial" w:cs="Arial" w:eastAsia="Arial" w:hint="default"/>
                <w:sz w:val="20"/>
                <w:szCs w:val="20"/>
              </w:rPr>
              <w:t>[2007]39</w:t>
            </w:r>
            <w:r>
              <w:rPr>
                <w:rFonts w:ascii="Arial" w:hAnsi="Arial" w:cs="Arial" w:eastAsia="Arial" w:hint="default"/>
                <w:spacing w:val="-7"/>
                <w:sz w:val="20"/>
                <w:szCs w:val="20"/>
              </w:rPr>
              <w:t> </w:t>
            </w:r>
            <w:r>
              <w:rPr>
                <w:rFonts w:ascii="宋体" w:hAnsi="宋体" w:cs="宋体" w:eastAsia="宋体" w:hint="default"/>
                <w:sz w:val="20"/>
                <w:szCs w:val="20"/>
              </w:rPr>
              <w:t>号，至</w:t>
            </w:r>
            <w:r>
              <w:rPr>
                <w:rFonts w:ascii="宋体" w:hAnsi="宋体" w:cs="宋体" w:eastAsia="宋体" w:hint="default"/>
                <w:spacing w:val="-52"/>
                <w:sz w:val="20"/>
                <w:szCs w:val="20"/>
              </w:rPr>
              <w:t> </w:t>
            </w:r>
            <w:r>
              <w:rPr>
                <w:rFonts w:ascii="Arial" w:hAnsi="Arial" w:cs="Arial" w:eastAsia="Arial" w:hint="default"/>
                <w:sz w:val="20"/>
                <w:szCs w:val="20"/>
              </w:rPr>
              <w:t>2012</w:t>
            </w:r>
            <w:r>
              <w:rPr>
                <w:rFonts w:ascii="Arial" w:hAnsi="Arial" w:cs="Arial" w:eastAsia="Arial" w:hint="default"/>
                <w:spacing w:val="-8"/>
                <w:sz w:val="20"/>
                <w:szCs w:val="20"/>
              </w:rPr>
              <w:t> </w:t>
            </w:r>
            <w:r>
              <w:rPr>
                <w:rFonts w:ascii="宋体" w:hAnsi="宋体" w:cs="宋体" w:eastAsia="宋体" w:hint="default"/>
                <w:sz w:val="20"/>
                <w:szCs w:val="20"/>
              </w:rPr>
              <w:t>年</w:t>
            </w:r>
          </w:p>
        </w:tc>
      </w:tr>
      <w:tr>
        <w:trPr>
          <w:trHeight w:val="242" w:hRule="exact"/>
        </w:trPr>
        <w:tc>
          <w:tcPr>
            <w:tcW w:w="1512"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20"/>
                <w:szCs w:val="20"/>
              </w:rPr>
            </w:pPr>
            <w:r>
              <w:rPr>
                <w:rFonts w:ascii="宋体" w:hAnsi="宋体" w:cs="宋体" w:eastAsia="宋体" w:hint="default"/>
                <w:sz w:val="20"/>
                <w:szCs w:val="20"/>
              </w:rPr>
              <w:t>西藏分公司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91" w:right="0"/>
              <w:jc w:val="left"/>
              <w:rPr>
                <w:rFonts w:ascii="Arial" w:hAnsi="Arial" w:cs="Arial" w:eastAsia="Arial" w:hint="default"/>
                <w:sz w:val="20"/>
                <w:szCs w:val="20"/>
              </w:rPr>
            </w:pPr>
            <w:r>
              <w:rPr>
                <w:rFonts w:ascii="Arial"/>
                <w:sz w:val="20"/>
              </w:rPr>
              <w:t>15%</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21"/>
              <w:jc w:val="center"/>
              <w:rPr>
                <w:rFonts w:ascii="Arial" w:hAnsi="Arial" w:cs="Arial" w:eastAsia="Arial" w:hint="default"/>
                <w:sz w:val="20"/>
                <w:szCs w:val="20"/>
              </w:rPr>
            </w:pPr>
            <w:r>
              <w:rPr>
                <w:rFonts w:ascii="Arial"/>
                <w:sz w:val="20"/>
              </w:rPr>
              <w:t>15%</w:t>
            </w:r>
          </w:p>
        </w:tc>
        <w:tc>
          <w:tcPr>
            <w:tcW w:w="1950" w:type="dxa"/>
            <w:tcBorders>
              <w:top w:val="nil" w:sz="6" w:space="0" w:color="auto"/>
              <w:left w:val="nil" w:sz="6" w:space="0" w:color="auto"/>
              <w:bottom w:val="nil" w:sz="6" w:space="0" w:color="auto"/>
              <w:right w:val="nil" w:sz="6" w:space="0" w:color="auto"/>
            </w:tcBorders>
          </w:tcPr>
          <w:p>
            <w:pPr>
              <w:pStyle w:val="TableParagraph"/>
              <w:spacing w:line="219" w:lineRule="exact"/>
              <w:ind w:left="72" w:right="0"/>
              <w:jc w:val="left"/>
              <w:rPr>
                <w:rFonts w:ascii="宋体" w:hAnsi="宋体" w:cs="宋体" w:eastAsia="宋体" w:hint="default"/>
                <w:sz w:val="20"/>
                <w:szCs w:val="20"/>
              </w:rPr>
            </w:pPr>
            <w:r>
              <w:rPr>
                <w:rFonts w:ascii="宋体" w:hAnsi="宋体" w:cs="宋体" w:eastAsia="宋体" w:hint="default"/>
                <w:sz w:val="20"/>
                <w:szCs w:val="20"/>
              </w:rPr>
              <w:t>西藏自治区人民政府</w:t>
            </w:r>
          </w:p>
        </w:tc>
        <w:tc>
          <w:tcPr>
            <w:tcW w:w="2794" w:type="dxa"/>
            <w:tcBorders>
              <w:top w:val="nil" w:sz="6" w:space="0" w:color="auto"/>
              <w:left w:val="nil" w:sz="6" w:space="0" w:color="auto"/>
              <w:bottom w:val="nil" w:sz="6" w:space="0" w:color="auto"/>
              <w:right w:val="nil" w:sz="6" w:space="0" w:color="auto"/>
            </w:tcBorders>
          </w:tcPr>
          <w:p>
            <w:pPr>
              <w:pStyle w:val="TableParagraph"/>
              <w:spacing w:line="233" w:lineRule="exact"/>
              <w:ind w:left="76" w:right="0"/>
              <w:jc w:val="left"/>
              <w:rPr>
                <w:rFonts w:ascii="宋体" w:hAnsi="宋体" w:cs="宋体" w:eastAsia="宋体" w:hint="default"/>
                <w:sz w:val="20"/>
                <w:szCs w:val="20"/>
              </w:rPr>
            </w:pPr>
            <w:r>
              <w:rPr>
                <w:rFonts w:ascii="宋体" w:hAnsi="宋体" w:cs="宋体" w:eastAsia="宋体" w:hint="default"/>
                <w:sz w:val="20"/>
                <w:szCs w:val="20"/>
              </w:rPr>
              <w:t>藏政发</w:t>
            </w:r>
            <w:r>
              <w:rPr>
                <w:rFonts w:ascii="Arial" w:hAnsi="Arial" w:cs="Arial" w:eastAsia="Arial" w:hint="default"/>
                <w:sz w:val="20"/>
                <w:szCs w:val="20"/>
              </w:rPr>
              <w:t>[2008]78</w:t>
            </w:r>
            <w:r>
              <w:rPr>
                <w:rFonts w:ascii="Arial" w:hAnsi="Arial" w:cs="Arial" w:eastAsia="Arial" w:hint="default"/>
                <w:spacing w:val="-9"/>
                <w:sz w:val="20"/>
                <w:szCs w:val="20"/>
              </w:rPr>
              <w:t> </w:t>
            </w:r>
            <w:r>
              <w:rPr>
                <w:rFonts w:ascii="宋体" w:hAnsi="宋体" w:cs="宋体" w:eastAsia="宋体" w:hint="default"/>
                <w:sz w:val="20"/>
                <w:szCs w:val="20"/>
              </w:rPr>
              <w:t>号，无限期</w:t>
            </w:r>
          </w:p>
        </w:tc>
      </w:tr>
    </w:tbl>
    <w:p>
      <w:pPr>
        <w:spacing w:line="240" w:lineRule="auto" w:before="8"/>
        <w:rPr>
          <w:rFonts w:ascii="宋体" w:hAnsi="宋体" w:cs="宋体" w:eastAsia="宋体" w:hint="default"/>
          <w:sz w:val="14"/>
          <w:szCs w:val="14"/>
        </w:rPr>
      </w:pPr>
    </w:p>
    <w:p>
      <w:pPr>
        <w:pStyle w:val="BodyText"/>
        <w:spacing w:line="286" w:lineRule="exact" w:before="60"/>
        <w:ind w:left="670" w:right="253"/>
        <w:jc w:val="left"/>
      </w:pPr>
      <w:r>
        <w:rPr/>
        <w:t>根据国发</w:t>
      </w:r>
      <w:r>
        <w:rPr>
          <w:rFonts w:ascii="Arial" w:hAnsi="Arial" w:cs="Arial" w:eastAsia="Arial" w:hint="default"/>
        </w:rPr>
        <w:t>[2007]39</w:t>
      </w:r>
      <w:r>
        <w:rPr>
          <w:rFonts w:ascii="Arial" w:hAnsi="Arial" w:cs="Arial" w:eastAsia="Arial" w:hint="default"/>
          <w:spacing w:val="-6"/>
        </w:rPr>
        <w:t> </w:t>
      </w:r>
      <w:r>
        <w:rPr>
          <w:spacing w:val="-14"/>
        </w:rPr>
        <w:t>号文，自</w:t>
      </w:r>
      <w:r>
        <w:rPr>
          <w:spacing w:val="-56"/>
        </w:rPr>
        <w:t> </w:t>
      </w:r>
      <w:r>
        <w:rPr>
          <w:rFonts w:ascii="Arial" w:hAnsi="Arial" w:cs="Arial" w:eastAsia="Arial" w:hint="default"/>
        </w:rPr>
        <w:t>2008</w:t>
      </w:r>
      <w:r>
        <w:rPr>
          <w:rFonts w:ascii="Arial" w:hAnsi="Arial" w:cs="Arial" w:eastAsia="Arial" w:hint="default"/>
          <w:spacing w:val="-7"/>
        </w:rPr>
        <w:t> </w:t>
      </w:r>
      <w:r>
        <w:rPr/>
        <w:t>年</w:t>
      </w:r>
      <w:r>
        <w:rPr>
          <w:spacing w:val="-56"/>
        </w:rPr>
        <w:t> </w:t>
      </w:r>
      <w:r>
        <w:rPr>
          <w:rFonts w:ascii="Arial" w:hAnsi="Arial" w:cs="Arial" w:eastAsia="Arial" w:hint="default"/>
        </w:rPr>
        <w:t>1</w:t>
      </w:r>
      <w:r>
        <w:rPr>
          <w:rFonts w:ascii="Arial" w:hAnsi="Arial" w:cs="Arial" w:eastAsia="Arial" w:hint="default"/>
          <w:spacing w:val="-7"/>
        </w:rPr>
        <w:t> </w:t>
      </w:r>
      <w:r>
        <w:rPr/>
        <w:t>月</w:t>
      </w:r>
      <w:r>
        <w:rPr>
          <w:spacing w:val="-56"/>
        </w:rPr>
        <w:t> </w:t>
      </w:r>
      <w:r>
        <w:rPr>
          <w:rFonts w:ascii="Arial" w:hAnsi="Arial" w:cs="Arial" w:eastAsia="Arial" w:hint="default"/>
        </w:rPr>
        <w:t>1</w:t>
      </w:r>
      <w:r>
        <w:rPr>
          <w:rFonts w:ascii="Arial" w:hAnsi="Arial" w:cs="Arial" w:eastAsia="Arial" w:hint="default"/>
          <w:spacing w:val="-7"/>
        </w:rPr>
        <w:t> </w:t>
      </w:r>
      <w:r>
        <w:rPr>
          <w:spacing w:val="-4"/>
        </w:rPr>
        <w:t>日起，联通运营公司所属的深圳等</w:t>
      </w:r>
      <w:r>
        <w:rPr>
          <w:spacing w:val="-55"/>
        </w:rPr>
        <w:t> </w:t>
      </w:r>
      <w:r>
        <w:rPr>
          <w:rFonts w:ascii="Arial" w:hAnsi="Arial" w:cs="Arial" w:eastAsia="Arial" w:hint="default"/>
        </w:rPr>
        <w:t>5</w:t>
      </w:r>
      <w:r>
        <w:rPr>
          <w:rFonts w:ascii="Arial" w:hAnsi="Arial" w:cs="Arial" w:eastAsia="Arial" w:hint="default"/>
          <w:spacing w:val="-7"/>
        </w:rPr>
        <w:t> </w:t>
      </w:r>
      <w:r>
        <w:rPr/>
        <w:t>家分公司在所</w:t>
      </w:r>
      <w:r>
        <w:rPr>
          <w:w w:val="99"/>
        </w:rPr>
        <w:t> </w:t>
      </w:r>
      <w:r>
        <w:rPr/>
        <w:t>得税法实施后</w:t>
      </w:r>
      <w:r>
        <w:rPr>
          <w:spacing w:val="-58"/>
        </w:rPr>
        <w:t> </w:t>
      </w:r>
      <w:r>
        <w:rPr>
          <w:rFonts w:ascii="Arial" w:hAnsi="Arial" w:cs="Arial" w:eastAsia="Arial" w:hint="default"/>
        </w:rPr>
        <w:t>5</w:t>
      </w:r>
      <w:r>
        <w:rPr>
          <w:rFonts w:ascii="Arial" w:hAnsi="Arial" w:cs="Arial" w:eastAsia="Arial" w:hint="default"/>
          <w:spacing w:val="-10"/>
        </w:rPr>
        <w:t> </w:t>
      </w:r>
      <w:r>
        <w:rPr/>
        <w:t>年内逐步过渡到</w:t>
      </w:r>
      <w:r>
        <w:rPr>
          <w:spacing w:val="-59"/>
        </w:rPr>
        <w:t> </w:t>
      </w:r>
      <w:r>
        <w:rPr>
          <w:rFonts w:ascii="Arial" w:hAnsi="Arial" w:cs="Arial" w:eastAsia="Arial" w:hint="default"/>
        </w:rPr>
        <w:t>25%</w:t>
      </w:r>
      <w:r>
        <w:rPr/>
        <w:t>的法定企业所得税率。</w:t>
      </w:r>
    </w:p>
    <w:p>
      <w:pPr>
        <w:spacing w:line="240" w:lineRule="auto" w:before="1"/>
        <w:rPr>
          <w:rFonts w:ascii="宋体" w:hAnsi="宋体" w:cs="宋体" w:eastAsia="宋体" w:hint="default"/>
          <w:sz w:val="17"/>
          <w:szCs w:val="17"/>
        </w:rPr>
      </w:pPr>
    </w:p>
    <w:p>
      <w:pPr>
        <w:pStyle w:val="BodyText"/>
        <w:spacing w:line="295" w:lineRule="exact"/>
        <w:ind w:left="670" w:right="89"/>
        <w:jc w:val="left"/>
        <w:rPr>
          <w:rFonts w:ascii="Arial" w:hAnsi="Arial" w:cs="Arial" w:eastAsia="Arial" w:hint="default"/>
        </w:rPr>
      </w:pPr>
      <w:r>
        <w:rPr>
          <w:w w:val="99"/>
        </w:rPr>
        <w:t>根据藏政发</w:t>
      </w:r>
      <w:r>
        <w:rPr>
          <w:rFonts w:ascii="Arial" w:hAnsi="Arial" w:cs="Arial" w:eastAsia="Arial" w:hint="default"/>
          <w:spacing w:val="1"/>
          <w:w w:val="99"/>
        </w:rPr>
        <w:t>[</w:t>
      </w:r>
      <w:r>
        <w:rPr>
          <w:rFonts w:ascii="Arial" w:hAnsi="Arial" w:cs="Arial" w:eastAsia="Arial" w:hint="default"/>
          <w:w w:val="99"/>
        </w:rPr>
        <w:t>200</w:t>
      </w:r>
      <w:r>
        <w:rPr>
          <w:rFonts w:ascii="Arial" w:hAnsi="Arial" w:cs="Arial" w:eastAsia="Arial" w:hint="default"/>
          <w:w w:val="99"/>
        </w:rPr>
        <w:t>8]7</w:t>
      </w:r>
      <w:r>
        <w:rPr>
          <w:rFonts w:ascii="Arial" w:hAnsi="Arial" w:cs="Arial" w:eastAsia="Arial" w:hint="default"/>
          <w:w w:val="99"/>
        </w:rPr>
        <w:t>8</w:t>
      </w:r>
      <w:r>
        <w:rPr>
          <w:rFonts w:ascii="Arial" w:hAnsi="Arial" w:cs="Arial" w:eastAsia="Arial" w:hint="default"/>
          <w:spacing w:val="-11"/>
        </w:rPr>
        <w:t> </w:t>
      </w:r>
      <w:r>
        <w:rPr>
          <w:w w:val="99"/>
        </w:rPr>
        <w:t>号文</w:t>
      </w:r>
      <w:r>
        <w:rPr>
          <w:spacing w:val="-111"/>
          <w:w w:val="99"/>
        </w:rPr>
        <w:t>，</w:t>
      </w:r>
      <w:r>
        <w:rPr>
          <w:w w:val="99"/>
        </w:rPr>
        <w:t>上表所列原适用优惠税率的西藏分公司在所得税法实施后</w:t>
      </w:r>
      <w:r>
        <w:rPr>
          <w:spacing w:val="-107"/>
          <w:w w:val="99"/>
        </w:rPr>
        <w:t>，</w:t>
      </w:r>
      <w:r>
        <w:rPr>
          <w:w w:val="99"/>
        </w:rPr>
        <w:t>于</w:t>
      </w:r>
      <w:r>
        <w:rPr>
          <w:spacing w:val="-61"/>
        </w:rPr>
        <w:t> </w:t>
      </w:r>
      <w:r>
        <w:rPr>
          <w:rFonts w:ascii="Arial" w:hAnsi="Arial" w:cs="Arial" w:eastAsia="Arial" w:hint="default"/>
          <w:w w:val="99"/>
        </w:rPr>
        <w:t>2012</w:t>
      </w:r>
      <w:r>
        <w:rPr>
          <w:rFonts w:ascii="Arial" w:hAnsi="Arial" w:cs="Arial" w:eastAsia="Arial" w:hint="default"/>
        </w:rPr>
      </w:r>
    </w:p>
    <w:p>
      <w:pPr>
        <w:pStyle w:val="BodyText"/>
        <w:spacing w:line="295" w:lineRule="exact"/>
        <w:ind w:left="670" w:right="89"/>
        <w:jc w:val="left"/>
      </w:pPr>
      <w:r>
        <w:rPr/>
        <w:t>年度和</w:t>
      </w:r>
      <w:r>
        <w:rPr>
          <w:spacing w:val="-58"/>
        </w:rPr>
        <w:t> </w:t>
      </w:r>
      <w:r>
        <w:rPr>
          <w:rFonts w:ascii="Arial" w:hAnsi="Arial" w:cs="Arial" w:eastAsia="Arial" w:hint="default"/>
        </w:rPr>
        <w:t>2011</w:t>
      </w:r>
      <w:r>
        <w:rPr>
          <w:rFonts w:ascii="Arial" w:hAnsi="Arial" w:cs="Arial" w:eastAsia="Arial" w:hint="default"/>
          <w:spacing w:val="-9"/>
        </w:rPr>
        <w:t> </w:t>
      </w:r>
      <w:r>
        <w:rPr/>
        <w:t>年度均执行</w:t>
      </w:r>
      <w:r>
        <w:rPr>
          <w:spacing w:val="-58"/>
        </w:rPr>
        <w:t> </w:t>
      </w:r>
      <w:r>
        <w:rPr>
          <w:rFonts w:ascii="Arial" w:hAnsi="Arial" w:cs="Arial" w:eastAsia="Arial" w:hint="default"/>
        </w:rPr>
        <w:t>15%</w:t>
      </w:r>
      <w:r>
        <w:rPr/>
        <w:t>的优惠税率。</w:t>
      </w:r>
    </w:p>
    <w:p>
      <w:pPr>
        <w:spacing w:line="240" w:lineRule="auto" w:before="3"/>
        <w:rPr>
          <w:rFonts w:ascii="宋体" w:hAnsi="宋体" w:cs="宋体" w:eastAsia="宋体" w:hint="default"/>
          <w:sz w:val="20"/>
          <w:szCs w:val="20"/>
        </w:rPr>
      </w:pPr>
    </w:p>
    <w:p>
      <w:pPr>
        <w:pStyle w:val="BodyText"/>
        <w:spacing w:line="284" w:lineRule="exact"/>
        <w:ind w:left="670" w:right="251"/>
        <w:jc w:val="left"/>
      </w:pPr>
      <w:r>
        <w:rPr/>
        <w:t>于</w:t>
      </w:r>
      <w:r>
        <w:rPr>
          <w:spacing w:val="-56"/>
        </w:rPr>
        <w:t> </w:t>
      </w:r>
      <w:r>
        <w:rPr>
          <w:rFonts w:ascii="Arial" w:hAnsi="Arial" w:cs="Arial" w:eastAsia="Arial" w:hint="default"/>
        </w:rPr>
        <w:t>2012</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spacing w:val="-3"/>
        </w:rPr>
        <w:t>日，联通运营公司除西藏分公司享受所列的优惠税率外，其他各分公司均</w:t>
      </w:r>
      <w:r>
        <w:rPr>
          <w:w w:val="99"/>
        </w:rPr>
        <w:t> </w:t>
      </w:r>
      <w:r>
        <w:rPr/>
        <w:t>适用</w:t>
      </w:r>
      <w:r>
        <w:rPr>
          <w:spacing w:val="-61"/>
        </w:rPr>
        <w:t> </w:t>
      </w:r>
      <w:r>
        <w:rPr>
          <w:rFonts w:ascii="Arial" w:hAnsi="Arial" w:cs="Arial" w:eastAsia="Arial" w:hint="default"/>
        </w:rPr>
        <w:t>25%</w:t>
      </w:r>
      <w:r>
        <w:rPr/>
        <w:t>的企业所得税税率。</w:t>
      </w:r>
    </w:p>
    <w:p>
      <w:pPr>
        <w:spacing w:line="240" w:lineRule="auto" w:before="3"/>
        <w:rPr>
          <w:rFonts w:ascii="宋体" w:hAnsi="宋体" w:cs="宋体" w:eastAsia="宋体" w:hint="default"/>
          <w:sz w:val="17"/>
          <w:szCs w:val="17"/>
        </w:rPr>
      </w:pPr>
    </w:p>
    <w:p>
      <w:pPr>
        <w:pStyle w:val="BodyText"/>
        <w:tabs>
          <w:tab w:pos="669" w:val="left" w:leader="none"/>
        </w:tabs>
        <w:spacing w:line="424" w:lineRule="auto"/>
        <w:ind w:left="670" w:right="3019" w:hanging="560"/>
        <w:jc w:val="left"/>
      </w:pPr>
      <w:r>
        <w:rPr>
          <w:rFonts w:ascii="Arial" w:hAnsi="Arial" w:cs="Arial" w:eastAsia="Arial" w:hint="default"/>
          <w:w w:val="95"/>
        </w:rPr>
        <w:t>(c)</w:t>
        <w:tab/>
      </w:r>
      <w:r>
        <w:rPr/>
        <w:t>联通运营公司所属子公司之企业所得税</w:t>
      </w:r>
      <w:r>
        <w:rPr>
          <w:w w:val="99"/>
        </w:rPr>
        <w:t> </w:t>
      </w:r>
      <w:r>
        <w:rPr>
          <w:w w:val="95"/>
        </w:rPr>
        <w:t>联通运营公司的部分获得高新技术企业认证的子公司列示如下：</w:t>
      </w:r>
      <w:r>
        <w:rPr/>
      </w:r>
    </w:p>
    <w:p>
      <w:pPr>
        <w:tabs>
          <w:tab w:pos="7886" w:val="left" w:leader="none"/>
        </w:tabs>
        <w:spacing w:before="108"/>
        <w:ind w:left="4334" w:right="89" w:firstLine="0"/>
        <w:jc w:val="left"/>
        <w:rPr>
          <w:rFonts w:ascii="宋体" w:hAnsi="宋体" w:cs="宋体" w:eastAsia="宋体" w:hint="default"/>
          <w:sz w:val="18"/>
          <w:szCs w:val="18"/>
        </w:rPr>
      </w:pPr>
      <w:r>
        <w:rPr>
          <w:rFonts w:ascii="宋体" w:hAnsi="宋体" w:cs="宋体" w:eastAsia="宋体" w:hint="default"/>
          <w:position w:val="7"/>
          <w:sz w:val="18"/>
          <w:szCs w:val="18"/>
        </w:rPr>
        <w:t>税率</w:t>
        <w:tab/>
      </w:r>
      <w:r>
        <w:rPr>
          <w:rFonts w:ascii="宋体" w:hAnsi="宋体" w:cs="宋体" w:eastAsia="宋体" w:hint="default"/>
          <w:sz w:val="18"/>
          <w:szCs w:val="18"/>
        </w:rPr>
        <w:t>高新技术企业证书</w:t>
      </w:r>
    </w:p>
    <w:tbl>
      <w:tblPr>
        <w:tblW w:w="0" w:type="auto"/>
        <w:jc w:val="left"/>
        <w:tblInd w:w="642" w:type="dxa"/>
        <w:tblLayout w:type="fixed"/>
        <w:tblCellMar>
          <w:top w:w="0" w:type="dxa"/>
          <w:left w:w="0" w:type="dxa"/>
          <w:bottom w:w="0" w:type="dxa"/>
          <w:right w:w="0" w:type="dxa"/>
        </w:tblCellMar>
        <w:tblLook w:val="01E0"/>
      </w:tblPr>
      <w:tblGrid>
        <w:gridCol w:w="2467"/>
        <w:gridCol w:w="485"/>
        <w:gridCol w:w="918"/>
        <w:gridCol w:w="154"/>
        <w:gridCol w:w="872"/>
        <w:gridCol w:w="2006"/>
        <w:gridCol w:w="2080"/>
      </w:tblGrid>
      <w:tr>
        <w:trPr>
          <w:trHeight w:val="370" w:hRule="exact"/>
        </w:trPr>
        <w:tc>
          <w:tcPr>
            <w:tcW w:w="2467" w:type="dxa"/>
            <w:tcBorders>
              <w:top w:val="nil" w:sz="6" w:space="0" w:color="auto"/>
              <w:left w:val="nil" w:sz="6" w:space="0" w:color="auto"/>
              <w:bottom w:val="single" w:sz="6" w:space="0" w:color="000000"/>
              <w:right w:val="nil" w:sz="6" w:space="0" w:color="auto"/>
            </w:tcBorders>
          </w:tcPr>
          <w:p>
            <w:pPr>
              <w:pStyle w:val="TableParagraph"/>
              <w:spacing w:line="118" w:lineRule="exact"/>
              <w:ind w:left="75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85" w:type="dxa"/>
            <w:tcBorders>
              <w:top w:val="nil" w:sz="6" w:space="0" w:color="auto"/>
              <w:left w:val="nil" w:sz="6" w:space="0" w:color="auto"/>
              <w:bottom w:val="single" w:sz="6" w:space="0" w:color="000000"/>
              <w:right w:val="nil" w:sz="6" w:space="0" w:color="auto"/>
            </w:tcBorders>
          </w:tcPr>
          <w:p>
            <w:pPr>
              <w:pStyle w:val="TableParagraph"/>
              <w:spacing w:line="118" w:lineRule="exact"/>
              <w:ind w:right="62"/>
              <w:jc w:val="center"/>
              <w:rPr>
                <w:rFonts w:ascii="宋体" w:hAnsi="宋体" w:cs="宋体" w:eastAsia="宋体" w:hint="default"/>
                <w:sz w:val="18"/>
                <w:szCs w:val="18"/>
              </w:rPr>
            </w:pPr>
            <w:r>
              <w:rPr>
                <w:rFonts w:ascii="宋体" w:hAnsi="宋体" w:cs="宋体" w:eastAsia="宋体" w:hint="default"/>
                <w:sz w:val="18"/>
                <w:szCs w:val="18"/>
              </w:rPr>
              <w:t>注释</w:t>
            </w:r>
          </w:p>
        </w:tc>
        <w:tc>
          <w:tcPr>
            <w:tcW w:w="918"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35"/>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10"/>
                <w:sz w:val="18"/>
                <w:szCs w:val="18"/>
              </w:rPr>
              <w:t> </w:t>
            </w:r>
            <w:r>
              <w:rPr>
                <w:rFonts w:ascii="宋体" w:hAnsi="宋体" w:cs="宋体" w:eastAsia="宋体" w:hint="default"/>
                <w:sz w:val="18"/>
                <w:szCs w:val="18"/>
              </w:rPr>
              <w:t>年</w:t>
            </w:r>
          </w:p>
        </w:tc>
        <w:tc>
          <w:tcPr>
            <w:tcW w:w="154" w:type="dxa"/>
            <w:tcBorders>
              <w:top w:val="single" w:sz="6" w:space="0" w:color="000000"/>
              <w:left w:val="nil" w:sz="6" w:space="0" w:color="auto"/>
              <w:bottom w:val="nil" w:sz="6" w:space="0" w:color="auto"/>
              <w:right w:val="nil" w:sz="6" w:space="0" w:color="auto"/>
            </w:tcBorders>
          </w:tcPr>
          <w:p>
            <w:pPr/>
          </w:p>
        </w:tc>
        <w:tc>
          <w:tcPr>
            <w:tcW w:w="872" w:type="dxa"/>
            <w:tcBorders>
              <w:top w:val="single" w:sz="6" w:space="0" w:color="000000"/>
              <w:left w:val="nil" w:sz="6" w:space="0" w:color="auto"/>
              <w:bottom w:val="single" w:sz="6" w:space="0" w:color="000000"/>
              <w:right w:val="nil" w:sz="6" w:space="0" w:color="auto"/>
            </w:tcBorders>
          </w:tcPr>
          <w:p>
            <w:pPr>
              <w:pStyle w:val="TableParagraph"/>
              <w:spacing w:line="240" w:lineRule="auto" w:before="22"/>
              <w:ind w:right="37"/>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0"/>
                <w:sz w:val="18"/>
                <w:szCs w:val="18"/>
              </w:rPr>
              <w:t> </w:t>
            </w:r>
            <w:r>
              <w:rPr>
                <w:rFonts w:ascii="宋体" w:hAnsi="宋体" w:cs="宋体" w:eastAsia="宋体" w:hint="default"/>
                <w:sz w:val="18"/>
                <w:szCs w:val="18"/>
              </w:rPr>
              <w:t>年</w:t>
            </w:r>
          </w:p>
        </w:tc>
        <w:tc>
          <w:tcPr>
            <w:tcW w:w="2006" w:type="dxa"/>
            <w:tcBorders>
              <w:top w:val="nil" w:sz="6" w:space="0" w:color="auto"/>
              <w:left w:val="nil" w:sz="6" w:space="0" w:color="auto"/>
              <w:bottom w:val="single" w:sz="6" w:space="0" w:color="000000"/>
              <w:right w:val="nil" w:sz="6" w:space="0" w:color="auto"/>
            </w:tcBorders>
          </w:tcPr>
          <w:p>
            <w:pPr>
              <w:pStyle w:val="TableParagraph"/>
              <w:spacing w:line="118" w:lineRule="exact"/>
              <w:ind w:left="72" w:right="0"/>
              <w:jc w:val="center"/>
              <w:rPr>
                <w:rFonts w:ascii="宋体" w:hAnsi="宋体" w:cs="宋体" w:eastAsia="宋体" w:hint="default"/>
                <w:sz w:val="18"/>
                <w:szCs w:val="18"/>
              </w:rPr>
            </w:pPr>
            <w:r>
              <w:rPr>
                <w:rFonts w:ascii="宋体" w:hAnsi="宋体" w:cs="宋体" w:eastAsia="宋体" w:hint="default"/>
                <w:sz w:val="18"/>
                <w:szCs w:val="18"/>
              </w:rPr>
              <w:t>高新技术企业证书编号</w:t>
            </w:r>
          </w:p>
        </w:tc>
        <w:tc>
          <w:tcPr>
            <w:tcW w:w="2080" w:type="dxa"/>
            <w:tcBorders>
              <w:top w:val="nil" w:sz="6" w:space="0" w:color="auto"/>
              <w:left w:val="nil" w:sz="6" w:space="0" w:color="auto"/>
              <w:bottom w:val="single" w:sz="6" w:space="0" w:color="000000"/>
              <w:right w:val="nil" w:sz="6" w:space="0" w:color="auto"/>
            </w:tcBorders>
          </w:tcPr>
          <w:p>
            <w:pPr>
              <w:pStyle w:val="TableParagraph"/>
              <w:spacing w:line="234" w:lineRule="exact"/>
              <w:ind w:left="42" w:right="0"/>
              <w:jc w:val="center"/>
              <w:rPr>
                <w:rFonts w:ascii="宋体" w:hAnsi="宋体" w:cs="宋体" w:eastAsia="宋体" w:hint="default"/>
                <w:sz w:val="18"/>
                <w:szCs w:val="18"/>
              </w:rPr>
            </w:pPr>
            <w:r>
              <w:rPr>
                <w:rFonts w:ascii="宋体" w:hAnsi="宋体" w:cs="宋体" w:eastAsia="宋体" w:hint="default"/>
                <w:sz w:val="18"/>
                <w:szCs w:val="18"/>
              </w:rPr>
              <w:t>起始年度及有效期</w:t>
            </w:r>
          </w:p>
        </w:tc>
      </w:tr>
      <w:tr>
        <w:trPr>
          <w:trHeight w:val="594" w:hRule="exact"/>
        </w:trPr>
        <w:tc>
          <w:tcPr>
            <w:tcW w:w="2467"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系统集成公司</w:t>
            </w:r>
          </w:p>
        </w:tc>
        <w:tc>
          <w:tcPr>
            <w:tcW w:w="485" w:type="dxa"/>
            <w:tcBorders>
              <w:top w:val="single" w:sz="6" w:space="0" w:color="000000"/>
              <w:left w:val="nil" w:sz="6" w:space="0" w:color="auto"/>
              <w:bottom w:val="nil" w:sz="6" w:space="0" w:color="auto"/>
              <w:right w:val="nil" w:sz="6" w:space="0" w:color="auto"/>
            </w:tcBorders>
          </w:tcPr>
          <w:p>
            <w:pPr/>
          </w:p>
        </w:tc>
        <w:tc>
          <w:tcPr>
            <w:tcW w:w="918" w:type="dxa"/>
            <w:tcBorders>
              <w:top w:val="single" w:sz="6" w:space="0" w:color="000000"/>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872" w:type="dxa"/>
            <w:tcBorders>
              <w:top w:val="single" w:sz="6" w:space="0" w:color="000000"/>
              <w:left w:val="nil" w:sz="6" w:space="0" w:color="auto"/>
              <w:bottom w:val="nil" w:sz="6" w:space="0" w:color="auto"/>
              <w:right w:val="nil" w:sz="6" w:space="0" w:color="auto"/>
            </w:tcBorders>
          </w:tcPr>
          <w:p>
            <w:pPr/>
          </w:p>
        </w:tc>
        <w:tc>
          <w:tcPr>
            <w:tcW w:w="2006" w:type="dxa"/>
            <w:tcBorders>
              <w:top w:val="single" w:sz="6" w:space="0" w:color="000000"/>
              <w:left w:val="nil" w:sz="6" w:space="0" w:color="auto"/>
              <w:bottom w:val="nil" w:sz="6" w:space="0" w:color="auto"/>
              <w:right w:val="nil" w:sz="6" w:space="0" w:color="auto"/>
            </w:tcBorders>
          </w:tcPr>
          <w:p>
            <w:pPr/>
          </w:p>
        </w:tc>
        <w:tc>
          <w:tcPr>
            <w:tcW w:w="2080" w:type="dxa"/>
            <w:tcBorders>
              <w:top w:val="single" w:sz="6" w:space="0" w:color="000000"/>
              <w:left w:val="nil" w:sz="6" w:space="0" w:color="auto"/>
              <w:bottom w:val="nil" w:sz="6" w:space="0" w:color="auto"/>
              <w:right w:val="nil" w:sz="6" w:space="0" w:color="auto"/>
            </w:tcBorders>
          </w:tcPr>
          <w:p>
            <w:pPr/>
          </w:p>
        </w:tc>
      </w:tr>
      <w:tr>
        <w:trPr>
          <w:trHeight w:val="299"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25" w:lineRule="exact"/>
              <w:ind w:left="215" w:right="0"/>
              <w:jc w:val="left"/>
              <w:rPr>
                <w:rFonts w:ascii="宋体" w:hAnsi="宋体" w:cs="宋体" w:eastAsia="宋体" w:hint="default"/>
                <w:sz w:val="18"/>
                <w:szCs w:val="18"/>
              </w:rPr>
            </w:pPr>
            <w:r>
              <w:rPr>
                <w:rFonts w:ascii="宋体" w:hAnsi="宋体" w:cs="宋体" w:eastAsia="宋体" w:hint="default"/>
                <w:sz w:val="18"/>
                <w:szCs w:val="18"/>
              </w:rPr>
              <w:t>系统集成公司北京总部</w:t>
            </w: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0"/>
              <w:jc w:val="center"/>
              <w:rPr>
                <w:rFonts w:ascii="Arial" w:hAnsi="Arial" w:cs="Arial" w:eastAsia="Arial" w:hint="default"/>
                <w:sz w:val="18"/>
                <w:szCs w:val="18"/>
              </w:rPr>
            </w:pPr>
            <w:r>
              <w:rPr>
                <w:rFonts w:ascii="Arial"/>
                <w:sz w:val="18"/>
              </w:rPr>
              <w:t>(1)</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4"/>
              <w:jc w:val="center"/>
              <w:rPr>
                <w:rFonts w:ascii="Arial" w:hAnsi="Arial" w:cs="Arial" w:eastAsia="Arial" w:hint="default"/>
                <w:sz w:val="18"/>
                <w:szCs w:val="18"/>
              </w:rPr>
            </w:pPr>
            <w:r>
              <w:rPr>
                <w:rFonts w:ascii="Arial"/>
                <w:sz w:val="18"/>
              </w:rPr>
              <w:t>7.5%</w:t>
            </w:r>
          </w:p>
        </w:tc>
        <w:tc>
          <w:tcPr>
            <w:tcW w:w="154"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
              <w:jc w:val="center"/>
              <w:rPr>
                <w:rFonts w:ascii="Arial" w:hAnsi="Arial" w:cs="Arial" w:eastAsia="Arial" w:hint="default"/>
                <w:sz w:val="18"/>
                <w:szCs w:val="18"/>
              </w:rPr>
            </w:pPr>
            <w:r>
              <w:rPr>
                <w:rFonts w:ascii="Arial"/>
                <w:sz w:val="18"/>
              </w:rPr>
              <w:t>15%</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6" w:right="0"/>
              <w:jc w:val="center"/>
              <w:rPr>
                <w:rFonts w:ascii="Arial" w:hAnsi="Arial" w:cs="Arial" w:eastAsia="Arial" w:hint="default"/>
                <w:sz w:val="18"/>
                <w:szCs w:val="18"/>
              </w:rPr>
            </w:pPr>
            <w:r>
              <w:rPr>
                <w:rFonts w:ascii="Arial"/>
                <w:sz w:val="18"/>
              </w:rPr>
              <w:t>GF201111002003</w:t>
            </w:r>
          </w:p>
        </w:tc>
        <w:tc>
          <w:tcPr>
            <w:tcW w:w="2080" w:type="dxa"/>
            <w:tcBorders>
              <w:top w:val="nil" w:sz="6" w:space="0" w:color="auto"/>
              <w:left w:val="nil" w:sz="6" w:space="0" w:color="auto"/>
              <w:bottom w:val="nil" w:sz="6" w:space="0" w:color="auto"/>
              <w:right w:val="nil" w:sz="6" w:space="0" w:color="auto"/>
            </w:tcBorders>
          </w:tcPr>
          <w:p>
            <w:pPr>
              <w:pStyle w:val="TableParagraph"/>
              <w:spacing w:line="238" w:lineRule="exact"/>
              <w:ind w:left="43" w:right="0"/>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7"/>
                <w:sz w:val="18"/>
                <w:szCs w:val="18"/>
              </w:rPr>
              <w:t> </w:t>
            </w:r>
            <w:r>
              <w:rPr>
                <w:rFonts w:ascii="宋体" w:hAnsi="宋体" w:cs="宋体" w:eastAsia="宋体" w:hint="default"/>
                <w:sz w:val="18"/>
                <w:szCs w:val="18"/>
              </w:rPr>
              <w:t>年，有效期三年</w:t>
            </w:r>
          </w:p>
        </w:tc>
      </w:tr>
      <w:tr>
        <w:trPr>
          <w:trHeight w:val="288"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14" w:lineRule="exact"/>
              <w:ind w:left="215" w:right="0"/>
              <w:jc w:val="left"/>
              <w:rPr>
                <w:rFonts w:ascii="宋体" w:hAnsi="宋体" w:cs="宋体" w:eastAsia="宋体" w:hint="default"/>
                <w:sz w:val="18"/>
                <w:szCs w:val="18"/>
              </w:rPr>
            </w:pPr>
            <w:r>
              <w:rPr>
                <w:rFonts w:ascii="宋体" w:hAnsi="宋体" w:cs="宋体" w:eastAsia="宋体" w:hint="default"/>
                <w:sz w:val="18"/>
                <w:szCs w:val="18"/>
              </w:rPr>
              <w:t>系统集成公司所属各分公司</w:t>
            </w: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0"/>
              <w:jc w:val="center"/>
              <w:rPr>
                <w:rFonts w:ascii="Arial" w:hAnsi="Arial" w:cs="Arial" w:eastAsia="Arial" w:hint="default"/>
                <w:sz w:val="18"/>
                <w:szCs w:val="18"/>
              </w:rPr>
            </w:pPr>
            <w:r>
              <w:rPr>
                <w:rFonts w:ascii="Arial"/>
                <w:sz w:val="18"/>
              </w:rPr>
              <w:t>(2)</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
              <w:jc w:val="center"/>
              <w:rPr>
                <w:rFonts w:ascii="Arial" w:hAnsi="Arial" w:cs="Arial" w:eastAsia="Arial" w:hint="default"/>
                <w:sz w:val="18"/>
                <w:szCs w:val="18"/>
              </w:rPr>
            </w:pPr>
            <w:r>
              <w:rPr>
                <w:rFonts w:ascii="Arial"/>
                <w:sz w:val="18"/>
              </w:rPr>
              <w:t>15%</w:t>
            </w:r>
          </w:p>
        </w:tc>
        <w:tc>
          <w:tcPr>
            <w:tcW w:w="154"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7"/>
              <w:jc w:val="center"/>
              <w:rPr>
                <w:rFonts w:ascii="Arial" w:hAnsi="Arial" w:cs="Arial" w:eastAsia="Arial" w:hint="default"/>
                <w:sz w:val="18"/>
                <w:szCs w:val="18"/>
              </w:rPr>
            </w:pPr>
            <w:r>
              <w:rPr>
                <w:rFonts w:ascii="Arial"/>
                <w:sz w:val="18"/>
              </w:rPr>
              <w:t>15%</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16" w:right="0"/>
              <w:jc w:val="center"/>
              <w:rPr>
                <w:rFonts w:ascii="Arial" w:hAnsi="Arial" w:cs="Arial" w:eastAsia="Arial" w:hint="default"/>
                <w:sz w:val="18"/>
                <w:szCs w:val="18"/>
              </w:rPr>
            </w:pPr>
            <w:r>
              <w:rPr>
                <w:rFonts w:ascii="Arial"/>
                <w:sz w:val="18"/>
              </w:rPr>
              <w:t>GF201111002003</w:t>
            </w:r>
          </w:p>
        </w:tc>
        <w:tc>
          <w:tcPr>
            <w:tcW w:w="2080" w:type="dxa"/>
            <w:tcBorders>
              <w:top w:val="nil" w:sz="6" w:space="0" w:color="auto"/>
              <w:left w:val="nil" w:sz="6" w:space="0" w:color="auto"/>
              <w:bottom w:val="nil" w:sz="6" w:space="0" w:color="auto"/>
              <w:right w:val="nil" w:sz="6" w:space="0" w:color="auto"/>
            </w:tcBorders>
          </w:tcPr>
          <w:p>
            <w:pPr>
              <w:pStyle w:val="TableParagraph"/>
              <w:spacing w:line="227" w:lineRule="exact"/>
              <w:ind w:left="43" w:right="0"/>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7"/>
                <w:sz w:val="18"/>
                <w:szCs w:val="18"/>
              </w:rPr>
              <w:t> </w:t>
            </w:r>
            <w:r>
              <w:rPr>
                <w:rFonts w:ascii="宋体" w:hAnsi="宋体" w:cs="宋体" w:eastAsia="宋体" w:hint="default"/>
                <w:sz w:val="18"/>
                <w:szCs w:val="18"/>
              </w:rPr>
              <w:t>年，有效期三年</w:t>
            </w:r>
          </w:p>
        </w:tc>
      </w:tr>
      <w:tr>
        <w:trPr>
          <w:trHeight w:val="483"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34" w:lineRule="exact" w:before="2"/>
              <w:ind w:left="17" w:right="107" w:firstLine="27"/>
              <w:jc w:val="left"/>
              <w:rPr>
                <w:rFonts w:ascii="宋体" w:hAnsi="宋体" w:cs="宋体" w:eastAsia="宋体" w:hint="default"/>
                <w:sz w:val="18"/>
                <w:szCs w:val="18"/>
              </w:rPr>
            </w:pPr>
            <w:r>
              <w:rPr>
                <w:rFonts w:ascii="宋体" w:hAnsi="宋体" w:cs="宋体" w:eastAsia="宋体" w:hint="default"/>
                <w:sz w:val="18"/>
                <w:szCs w:val="18"/>
              </w:rPr>
              <w:t>宽带在线 中讯邮电咨询设计院有限公司</w:t>
            </w: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0"/>
              <w:jc w:val="center"/>
              <w:rPr>
                <w:rFonts w:ascii="Arial" w:hAnsi="Arial" w:cs="Arial" w:eastAsia="Arial" w:hint="default"/>
                <w:sz w:val="18"/>
                <w:szCs w:val="18"/>
              </w:rPr>
            </w:pPr>
            <w:r>
              <w:rPr>
                <w:rFonts w:ascii="Arial"/>
                <w:sz w:val="18"/>
              </w:rPr>
              <w:t>(1)</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
              <w:jc w:val="center"/>
              <w:rPr>
                <w:rFonts w:ascii="Arial" w:hAnsi="Arial" w:cs="Arial" w:eastAsia="Arial" w:hint="default"/>
                <w:sz w:val="18"/>
                <w:szCs w:val="18"/>
              </w:rPr>
            </w:pPr>
            <w:r>
              <w:rPr>
                <w:rFonts w:ascii="Arial"/>
                <w:sz w:val="18"/>
              </w:rPr>
              <w:t>7.5%</w:t>
            </w:r>
          </w:p>
        </w:tc>
        <w:tc>
          <w:tcPr>
            <w:tcW w:w="154"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6"/>
              <w:jc w:val="center"/>
              <w:rPr>
                <w:rFonts w:ascii="Arial" w:hAnsi="Arial" w:cs="Arial" w:eastAsia="Arial" w:hint="default"/>
                <w:sz w:val="18"/>
                <w:szCs w:val="18"/>
              </w:rPr>
            </w:pPr>
            <w:r>
              <w:rPr>
                <w:rFonts w:ascii="Arial"/>
                <w:sz w:val="18"/>
              </w:rPr>
              <w:t>15%</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16" w:right="0"/>
              <w:jc w:val="center"/>
              <w:rPr>
                <w:rFonts w:ascii="Arial" w:hAnsi="Arial" w:cs="Arial" w:eastAsia="Arial" w:hint="default"/>
                <w:sz w:val="18"/>
                <w:szCs w:val="18"/>
              </w:rPr>
            </w:pPr>
            <w:r>
              <w:rPr>
                <w:rFonts w:ascii="Arial"/>
                <w:sz w:val="18"/>
              </w:rPr>
              <w:t>GF201111001613</w:t>
            </w:r>
          </w:p>
        </w:tc>
        <w:tc>
          <w:tcPr>
            <w:tcW w:w="2080" w:type="dxa"/>
            <w:tcBorders>
              <w:top w:val="nil" w:sz="6" w:space="0" w:color="auto"/>
              <w:left w:val="nil" w:sz="6" w:space="0" w:color="auto"/>
              <w:bottom w:val="nil" w:sz="6" w:space="0" w:color="auto"/>
              <w:right w:val="nil" w:sz="6" w:space="0" w:color="auto"/>
            </w:tcBorders>
          </w:tcPr>
          <w:p>
            <w:pPr>
              <w:pStyle w:val="TableParagraph"/>
              <w:spacing w:line="227" w:lineRule="exact"/>
              <w:ind w:left="43" w:right="0"/>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7"/>
                <w:sz w:val="18"/>
                <w:szCs w:val="18"/>
              </w:rPr>
              <w:t> </w:t>
            </w:r>
            <w:r>
              <w:rPr>
                <w:rFonts w:ascii="宋体" w:hAnsi="宋体" w:cs="宋体" w:eastAsia="宋体" w:hint="default"/>
                <w:sz w:val="18"/>
                <w:szCs w:val="18"/>
              </w:rPr>
              <w:t>年，有效期三年</w:t>
            </w:r>
          </w:p>
        </w:tc>
      </w:tr>
      <w:tr>
        <w:trPr>
          <w:trHeight w:val="250"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198" w:lineRule="exact"/>
              <w:ind w:left="17" w:right="0"/>
              <w:jc w:val="left"/>
              <w:rPr>
                <w:rFonts w:ascii="宋体" w:hAnsi="宋体" w:cs="宋体" w:eastAsia="宋体" w:hint="default"/>
                <w:sz w:val="18"/>
                <w:szCs w:val="18"/>
              </w:rPr>
            </w:pPr>
            <w:r>
              <w:rPr>
                <w:rFonts w:ascii="宋体" w:hAnsi="宋体" w:cs="宋体" w:eastAsia="宋体" w:hint="default"/>
                <w:sz w:val="18"/>
                <w:szCs w:val="18"/>
              </w:rPr>
              <w:t>（“中讯设计院”）</w:t>
            </w: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0"/>
              <w:jc w:val="center"/>
              <w:rPr>
                <w:rFonts w:ascii="Arial" w:hAnsi="Arial" w:cs="Arial" w:eastAsia="Arial" w:hint="default"/>
                <w:sz w:val="18"/>
                <w:szCs w:val="18"/>
              </w:rPr>
            </w:pPr>
            <w:r>
              <w:rPr>
                <w:rFonts w:ascii="Arial"/>
                <w:sz w:val="18"/>
              </w:rPr>
              <w:t>(2)</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
              <w:jc w:val="center"/>
              <w:rPr>
                <w:rFonts w:ascii="Arial" w:hAnsi="Arial" w:cs="Arial" w:eastAsia="Arial" w:hint="default"/>
                <w:sz w:val="18"/>
                <w:szCs w:val="18"/>
              </w:rPr>
            </w:pPr>
            <w:r>
              <w:rPr>
                <w:rFonts w:ascii="Arial"/>
                <w:sz w:val="18"/>
              </w:rPr>
              <w:t>15%</w:t>
            </w:r>
          </w:p>
        </w:tc>
        <w:tc>
          <w:tcPr>
            <w:tcW w:w="154"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7"/>
              <w:jc w:val="center"/>
              <w:rPr>
                <w:rFonts w:ascii="Arial" w:hAnsi="Arial" w:cs="Arial" w:eastAsia="Arial" w:hint="default"/>
                <w:sz w:val="18"/>
                <w:szCs w:val="18"/>
              </w:rPr>
            </w:pPr>
            <w:r>
              <w:rPr>
                <w:rFonts w:ascii="Arial"/>
                <w:sz w:val="18"/>
              </w:rPr>
              <w:t>15%</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6" w:right="0"/>
              <w:jc w:val="center"/>
              <w:rPr>
                <w:rFonts w:ascii="Arial" w:hAnsi="Arial" w:cs="Arial" w:eastAsia="Arial" w:hint="default"/>
                <w:sz w:val="18"/>
                <w:szCs w:val="18"/>
              </w:rPr>
            </w:pPr>
            <w:r>
              <w:rPr>
                <w:rFonts w:ascii="Arial"/>
                <w:sz w:val="18"/>
              </w:rPr>
              <w:t>GF201211000604</w:t>
            </w:r>
          </w:p>
        </w:tc>
        <w:tc>
          <w:tcPr>
            <w:tcW w:w="2080" w:type="dxa"/>
            <w:tcBorders>
              <w:top w:val="nil" w:sz="6" w:space="0" w:color="auto"/>
              <w:left w:val="nil" w:sz="6" w:space="0" w:color="auto"/>
              <w:bottom w:val="nil" w:sz="6" w:space="0" w:color="auto"/>
              <w:right w:val="nil" w:sz="6" w:space="0" w:color="auto"/>
            </w:tcBorders>
          </w:tcPr>
          <w:p>
            <w:pPr>
              <w:pStyle w:val="TableParagraph"/>
              <w:spacing w:line="211" w:lineRule="exact"/>
              <w:ind w:left="43"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9"/>
                <w:sz w:val="18"/>
                <w:szCs w:val="18"/>
              </w:rPr>
              <w:t> </w:t>
            </w:r>
            <w:r>
              <w:rPr>
                <w:rFonts w:ascii="宋体" w:hAnsi="宋体" w:cs="宋体" w:eastAsia="宋体" w:hint="default"/>
                <w:sz w:val="18"/>
                <w:szCs w:val="18"/>
              </w:rPr>
              <w:t>年，有效期三年</w:t>
            </w:r>
          </w:p>
        </w:tc>
      </w:tr>
      <w:tr>
        <w:trPr>
          <w:trHeight w:val="228"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193" w:lineRule="exact"/>
              <w:ind w:left="17" w:right="0"/>
              <w:jc w:val="left"/>
              <w:rPr>
                <w:rFonts w:ascii="宋体" w:hAnsi="宋体" w:cs="宋体" w:eastAsia="宋体" w:hint="default"/>
                <w:sz w:val="18"/>
                <w:szCs w:val="18"/>
              </w:rPr>
            </w:pPr>
            <w:r>
              <w:rPr>
                <w:rFonts w:ascii="宋体" w:hAnsi="宋体" w:cs="宋体" w:eastAsia="宋体" w:hint="default"/>
                <w:sz w:val="18"/>
                <w:szCs w:val="18"/>
              </w:rPr>
              <w:t>北京电信规划设计院有限公司</w:t>
            </w:r>
          </w:p>
        </w:tc>
        <w:tc>
          <w:tcPr>
            <w:tcW w:w="485" w:type="dxa"/>
            <w:tcBorders>
              <w:top w:val="nil" w:sz="6" w:space="0" w:color="auto"/>
              <w:left w:val="nil" w:sz="6" w:space="0" w:color="auto"/>
              <w:bottom w:val="nil" w:sz="6" w:space="0" w:color="auto"/>
              <w:right w:val="nil" w:sz="6" w:space="0" w:color="auto"/>
            </w:tcBorders>
          </w:tcPr>
          <w:p>
            <w:pPr/>
          </w:p>
        </w:tc>
        <w:tc>
          <w:tcPr>
            <w:tcW w:w="918" w:type="dxa"/>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2006"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
        </w:tc>
      </w:tr>
      <w:tr>
        <w:trPr>
          <w:trHeight w:val="272"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198" w:lineRule="exact"/>
              <w:ind w:left="17" w:right="0"/>
              <w:jc w:val="left"/>
              <w:rPr>
                <w:rFonts w:ascii="宋体" w:hAnsi="宋体" w:cs="宋体" w:eastAsia="宋体" w:hint="default"/>
                <w:sz w:val="18"/>
                <w:szCs w:val="18"/>
              </w:rPr>
            </w:pPr>
            <w:r>
              <w:rPr>
                <w:rFonts w:ascii="宋体" w:hAnsi="宋体" w:cs="宋体" w:eastAsia="宋体" w:hint="default"/>
                <w:sz w:val="18"/>
                <w:szCs w:val="18"/>
              </w:rPr>
              <w:t>（“规划设计院”）</w:t>
            </w: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0"/>
              <w:jc w:val="center"/>
              <w:rPr>
                <w:rFonts w:ascii="Arial" w:hAnsi="Arial" w:cs="Arial" w:eastAsia="Arial" w:hint="default"/>
                <w:sz w:val="18"/>
                <w:szCs w:val="18"/>
              </w:rPr>
            </w:pPr>
            <w:r>
              <w:rPr>
                <w:rFonts w:ascii="Arial"/>
                <w:sz w:val="18"/>
              </w:rPr>
              <w:t>(2)</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
              <w:jc w:val="center"/>
              <w:rPr>
                <w:rFonts w:ascii="Arial" w:hAnsi="Arial" w:cs="Arial" w:eastAsia="Arial" w:hint="default"/>
                <w:sz w:val="18"/>
                <w:szCs w:val="18"/>
              </w:rPr>
            </w:pPr>
            <w:r>
              <w:rPr>
                <w:rFonts w:ascii="Arial"/>
                <w:sz w:val="18"/>
              </w:rPr>
              <w:t>15%</w:t>
            </w:r>
          </w:p>
        </w:tc>
        <w:tc>
          <w:tcPr>
            <w:tcW w:w="154"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7"/>
              <w:jc w:val="center"/>
              <w:rPr>
                <w:rFonts w:ascii="Arial" w:hAnsi="Arial" w:cs="Arial" w:eastAsia="Arial" w:hint="default"/>
                <w:sz w:val="18"/>
                <w:szCs w:val="18"/>
              </w:rPr>
            </w:pPr>
            <w:r>
              <w:rPr>
                <w:rFonts w:ascii="Arial"/>
                <w:sz w:val="18"/>
              </w:rPr>
              <w:t>15%</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6" w:right="0"/>
              <w:jc w:val="center"/>
              <w:rPr>
                <w:rFonts w:ascii="Arial" w:hAnsi="Arial" w:cs="Arial" w:eastAsia="Arial" w:hint="default"/>
                <w:sz w:val="18"/>
                <w:szCs w:val="18"/>
              </w:rPr>
            </w:pPr>
            <w:r>
              <w:rPr>
                <w:rFonts w:ascii="Arial"/>
                <w:sz w:val="18"/>
              </w:rPr>
              <w:t>GF201211000757</w:t>
            </w:r>
          </w:p>
        </w:tc>
        <w:tc>
          <w:tcPr>
            <w:tcW w:w="2080" w:type="dxa"/>
            <w:tcBorders>
              <w:top w:val="nil" w:sz="6" w:space="0" w:color="auto"/>
              <w:left w:val="nil" w:sz="6" w:space="0" w:color="auto"/>
              <w:bottom w:val="nil" w:sz="6" w:space="0" w:color="auto"/>
              <w:right w:val="nil" w:sz="6" w:space="0" w:color="auto"/>
            </w:tcBorders>
          </w:tcPr>
          <w:p>
            <w:pPr>
              <w:pStyle w:val="TableParagraph"/>
              <w:spacing w:line="211" w:lineRule="exact"/>
              <w:ind w:left="43"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9"/>
                <w:sz w:val="18"/>
                <w:szCs w:val="18"/>
              </w:rPr>
              <w:t> </w:t>
            </w:r>
            <w:r>
              <w:rPr>
                <w:rFonts w:ascii="宋体" w:hAnsi="宋体" w:cs="宋体" w:eastAsia="宋体" w:hint="default"/>
                <w:sz w:val="18"/>
                <w:szCs w:val="18"/>
              </w:rPr>
              <w:t>年，有效期三年</w:t>
            </w:r>
          </w:p>
        </w:tc>
      </w:tr>
      <w:tr>
        <w:trPr>
          <w:trHeight w:val="288"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14" w:lineRule="exact"/>
              <w:ind w:left="45" w:right="0"/>
              <w:jc w:val="left"/>
              <w:rPr>
                <w:rFonts w:ascii="宋体" w:hAnsi="宋体" w:cs="宋体" w:eastAsia="宋体" w:hint="default"/>
                <w:sz w:val="18"/>
                <w:szCs w:val="18"/>
              </w:rPr>
            </w:pPr>
            <w:r>
              <w:rPr>
                <w:rFonts w:ascii="宋体" w:hAnsi="宋体" w:cs="宋体" w:eastAsia="宋体" w:hint="default"/>
                <w:sz w:val="18"/>
                <w:szCs w:val="18"/>
              </w:rPr>
              <w:t>联通兴业</w:t>
            </w: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0"/>
              <w:jc w:val="center"/>
              <w:rPr>
                <w:rFonts w:ascii="Arial" w:hAnsi="Arial" w:cs="Arial" w:eastAsia="Arial" w:hint="default"/>
                <w:sz w:val="18"/>
                <w:szCs w:val="18"/>
              </w:rPr>
            </w:pPr>
            <w:r>
              <w:rPr>
                <w:rFonts w:ascii="Arial"/>
                <w:sz w:val="18"/>
              </w:rPr>
              <w:t>(2)</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
              <w:jc w:val="center"/>
              <w:rPr>
                <w:rFonts w:ascii="Arial" w:hAnsi="Arial" w:cs="Arial" w:eastAsia="Arial" w:hint="default"/>
                <w:sz w:val="18"/>
                <w:szCs w:val="18"/>
              </w:rPr>
            </w:pPr>
            <w:r>
              <w:rPr>
                <w:rFonts w:ascii="Arial"/>
                <w:sz w:val="18"/>
              </w:rPr>
              <w:t>15%</w:t>
            </w:r>
          </w:p>
        </w:tc>
        <w:tc>
          <w:tcPr>
            <w:tcW w:w="154"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7"/>
              <w:jc w:val="center"/>
              <w:rPr>
                <w:rFonts w:ascii="Arial" w:hAnsi="Arial" w:cs="Arial" w:eastAsia="Arial" w:hint="default"/>
                <w:sz w:val="18"/>
                <w:szCs w:val="18"/>
              </w:rPr>
            </w:pPr>
            <w:r>
              <w:rPr>
                <w:rFonts w:ascii="Arial"/>
                <w:sz w:val="18"/>
              </w:rPr>
              <w:t>15%</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16" w:right="0"/>
              <w:jc w:val="center"/>
              <w:rPr>
                <w:rFonts w:ascii="Arial" w:hAnsi="Arial" w:cs="Arial" w:eastAsia="Arial" w:hint="default"/>
                <w:sz w:val="18"/>
                <w:szCs w:val="18"/>
              </w:rPr>
            </w:pPr>
            <w:r>
              <w:rPr>
                <w:rFonts w:ascii="Arial"/>
                <w:sz w:val="18"/>
              </w:rPr>
              <w:t>GF201111001194</w:t>
            </w:r>
          </w:p>
        </w:tc>
        <w:tc>
          <w:tcPr>
            <w:tcW w:w="2080" w:type="dxa"/>
            <w:tcBorders>
              <w:top w:val="nil" w:sz="6" w:space="0" w:color="auto"/>
              <w:left w:val="nil" w:sz="6" w:space="0" w:color="auto"/>
              <w:bottom w:val="nil" w:sz="6" w:space="0" w:color="auto"/>
              <w:right w:val="nil" w:sz="6" w:space="0" w:color="auto"/>
            </w:tcBorders>
          </w:tcPr>
          <w:p>
            <w:pPr>
              <w:pStyle w:val="TableParagraph"/>
              <w:spacing w:line="227" w:lineRule="exact"/>
              <w:ind w:left="43" w:right="0"/>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7"/>
                <w:sz w:val="18"/>
                <w:szCs w:val="18"/>
              </w:rPr>
              <w:t> </w:t>
            </w:r>
            <w:r>
              <w:rPr>
                <w:rFonts w:ascii="宋体" w:hAnsi="宋体" w:cs="宋体" w:eastAsia="宋体" w:hint="default"/>
                <w:sz w:val="18"/>
                <w:szCs w:val="18"/>
              </w:rPr>
              <w:t>年，有效期三年</w:t>
            </w:r>
          </w:p>
        </w:tc>
      </w:tr>
      <w:tr>
        <w:trPr>
          <w:trHeight w:val="345"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14" w:lineRule="exact"/>
              <w:ind w:left="45" w:right="0"/>
              <w:jc w:val="left"/>
              <w:rPr>
                <w:rFonts w:ascii="宋体" w:hAnsi="宋体" w:cs="宋体" w:eastAsia="宋体" w:hint="default"/>
                <w:sz w:val="18"/>
                <w:szCs w:val="18"/>
              </w:rPr>
            </w:pPr>
            <w:r>
              <w:rPr>
                <w:rFonts w:ascii="宋体" w:hAnsi="宋体" w:cs="宋体" w:eastAsia="宋体" w:hint="default"/>
                <w:sz w:val="18"/>
                <w:szCs w:val="18"/>
              </w:rPr>
              <w:t>联通新时讯</w:t>
            </w: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0"/>
              <w:jc w:val="center"/>
              <w:rPr>
                <w:rFonts w:ascii="Arial" w:hAnsi="Arial" w:cs="Arial" w:eastAsia="Arial" w:hint="default"/>
                <w:sz w:val="18"/>
                <w:szCs w:val="18"/>
              </w:rPr>
            </w:pPr>
            <w:r>
              <w:rPr>
                <w:rFonts w:ascii="Arial"/>
                <w:sz w:val="18"/>
              </w:rPr>
              <w:t>(3)</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
              <w:jc w:val="center"/>
              <w:rPr>
                <w:rFonts w:ascii="Arial" w:hAnsi="Arial" w:cs="Arial" w:eastAsia="Arial" w:hint="default"/>
                <w:sz w:val="18"/>
                <w:szCs w:val="18"/>
              </w:rPr>
            </w:pPr>
            <w:r>
              <w:rPr>
                <w:rFonts w:ascii="Arial"/>
                <w:sz w:val="18"/>
              </w:rPr>
              <w:t>15%</w:t>
            </w:r>
          </w:p>
        </w:tc>
        <w:tc>
          <w:tcPr>
            <w:tcW w:w="154"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7"/>
              <w:jc w:val="center"/>
              <w:rPr>
                <w:rFonts w:ascii="Arial" w:hAnsi="Arial" w:cs="Arial" w:eastAsia="Arial" w:hint="default"/>
                <w:sz w:val="18"/>
                <w:szCs w:val="18"/>
              </w:rPr>
            </w:pPr>
            <w:r>
              <w:rPr>
                <w:rFonts w:ascii="Arial"/>
                <w:sz w:val="18"/>
              </w:rPr>
              <w:t>25%</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17" w:right="0"/>
              <w:jc w:val="center"/>
              <w:rPr>
                <w:rFonts w:ascii="Arial" w:hAnsi="Arial" w:cs="Arial" w:eastAsia="Arial" w:hint="default"/>
                <w:sz w:val="18"/>
                <w:szCs w:val="18"/>
              </w:rPr>
            </w:pPr>
            <w:r>
              <w:rPr>
                <w:rFonts w:ascii="Arial"/>
                <w:sz w:val="18"/>
              </w:rPr>
              <w:t>GR200911001817</w:t>
            </w:r>
          </w:p>
        </w:tc>
        <w:tc>
          <w:tcPr>
            <w:tcW w:w="2080" w:type="dxa"/>
            <w:tcBorders>
              <w:top w:val="nil" w:sz="6" w:space="0" w:color="auto"/>
              <w:left w:val="nil" w:sz="6" w:space="0" w:color="auto"/>
              <w:bottom w:val="nil" w:sz="6" w:space="0" w:color="auto"/>
              <w:right w:val="nil" w:sz="6" w:space="0" w:color="auto"/>
            </w:tcBorders>
          </w:tcPr>
          <w:p>
            <w:pPr>
              <w:pStyle w:val="TableParagraph"/>
              <w:spacing w:line="227" w:lineRule="exact"/>
              <w:ind w:left="43" w:right="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7"/>
                <w:sz w:val="18"/>
                <w:szCs w:val="18"/>
              </w:rPr>
              <w:t> </w:t>
            </w:r>
            <w:r>
              <w:rPr>
                <w:rFonts w:ascii="宋体" w:hAnsi="宋体" w:cs="宋体" w:eastAsia="宋体" w:hint="default"/>
                <w:sz w:val="18"/>
                <w:szCs w:val="18"/>
              </w:rPr>
              <w:t>年，有效期三年</w:t>
            </w:r>
          </w:p>
        </w:tc>
      </w:tr>
    </w:tbl>
    <w:p>
      <w:pPr>
        <w:spacing w:after="0" w:line="227" w:lineRule="exact"/>
        <w:jc w:val="center"/>
        <w:rPr>
          <w:rFonts w:ascii="宋体" w:hAnsi="宋体" w:cs="宋体" w:eastAsia="宋体" w:hint="default"/>
          <w:sz w:val="18"/>
          <w:szCs w:val="18"/>
        </w:rPr>
        <w:sectPr>
          <w:headerReference w:type="default" r:id="rId69"/>
          <w:pgSz w:w="11910" w:h="16840"/>
          <w:pgMar w:header="842" w:footer="593" w:top="3240" w:bottom="780" w:left="1280" w:right="780"/>
        </w:sectPr>
      </w:pPr>
    </w:p>
    <w:p>
      <w:pPr>
        <w:spacing w:line="240" w:lineRule="auto" w:before="11"/>
        <w:rPr>
          <w:rFonts w:ascii="宋体" w:hAnsi="宋体" w:cs="宋体" w:eastAsia="宋体" w:hint="default"/>
          <w:sz w:val="8"/>
          <w:szCs w:val="8"/>
        </w:rPr>
      </w:pPr>
    </w:p>
    <w:p>
      <w:pPr>
        <w:pStyle w:val="BodyText"/>
        <w:tabs>
          <w:tab w:pos="669" w:val="left" w:leader="none"/>
        </w:tabs>
        <w:spacing w:line="424" w:lineRule="auto" w:before="31"/>
        <w:ind w:left="696" w:right="4756" w:hanging="586"/>
        <w:jc w:val="left"/>
      </w:pPr>
      <w:r>
        <w:rPr>
          <w:rFonts w:ascii="Arial" w:hAnsi="Arial" w:cs="Arial" w:eastAsia="Arial" w:hint="default"/>
          <w:w w:val="95"/>
        </w:rPr>
        <w:t>(c)</w:t>
        <w:tab/>
      </w:r>
      <w:r>
        <w:rPr/>
        <w:t>联通运营公司所属子公司之企业所得税（续）</w:t>
      </w:r>
      <w:r>
        <w:rPr>
          <w:w w:val="99"/>
        </w:rPr>
        <w:t> </w:t>
      </w:r>
      <w:r>
        <w:rPr/>
        <w:t>注释：</w:t>
      </w:r>
    </w:p>
    <w:p>
      <w:pPr>
        <w:pStyle w:val="BodyText"/>
        <w:spacing w:line="286" w:lineRule="exact" w:before="108"/>
        <w:ind w:left="1272" w:right="210" w:hanging="577"/>
        <w:jc w:val="both"/>
      </w:pPr>
      <w:r>
        <w:rPr/>
        <w:t>注</w:t>
      </w:r>
      <w:r>
        <w:rPr>
          <w:spacing w:val="-48"/>
        </w:rPr>
        <w:t> </w:t>
      </w:r>
      <w:r>
        <w:rPr>
          <w:rFonts w:ascii="Arial" w:hAnsi="Arial" w:cs="Arial" w:eastAsia="Arial" w:hint="default"/>
          <w:spacing w:val="-2"/>
        </w:rPr>
        <w:t>1</w:t>
      </w:r>
      <w:r>
        <w:rPr>
          <w:spacing w:val="-2"/>
        </w:rPr>
        <w:t>：经与主管税务机关确认，系统集成公司北京总部（不含其他分公司）和宽带在线以前年</w:t>
      </w:r>
      <w:r>
        <w:rPr>
          <w:spacing w:val="-108"/>
        </w:rPr>
        <w:t> </w:t>
      </w:r>
      <w:r>
        <w:rPr>
          <w:spacing w:val="-108"/>
        </w:rPr>
      </w:r>
      <w:r>
        <w:rPr/>
        <w:t>度获批的“三免三减半”税收优惠政策于</w:t>
      </w:r>
      <w:r>
        <w:rPr>
          <w:spacing w:val="-53"/>
        </w:rPr>
        <w:t> </w:t>
      </w:r>
      <w:r>
        <w:rPr>
          <w:rFonts w:ascii="Arial" w:hAnsi="Arial" w:cs="Arial" w:eastAsia="Arial" w:hint="default"/>
        </w:rPr>
        <w:t>2011</w:t>
      </w:r>
      <w:r>
        <w:rPr>
          <w:rFonts w:ascii="Arial" w:hAnsi="Arial" w:cs="Arial" w:eastAsia="Arial" w:hint="default"/>
          <w:spacing w:val="-4"/>
        </w:rPr>
        <w:t> </w:t>
      </w:r>
      <w:r>
        <w:rPr/>
        <w:t>年</w:t>
      </w:r>
      <w:r>
        <w:rPr>
          <w:spacing w:val="-53"/>
        </w:rPr>
        <w:t> </w:t>
      </w:r>
      <w:r>
        <w:rPr>
          <w:rFonts w:ascii="Arial" w:hAnsi="Arial" w:cs="Arial" w:eastAsia="Arial" w:hint="default"/>
        </w:rPr>
        <w:t>12</w:t>
      </w:r>
      <w:r>
        <w:rPr>
          <w:rFonts w:ascii="Arial" w:hAnsi="Arial" w:cs="Arial" w:eastAsia="Arial" w:hint="default"/>
          <w:spacing w:val="-2"/>
        </w:rPr>
        <w:t> </w:t>
      </w:r>
      <w:r>
        <w:rPr/>
        <w:t>月</w:t>
      </w:r>
      <w:r>
        <w:rPr>
          <w:spacing w:val="-53"/>
        </w:rPr>
        <w:t> </w:t>
      </w:r>
      <w:r>
        <w:rPr>
          <w:rFonts w:ascii="Arial" w:hAnsi="Arial" w:cs="Arial" w:eastAsia="Arial" w:hint="default"/>
        </w:rPr>
        <w:t>31</w:t>
      </w:r>
      <w:r>
        <w:rPr>
          <w:rFonts w:ascii="Arial" w:hAnsi="Arial" w:cs="Arial" w:eastAsia="Arial" w:hint="default"/>
          <w:spacing w:val="-4"/>
        </w:rPr>
        <w:t> </w:t>
      </w:r>
      <w:r>
        <w:rPr/>
        <w:t>日到期，故自</w:t>
      </w:r>
      <w:r>
        <w:rPr>
          <w:spacing w:val="-53"/>
        </w:rPr>
        <w:t> </w:t>
      </w:r>
      <w:r>
        <w:rPr>
          <w:rFonts w:ascii="Arial" w:hAnsi="Arial" w:cs="Arial" w:eastAsia="Arial" w:hint="default"/>
        </w:rPr>
        <w:t>2012</w:t>
      </w:r>
      <w:r>
        <w:rPr>
          <w:rFonts w:ascii="Arial" w:hAnsi="Arial" w:cs="Arial" w:eastAsia="Arial" w:hint="default"/>
          <w:spacing w:val="-2"/>
        </w:rPr>
        <w:t> </w:t>
      </w:r>
      <w:r>
        <w:rPr/>
        <w:t>年</w:t>
      </w:r>
      <w:r>
        <w:rPr>
          <w:spacing w:val="-53"/>
        </w:rPr>
        <w:t> </w:t>
      </w:r>
      <w:r>
        <w:rPr>
          <w:rFonts w:ascii="Arial" w:hAnsi="Arial" w:cs="Arial" w:eastAsia="Arial" w:hint="default"/>
        </w:rPr>
        <w:t>1</w:t>
      </w:r>
      <w:r>
        <w:rPr>
          <w:rFonts w:ascii="Arial" w:hAnsi="Arial" w:cs="Arial" w:eastAsia="Arial" w:hint="default"/>
          <w:spacing w:val="-4"/>
        </w:rPr>
        <w:t> </w:t>
      </w:r>
      <w:r>
        <w:rPr/>
        <w:t>月</w:t>
      </w:r>
    </w:p>
    <w:p>
      <w:pPr>
        <w:pStyle w:val="BodyText"/>
        <w:spacing w:line="286" w:lineRule="exact"/>
        <w:ind w:left="1272" w:right="210"/>
        <w:jc w:val="both"/>
      </w:pPr>
      <w:r>
        <w:rPr>
          <w:rFonts w:ascii="Arial" w:hAnsi="Arial" w:cs="Arial" w:eastAsia="Arial" w:hint="default"/>
        </w:rPr>
        <w:t>1 </w:t>
      </w:r>
      <w:r>
        <w:rPr/>
        <w:t>日起不再享受“减半”的优惠税率。于 </w:t>
      </w:r>
      <w:r>
        <w:rPr>
          <w:rFonts w:ascii="Arial" w:hAnsi="Arial" w:cs="Arial" w:eastAsia="Arial" w:hint="default"/>
        </w:rPr>
        <w:t>2012</w:t>
      </w:r>
      <w:r>
        <w:rPr>
          <w:rFonts w:ascii="Arial" w:hAnsi="Arial" w:cs="Arial" w:eastAsia="Arial" w:hint="default"/>
          <w:spacing w:val="6"/>
        </w:rPr>
        <w:t> </w:t>
      </w:r>
      <w:r>
        <w:rPr/>
        <w:t>年度，系统集成公司北京总部（不含其</w:t>
      </w:r>
      <w:r>
        <w:rPr>
          <w:w w:val="99"/>
        </w:rPr>
        <w:t> </w:t>
      </w:r>
      <w:r>
        <w:rPr/>
        <w:t>他分公司）和宽带在线适用</w:t>
      </w:r>
      <w:r>
        <w:rPr>
          <w:spacing w:val="-63"/>
        </w:rPr>
        <w:t> </w:t>
      </w:r>
      <w:r>
        <w:rPr>
          <w:rFonts w:ascii="Arial" w:hAnsi="Arial" w:cs="Arial" w:eastAsia="Arial" w:hint="default"/>
        </w:rPr>
        <w:t>15%</w:t>
      </w:r>
      <w:r>
        <w:rPr/>
        <w:t>的优惠税率计算缴纳企业所得税（</w:t>
      </w:r>
      <w:r>
        <w:rPr>
          <w:rFonts w:ascii="Arial" w:hAnsi="Arial" w:cs="Arial" w:eastAsia="Arial" w:hint="default"/>
        </w:rPr>
        <w:t>2011</w:t>
      </w:r>
      <w:r>
        <w:rPr>
          <w:rFonts w:ascii="Arial" w:hAnsi="Arial" w:cs="Arial" w:eastAsia="Arial" w:hint="default"/>
          <w:spacing w:val="-14"/>
        </w:rPr>
        <w:t> </w:t>
      </w:r>
      <w:r>
        <w:rPr/>
        <w:t>年：适用</w:t>
      </w:r>
      <w:r>
        <w:rPr>
          <w:spacing w:val="-63"/>
        </w:rPr>
        <w:t> </w:t>
      </w:r>
      <w:r>
        <w:rPr>
          <w:rFonts w:ascii="Arial" w:hAnsi="Arial" w:cs="Arial" w:eastAsia="Arial" w:hint="default"/>
        </w:rPr>
        <w:t>15%</w:t>
      </w:r>
      <w:r>
        <w:rPr>
          <w:rFonts w:ascii="Arial" w:hAnsi="Arial" w:cs="Arial" w:eastAsia="Arial" w:hint="default"/>
          <w:w w:val="99"/>
        </w:rPr>
        <w:t> </w:t>
      </w:r>
      <w:r>
        <w:rPr/>
        <w:t>减半后</w:t>
      </w:r>
      <w:r>
        <w:rPr>
          <w:spacing w:val="-59"/>
        </w:rPr>
        <w:t> </w:t>
      </w:r>
      <w:r>
        <w:rPr>
          <w:rFonts w:ascii="Arial" w:hAnsi="Arial" w:cs="Arial" w:eastAsia="Arial" w:hint="default"/>
        </w:rPr>
        <w:t>7.5%</w:t>
      </w:r>
      <w:r>
        <w:rPr/>
        <w:t>的优惠税率）。</w:t>
      </w:r>
    </w:p>
    <w:p>
      <w:pPr>
        <w:spacing w:line="240" w:lineRule="auto" w:before="3"/>
        <w:rPr>
          <w:rFonts w:ascii="宋体" w:hAnsi="宋体" w:cs="宋体" w:eastAsia="宋体" w:hint="default"/>
          <w:sz w:val="19"/>
          <w:szCs w:val="19"/>
        </w:rPr>
      </w:pPr>
    </w:p>
    <w:p>
      <w:pPr>
        <w:pStyle w:val="BodyText"/>
        <w:spacing w:line="286" w:lineRule="exact"/>
        <w:ind w:left="1290" w:right="211" w:hanging="595"/>
        <w:jc w:val="both"/>
      </w:pPr>
      <w:r>
        <w:rPr/>
        <w:t>注</w:t>
      </w:r>
      <w:r>
        <w:rPr>
          <w:spacing w:val="-51"/>
        </w:rPr>
        <w:t> </w:t>
      </w:r>
      <w:r>
        <w:rPr>
          <w:rFonts w:ascii="Arial" w:hAnsi="Arial" w:cs="Arial" w:eastAsia="Arial" w:hint="default"/>
          <w:spacing w:val="-2"/>
        </w:rPr>
        <w:t>2</w:t>
      </w:r>
      <w:r>
        <w:rPr>
          <w:spacing w:val="-2"/>
        </w:rPr>
        <w:t>：经与主管税务机关确认，联通兴业、中讯设计院、规划设计院和系统集成公司所属各分</w:t>
      </w:r>
      <w:r>
        <w:rPr>
          <w:w w:val="99"/>
        </w:rPr>
        <w:t> </w:t>
      </w:r>
      <w:r>
        <w:rPr/>
        <w:t>公司均已获得“高新技术企业”认证，故</w:t>
      </w:r>
      <w:r>
        <w:rPr>
          <w:spacing w:val="-50"/>
        </w:rPr>
        <w:t> </w:t>
      </w:r>
      <w:r>
        <w:rPr>
          <w:rFonts w:ascii="Arial" w:hAnsi="Arial" w:cs="Arial" w:eastAsia="Arial" w:hint="default"/>
        </w:rPr>
        <w:t>2012</w:t>
      </w:r>
      <w:r>
        <w:rPr>
          <w:rFonts w:ascii="Arial" w:hAnsi="Arial" w:cs="Arial" w:eastAsia="Arial" w:hint="default"/>
          <w:spacing w:val="-3"/>
        </w:rPr>
        <w:t> </w:t>
      </w:r>
      <w:r>
        <w:rPr/>
        <w:t>年度及</w:t>
      </w:r>
      <w:r>
        <w:rPr>
          <w:spacing w:val="-52"/>
        </w:rPr>
        <w:t> </w:t>
      </w:r>
      <w:r>
        <w:rPr>
          <w:rFonts w:ascii="Arial" w:hAnsi="Arial" w:cs="Arial" w:eastAsia="Arial" w:hint="default"/>
        </w:rPr>
        <w:t>2011</w:t>
      </w:r>
      <w:r>
        <w:rPr>
          <w:rFonts w:ascii="Arial" w:hAnsi="Arial" w:cs="Arial" w:eastAsia="Arial" w:hint="default"/>
          <w:spacing w:val="-3"/>
        </w:rPr>
        <w:t> </w:t>
      </w:r>
      <w:r>
        <w:rPr/>
        <w:t>年度均适用</w:t>
      </w:r>
      <w:r>
        <w:rPr>
          <w:spacing w:val="-52"/>
        </w:rPr>
        <w:t> </w:t>
      </w:r>
      <w:r>
        <w:rPr>
          <w:rFonts w:ascii="Arial" w:hAnsi="Arial" w:cs="Arial" w:eastAsia="Arial" w:hint="default"/>
        </w:rPr>
        <w:t>15%</w:t>
      </w:r>
      <w:r>
        <w:rPr/>
        <w:t>的优惠税</w:t>
      </w:r>
      <w:r>
        <w:rPr>
          <w:w w:val="99"/>
        </w:rPr>
        <w:t> </w:t>
      </w:r>
      <w:r>
        <w:rPr/>
        <w:t>率计算缴纳企业所得税。</w:t>
      </w:r>
    </w:p>
    <w:p>
      <w:pPr>
        <w:spacing w:line="240" w:lineRule="auto" w:before="1"/>
        <w:rPr>
          <w:rFonts w:ascii="宋体" w:hAnsi="宋体" w:cs="宋体" w:eastAsia="宋体" w:hint="default"/>
          <w:sz w:val="17"/>
          <w:szCs w:val="17"/>
        </w:rPr>
      </w:pPr>
    </w:p>
    <w:p>
      <w:pPr>
        <w:pStyle w:val="BodyText"/>
        <w:spacing w:line="295" w:lineRule="exact"/>
        <w:ind w:left="696" w:right="0"/>
        <w:jc w:val="both"/>
        <w:rPr>
          <w:rFonts w:ascii="Arial" w:hAnsi="Arial" w:cs="Arial" w:eastAsia="Arial" w:hint="default"/>
        </w:rPr>
      </w:pPr>
      <w:r>
        <w:rPr/>
        <w:t>注</w:t>
      </w:r>
      <w:r>
        <w:rPr>
          <w:spacing w:val="-56"/>
        </w:rPr>
        <w:t> </w:t>
      </w:r>
      <w:r>
        <w:rPr>
          <w:rFonts w:ascii="Arial" w:hAnsi="Arial" w:cs="Arial" w:eastAsia="Arial" w:hint="default"/>
          <w:spacing w:val="-4"/>
        </w:rPr>
        <w:t>3</w:t>
      </w:r>
      <w:r>
        <w:rPr>
          <w:spacing w:val="-4"/>
        </w:rPr>
        <w:t>：联通新时讯的高新技术企业证书自</w:t>
      </w:r>
      <w:r>
        <w:rPr>
          <w:spacing w:val="-54"/>
        </w:rPr>
        <w:t> </w:t>
      </w:r>
      <w:r>
        <w:rPr>
          <w:rFonts w:ascii="Arial" w:hAnsi="Arial" w:cs="Arial" w:eastAsia="Arial" w:hint="default"/>
        </w:rPr>
        <w:t>2012</w:t>
      </w:r>
      <w:r>
        <w:rPr>
          <w:rFonts w:ascii="Arial" w:hAnsi="Arial" w:cs="Arial" w:eastAsia="Arial" w:hint="default"/>
          <w:spacing w:val="-7"/>
        </w:rPr>
        <w:t> </w:t>
      </w:r>
      <w:r>
        <w:rPr/>
        <w:t>年</w:t>
      </w:r>
      <w:r>
        <w:rPr>
          <w:spacing w:val="-56"/>
        </w:rPr>
        <w:t> </w:t>
      </w:r>
      <w:r>
        <w:rPr>
          <w:rFonts w:ascii="Arial" w:hAnsi="Arial" w:cs="Arial" w:eastAsia="Arial" w:hint="default"/>
        </w:rPr>
        <w:t>1</w:t>
      </w:r>
      <w:r>
        <w:rPr>
          <w:rFonts w:ascii="Arial" w:hAnsi="Arial" w:cs="Arial" w:eastAsia="Arial" w:hint="default"/>
          <w:spacing w:val="-7"/>
        </w:rPr>
        <w:t> </w:t>
      </w:r>
      <w:r>
        <w:rPr/>
        <w:t>月</w:t>
      </w:r>
      <w:r>
        <w:rPr>
          <w:spacing w:val="-56"/>
        </w:rPr>
        <w:t> </w:t>
      </w:r>
      <w:r>
        <w:rPr>
          <w:rFonts w:ascii="Arial" w:hAnsi="Arial" w:cs="Arial" w:eastAsia="Arial" w:hint="default"/>
        </w:rPr>
        <w:t>1</w:t>
      </w:r>
      <w:r>
        <w:rPr>
          <w:rFonts w:ascii="Arial" w:hAnsi="Arial" w:cs="Arial" w:eastAsia="Arial" w:hint="default"/>
          <w:spacing w:val="-7"/>
        </w:rPr>
        <w:t> </w:t>
      </w:r>
      <w:r>
        <w:rPr>
          <w:spacing w:val="-5"/>
        </w:rPr>
        <w:t>日已到期且未提出资格复审，故</w:t>
      </w:r>
      <w:r>
        <w:rPr>
          <w:spacing w:val="-55"/>
        </w:rPr>
        <w:t> </w:t>
      </w:r>
      <w:r>
        <w:rPr>
          <w:rFonts w:ascii="Arial" w:hAnsi="Arial" w:cs="Arial" w:eastAsia="Arial" w:hint="default"/>
        </w:rPr>
        <w:t>2012</w:t>
      </w:r>
    </w:p>
    <w:p>
      <w:pPr>
        <w:pStyle w:val="BodyText"/>
        <w:spacing w:line="295" w:lineRule="exact"/>
        <w:ind w:left="1254" w:right="0"/>
        <w:jc w:val="both"/>
      </w:pPr>
      <w:r>
        <w:rPr/>
        <w:t>年度适用</w:t>
      </w:r>
      <w:r>
        <w:rPr>
          <w:spacing w:val="-61"/>
        </w:rPr>
        <w:t> </w:t>
      </w:r>
      <w:r>
        <w:rPr>
          <w:rFonts w:ascii="Arial" w:hAnsi="Arial" w:cs="Arial" w:eastAsia="Arial" w:hint="default"/>
        </w:rPr>
        <w:t>25%</w:t>
      </w:r>
      <w:r>
        <w:rPr/>
        <w:t>的税率计算缴纳企业所得税（</w:t>
      </w:r>
      <w:r>
        <w:rPr>
          <w:rFonts w:ascii="Arial" w:hAnsi="Arial" w:cs="Arial" w:eastAsia="Arial" w:hint="default"/>
        </w:rPr>
        <w:t>2011</w:t>
      </w:r>
      <w:r>
        <w:rPr>
          <w:rFonts w:ascii="Arial" w:hAnsi="Arial" w:cs="Arial" w:eastAsia="Arial" w:hint="default"/>
          <w:spacing w:val="-11"/>
        </w:rPr>
        <w:t> </w:t>
      </w:r>
      <w:r>
        <w:rPr/>
        <w:t>年：</w:t>
      </w:r>
      <w:r>
        <w:rPr>
          <w:rFonts w:ascii="Arial" w:hAnsi="Arial" w:cs="Arial" w:eastAsia="Arial" w:hint="default"/>
        </w:rPr>
        <w:t>15%</w:t>
      </w:r>
      <w:r>
        <w:rPr/>
        <w:t>的优惠税率）。</w:t>
      </w:r>
    </w:p>
    <w:p>
      <w:pPr>
        <w:spacing w:line="240" w:lineRule="auto" w:before="3"/>
        <w:rPr>
          <w:rFonts w:ascii="宋体" w:hAnsi="宋体" w:cs="宋体" w:eastAsia="宋体" w:hint="default"/>
          <w:sz w:val="20"/>
          <w:szCs w:val="20"/>
        </w:rPr>
      </w:pPr>
    </w:p>
    <w:p>
      <w:pPr>
        <w:pStyle w:val="BodyText"/>
        <w:spacing w:line="284" w:lineRule="exact"/>
        <w:ind w:left="696" w:right="115"/>
        <w:jc w:val="both"/>
      </w:pPr>
      <w:r>
        <w:rPr>
          <w:w w:val="95"/>
        </w:rPr>
        <w:t>联通运营公司所属子公司联通华盛、联通信息导航、中融信息服务有限公司（“中融信息”）</w:t>
      </w:r>
      <w:r>
        <w:rPr>
          <w:spacing w:val="14"/>
          <w:w w:val="95"/>
        </w:rPr>
        <w:t> </w:t>
      </w:r>
      <w:r>
        <w:rPr>
          <w:spacing w:val="14"/>
          <w:w w:val="95"/>
        </w:rPr>
      </w:r>
      <w:r>
        <w:rPr/>
        <w:t>和联通支付有限公司（“联通支付”，原名为“联通沃易付网络技术有限公司”，于</w:t>
      </w:r>
      <w:r>
        <w:rPr>
          <w:spacing w:val="-80"/>
        </w:rPr>
        <w:t> </w:t>
      </w:r>
      <w:r>
        <w:rPr>
          <w:rFonts w:ascii="Arial" w:hAnsi="Arial" w:cs="Arial" w:eastAsia="Arial" w:hint="default"/>
        </w:rPr>
        <w:t>2012</w:t>
      </w:r>
      <w:r>
        <w:rPr>
          <w:rFonts w:ascii="Arial" w:hAnsi="Arial" w:cs="Arial" w:eastAsia="Arial" w:hint="default"/>
          <w:spacing w:val="-33"/>
        </w:rPr>
        <w:t> </w:t>
      </w:r>
      <w:r>
        <w:rPr/>
        <w:t>年</w:t>
      </w:r>
    </w:p>
    <w:p>
      <w:pPr>
        <w:pStyle w:val="BodyText"/>
        <w:spacing w:line="275" w:lineRule="exact"/>
        <w:ind w:left="696" w:right="0"/>
        <w:jc w:val="both"/>
      </w:pPr>
      <w:r>
        <w:rPr>
          <w:rFonts w:ascii="Arial" w:hAnsi="Arial" w:cs="Arial" w:eastAsia="Arial" w:hint="default"/>
        </w:rPr>
        <w:t>4</w:t>
      </w:r>
      <w:r>
        <w:rPr>
          <w:rFonts w:ascii="Arial" w:hAnsi="Arial" w:cs="Arial" w:eastAsia="Arial" w:hint="default"/>
          <w:spacing w:val="-9"/>
        </w:rPr>
        <w:t> </w:t>
      </w:r>
      <w:r>
        <w:rPr/>
        <w:t>月</w:t>
      </w:r>
      <w:r>
        <w:rPr>
          <w:spacing w:val="-58"/>
        </w:rPr>
        <w:t> </w:t>
      </w:r>
      <w:r>
        <w:rPr>
          <w:rFonts w:ascii="Arial" w:hAnsi="Arial" w:cs="Arial" w:eastAsia="Arial" w:hint="default"/>
        </w:rPr>
        <w:t>16</w:t>
      </w:r>
      <w:r>
        <w:rPr>
          <w:rFonts w:ascii="Arial" w:hAnsi="Arial" w:cs="Arial" w:eastAsia="Arial" w:hint="default"/>
          <w:spacing w:val="-9"/>
        </w:rPr>
        <w:t> </w:t>
      </w:r>
      <w:r>
        <w:rPr/>
        <w:t>日进行了公司名称变更），根据所得税法均适用</w:t>
      </w:r>
      <w:r>
        <w:rPr>
          <w:spacing w:val="-57"/>
        </w:rPr>
        <w:t> </w:t>
      </w:r>
      <w:r>
        <w:rPr>
          <w:rFonts w:ascii="Arial" w:hAnsi="Arial" w:cs="Arial" w:eastAsia="Arial" w:hint="default"/>
        </w:rPr>
        <w:t>25%</w:t>
      </w:r>
      <w:r>
        <w:rPr/>
        <w:t>的企业所得税率。</w:t>
      </w:r>
    </w:p>
    <w:p>
      <w:pPr>
        <w:spacing w:line="240" w:lineRule="auto" w:before="13"/>
        <w:rPr>
          <w:rFonts w:ascii="宋体" w:hAnsi="宋体" w:cs="宋体" w:eastAsia="宋体" w:hint="default"/>
          <w:sz w:val="17"/>
          <w:szCs w:val="17"/>
        </w:rPr>
      </w:pPr>
    </w:p>
    <w:p>
      <w:pPr>
        <w:pStyle w:val="BodyText"/>
        <w:tabs>
          <w:tab w:pos="687" w:val="left" w:leader="none"/>
        </w:tabs>
        <w:spacing w:line="240" w:lineRule="auto"/>
        <w:ind w:left="110" w:right="3521"/>
        <w:jc w:val="left"/>
      </w:pPr>
      <w:r>
        <w:rPr>
          <w:rFonts w:ascii="Arial" w:hAnsi="Arial" w:cs="Arial" w:eastAsia="Arial" w:hint="default"/>
          <w:w w:val="95"/>
        </w:rPr>
        <w:t>(d)</w:t>
        <w:tab/>
      </w:r>
      <w:r>
        <w:rPr/>
        <w:t>本集团所属境外子公司所得税</w:t>
      </w:r>
    </w:p>
    <w:p>
      <w:pPr>
        <w:spacing w:line="240" w:lineRule="auto" w:before="0"/>
        <w:rPr>
          <w:rFonts w:ascii="宋体" w:hAnsi="宋体" w:cs="宋体" w:eastAsia="宋体" w:hint="default"/>
          <w:sz w:val="20"/>
          <w:szCs w:val="20"/>
        </w:rPr>
      </w:pPr>
    </w:p>
    <w:p>
      <w:pPr>
        <w:pStyle w:val="BodyText"/>
        <w:spacing w:line="286" w:lineRule="exact"/>
        <w:ind w:left="696" w:right="214"/>
        <w:jc w:val="both"/>
      </w:pPr>
      <w:r>
        <w:rPr/>
        <w:t>除联通红筹公司及联通 </w:t>
      </w:r>
      <w:r>
        <w:rPr>
          <w:rFonts w:ascii="Arial" w:hAnsi="Arial" w:cs="Arial" w:eastAsia="Arial" w:hint="default"/>
        </w:rPr>
        <w:t>BVI</w:t>
      </w:r>
      <w:r>
        <w:rPr>
          <w:rFonts w:ascii="Arial" w:hAnsi="Arial" w:cs="Arial" w:eastAsia="Arial" w:hint="default"/>
          <w:spacing w:val="16"/>
        </w:rPr>
        <w:t> </w:t>
      </w:r>
      <w:r>
        <w:rPr/>
        <w:t>公司外的本集团所属境外子公司，如中国联通（香港）运营有限</w:t>
      </w:r>
      <w:r>
        <w:rPr>
          <w:w w:val="99"/>
        </w:rPr>
        <w:t> </w:t>
      </w:r>
      <w:r>
        <w:rPr>
          <w:spacing w:val="-3"/>
        </w:rPr>
        <w:t>公司等（请参见附注四），其企业所得税按其在有关期间的应纳税所得额以及各公司所在国家</w:t>
      </w:r>
      <w:r>
        <w:rPr>
          <w:spacing w:val="-106"/>
        </w:rPr>
        <w:t> </w:t>
      </w:r>
      <w:r>
        <w:rPr>
          <w:spacing w:val="-106"/>
        </w:rPr>
      </w:r>
      <w:r>
        <w:rPr/>
        <w:t>或地区的企业所得税率计算，企业所得税率一般在</w:t>
      </w:r>
      <w:r>
        <w:rPr>
          <w:spacing w:val="-59"/>
        </w:rPr>
        <w:t> </w:t>
      </w:r>
      <w:r>
        <w:rPr>
          <w:rFonts w:ascii="Arial" w:hAnsi="Arial" w:cs="Arial" w:eastAsia="Arial" w:hint="default"/>
        </w:rPr>
        <w:t>16.5%</w:t>
      </w:r>
      <w:r>
        <w:rPr/>
        <w:t>至</w:t>
      </w:r>
      <w:r>
        <w:rPr>
          <w:spacing w:val="-62"/>
        </w:rPr>
        <w:t> </w:t>
      </w:r>
      <w:r>
        <w:rPr>
          <w:rFonts w:ascii="Arial" w:hAnsi="Arial" w:cs="Arial" w:eastAsia="Arial" w:hint="default"/>
        </w:rPr>
        <w:t>34.0%</w:t>
      </w:r>
      <w:r>
        <w:rPr/>
        <w:t>之间。</w:t>
      </w:r>
    </w:p>
    <w:p>
      <w:pPr>
        <w:spacing w:line="240" w:lineRule="auto" w:before="1"/>
        <w:rPr>
          <w:rFonts w:ascii="宋体" w:hAnsi="宋体" w:cs="宋体" w:eastAsia="宋体" w:hint="default"/>
          <w:sz w:val="18"/>
          <w:szCs w:val="18"/>
        </w:rPr>
      </w:pPr>
    </w:p>
    <w:p>
      <w:pPr>
        <w:pStyle w:val="BodyText"/>
        <w:tabs>
          <w:tab w:pos="669" w:val="left" w:leader="none"/>
        </w:tabs>
        <w:spacing w:line="228" w:lineRule="auto"/>
        <w:ind w:left="670" w:right="126" w:hanging="560"/>
        <w:jc w:val="left"/>
      </w:pPr>
      <w:r>
        <w:rPr>
          <w:rFonts w:ascii="Arial" w:hAnsi="Arial" w:cs="Arial" w:eastAsia="Arial" w:hint="default"/>
          <w:w w:val="95"/>
        </w:rPr>
        <w:t>(e)</w:t>
        <w:tab/>
      </w:r>
      <w:r>
        <w:rPr/>
        <w:t>根据国务院为所得税法发布的《中华人民共和国企业所得税法实施条例》（“实施条例”）、</w:t>
      </w:r>
      <w:r>
        <w:rPr>
          <w:w w:val="99"/>
        </w:rPr>
        <w:t> </w:t>
      </w:r>
      <w:r>
        <w:rPr>
          <w:spacing w:val="-3"/>
        </w:rPr>
        <w:t>财政部及国家税务总局共同发布的《关于企业所得税若干优惠政策的通知》（财税</w:t>
      </w:r>
      <w:r>
        <w:rPr>
          <w:rFonts w:ascii="Arial" w:hAnsi="Arial" w:cs="Arial" w:eastAsia="Arial" w:hint="default"/>
          <w:spacing w:val="-3"/>
        </w:rPr>
        <w:t>[2008]1</w:t>
      </w:r>
      <w:r>
        <w:rPr>
          <w:rFonts w:ascii="Arial" w:hAnsi="Arial" w:cs="Arial" w:eastAsia="Arial" w:hint="default"/>
          <w:spacing w:val="-10"/>
        </w:rPr>
        <w:t> </w:t>
      </w:r>
      <w:r>
        <w:rPr/>
        <w:t>号）</w:t>
      </w:r>
      <w:r>
        <w:rPr>
          <w:spacing w:val="-2"/>
          <w:w w:val="99"/>
        </w:rPr>
        <w:t> </w:t>
      </w:r>
      <w:r>
        <w:rPr/>
        <w:t>以及根据国家税务总局</w:t>
      </w:r>
      <w:r>
        <w:rPr>
          <w:spacing w:val="-49"/>
        </w:rPr>
        <w:t> </w:t>
      </w:r>
      <w:r>
        <w:rPr>
          <w:rFonts w:ascii="Arial" w:hAnsi="Arial" w:cs="Arial" w:eastAsia="Arial" w:hint="default"/>
        </w:rPr>
        <w:t>2009</w:t>
      </w:r>
      <w:r>
        <w:rPr>
          <w:rFonts w:ascii="Arial" w:hAnsi="Arial" w:cs="Arial" w:eastAsia="Arial" w:hint="default"/>
          <w:spacing w:val="-2"/>
        </w:rPr>
        <w:t> </w:t>
      </w:r>
      <w:r>
        <w:rPr/>
        <w:t>年</w:t>
      </w:r>
      <w:r>
        <w:rPr>
          <w:spacing w:val="-51"/>
        </w:rPr>
        <w:t> </w:t>
      </w:r>
      <w:r>
        <w:rPr>
          <w:rFonts w:ascii="Arial" w:hAnsi="Arial" w:cs="Arial" w:eastAsia="Arial" w:hint="default"/>
        </w:rPr>
        <w:t>4</w:t>
      </w:r>
      <w:r>
        <w:rPr>
          <w:rFonts w:ascii="Arial" w:hAnsi="Arial" w:cs="Arial" w:eastAsia="Arial" w:hint="default"/>
          <w:spacing w:val="-3"/>
        </w:rPr>
        <w:t> </w:t>
      </w:r>
      <w:r>
        <w:rPr/>
        <w:t>月</w:t>
      </w:r>
      <w:r>
        <w:rPr>
          <w:spacing w:val="-51"/>
        </w:rPr>
        <w:t> </w:t>
      </w:r>
      <w:r>
        <w:rPr>
          <w:rFonts w:ascii="Arial" w:hAnsi="Arial" w:cs="Arial" w:eastAsia="Arial" w:hint="default"/>
        </w:rPr>
        <w:t>22</w:t>
      </w:r>
      <w:r>
        <w:rPr>
          <w:rFonts w:ascii="Arial" w:hAnsi="Arial" w:cs="Arial" w:eastAsia="Arial" w:hint="default"/>
          <w:spacing w:val="-2"/>
        </w:rPr>
        <w:t> </w:t>
      </w:r>
      <w:r>
        <w:rPr/>
        <w:t>日发布的《关于境外注册中资控股企业依据实际管理</w:t>
      </w:r>
      <w:r>
        <w:rPr>
          <w:w w:val="99"/>
        </w:rPr>
        <w:t> </w:t>
      </w:r>
      <w:r>
        <w:rPr>
          <w:spacing w:val="-3"/>
        </w:rPr>
        <w:t>机构标准认定为居民企业有关问题的通知》等，经主管税务机关批准，本集团的联通红筹公司</w:t>
      </w:r>
      <w:r>
        <w:rPr>
          <w:w w:val="99"/>
        </w:rPr>
        <w:t> </w:t>
      </w:r>
      <w:r>
        <w:rPr/>
        <w:t>及联通</w:t>
      </w:r>
      <w:r>
        <w:rPr>
          <w:spacing w:val="-58"/>
        </w:rPr>
        <w:t> </w:t>
      </w:r>
      <w:r>
        <w:rPr>
          <w:rFonts w:ascii="Arial" w:hAnsi="Arial" w:cs="Arial" w:eastAsia="Arial" w:hint="default"/>
        </w:rPr>
        <w:t>BVI</w:t>
      </w:r>
      <w:r>
        <w:rPr>
          <w:rFonts w:ascii="Arial" w:hAnsi="Arial" w:cs="Arial" w:eastAsia="Arial" w:hint="default"/>
          <w:spacing w:val="-8"/>
        </w:rPr>
        <w:t> </w:t>
      </w:r>
      <w:r>
        <w:rPr/>
        <w:t>公司从</w:t>
      </w:r>
      <w:r>
        <w:rPr>
          <w:spacing w:val="-58"/>
        </w:rPr>
        <w:t> </w:t>
      </w:r>
      <w:r>
        <w:rPr>
          <w:rFonts w:ascii="Arial" w:hAnsi="Arial" w:cs="Arial" w:eastAsia="Arial" w:hint="default"/>
        </w:rPr>
        <w:t>2008</w:t>
      </w:r>
      <w:r>
        <w:rPr>
          <w:rFonts w:ascii="Arial" w:hAnsi="Arial" w:cs="Arial" w:eastAsia="Arial" w:hint="default"/>
          <w:spacing w:val="-9"/>
        </w:rPr>
        <w:t> </w:t>
      </w:r>
      <w:r>
        <w:rPr/>
        <w:t>年</w:t>
      </w:r>
      <w:r>
        <w:rPr>
          <w:spacing w:val="-58"/>
        </w:rPr>
        <w:t> </w:t>
      </w:r>
      <w:r>
        <w:rPr>
          <w:rFonts w:ascii="Arial" w:hAnsi="Arial" w:cs="Arial" w:eastAsia="Arial" w:hint="default"/>
        </w:rPr>
        <w:t>1</w:t>
      </w:r>
      <w:r>
        <w:rPr>
          <w:rFonts w:ascii="Arial" w:hAnsi="Arial" w:cs="Arial" w:eastAsia="Arial" w:hint="default"/>
          <w:spacing w:val="-9"/>
        </w:rPr>
        <w:t> </w:t>
      </w:r>
      <w:r>
        <w:rPr/>
        <w:t>月</w:t>
      </w:r>
      <w:r>
        <w:rPr>
          <w:spacing w:val="-58"/>
        </w:rPr>
        <w:t> </w:t>
      </w:r>
      <w:r>
        <w:rPr>
          <w:rFonts w:ascii="Arial" w:hAnsi="Arial" w:cs="Arial" w:eastAsia="Arial" w:hint="default"/>
        </w:rPr>
        <w:t>1</w:t>
      </w:r>
      <w:r>
        <w:rPr>
          <w:rFonts w:ascii="Arial" w:hAnsi="Arial" w:cs="Arial" w:eastAsia="Arial" w:hint="default"/>
          <w:spacing w:val="-9"/>
        </w:rPr>
        <w:t> </w:t>
      </w:r>
      <w:r>
        <w:rPr/>
        <w:t>日起被认定为中国居民企业并适用所得税法的相关规定。</w:t>
      </w:r>
    </w:p>
    <w:p>
      <w:pPr>
        <w:spacing w:after="0" w:line="228" w:lineRule="auto"/>
        <w:jc w:val="left"/>
        <w:sectPr>
          <w:headerReference w:type="default" r:id="rId70"/>
          <w:pgSz w:w="11910" w:h="16840"/>
          <w:pgMar w:header="842" w:footer="593" w:top="3240" w:bottom="780" w:left="1280" w:right="800"/>
        </w:sectPr>
      </w:pPr>
    </w:p>
    <w:p>
      <w:pPr>
        <w:spacing w:line="240" w:lineRule="auto" w:before="10"/>
        <w:rPr>
          <w:rFonts w:ascii="宋体" w:hAnsi="宋体" w:cs="宋体" w:eastAsia="宋体" w:hint="default"/>
          <w:sz w:val="16"/>
          <w:szCs w:val="16"/>
        </w:rPr>
      </w:pPr>
    </w:p>
    <w:p>
      <w:pPr>
        <w:pStyle w:val="BodyText"/>
        <w:spacing w:line="240" w:lineRule="auto" w:before="31"/>
        <w:ind w:left="107" w:right="0"/>
        <w:jc w:val="left"/>
        <w:rPr>
          <w:rFonts w:ascii="黑体" w:hAnsi="黑体" w:cs="黑体" w:eastAsia="黑体" w:hint="default"/>
        </w:rPr>
      </w:pPr>
      <w:r>
        <w:rPr>
          <w:rFonts w:ascii="黑体" w:hAnsi="黑体" w:cs="黑体" w:eastAsia="黑体" w:hint="default"/>
        </w:rPr>
        <w:t>四</w:t>
      </w:r>
      <w:r>
        <w:rPr>
          <w:rFonts w:ascii="黑体" w:hAnsi="黑体" w:cs="黑体" w:eastAsia="黑体" w:hint="default"/>
          <w:spacing w:val="83"/>
        </w:rPr>
        <w:t> </w:t>
      </w:r>
      <w:r>
        <w:rPr>
          <w:rFonts w:ascii="黑体" w:hAnsi="黑体" w:cs="黑体" w:eastAsia="黑体" w:hint="default"/>
        </w:rPr>
        <w:t>企业合并及合并财务报表</w:t>
      </w:r>
    </w:p>
    <w:p>
      <w:pPr>
        <w:pStyle w:val="BodyText"/>
        <w:spacing w:line="240" w:lineRule="auto" w:before="181"/>
        <w:ind w:left="135" w:right="0"/>
        <w:jc w:val="left"/>
      </w:pPr>
      <w:r>
        <w:rPr>
          <w:rFonts w:ascii="Arial" w:hAnsi="Arial" w:cs="Arial" w:eastAsia="Arial" w:hint="default"/>
        </w:rPr>
        <w:t>1</w:t>
      </w:r>
      <w:r>
        <w:rPr/>
        <w:t>、</w:t>
      </w:r>
      <w:r>
        <w:rPr>
          <w:spacing w:val="-66"/>
        </w:rPr>
        <w:t> </w:t>
      </w:r>
      <w:r>
        <w:rPr/>
        <w:t>重要子公司情况</w:t>
      </w:r>
    </w:p>
    <w:p>
      <w:pPr>
        <w:pStyle w:val="BodyText"/>
        <w:spacing w:line="240" w:lineRule="auto" w:before="165"/>
        <w:ind w:left="107" w:right="0"/>
        <w:jc w:val="left"/>
      </w:pPr>
      <w:r>
        <w:rPr>
          <w:rFonts w:ascii="Arial" w:hAnsi="Arial" w:cs="Arial" w:eastAsia="Arial" w:hint="default"/>
        </w:rPr>
        <w:t>(a) </w:t>
      </w:r>
      <w:r>
        <w:rPr>
          <w:rFonts w:ascii="Arial" w:hAnsi="Arial" w:cs="Arial" w:eastAsia="Arial" w:hint="default"/>
          <w:spacing w:val="20"/>
        </w:rPr>
        <w:t> </w:t>
      </w:r>
      <w:r>
        <w:rPr/>
        <w:t>通过设立或投资等方式取得的子公司</w:t>
      </w:r>
    </w:p>
    <w:p>
      <w:pPr>
        <w:spacing w:line="240" w:lineRule="auto" w:before="2"/>
        <w:rPr>
          <w:rFonts w:ascii="宋体" w:hAnsi="宋体" w:cs="宋体" w:eastAsia="宋体" w:hint="default"/>
          <w:sz w:val="17"/>
          <w:szCs w:val="17"/>
        </w:rPr>
      </w:pPr>
    </w:p>
    <w:tbl>
      <w:tblPr>
        <w:tblW w:w="0" w:type="auto"/>
        <w:jc w:val="left"/>
        <w:tblInd w:w="467" w:type="dxa"/>
        <w:tblLayout w:type="fixed"/>
        <w:tblCellMar>
          <w:top w:w="0" w:type="dxa"/>
          <w:left w:w="0" w:type="dxa"/>
          <w:bottom w:w="0" w:type="dxa"/>
          <w:right w:w="0" w:type="dxa"/>
        </w:tblCellMar>
        <w:tblLook w:val="01E0"/>
      </w:tblPr>
      <w:tblGrid>
        <w:gridCol w:w="1900"/>
        <w:gridCol w:w="456"/>
        <w:gridCol w:w="585"/>
        <w:gridCol w:w="1500"/>
        <w:gridCol w:w="802"/>
        <w:gridCol w:w="1126"/>
        <w:gridCol w:w="834"/>
        <w:gridCol w:w="845"/>
        <w:gridCol w:w="645"/>
        <w:gridCol w:w="1032"/>
        <w:gridCol w:w="1100"/>
        <w:gridCol w:w="1000"/>
        <w:gridCol w:w="539"/>
        <w:gridCol w:w="599"/>
        <w:gridCol w:w="517"/>
        <w:gridCol w:w="897"/>
        <w:gridCol w:w="654"/>
      </w:tblGrid>
      <w:tr>
        <w:trPr>
          <w:trHeight w:val="815" w:hRule="exact"/>
        </w:trPr>
        <w:tc>
          <w:tcPr>
            <w:tcW w:w="1900"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76" w:right="0"/>
              <w:jc w:val="left"/>
              <w:rPr>
                <w:rFonts w:ascii="宋体" w:hAnsi="宋体" w:cs="宋体" w:eastAsia="宋体" w:hint="default"/>
                <w:sz w:val="16"/>
                <w:szCs w:val="16"/>
              </w:rPr>
            </w:pPr>
            <w:r>
              <w:rPr>
                <w:rFonts w:ascii="宋体" w:hAnsi="宋体" w:cs="宋体" w:eastAsia="宋体" w:hint="default"/>
                <w:sz w:val="16"/>
                <w:szCs w:val="16"/>
              </w:rPr>
              <w:t>名称</w:t>
            </w:r>
          </w:p>
        </w:tc>
        <w:tc>
          <w:tcPr>
            <w:tcW w:w="456"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sz w:val="16"/>
                <w:szCs w:val="16"/>
              </w:rPr>
              <w:t>注释</w:t>
            </w:r>
          </w:p>
        </w:tc>
        <w:tc>
          <w:tcPr>
            <w:tcW w:w="585"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52" w:right="32" w:hanging="81"/>
              <w:jc w:val="left"/>
              <w:rPr>
                <w:rFonts w:ascii="宋体" w:hAnsi="宋体" w:cs="宋体" w:eastAsia="宋体" w:hint="default"/>
                <w:sz w:val="16"/>
                <w:szCs w:val="16"/>
              </w:rPr>
            </w:pPr>
            <w:r>
              <w:rPr>
                <w:rFonts w:ascii="宋体" w:hAnsi="宋体" w:cs="宋体" w:eastAsia="宋体" w:hint="default"/>
                <w:sz w:val="16"/>
                <w:szCs w:val="16"/>
              </w:rPr>
              <w:t>子公司</w:t>
            </w:r>
            <w:r>
              <w:rPr>
                <w:rFonts w:ascii="宋体" w:hAnsi="宋体" w:cs="宋体" w:eastAsia="宋体" w:hint="default"/>
                <w:w w:val="99"/>
                <w:sz w:val="16"/>
                <w:szCs w:val="16"/>
              </w:rPr>
              <w:t> </w:t>
            </w:r>
            <w:r>
              <w:rPr>
                <w:rFonts w:ascii="宋体" w:hAnsi="宋体" w:cs="宋体" w:eastAsia="宋体" w:hint="default"/>
                <w:sz w:val="16"/>
                <w:szCs w:val="16"/>
              </w:rPr>
              <w:t>类型</w:t>
            </w:r>
          </w:p>
        </w:tc>
        <w:tc>
          <w:tcPr>
            <w:tcW w:w="1500"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507" w:right="352"/>
              <w:jc w:val="left"/>
              <w:rPr>
                <w:rFonts w:ascii="宋体" w:hAnsi="宋体" w:cs="宋体" w:eastAsia="宋体" w:hint="default"/>
                <w:sz w:val="16"/>
                <w:szCs w:val="16"/>
              </w:rPr>
            </w:pPr>
            <w:r>
              <w:rPr>
                <w:rFonts w:ascii="宋体" w:hAnsi="宋体" w:cs="宋体" w:eastAsia="宋体" w:hint="default"/>
                <w:sz w:val="16"/>
                <w:szCs w:val="16"/>
              </w:rPr>
              <w:t>注册地及</w:t>
            </w:r>
            <w:r>
              <w:rPr>
                <w:rFonts w:ascii="宋体" w:hAnsi="宋体" w:cs="宋体" w:eastAsia="宋体" w:hint="default"/>
                <w:w w:val="99"/>
                <w:sz w:val="16"/>
                <w:szCs w:val="16"/>
              </w:rPr>
              <w:t> </w:t>
            </w:r>
            <w:r>
              <w:rPr>
                <w:rFonts w:ascii="宋体" w:hAnsi="宋体" w:cs="宋体" w:eastAsia="宋体" w:hint="default"/>
                <w:sz w:val="16"/>
                <w:szCs w:val="16"/>
              </w:rPr>
              <w:t>设立日期</w:t>
            </w:r>
          </w:p>
        </w:tc>
        <w:tc>
          <w:tcPr>
            <w:tcW w:w="802"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210" w:right="270"/>
              <w:jc w:val="left"/>
              <w:rPr>
                <w:rFonts w:ascii="宋体" w:hAnsi="宋体" w:cs="宋体" w:eastAsia="宋体" w:hint="default"/>
                <w:sz w:val="16"/>
                <w:szCs w:val="16"/>
              </w:rPr>
            </w:pPr>
            <w:r>
              <w:rPr>
                <w:rFonts w:ascii="宋体" w:hAnsi="宋体" w:cs="宋体" w:eastAsia="宋体" w:hint="default"/>
                <w:sz w:val="16"/>
                <w:szCs w:val="16"/>
              </w:rPr>
              <w:t>业务</w:t>
            </w:r>
            <w:r>
              <w:rPr>
                <w:rFonts w:ascii="宋体" w:hAnsi="宋体" w:cs="宋体" w:eastAsia="宋体" w:hint="default"/>
                <w:w w:val="99"/>
                <w:sz w:val="16"/>
                <w:szCs w:val="16"/>
              </w:rPr>
              <w:t> </w:t>
            </w:r>
            <w:r>
              <w:rPr>
                <w:rFonts w:ascii="宋体" w:hAnsi="宋体" w:cs="宋体" w:eastAsia="宋体" w:hint="default"/>
                <w:sz w:val="16"/>
                <w:szCs w:val="16"/>
              </w:rPr>
              <w:t>性质</w:t>
            </w:r>
          </w:p>
        </w:tc>
        <w:tc>
          <w:tcPr>
            <w:tcW w:w="1126"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08" w:lineRule="exact"/>
              <w:ind w:left="254" w:right="0"/>
              <w:jc w:val="left"/>
              <w:rPr>
                <w:rFonts w:ascii="宋体" w:hAnsi="宋体" w:cs="宋体" w:eastAsia="宋体" w:hint="default"/>
                <w:sz w:val="16"/>
                <w:szCs w:val="16"/>
              </w:rPr>
            </w:pPr>
            <w:r>
              <w:rPr>
                <w:rFonts w:ascii="宋体" w:hAnsi="宋体" w:cs="宋体" w:eastAsia="宋体" w:hint="default"/>
                <w:sz w:val="16"/>
                <w:szCs w:val="16"/>
              </w:rPr>
              <w:t>注册资本</w:t>
            </w:r>
          </w:p>
          <w:p>
            <w:pPr>
              <w:pStyle w:val="TableParagraph"/>
              <w:spacing w:line="208" w:lineRule="exact"/>
              <w:ind w:left="274" w:right="0"/>
              <w:jc w:val="left"/>
              <w:rPr>
                <w:rFonts w:ascii="宋体" w:hAnsi="宋体" w:cs="宋体" w:eastAsia="宋体" w:hint="default"/>
                <w:sz w:val="16"/>
                <w:szCs w:val="16"/>
              </w:rPr>
            </w:pPr>
            <w:r>
              <w:rPr>
                <w:rFonts w:ascii="宋体" w:hAnsi="宋体" w:cs="宋体" w:eastAsia="宋体" w:hint="default"/>
                <w:sz w:val="16"/>
                <w:szCs w:val="16"/>
              </w:rPr>
              <w:t>（千元）</w:t>
            </w:r>
          </w:p>
        </w:tc>
        <w:tc>
          <w:tcPr>
            <w:tcW w:w="834"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6" w:right="0"/>
              <w:jc w:val="center"/>
              <w:rPr>
                <w:rFonts w:ascii="宋体" w:hAnsi="宋体" w:cs="宋体" w:eastAsia="宋体" w:hint="default"/>
                <w:sz w:val="16"/>
                <w:szCs w:val="16"/>
              </w:rPr>
            </w:pPr>
            <w:r>
              <w:rPr>
                <w:rFonts w:ascii="宋体" w:hAnsi="宋体" w:cs="宋体" w:eastAsia="宋体" w:hint="default"/>
                <w:sz w:val="16"/>
                <w:szCs w:val="16"/>
              </w:rPr>
              <w:t>经营范围</w:t>
            </w:r>
          </w:p>
        </w:tc>
        <w:tc>
          <w:tcPr>
            <w:tcW w:w="845"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0" w:right="0"/>
              <w:jc w:val="left"/>
              <w:rPr>
                <w:rFonts w:ascii="宋体" w:hAnsi="宋体" w:cs="宋体" w:eastAsia="宋体" w:hint="default"/>
                <w:sz w:val="16"/>
                <w:szCs w:val="16"/>
              </w:rPr>
            </w:pPr>
            <w:r>
              <w:rPr>
                <w:rFonts w:ascii="宋体" w:hAnsi="宋体" w:cs="宋体" w:eastAsia="宋体" w:hint="default"/>
                <w:sz w:val="16"/>
                <w:szCs w:val="16"/>
              </w:rPr>
              <w:t>企业类型</w:t>
            </w:r>
          </w:p>
        </w:tc>
        <w:tc>
          <w:tcPr>
            <w:tcW w:w="645"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40" w:right="182"/>
              <w:jc w:val="left"/>
              <w:rPr>
                <w:rFonts w:ascii="宋体" w:hAnsi="宋体" w:cs="宋体" w:eastAsia="宋体" w:hint="default"/>
                <w:sz w:val="16"/>
                <w:szCs w:val="16"/>
              </w:rPr>
            </w:pPr>
            <w:r>
              <w:rPr>
                <w:rFonts w:ascii="宋体" w:hAnsi="宋体" w:cs="宋体" w:eastAsia="宋体" w:hint="default"/>
                <w:sz w:val="16"/>
                <w:szCs w:val="16"/>
              </w:rPr>
              <w:t>法人</w:t>
            </w:r>
            <w:r>
              <w:rPr>
                <w:rFonts w:ascii="宋体" w:hAnsi="宋体" w:cs="宋体" w:eastAsia="宋体" w:hint="default"/>
                <w:w w:val="99"/>
                <w:sz w:val="16"/>
                <w:szCs w:val="16"/>
              </w:rPr>
              <w:t> </w:t>
            </w:r>
            <w:r>
              <w:rPr>
                <w:rFonts w:ascii="宋体" w:hAnsi="宋体" w:cs="宋体" w:eastAsia="宋体" w:hint="default"/>
                <w:sz w:val="16"/>
                <w:szCs w:val="16"/>
              </w:rPr>
              <w:t>代表</w:t>
            </w:r>
          </w:p>
        </w:tc>
        <w:tc>
          <w:tcPr>
            <w:tcW w:w="1032"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347" w:right="203" w:hanging="160"/>
              <w:jc w:val="left"/>
              <w:rPr>
                <w:rFonts w:ascii="宋体" w:hAnsi="宋体" w:cs="宋体" w:eastAsia="宋体" w:hint="default"/>
                <w:sz w:val="16"/>
                <w:szCs w:val="16"/>
              </w:rPr>
            </w:pPr>
            <w:r>
              <w:rPr>
                <w:rFonts w:ascii="宋体" w:hAnsi="宋体" w:cs="宋体" w:eastAsia="宋体" w:hint="default"/>
                <w:sz w:val="16"/>
                <w:szCs w:val="16"/>
              </w:rPr>
              <w:t>组织机构</w:t>
            </w:r>
            <w:r>
              <w:rPr>
                <w:rFonts w:ascii="宋体" w:hAnsi="宋体" w:cs="宋体" w:eastAsia="宋体" w:hint="default"/>
                <w:w w:val="99"/>
                <w:sz w:val="16"/>
                <w:szCs w:val="16"/>
              </w:rPr>
              <w:t> </w:t>
            </w:r>
            <w:r>
              <w:rPr>
                <w:rFonts w:ascii="宋体" w:hAnsi="宋体" w:cs="宋体" w:eastAsia="宋体" w:hint="default"/>
                <w:sz w:val="16"/>
                <w:szCs w:val="16"/>
              </w:rPr>
              <w:t>代码</w:t>
            </w:r>
          </w:p>
        </w:tc>
        <w:tc>
          <w:tcPr>
            <w:tcW w:w="1100"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207" w:right="331" w:hanging="81"/>
              <w:jc w:val="left"/>
              <w:rPr>
                <w:rFonts w:ascii="宋体" w:hAnsi="宋体" w:cs="宋体" w:eastAsia="宋体" w:hint="default"/>
                <w:sz w:val="16"/>
                <w:szCs w:val="16"/>
              </w:rPr>
            </w:pPr>
            <w:r>
              <w:rPr>
                <w:rFonts w:ascii="宋体" w:hAnsi="宋体" w:cs="宋体" w:eastAsia="宋体" w:hint="default"/>
                <w:sz w:val="16"/>
                <w:szCs w:val="16"/>
              </w:rPr>
              <w:t>年末实际</w:t>
            </w:r>
            <w:r>
              <w:rPr>
                <w:rFonts w:ascii="宋体" w:hAnsi="宋体" w:cs="宋体" w:eastAsia="宋体" w:hint="default"/>
                <w:w w:val="99"/>
                <w:sz w:val="16"/>
                <w:szCs w:val="16"/>
              </w:rPr>
              <w:t> </w:t>
            </w:r>
            <w:r>
              <w:rPr>
                <w:rFonts w:ascii="宋体" w:hAnsi="宋体" w:cs="宋体" w:eastAsia="宋体" w:hint="default"/>
                <w:sz w:val="16"/>
                <w:szCs w:val="16"/>
              </w:rPr>
              <w:t>出资额</w:t>
            </w:r>
          </w:p>
          <w:p>
            <w:pPr>
              <w:pStyle w:val="TableParagraph"/>
              <w:spacing w:line="208" w:lineRule="exact"/>
              <w:ind w:left="127" w:right="0"/>
              <w:jc w:val="left"/>
              <w:rPr>
                <w:rFonts w:ascii="宋体" w:hAnsi="宋体" w:cs="宋体" w:eastAsia="宋体" w:hint="default"/>
                <w:sz w:val="16"/>
                <w:szCs w:val="16"/>
              </w:rPr>
            </w:pPr>
            <w:r>
              <w:rPr>
                <w:rFonts w:ascii="宋体" w:hAnsi="宋体" w:cs="宋体" w:eastAsia="宋体" w:hint="default"/>
                <w:sz w:val="16"/>
                <w:szCs w:val="16"/>
              </w:rPr>
              <w:t>（千元）</w:t>
            </w:r>
          </w:p>
        </w:tc>
        <w:tc>
          <w:tcPr>
            <w:tcW w:w="1000" w:type="dxa"/>
            <w:tcBorders>
              <w:top w:val="nil" w:sz="6" w:space="0" w:color="auto"/>
              <w:left w:val="nil" w:sz="6" w:space="0" w:color="auto"/>
              <w:bottom w:val="single" w:sz="6" w:space="0" w:color="000000"/>
              <w:right w:val="nil" w:sz="6" w:space="0" w:color="auto"/>
            </w:tcBorders>
          </w:tcPr>
          <w:p>
            <w:pPr>
              <w:pStyle w:val="TableParagraph"/>
              <w:spacing w:line="159" w:lineRule="exact"/>
              <w:ind w:left="106" w:right="0"/>
              <w:jc w:val="both"/>
              <w:rPr>
                <w:rFonts w:ascii="宋体" w:hAnsi="宋体" w:cs="宋体" w:eastAsia="宋体" w:hint="default"/>
                <w:sz w:val="16"/>
                <w:szCs w:val="16"/>
              </w:rPr>
            </w:pPr>
            <w:r>
              <w:rPr>
                <w:rFonts w:ascii="宋体" w:hAnsi="宋体" w:cs="宋体" w:eastAsia="宋体" w:hint="default"/>
                <w:sz w:val="16"/>
                <w:szCs w:val="16"/>
              </w:rPr>
              <w:t>实质上构成</w:t>
            </w:r>
          </w:p>
          <w:p>
            <w:pPr>
              <w:pStyle w:val="TableParagraph"/>
              <w:spacing w:line="240" w:lineRule="auto"/>
              <w:ind w:left="106" w:right="91"/>
              <w:jc w:val="both"/>
              <w:rPr>
                <w:rFonts w:ascii="宋体" w:hAnsi="宋体" w:cs="宋体" w:eastAsia="宋体" w:hint="default"/>
                <w:sz w:val="16"/>
                <w:szCs w:val="16"/>
              </w:rPr>
            </w:pPr>
            <w:r>
              <w:rPr>
                <w:rFonts w:ascii="宋体" w:hAnsi="宋体" w:cs="宋体" w:eastAsia="宋体" w:hint="default"/>
                <w:sz w:val="16"/>
                <w:szCs w:val="16"/>
              </w:rPr>
              <w:t>对子公司净</w:t>
            </w:r>
            <w:r>
              <w:rPr>
                <w:rFonts w:ascii="宋体" w:hAnsi="宋体" w:cs="宋体" w:eastAsia="宋体" w:hint="default"/>
                <w:w w:val="99"/>
                <w:sz w:val="16"/>
                <w:szCs w:val="16"/>
              </w:rPr>
              <w:t> </w:t>
            </w:r>
            <w:r>
              <w:rPr>
                <w:rFonts w:ascii="宋体" w:hAnsi="宋体" w:cs="宋体" w:eastAsia="宋体" w:hint="default"/>
                <w:sz w:val="16"/>
                <w:szCs w:val="16"/>
              </w:rPr>
              <w:t>投资的其他</w:t>
            </w:r>
            <w:r>
              <w:rPr>
                <w:rFonts w:ascii="宋体" w:hAnsi="宋体" w:cs="宋体" w:eastAsia="宋体" w:hint="default"/>
                <w:w w:val="99"/>
                <w:sz w:val="16"/>
                <w:szCs w:val="16"/>
              </w:rPr>
              <w:t> </w:t>
            </w:r>
            <w:r>
              <w:rPr>
                <w:rFonts w:ascii="宋体" w:hAnsi="宋体" w:cs="宋体" w:eastAsia="宋体" w:hint="default"/>
                <w:sz w:val="16"/>
                <w:szCs w:val="16"/>
              </w:rPr>
              <w:t>项目余额</w:t>
            </w:r>
          </w:p>
        </w:tc>
        <w:tc>
          <w:tcPr>
            <w:tcW w:w="539" w:type="dxa"/>
            <w:tcBorders>
              <w:top w:val="nil" w:sz="6" w:space="0" w:color="auto"/>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52" w:lineRule="auto"/>
              <w:ind w:left="122" w:right="95"/>
              <w:jc w:val="both"/>
              <w:rPr>
                <w:rFonts w:ascii="Arial" w:hAnsi="Arial" w:cs="Arial" w:eastAsia="Arial" w:hint="default"/>
                <w:sz w:val="16"/>
                <w:szCs w:val="16"/>
              </w:rPr>
            </w:pPr>
            <w:r>
              <w:rPr>
                <w:rFonts w:ascii="宋体" w:hAnsi="宋体" w:cs="宋体" w:eastAsia="宋体" w:hint="default"/>
                <w:sz w:val="16"/>
                <w:szCs w:val="16"/>
              </w:rPr>
              <w:t>持股</w:t>
            </w:r>
            <w:r>
              <w:rPr>
                <w:rFonts w:ascii="宋体" w:hAnsi="宋体" w:cs="宋体" w:eastAsia="宋体" w:hint="default"/>
                <w:w w:val="99"/>
                <w:sz w:val="16"/>
                <w:szCs w:val="16"/>
              </w:rPr>
              <w:t> </w:t>
            </w:r>
            <w:r>
              <w:rPr>
                <w:rFonts w:ascii="宋体" w:hAnsi="宋体" w:cs="宋体" w:eastAsia="宋体" w:hint="default"/>
                <w:sz w:val="16"/>
                <w:szCs w:val="16"/>
              </w:rPr>
              <w:t>比例</w:t>
            </w:r>
            <w:r>
              <w:rPr>
                <w:rFonts w:ascii="宋体" w:hAnsi="宋体" w:cs="宋体" w:eastAsia="宋体" w:hint="default"/>
                <w:w w:val="99"/>
                <w:sz w:val="16"/>
                <w:szCs w:val="16"/>
              </w:rPr>
              <w:t> </w:t>
            </w:r>
            <w:r>
              <w:rPr>
                <w:rFonts w:ascii="Arial" w:hAnsi="Arial" w:cs="Arial" w:eastAsia="Arial" w:hint="default"/>
                <w:sz w:val="16"/>
                <w:szCs w:val="16"/>
              </w:rPr>
              <w:t>(%)</w:t>
            </w:r>
          </w:p>
        </w:tc>
        <w:tc>
          <w:tcPr>
            <w:tcW w:w="599" w:type="dxa"/>
            <w:tcBorders>
              <w:top w:val="nil" w:sz="6" w:space="0" w:color="auto"/>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52" w:lineRule="auto"/>
              <w:ind w:left="46" w:right="72"/>
              <w:jc w:val="center"/>
              <w:rPr>
                <w:rFonts w:ascii="Arial" w:hAnsi="Arial" w:cs="Arial" w:eastAsia="Arial" w:hint="default"/>
                <w:sz w:val="16"/>
                <w:szCs w:val="16"/>
              </w:rPr>
            </w:pPr>
            <w:r>
              <w:rPr>
                <w:rFonts w:ascii="宋体" w:hAnsi="宋体" w:cs="宋体" w:eastAsia="宋体" w:hint="default"/>
                <w:w w:val="95"/>
                <w:sz w:val="16"/>
                <w:szCs w:val="16"/>
              </w:rPr>
              <w:t>表决权</w:t>
            </w:r>
            <w:r>
              <w:rPr>
                <w:rFonts w:ascii="宋体" w:hAnsi="宋体" w:cs="宋体" w:eastAsia="宋体" w:hint="default"/>
                <w:spacing w:val="-55"/>
                <w:w w:val="95"/>
                <w:sz w:val="16"/>
                <w:szCs w:val="16"/>
              </w:rPr>
              <w:t> </w:t>
            </w:r>
            <w:r>
              <w:rPr>
                <w:rFonts w:ascii="宋体" w:hAnsi="宋体" w:cs="宋体" w:eastAsia="宋体" w:hint="default"/>
                <w:sz w:val="16"/>
                <w:szCs w:val="16"/>
              </w:rPr>
              <w:t>比例</w:t>
            </w:r>
            <w:r>
              <w:rPr>
                <w:rFonts w:ascii="宋体" w:hAnsi="宋体" w:cs="宋体" w:eastAsia="宋体" w:hint="default"/>
                <w:w w:val="99"/>
                <w:sz w:val="16"/>
                <w:szCs w:val="16"/>
              </w:rPr>
              <w:t> </w:t>
            </w:r>
            <w:r>
              <w:rPr>
                <w:rFonts w:ascii="Arial" w:hAnsi="Arial" w:cs="Arial" w:eastAsia="Arial" w:hint="default"/>
                <w:sz w:val="16"/>
                <w:szCs w:val="16"/>
              </w:rPr>
              <w:t>(%)</w:t>
            </w:r>
          </w:p>
        </w:tc>
        <w:tc>
          <w:tcPr>
            <w:tcW w:w="517"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72" w:right="125"/>
              <w:jc w:val="both"/>
              <w:rPr>
                <w:rFonts w:ascii="宋体" w:hAnsi="宋体" w:cs="宋体" w:eastAsia="宋体" w:hint="default"/>
                <w:sz w:val="16"/>
                <w:szCs w:val="16"/>
              </w:rPr>
            </w:pPr>
            <w:r>
              <w:rPr>
                <w:rFonts w:ascii="宋体" w:hAnsi="宋体" w:cs="宋体" w:eastAsia="宋体" w:hint="default"/>
                <w:w w:val="95"/>
                <w:sz w:val="16"/>
                <w:szCs w:val="16"/>
              </w:rPr>
              <w:t>是否</w:t>
            </w:r>
            <w:r>
              <w:rPr>
                <w:rFonts w:ascii="宋体" w:hAnsi="宋体" w:cs="宋体" w:eastAsia="宋体" w:hint="default"/>
                <w:spacing w:val="-61"/>
                <w:w w:val="95"/>
                <w:sz w:val="16"/>
                <w:szCs w:val="16"/>
              </w:rPr>
              <w:t> </w:t>
            </w:r>
            <w:r>
              <w:rPr>
                <w:rFonts w:ascii="宋体" w:hAnsi="宋体" w:cs="宋体" w:eastAsia="宋体" w:hint="default"/>
                <w:w w:val="95"/>
                <w:sz w:val="16"/>
                <w:szCs w:val="16"/>
              </w:rPr>
              <w:t>合并</w:t>
            </w:r>
            <w:r>
              <w:rPr>
                <w:rFonts w:ascii="宋体" w:hAnsi="宋体" w:cs="宋体" w:eastAsia="宋体" w:hint="default"/>
                <w:spacing w:val="-61"/>
                <w:w w:val="95"/>
                <w:sz w:val="16"/>
                <w:szCs w:val="16"/>
              </w:rPr>
              <w:t> </w:t>
            </w:r>
            <w:r>
              <w:rPr>
                <w:rFonts w:ascii="宋体" w:hAnsi="宋体" w:cs="宋体" w:eastAsia="宋体" w:hint="default"/>
                <w:w w:val="95"/>
                <w:sz w:val="16"/>
                <w:szCs w:val="16"/>
              </w:rPr>
              <w:t>报表</w:t>
            </w:r>
            <w:r>
              <w:rPr>
                <w:rFonts w:ascii="宋体" w:hAnsi="宋体" w:cs="宋体" w:eastAsia="宋体" w:hint="default"/>
                <w:sz w:val="16"/>
                <w:szCs w:val="16"/>
              </w:rPr>
            </w:r>
          </w:p>
        </w:tc>
        <w:tc>
          <w:tcPr>
            <w:tcW w:w="897"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285" w:right="130" w:hanging="160"/>
              <w:jc w:val="left"/>
              <w:rPr>
                <w:rFonts w:ascii="宋体" w:hAnsi="宋体" w:cs="宋体" w:eastAsia="宋体" w:hint="default"/>
                <w:sz w:val="16"/>
                <w:szCs w:val="16"/>
              </w:rPr>
            </w:pPr>
            <w:r>
              <w:rPr>
                <w:rFonts w:ascii="宋体" w:hAnsi="宋体" w:cs="宋体" w:eastAsia="宋体" w:hint="default"/>
                <w:sz w:val="16"/>
                <w:szCs w:val="16"/>
              </w:rPr>
              <w:t>少数股东</w:t>
            </w:r>
            <w:r>
              <w:rPr>
                <w:rFonts w:ascii="宋体" w:hAnsi="宋体" w:cs="宋体" w:eastAsia="宋体" w:hint="default"/>
                <w:w w:val="99"/>
                <w:sz w:val="16"/>
                <w:szCs w:val="16"/>
              </w:rPr>
              <w:t> </w:t>
            </w:r>
            <w:r>
              <w:rPr>
                <w:rFonts w:ascii="宋体" w:hAnsi="宋体" w:cs="宋体" w:eastAsia="宋体" w:hint="default"/>
                <w:sz w:val="16"/>
                <w:szCs w:val="16"/>
              </w:rPr>
              <w:t>权益</w:t>
            </w:r>
          </w:p>
          <w:p>
            <w:pPr>
              <w:pStyle w:val="TableParagraph"/>
              <w:spacing w:line="208" w:lineRule="exact"/>
              <w:ind w:left="125" w:right="0"/>
              <w:jc w:val="left"/>
              <w:rPr>
                <w:rFonts w:ascii="宋体" w:hAnsi="宋体" w:cs="宋体" w:eastAsia="宋体" w:hint="default"/>
                <w:sz w:val="16"/>
                <w:szCs w:val="16"/>
              </w:rPr>
            </w:pPr>
            <w:r>
              <w:rPr>
                <w:rFonts w:ascii="宋体" w:hAnsi="宋体" w:cs="宋体" w:eastAsia="宋体" w:hint="default"/>
                <w:sz w:val="16"/>
                <w:szCs w:val="16"/>
              </w:rPr>
              <w:t>（亿元）</w:t>
            </w:r>
          </w:p>
        </w:tc>
        <w:tc>
          <w:tcPr>
            <w:tcW w:w="654" w:type="dxa"/>
            <w:tcBorders>
              <w:top w:val="nil" w:sz="6" w:space="0" w:color="auto"/>
              <w:left w:val="nil" w:sz="6" w:space="0" w:color="auto"/>
              <w:bottom w:val="single" w:sz="6" w:space="0" w:color="000000"/>
              <w:right w:val="nil" w:sz="6" w:space="0" w:color="auto"/>
            </w:tcBorders>
          </w:tcPr>
          <w:p>
            <w:pPr>
              <w:pStyle w:val="TableParagraph"/>
              <w:spacing w:line="159" w:lineRule="exact"/>
              <w:ind w:left="111" w:right="0"/>
              <w:jc w:val="left"/>
              <w:rPr>
                <w:rFonts w:ascii="宋体" w:hAnsi="宋体" w:cs="宋体" w:eastAsia="宋体" w:hint="default"/>
                <w:sz w:val="16"/>
                <w:szCs w:val="16"/>
              </w:rPr>
            </w:pPr>
            <w:r>
              <w:rPr>
                <w:rFonts w:ascii="宋体" w:hAnsi="宋体" w:cs="宋体" w:eastAsia="宋体" w:hint="default"/>
                <w:sz w:val="16"/>
                <w:szCs w:val="16"/>
              </w:rPr>
              <w:t>少数股</w:t>
            </w:r>
          </w:p>
          <w:p>
            <w:pPr>
              <w:pStyle w:val="TableParagraph"/>
              <w:spacing w:line="240" w:lineRule="auto"/>
              <w:ind w:left="190" w:right="61" w:hanging="80"/>
              <w:jc w:val="left"/>
              <w:rPr>
                <w:rFonts w:ascii="宋体" w:hAnsi="宋体" w:cs="宋体" w:eastAsia="宋体" w:hint="default"/>
                <w:sz w:val="16"/>
                <w:szCs w:val="16"/>
              </w:rPr>
            </w:pPr>
            <w:r>
              <w:rPr>
                <w:rFonts w:ascii="宋体" w:hAnsi="宋体" w:cs="宋体" w:eastAsia="宋体" w:hint="default"/>
                <w:sz w:val="16"/>
                <w:szCs w:val="16"/>
              </w:rPr>
              <w:t>东权益</w:t>
            </w:r>
            <w:r>
              <w:rPr>
                <w:rFonts w:ascii="宋体" w:hAnsi="宋体" w:cs="宋体" w:eastAsia="宋体" w:hint="default"/>
                <w:w w:val="99"/>
                <w:sz w:val="16"/>
                <w:szCs w:val="16"/>
              </w:rPr>
              <w:t> </w:t>
            </w:r>
            <w:r>
              <w:rPr>
                <w:rFonts w:ascii="宋体" w:hAnsi="宋体" w:cs="宋体" w:eastAsia="宋体" w:hint="default"/>
                <w:sz w:val="16"/>
                <w:szCs w:val="16"/>
              </w:rPr>
              <w:t>项目</w:t>
            </w:r>
          </w:p>
          <w:p>
            <w:pPr>
              <w:pStyle w:val="TableParagraph"/>
              <w:spacing w:line="208" w:lineRule="exact"/>
              <w:ind w:left="111" w:right="0"/>
              <w:jc w:val="left"/>
              <w:rPr>
                <w:rFonts w:ascii="宋体" w:hAnsi="宋体" w:cs="宋体" w:eastAsia="宋体" w:hint="default"/>
                <w:sz w:val="16"/>
                <w:szCs w:val="16"/>
              </w:rPr>
            </w:pPr>
            <w:r>
              <w:rPr>
                <w:rFonts w:ascii="宋体" w:hAnsi="宋体" w:cs="宋体" w:eastAsia="宋体" w:hint="default"/>
                <w:sz w:val="16"/>
                <w:szCs w:val="16"/>
              </w:rPr>
              <w:t>（注）</w:t>
            </w:r>
          </w:p>
        </w:tc>
      </w:tr>
      <w:tr>
        <w:trPr>
          <w:trHeight w:val="719" w:hRule="exact"/>
        </w:trPr>
        <w:tc>
          <w:tcPr>
            <w:tcW w:w="1900"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14" w:lineRule="exact"/>
              <w:ind w:left="76" w:right="0"/>
              <w:jc w:val="left"/>
              <w:rPr>
                <w:rFonts w:ascii="宋体" w:hAnsi="宋体" w:cs="宋体" w:eastAsia="宋体" w:hint="default"/>
                <w:sz w:val="16"/>
                <w:szCs w:val="16"/>
              </w:rPr>
            </w:pPr>
            <w:r>
              <w:rPr>
                <w:rFonts w:ascii="宋体" w:hAnsi="宋体" w:cs="宋体" w:eastAsia="宋体" w:hint="default"/>
                <w:sz w:val="16"/>
                <w:szCs w:val="16"/>
              </w:rPr>
              <w:t>中国联通</w:t>
            </w:r>
            <w:r>
              <w:rPr>
                <w:rFonts w:ascii="宋体" w:hAnsi="宋体" w:cs="宋体" w:eastAsia="宋体" w:hint="default"/>
                <w:spacing w:val="-42"/>
                <w:sz w:val="16"/>
                <w:szCs w:val="16"/>
              </w:rPr>
              <w:t> </w:t>
            </w:r>
            <w:r>
              <w:rPr>
                <w:rFonts w:ascii="Arial" w:hAnsi="Arial" w:cs="Arial" w:eastAsia="Arial" w:hint="default"/>
                <w:sz w:val="16"/>
                <w:szCs w:val="16"/>
              </w:rPr>
              <w:t>BVI</w:t>
            </w:r>
            <w:r>
              <w:rPr>
                <w:rFonts w:ascii="Arial" w:hAnsi="Arial" w:cs="Arial" w:eastAsia="Arial" w:hint="default"/>
                <w:spacing w:val="-6"/>
                <w:sz w:val="16"/>
                <w:szCs w:val="16"/>
              </w:rPr>
              <w:t> </w:t>
            </w:r>
            <w:r>
              <w:rPr>
                <w:rFonts w:ascii="宋体" w:hAnsi="宋体" w:cs="宋体" w:eastAsia="宋体" w:hint="default"/>
                <w:sz w:val="16"/>
                <w:szCs w:val="16"/>
              </w:rPr>
              <w:t>有限公司</w:t>
            </w:r>
          </w:p>
          <w:p>
            <w:pPr>
              <w:pStyle w:val="TableParagraph"/>
              <w:spacing w:line="214"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w:t>
            </w:r>
            <w:r>
              <w:rPr>
                <w:rFonts w:ascii="宋体" w:hAnsi="宋体" w:cs="宋体" w:eastAsia="宋体" w:hint="default"/>
                <w:spacing w:val="-42"/>
                <w:sz w:val="16"/>
                <w:szCs w:val="16"/>
              </w:rPr>
              <w:t> </w:t>
            </w:r>
            <w:r>
              <w:rPr>
                <w:rFonts w:ascii="Arial" w:hAnsi="Arial" w:cs="Arial" w:eastAsia="Arial" w:hint="default"/>
                <w:sz w:val="16"/>
                <w:szCs w:val="16"/>
              </w:rPr>
              <w:t>BVI</w:t>
            </w:r>
            <w:r>
              <w:rPr>
                <w:rFonts w:ascii="Arial" w:hAnsi="Arial" w:cs="Arial" w:eastAsia="Arial" w:hint="default"/>
                <w:spacing w:val="-6"/>
                <w:sz w:val="16"/>
                <w:szCs w:val="16"/>
              </w:rPr>
              <w:t> </w:t>
            </w:r>
            <w:r>
              <w:rPr>
                <w:rFonts w:ascii="宋体" w:hAnsi="宋体" w:cs="宋体" w:eastAsia="宋体" w:hint="default"/>
                <w:sz w:val="16"/>
                <w:szCs w:val="16"/>
              </w:rPr>
              <w:t>公司”）</w:t>
            </w:r>
          </w:p>
        </w:tc>
        <w:tc>
          <w:tcPr>
            <w:tcW w:w="456" w:type="dxa"/>
            <w:tcBorders>
              <w:top w:val="single" w:sz="6" w:space="0" w:color="000000"/>
              <w:left w:val="nil" w:sz="6" w:space="0" w:color="auto"/>
              <w:bottom w:val="nil" w:sz="6" w:space="0" w:color="auto"/>
              <w:right w:val="nil" w:sz="6" w:space="0" w:color="auto"/>
            </w:tcBorders>
          </w:tcPr>
          <w:p>
            <w:pPr/>
          </w:p>
        </w:tc>
        <w:tc>
          <w:tcPr>
            <w:tcW w:w="585"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52" w:right="111"/>
              <w:jc w:val="left"/>
              <w:rPr>
                <w:rFonts w:ascii="宋体" w:hAnsi="宋体" w:cs="宋体" w:eastAsia="宋体" w:hint="default"/>
                <w:sz w:val="16"/>
                <w:szCs w:val="16"/>
              </w:rPr>
            </w:pPr>
            <w:r>
              <w:rPr>
                <w:rFonts w:ascii="宋体" w:hAnsi="宋体" w:cs="宋体" w:eastAsia="宋体" w:hint="default"/>
                <w:sz w:val="16"/>
                <w:szCs w:val="16"/>
              </w:rPr>
              <w:t>直接</w:t>
            </w:r>
            <w:r>
              <w:rPr>
                <w:rFonts w:ascii="宋体" w:hAnsi="宋体" w:cs="宋体" w:eastAsia="宋体" w:hint="default"/>
                <w:w w:val="99"/>
                <w:sz w:val="16"/>
                <w:szCs w:val="16"/>
              </w:rPr>
              <w:t> </w:t>
            </w:r>
            <w:r>
              <w:rPr>
                <w:rFonts w:ascii="宋体" w:hAnsi="宋体" w:cs="宋体" w:eastAsia="宋体" w:hint="default"/>
                <w:sz w:val="16"/>
                <w:szCs w:val="16"/>
              </w:rPr>
              <w:t>控股</w:t>
            </w:r>
          </w:p>
        </w:tc>
        <w:tc>
          <w:tcPr>
            <w:tcW w:w="1500" w:type="dxa"/>
            <w:tcBorders>
              <w:top w:val="single" w:sz="6" w:space="0" w:color="000000"/>
              <w:left w:val="nil" w:sz="6" w:space="0" w:color="auto"/>
              <w:bottom w:val="nil" w:sz="6" w:space="0" w:color="auto"/>
              <w:right w:val="nil" w:sz="6" w:space="0" w:color="auto"/>
            </w:tcBorders>
          </w:tcPr>
          <w:p>
            <w:pPr>
              <w:pStyle w:val="TableParagraph"/>
              <w:spacing w:line="181" w:lineRule="exact"/>
              <w:ind w:right="14"/>
              <w:jc w:val="center"/>
              <w:rPr>
                <w:rFonts w:ascii="宋体" w:hAnsi="宋体" w:cs="宋体" w:eastAsia="宋体" w:hint="default"/>
                <w:sz w:val="16"/>
                <w:szCs w:val="16"/>
              </w:rPr>
            </w:pPr>
            <w:r>
              <w:rPr>
                <w:rFonts w:ascii="宋体" w:hAnsi="宋体" w:cs="宋体" w:eastAsia="宋体" w:hint="default"/>
                <w:spacing w:val="-3"/>
                <w:sz w:val="16"/>
                <w:szCs w:val="16"/>
              </w:rPr>
              <w:t>（英属）维尔京群岛</w:t>
            </w:r>
          </w:p>
          <w:p>
            <w:pPr>
              <w:pStyle w:val="TableParagraph"/>
              <w:spacing w:line="213" w:lineRule="exact"/>
              <w:ind w:right="15"/>
              <w:jc w:val="center"/>
              <w:rPr>
                <w:rFonts w:ascii="宋体" w:hAnsi="宋体" w:cs="宋体" w:eastAsia="宋体" w:hint="default"/>
                <w:sz w:val="16"/>
                <w:szCs w:val="16"/>
              </w:rPr>
            </w:pPr>
            <w:r>
              <w:rPr>
                <w:rFonts w:ascii="Arial" w:hAnsi="Arial" w:cs="Arial" w:eastAsia="Arial" w:hint="default"/>
                <w:sz w:val="16"/>
                <w:szCs w:val="16"/>
              </w:rPr>
              <w:t>2000</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right="15"/>
              <w:jc w:val="center"/>
              <w:rPr>
                <w:rFonts w:ascii="宋体" w:hAnsi="宋体" w:cs="宋体" w:eastAsia="宋体" w:hint="default"/>
                <w:sz w:val="16"/>
                <w:szCs w:val="16"/>
              </w:rPr>
            </w:pPr>
            <w:r>
              <w:rPr>
                <w:rFonts w:ascii="Arial" w:hAnsi="Arial" w:cs="Arial" w:eastAsia="Arial" w:hint="default"/>
                <w:sz w:val="16"/>
                <w:szCs w:val="16"/>
              </w:rPr>
              <w:t>1</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802"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10" w:right="270"/>
              <w:jc w:val="left"/>
              <w:rPr>
                <w:rFonts w:ascii="宋体" w:hAnsi="宋体" w:cs="宋体" w:eastAsia="宋体" w:hint="default"/>
                <w:sz w:val="16"/>
                <w:szCs w:val="16"/>
              </w:rPr>
            </w:pPr>
            <w:r>
              <w:rPr>
                <w:rFonts w:ascii="宋体" w:hAnsi="宋体" w:cs="宋体" w:eastAsia="宋体" w:hint="default"/>
                <w:sz w:val="16"/>
                <w:szCs w:val="16"/>
              </w:rPr>
              <w:t>投资</w:t>
            </w:r>
            <w:r>
              <w:rPr>
                <w:rFonts w:ascii="宋体" w:hAnsi="宋体" w:cs="宋体" w:eastAsia="宋体" w:hint="default"/>
                <w:w w:val="99"/>
                <w:sz w:val="16"/>
                <w:szCs w:val="16"/>
              </w:rPr>
              <w:t> </w:t>
            </w:r>
            <w:r>
              <w:rPr>
                <w:rFonts w:ascii="宋体" w:hAnsi="宋体" w:cs="宋体" w:eastAsia="宋体" w:hint="default"/>
                <w:sz w:val="16"/>
                <w:szCs w:val="16"/>
              </w:rPr>
              <w:t>控股</w:t>
            </w:r>
          </w:p>
        </w:tc>
        <w:tc>
          <w:tcPr>
            <w:tcW w:w="112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22"/>
              <w:jc w:val="right"/>
              <w:rPr>
                <w:rFonts w:ascii="Arial" w:hAnsi="Arial" w:cs="Arial" w:eastAsia="Arial" w:hint="default"/>
                <w:sz w:val="16"/>
                <w:szCs w:val="16"/>
              </w:rPr>
            </w:pPr>
            <w:r>
              <w:rPr>
                <w:rFonts w:ascii="Arial"/>
                <w:w w:val="95"/>
                <w:sz w:val="16"/>
              </w:rPr>
              <w:t>413</w:t>
            </w:r>
            <w:r>
              <w:rPr>
                <w:rFonts w:ascii="Arial"/>
                <w:sz w:val="16"/>
              </w:rPr>
            </w:r>
          </w:p>
        </w:tc>
        <w:tc>
          <w:tcPr>
            <w:tcW w:w="834"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 w:right="0"/>
              <w:jc w:val="center"/>
              <w:rPr>
                <w:rFonts w:ascii="宋体" w:hAnsi="宋体" w:cs="宋体" w:eastAsia="宋体" w:hint="default"/>
                <w:sz w:val="16"/>
                <w:szCs w:val="16"/>
              </w:rPr>
            </w:pPr>
            <w:r>
              <w:rPr>
                <w:rFonts w:ascii="宋体" w:hAnsi="宋体" w:cs="宋体" w:eastAsia="宋体" w:hint="default"/>
                <w:sz w:val="16"/>
                <w:szCs w:val="16"/>
              </w:rPr>
              <w:t>投资控股</w:t>
            </w:r>
          </w:p>
        </w:tc>
        <w:tc>
          <w:tcPr>
            <w:tcW w:w="845"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48" w:right="274"/>
              <w:jc w:val="left"/>
              <w:rPr>
                <w:rFonts w:ascii="宋体" w:hAnsi="宋体" w:cs="宋体" w:eastAsia="宋体" w:hint="default"/>
                <w:sz w:val="16"/>
                <w:szCs w:val="16"/>
              </w:rPr>
            </w:pPr>
            <w:r>
              <w:rPr>
                <w:rFonts w:ascii="宋体" w:hAnsi="宋体" w:cs="宋体" w:eastAsia="宋体" w:hint="default"/>
                <w:sz w:val="16"/>
                <w:szCs w:val="16"/>
              </w:rPr>
              <w:t>有限</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645"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6"/>
                <w:szCs w:val="16"/>
              </w:rPr>
            </w:pPr>
            <w:r>
              <w:rPr>
                <w:rFonts w:ascii="宋体" w:hAnsi="宋体" w:cs="宋体" w:eastAsia="宋体" w:hint="default"/>
                <w:sz w:val="16"/>
                <w:szCs w:val="16"/>
              </w:rPr>
              <w:t>不适用</w:t>
            </w:r>
          </w:p>
        </w:tc>
        <w:tc>
          <w:tcPr>
            <w:tcW w:w="1032"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不适用</w:t>
            </w:r>
          </w:p>
        </w:tc>
        <w:tc>
          <w:tcPr>
            <w:tcW w:w="1100"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13"/>
              <w:jc w:val="right"/>
              <w:rPr>
                <w:rFonts w:ascii="Arial" w:hAnsi="Arial" w:cs="Arial" w:eastAsia="Arial" w:hint="default"/>
                <w:sz w:val="16"/>
                <w:szCs w:val="16"/>
              </w:rPr>
            </w:pPr>
            <w:r>
              <w:rPr>
                <w:rFonts w:ascii="Arial"/>
                <w:w w:val="95"/>
                <w:sz w:val="16"/>
              </w:rPr>
              <w:t>38,538,134</w:t>
            </w:r>
            <w:r>
              <w:rPr>
                <w:rFonts w:ascii="Arial"/>
                <w:sz w:val="16"/>
              </w:rPr>
            </w:r>
          </w:p>
        </w:tc>
        <w:tc>
          <w:tcPr>
            <w:tcW w:w="1000"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39"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44"/>
              <w:jc w:val="right"/>
              <w:rPr>
                <w:rFonts w:ascii="Arial" w:hAnsi="Arial" w:cs="Arial" w:eastAsia="Arial" w:hint="default"/>
                <w:sz w:val="16"/>
                <w:szCs w:val="16"/>
              </w:rPr>
            </w:pPr>
            <w:r>
              <w:rPr>
                <w:rFonts w:ascii="Arial"/>
                <w:w w:val="95"/>
                <w:sz w:val="16"/>
              </w:rPr>
              <w:t>82.10</w:t>
            </w:r>
            <w:r>
              <w:rPr>
                <w:rFonts w:ascii="Arial"/>
                <w:sz w:val="16"/>
              </w:rPr>
            </w:r>
          </w:p>
        </w:tc>
        <w:tc>
          <w:tcPr>
            <w:tcW w:w="599"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69"/>
              <w:jc w:val="right"/>
              <w:rPr>
                <w:rFonts w:ascii="Arial" w:hAnsi="Arial" w:cs="Arial" w:eastAsia="Arial" w:hint="default"/>
                <w:sz w:val="16"/>
                <w:szCs w:val="16"/>
              </w:rPr>
            </w:pPr>
            <w:r>
              <w:rPr>
                <w:rFonts w:ascii="Arial"/>
                <w:w w:val="95"/>
                <w:sz w:val="16"/>
              </w:rPr>
              <w:t>82.10</w:t>
            </w:r>
            <w:r>
              <w:rPr>
                <w:rFonts w:ascii="Arial"/>
                <w:sz w:val="16"/>
              </w:rPr>
            </w:r>
          </w:p>
        </w:tc>
        <w:tc>
          <w:tcPr>
            <w:tcW w:w="517"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5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97"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9"/>
              <w:jc w:val="right"/>
              <w:rPr>
                <w:rFonts w:ascii="Arial" w:hAnsi="Arial" w:cs="Arial" w:eastAsia="Arial" w:hint="default"/>
                <w:sz w:val="16"/>
                <w:szCs w:val="16"/>
              </w:rPr>
            </w:pPr>
            <w:r>
              <w:rPr>
                <w:rFonts w:ascii="Arial"/>
                <w:w w:val="95"/>
                <w:sz w:val="16"/>
              </w:rPr>
              <w:t>156</w:t>
            </w:r>
            <w:r>
              <w:rPr>
                <w:rFonts w:ascii="Arial"/>
                <w:sz w:val="16"/>
              </w:rPr>
            </w:r>
          </w:p>
        </w:tc>
        <w:tc>
          <w:tcPr>
            <w:tcW w:w="654"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3"/>
              <w:jc w:val="right"/>
              <w:rPr>
                <w:rFonts w:ascii="Arial" w:hAnsi="Arial" w:cs="Arial" w:eastAsia="Arial" w:hint="default"/>
                <w:sz w:val="16"/>
                <w:szCs w:val="16"/>
              </w:rPr>
            </w:pPr>
            <w:r>
              <w:rPr>
                <w:rFonts w:ascii="Arial"/>
                <w:w w:val="99"/>
                <w:sz w:val="16"/>
              </w:rPr>
              <w:t>-</w:t>
            </w:r>
            <w:r>
              <w:rPr>
                <w:rFonts w:ascii="Arial"/>
                <w:sz w:val="16"/>
              </w:rPr>
            </w:r>
          </w:p>
        </w:tc>
      </w:tr>
      <w:tr>
        <w:trPr>
          <w:trHeight w:val="784"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208" w:lineRule="exact" w:before="44"/>
              <w:ind w:left="76" w:right="0"/>
              <w:jc w:val="left"/>
              <w:rPr>
                <w:rFonts w:ascii="宋体" w:hAnsi="宋体" w:cs="宋体" w:eastAsia="宋体" w:hint="default"/>
                <w:sz w:val="16"/>
                <w:szCs w:val="16"/>
              </w:rPr>
            </w:pPr>
            <w:r>
              <w:rPr>
                <w:rFonts w:ascii="宋体" w:hAnsi="宋体" w:cs="宋体" w:eastAsia="宋体" w:hint="default"/>
                <w:sz w:val="16"/>
                <w:szCs w:val="16"/>
              </w:rPr>
              <w:t>中国联合网络通信</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（香港）股份有限公司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（“联通红筹公司”）</w:t>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4"/>
              <w:jc w:val="center"/>
              <w:rPr>
                <w:rFonts w:ascii="Arial" w:hAnsi="Arial" w:cs="Arial" w:eastAsia="Arial" w:hint="default"/>
                <w:sz w:val="16"/>
                <w:szCs w:val="16"/>
              </w:rPr>
            </w:pPr>
            <w:r>
              <w:rPr>
                <w:rFonts w:ascii="Arial"/>
                <w:sz w:val="16"/>
              </w:rPr>
              <w:t>(1)</w:t>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2" w:right="111"/>
              <w:jc w:val="left"/>
              <w:rPr>
                <w:rFonts w:ascii="宋体" w:hAnsi="宋体" w:cs="宋体" w:eastAsia="宋体" w:hint="default"/>
                <w:sz w:val="16"/>
                <w:szCs w:val="16"/>
              </w:rPr>
            </w:pPr>
            <w:r>
              <w:rPr>
                <w:rFonts w:ascii="宋体" w:hAnsi="宋体" w:cs="宋体" w:eastAsia="宋体" w:hint="default"/>
                <w:sz w:val="16"/>
                <w:szCs w:val="16"/>
              </w:rPr>
              <w:t>间接</w:t>
            </w:r>
            <w:r>
              <w:rPr>
                <w:rFonts w:ascii="宋体" w:hAnsi="宋体" w:cs="宋体" w:eastAsia="宋体" w:hint="default"/>
                <w:w w:val="99"/>
                <w:sz w:val="16"/>
                <w:szCs w:val="16"/>
              </w:rPr>
              <w:t> </w:t>
            </w:r>
            <w:r>
              <w:rPr>
                <w:rFonts w:ascii="宋体" w:hAnsi="宋体" w:cs="宋体" w:eastAsia="宋体" w:hint="default"/>
                <w:sz w:val="16"/>
                <w:szCs w:val="16"/>
              </w:rPr>
              <w:t>控股</w:t>
            </w:r>
          </w:p>
        </w:tc>
        <w:tc>
          <w:tcPr>
            <w:tcW w:w="1500" w:type="dxa"/>
            <w:tcBorders>
              <w:top w:val="nil" w:sz="6" w:space="0" w:color="auto"/>
              <w:left w:val="nil" w:sz="6" w:space="0" w:color="auto"/>
              <w:bottom w:val="nil" w:sz="6" w:space="0" w:color="auto"/>
              <w:right w:val="nil" w:sz="6" w:space="0" w:color="auto"/>
            </w:tcBorders>
          </w:tcPr>
          <w:p>
            <w:pPr>
              <w:pStyle w:val="TableParagraph"/>
              <w:spacing w:line="208" w:lineRule="exact" w:before="44"/>
              <w:ind w:right="15"/>
              <w:jc w:val="center"/>
              <w:rPr>
                <w:rFonts w:ascii="宋体" w:hAnsi="宋体" w:cs="宋体" w:eastAsia="宋体" w:hint="default"/>
                <w:sz w:val="16"/>
                <w:szCs w:val="16"/>
              </w:rPr>
            </w:pPr>
            <w:r>
              <w:rPr>
                <w:rFonts w:ascii="宋体" w:hAnsi="宋体" w:cs="宋体" w:eastAsia="宋体" w:hint="default"/>
                <w:sz w:val="16"/>
                <w:szCs w:val="16"/>
              </w:rPr>
              <w:t>中国，香港</w:t>
            </w:r>
          </w:p>
          <w:p>
            <w:pPr>
              <w:pStyle w:val="TableParagraph"/>
              <w:spacing w:line="213" w:lineRule="exact"/>
              <w:ind w:left="51" w:right="0"/>
              <w:jc w:val="center"/>
              <w:rPr>
                <w:rFonts w:ascii="宋体" w:hAnsi="宋体" w:cs="宋体" w:eastAsia="宋体" w:hint="default"/>
                <w:sz w:val="16"/>
                <w:szCs w:val="16"/>
              </w:rPr>
            </w:pPr>
            <w:r>
              <w:rPr>
                <w:rFonts w:ascii="Arial" w:hAnsi="Arial" w:cs="Arial" w:eastAsia="Arial" w:hint="default"/>
                <w:sz w:val="16"/>
                <w:szCs w:val="16"/>
              </w:rPr>
              <w:t>2000</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left="51" w:right="0"/>
              <w:jc w:val="center"/>
              <w:rPr>
                <w:rFonts w:ascii="宋体" w:hAnsi="宋体" w:cs="宋体" w:eastAsia="宋体" w:hint="default"/>
                <w:sz w:val="16"/>
                <w:szCs w:val="16"/>
              </w:rPr>
            </w:pPr>
            <w:r>
              <w:rPr>
                <w:rFonts w:ascii="Arial" w:hAnsi="Arial" w:cs="Arial" w:eastAsia="Arial" w:hint="default"/>
                <w:sz w:val="16"/>
                <w:szCs w:val="16"/>
              </w:rPr>
              <w:t>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Arial" w:hAnsi="Arial" w:cs="Arial" w:eastAsia="Arial" w:hint="default"/>
                <w:sz w:val="16"/>
                <w:szCs w:val="16"/>
              </w:rPr>
              <w:t>8</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270"/>
              <w:jc w:val="left"/>
              <w:rPr>
                <w:rFonts w:ascii="宋体" w:hAnsi="宋体" w:cs="宋体" w:eastAsia="宋体" w:hint="default"/>
                <w:sz w:val="16"/>
                <w:szCs w:val="16"/>
              </w:rPr>
            </w:pPr>
            <w:r>
              <w:rPr>
                <w:rFonts w:ascii="宋体" w:hAnsi="宋体" w:cs="宋体" w:eastAsia="宋体" w:hint="default"/>
                <w:sz w:val="16"/>
                <w:szCs w:val="16"/>
              </w:rPr>
              <w:t>投资</w:t>
            </w:r>
            <w:r>
              <w:rPr>
                <w:rFonts w:ascii="宋体" w:hAnsi="宋体" w:cs="宋体" w:eastAsia="宋体" w:hint="default"/>
                <w:w w:val="99"/>
                <w:sz w:val="16"/>
                <w:szCs w:val="16"/>
              </w:rPr>
              <w:t> </w:t>
            </w:r>
            <w:r>
              <w:rPr>
                <w:rFonts w:ascii="宋体" w:hAnsi="宋体" w:cs="宋体" w:eastAsia="宋体" w:hint="default"/>
                <w:sz w:val="16"/>
                <w:szCs w:val="16"/>
              </w:rPr>
              <w:t>控股</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23"/>
              <w:jc w:val="right"/>
              <w:rPr>
                <w:rFonts w:ascii="Arial" w:hAnsi="Arial" w:cs="Arial" w:eastAsia="Arial" w:hint="default"/>
                <w:sz w:val="16"/>
                <w:szCs w:val="16"/>
              </w:rPr>
            </w:pPr>
            <w:r>
              <w:rPr>
                <w:rFonts w:ascii="Arial"/>
                <w:w w:val="95"/>
                <w:sz w:val="16"/>
              </w:rPr>
              <w:t>2,310,408</w:t>
            </w:r>
            <w:r>
              <w:rPr>
                <w:rFonts w:ascii="Arial"/>
                <w:sz w:val="16"/>
              </w:rPr>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6"/>
                <w:szCs w:val="16"/>
              </w:rPr>
            </w:pPr>
            <w:r>
              <w:rPr>
                <w:rFonts w:ascii="宋体" w:hAnsi="宋体" w:cs="宋体" w:eastAsia="宋体" w:hint="default"/>
                <w:sz w:val="16"/>
                <w:szCs w:val="16"/>
              </w:rPr>
              <w:t>投资控股</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8" w:right="274"/>
              <w:jc w:val="left"/>
              <w:rPr>
                <w:rFonts w:ascii="宋体" w:hAnsi="宋体" w:cs="宋体" w:eastAsia="宋体" w:hint="default"/>
                <w:sz w:val="16"/>
                <w:szCs w:val="16"/>
              </w:rPr>
            </w:pPr>
            <w:r>
              <w:rPr>
                <w:rFonts w:ascii="宋体" w:hAnsi="宋体" w:cs="宋体" w:eastAsia="宋体" w:hint="default"/>
                <w:sz w:val="16"/>
                <w:szCs w:val="16"/>
              </w:rPr>
              <w:t>有限</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6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6"/>
                <w:szCs w:val="16"/>
              </w:rPr>
            </w:pPr>
            <w:r>
              <w:rPr>
                <w:rFonts w:ascii="宋体" w:hAnsi="宋体" w:cs="宋体" w:eastAsia="宋体" w:hint="default"/>
                <w:sz w:val="16"/>
                <w:szCs w:val="16"/>
              </w:rPr>
              <w:t>不适用</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不适用</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13"/>
              <w:jc w:val="right"/>
              <w:rPr>
                <w:rFonts w:ascii="Arial" w:hAnsi="Arial" w:cs="Arial" w:eastAsia="Arial" w:hint="default"/>
                <w:sz w:val="16"/>
                <w:szCs w:val="16"/>
              </w:rPr>
            </w:pPr>
            <w:r>
              <w:rPr>
                <w:rFonts w:ascii="Arial"/>
                <w:w w:val="95"/>
                <w:sz w:val="16"/>
              </w:rPr>
              <w:t>9,289,080</w:t>
            </w:r>
            <w:r>
              <w:rPr>
                <w:rFonts w:ascii="Arial"/>
                <w:sz w:val="16"/>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44"/>
              <w:jc w:val="right"/>
              <w:rPr>
                <w:rFonts w:ascii="Arial" w:hAnsi="Arial" w:cs="Arial" w:eastAsia="Arial" w:hint="default"/>
                <w:sz w:val="16"/>
                <w:szCs w:val="16"/>
              </w:rPr>
            </w:pPr>
            <w:r>
              <w:rPr>
                <w:rFonts w:ascii="Arial"/>
                <w:w w:val="95"/>
                <w:sz w:val="16"/>
              </w:rPr>
              <w:t>33.88</w:t>
            </w:r>
            <w:r>
              <w:rPr>
                <w:rFonts w:ascii="Arial"/>
                <w:sz w:val="16"/>
              </w:rPr>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70"/>
              <w:jc w:val="right"/>
              <w:rPr>
                <w:rFonts w:ascii="Arial" w:hAnsi="Arial" w:cs="Arial" w:eastAsia="Arial" w:hint="default"/>
                <w:sz w:val="16"/>
                <w:szCs w:val="16"/>
              </w:rPr>
            </w:pPr>
            <w:r>
              <w:rPr>
                <w:rFonts w:ascii="Arial"/>
                <w:w w:val="95"/>
                <w:sz w:val="16"/>
              </w:rPr>
              <w:t>62.04</w:t>
            </w:r>
            <w:r>
              <w:rPr>
                <w:rFonts w:ascii="Arial"/>
                <w:sz w:val="16"/>
              </w:rPr>
            </w:r>
          </w:p>
        </w:tc>
        <w:tc>
          <w:tcPr>
            <w:tcW w:w="5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5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10"/>
              <w:jc w:val="right"/>
              <w:rPr>
                <w:rFonts w:ascii="Arial" w:hAnsi="Arial" w:cs="Arial" w:eastAsia="Arial" w:hint="default"/>
                <w:sz w:val="16"/>
                <w:szCs w:val="16"/>
              </w:rPr>
            </w:pPr>
            <w:r>
              <w:rPr>
                <w:rFonts w:ascii="Arial"/>
                <w:w w:val="95"/>
                <w:sz w:val="16"/>
              </w:rPr>
              <w:t>1,243</w:t>
            </w:r>
            <w:r>
              <w:rPr>
                <w:rFonts w:ascii="Arial"/>
                <w:sz w:val="16"/>
              </w:rPr>
            </w:r>
          </w:p>
        </w:tc>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23"/>
              <w:jc w:val="right"/>
              <w:rPr>
                <w:rFonts w:ascii="Arial" w:hAnsi="Arial" w:cs="Arial" w:eastAsia="Arial" w:hint="default"/>
                <w:sz w:val="16"/>
                <w:szCs w:val="16"/>
              </w:rPr>
            </w:pPr>
            <w:r>
              <w:rPr>
                <w:rFonts w:ascii="Arial"/>
                <w:w w:val="99"/>
                <w:sz w:val="16"/>
              </w:rPr>
              <w:t>-</w:t>
            </w:r>
            <w:r>
              <w:rPr>
                <w:rFonts w:ascii="Arial"/>
                <w:sz w:val="16"/>
              </w:rPr>
            </w:r>
          </w:p>
        </w:tc>
      </w:tr>
      <w:tr>
        <w:trPr>
          <w:trHeight w:val="783"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37" w:right="222" w:hanging="161"/>
              <w:jc w:val="left"/>
              <w:rPr>
                <w:rFonts w:ascii="宋体" w:hAnsi="宋体" w:cs="宋体" w:eastAsia="宋体" w:hint="default"/>
                <w:sz w:val="16"/>
                <w:szCs w:val="16"/>
              </w:rPr>
            </w:pPr>
            <w:r>
              <w:rPr>
                <w:rFonts w:ascii="宋体" w:hAnsi="宋体" w:cs="宋体" w:eastAsia="宋体" w:hint="default"/>
                <w:sz w:val="16"/>
                <w:szCs w:val="16"/>
              </w:rPr>
              <w:t>中国联合网络通信有限</w:t>
            </w:r>
            <w:r>
              <w:rPr>
                <w:rFonts w:ascii="宋体" w:hAnsi="宋体" w:cs="宋体" w:eastAsia="宋体" w:hint="default"/>
                <w:w w:val="99"/>
                <w:sz w:val="16"/>
                <w:szCs w:val="16"/>
              </w:rPr>
              <w:t> </w:t>
            </w:r>
            <w:r>
              <w:rPr>
                <w:rFonts w:ascii="宋体" w:hAnsi="宋体" w:cs="宋体" w:eastAsia="宋体" w:hint="default"/>
                <w:sz w:val="16"/>
                <w:szCs w:val="16"/>
              </w:rPr>
              <w:t>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（“联通运营公司”）</w:t>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4"/>
              <w:jc w:val="center"/>
              <w:rPr>
                <w:rFonts w:ascii="Arial" w:hAnsi="Arial" w:cs="Arial" w:eastAsia="Arial" w:hint="default"/>
                <w:sz w:val="16"/>
                <w:szCs w:val="16"/>
              </w:rPr>
            </w:pPr>
            <w:r>
              <w:rPr>
                <w:rFonts w:ascii="Arial"/>
                <w:sz w:val="16"/>
              </w:rPr>
              <w:t>(2)</w:t>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2" w:right="111"/>
              <w:jc w:val="left"/>
              <w:rPr>
                <w:rFonts w:ascii="宋体" w:hAnsi="宋体" w:cs="宋体" w:eastAsia="宋体" w:hint="default"/>
                <w:sz w:val="16"/>
                <w:szCs w:val="16"/>
              </w:rPr>
            </w:pPr>
            <w:r>
              <w:rPr>
                <w:rFonts w:ascii="宋体" w:hAnsi="宋体" w:cs="宋体" w:eastAsia="宋体" w:hint="default"/>
                <w:sz w:val="16"/>
                <w:szCs w:val="16"/>
              </w:rPr>
              <w:t>间接</w:t>
            </w:r>
            <w:r>
              <w:rPr>
                <w:rFonts w:ascii="宋体" w:hAnsi="宋体" w:cs="宋体" w:eastAsia="宋体" w:hint="default"/>
                <w:w w:val="99"/>
                <w:sz w:val="16"/>
                <w:szCs w:val="16"/>
              </w:rPr>
              <w:t> </w:t>
            </w:r>
            <w:r>
              <w:rPr>
                <w:rFonts w:ascii="宋体" w:hAnsi="宋体" w:cs="宋体" w:eastAsia="宋体" w:hint="default"/>
                <w:sz w:val="16"/>
                <w:szCs w:val="16"/>
              </w:rPr>
              <w:t>控股</w:t>
            </w:r>
          </w:p>
        </w:tc>
        <w:tc>
          <w:tcPr>
            <w:tcW w:w="1500" w:type="dxa"/>
            <w:tcBorders>
              <w:top w:val="nil" w:sz="6" w:space="0" w:color="auto"/>
              <w:left w:val="nil" w:sz="6" w:space="0" w:color="auto"/>
              <w:bottom w:val="nil" w:sz="6" w:space="0" w:color="auto"/>
              <w:right w:val="nil" w:sz="6" w:space="0" w:color="auto"/>
            </w:tcBorders>
          </w:tcPr>
          <w:p>
            <w:pPr>
              <w:pStyle w:val="TableParagraph"/>
              <w:spacing w:line="209" w:lineRule="exact" w:before="44"/>
              <w:ind w:right="14"/>
              <w:jc w:val="center"/>
              <w:rPr>
                <w:rFonts w:ascii="宋体" w:hAnsi="宋体" w:cs="宋体" w:eastAsia="宋体" w:hint="default"/>
                <w:sz w:val="16"/>
                <w:szCs w:val="16"/>
              </w:rPr>
            </w:pPr>
            <w:r>
              <w:rPr>
                <w:rFonts w:ascii="宋体" w:hAnsi="宋体" w:cs="宋体" w:eastAsia="宋体" w:hint="default"/>
                <w:sz w:val="16"/>
                <w:szCs w:val="16"/>
              </w:rPr>
              <w:t>中国，北京市</w:t>
            </w:r>
          </w:p>
          <w:p>
            <w:pPr>
              <w:pStyle w:val="TableParagraph"/>
              <w:spacing w:line="214" w:lineRule="exact"/>
              <w:ind w:right="15"/>
              <w:jc w:val="center"/>
              <w:rPr>
                <w:rFonts w:ascii="宋体" w:hAnsi="宋体" w:cs="宋体" w:eastAsia="宋体" w:hint="default"/>
                <w:sz w:val="16"/>
                <w:szCs w:val="16"/>
              </w:rPr>
            </w:pPr>
            <w:r>
              <w:rPr>
                <w:rFonts w:ascii="Arial" w:hAnsi="Arial" w:cs="Arial" w:eastAsia="Arial" w:hint="default"/>
                <w:sz w:val="16"/>
                <w:szCs w:val="16"/>
              </w:rPr>
              <w:t>2000</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right="15"/>
              <w:jc w:val="center"/>
              <w:rPr>
                <w:rFonts w:ascii="宋体" w:hAnsi="宋体" w:cs="宋体" w:eastAsia="宋体" w:hint="default"/>
                <w:sz w:val="16"/>
                <w:szCs w:val="16"/>
              </w:rPr>
            </w:pPr>
            <w:r>
              <w:rPr>
                <w:rFonts w:ascii="Arial" w:hAnsi="Arial" w:cs="Arial" w:eastAsia="Arial" w:hint="default"/>
                <w:sz w:val="16"/>
                <w:szCs w:val="16"/>
              </w:rPr>
              <w:t>4</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270"/>
              <w:jc w:val="left"/>
              <w:rPr>
                <w:rFonts w:ascii="宋体" w:hAnsi="宋体" w:cs="宋体" w:eastAsia="宋体" w:hint="default"/>
                <w:sz w:val="16"/>
                <w:szCs w:val="16"/>
              </w:rPr>
            </w:pPr>
            <w:r>
              <w:rPr>
                <w:rFonts w:ascii="宋体" w:hAnsi="宋体" w:cs="宋体" w:eastAsia="宋体" w:hint="default"/>
                <w:sz w:val="16"/>
                <w:szCs w:val="16"/>
              </w:rPr>
              <w:t>电信</w:t>
            </w:r>
            <w:r>
              <w:rPr>
                <w:rFonts w:ascii="宋体" w:hAnsi="宋体" w:cs="宋体" w:eastAsia="宋体" w:hint="default"/>
                <w:w w:val="99"/>
                <w:sz w:val="16"/>
                <w:szCs w:val="16"/>
              </w:rPr>
              <w:t> </w:t>
            </w:r>
            <w:r>
              <w:rPr>
                <w:rFonts w:ascii="宋体" w:hAnsi="宋体" w:cs="宋体" w:eastAsia="宋体" w:hint="default"/>
                <w:sz w:val="16"/>
                <w:szCs w:val="16"/>
              </w:rPr>
              <w:t>业务</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23"/>
              <w:jc w:val="right"/>
              <w:rPr>
                <w:rFonts w:ascii="Arial" w:hAnsi="Arial" w:cs="Arial" w:eastAsia="Arial" w:hint="default"/>
                <w:sz w:val="16"/>
                <w:szCs w:val="16"/>
              </w:rPr>
            </w:pPr>
            <w:r>
              <w:rPr>
                <w:rFonts w:ascii="Arial"/>
                <w:w w:val="95"/>
                <w:sz w:val="16"/>
              </w:rPr>
              <w:t>138,091,678</w:t>
            </w:r>
            <w:r>
              <w:rPr>
                <w:rFonts w:ascii="Arial"/>
                <w:sz w:val="16"/>
              </w:rPr>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6"/>
                <w:szCs w:val="16"/>
              </w:rPr>
            </w:pPr>
            <w:r>
              <w:rPr>
                <w:rFonts w:ascii="宋体" w:hAnsi="宋体" w:cs="宋体" w:eastAsia="宋体" w:hint="default"/>
                <w:sz w:val="16"/>
                <w:szCs w:val="16"/>
              </w:rPr>
              <w:t>电信业务</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8" w:right="116" w:hanging="160"/>
              <w:jc w:val="left"/>
              <w:rPr>
                <w:rFonts w:ascii="宋体" w:hAnsi="宋体" w:cs="宋体" w:eastAsia="宋体" w:hint="default"/>
                <w:sz w:val="16"/>
                <w:szCs w:val="16"/>
              </w:rPr>
            </w:pPr>
            <w:r>
              <w:rPr>
                <w:rFonts w:ascii="宋体" w:hAnsi="宋体" w:cs="宋体" w:eastAsia="宋体" w:hint="default"/>
                <w:w w:val="95"/>
                <w:sz w:val="16"/>
                <w:szCs w:val="16"/>
              </w:rPr>
              <w:t>有限责任</w:t>
            </w:r>
            <w:r>
              <w:rPr>
                <w:rFonts w:ascii="宋体" w:hAnsi="宋体" w:cs="宋体" w:eastAsia="宋体" w:hint="default"/>
                <w:spacing w:val="-46"/>
                <w:w w:val="95"/>
                <w:sz w:val="16"/>
                <w:szCs w:val="16"/>
              </w:rPr>
              <w:t> </w:t>
            </w:r>
            <w:r>
              <w:rPr>
                <w:rFonts w:ascii="宋体" w:hAnsi="宋体" w:cs="宋体" w:eastAsia="宋体" w:hint="default"/>
                <w:sz w:val="16"/>
                <w:szCs w:val="16"/>
              </w:rPr>
              <w:t>公司</w:t>
            </w:r>
          </w:p>
        </w:tc>
        <w:tc>
          <w:tcPr>
            <w:tcW w:w="6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6"/>
                <w:szCs w:val="16"/>
              </w:rPr>
            </w:pPr>
            <w:r>
              <w:rPr>
                <w:rFonts w:ascii="宋体" w:hAnsi="宋体" w:cs="宋体" w:eastAsia="宋体" w:hint="default"/>
                <w:sz w:val="16"/>
                <w:szCs w:val="16"/>
              </w:rPr>
              <w:t>常小兵</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
              <w:jc w:val="center"/>
              <w:rPr>
                <w:rFonts w:ascii="Arial" w:hAnsi="Arial" w:cs="Arial" w:eastAsia="Arial" w:hint="default"/>
                <w:sz w:val="16"/>
                <w:szCs w:val="16"/>
              </w:rPr>
            </w:pPr>
            <w:r>
              <w:rPr>
                <w:rFonts w:ascii="Arial"/>
                <w:sz w:val="16"/>
              </w:rPr>
              <w:t>710939135</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13"/>
              <w:jc w:val="right"/>
              <w:rPr>
                <w:rFonts w:ascii="Arial" w:hAnsi="Arial" w:cs="Arial" w:eastAsia="Arial" w:hint="default"/>
                <w:sz w:val="16"/>
                <w:szCs w:val="16"/>
              </w:rPr>
            </w:pPr>
            <w:r>
              <w:rPr>
                <w:rFonts w:ascii="Arial"/>
                <w:w w:val="95"/>
                <w:sz w:val="16"/>
              </w:rPr>
              <w:t>139,797,368</w:t>
            </w:r>
            <w:r>
              <w:rPr>
                <w:rFonts w:ascii="Arial"/>
                <w:sz w:val="16"/>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44"/>
              <w:jc w:val="right"/>
              <w:rPr>
                <w:rFonts w:ascii="Arial" w:hAnsi="Arial" w:cs="Arial" w:eastAsia="Arial" w:hint="default"/>
                <w:sz w:val="16"/>
                <w:szCs w:val="16"/>
              </w:rPr>
            </w:pPr>
            <w:r>
              <w:rPr>
                <w:rFonts w:ascii="Arial"/>
                <w:w w:val="95"/>
                <w:sz w:val="16"/>
              </w:rPr>
              <w:t>33.88</w:t>
            </w:r>
            <w:r>
              <w:rPr>
                <w:rFonts w:ascii="Arial"/>
                <w:sz w:val="16"/>
              </w:rPr>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70"/>
              <w:jc w:val="right"/>
              <w:rPr>
                <w:rFonts w:ascii="Arial" w:hAnsi="Arial" w:cs="Arial" w:eastAsia="Arial" w:hint="default"/>
                <w:sz w:val="16"/>
                <w:szCs w:val="16"/>
              </w:rPr>
            </w:pPr>
            <w:r>
              <w:rPr>
                <w:rFonts w:ascii="Arial"/>
                <w:w w:val="95"/>
                <w:sz w:val="16"/>
              </w:rPr>
              <w:t>62.04</w:t>
            </w:r>
            <w:r>
              <w:rPr>
                <w:rFonts w:ascii="Arial"/>
                <w:sz w:val="16"/>
              </w:rPr>
            </w:r>
          </w:p>
        </w:tc>
        <w:tc>
          <w:tcPr>
            <w:tcW w:w="5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5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9"/>
              <w:jc w:val="right"/>
              <w:rPr>
                <w:rFonts w:ascii="Arial" w:hAnsi="Arial" w:cs="Arial" w:eastAsia="Arial" w:hint="default"/>
                <w:sz w:val="16"/>
                <w:szCs w:val="16"/>
              </w:rPr>
            </w:pPr>
            <w:r>
              <w:rPr>
                <w:rFonts w:ascii="Arial"/>
                <w:w w:val="99"/>
                <w:sz w:val="16"/>
              </w:rPr>
              <w:t>-</w:t>
            </w:r>
            <w:r>
              <w:rPr>
                <w:rFonts w:ascii="Arial"/>
                <w:sz w:val="16"/>
              </w:rPr>
            </w:r>
          </w:p>
        </w:tc>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23"/>
              <w:jc w:val="right"/>
              <w:rPr>
                <w:rFonts w:ascii="Arial" w:hAnsi="Arial" w:cs="Arial" w:eastAsia="Arial" w:hint="default"/>
                <w:sz w:val="16"/>
                <w:szCs w:val="16"/>
              </w:rPr>
            </w:pPr>
            <w:r>
              <w:rPr>
                <w:rFonts w:ascii="Arial"/>
                <w:w w:val="99"/>
                <w:sz w:val="16"/>
              </w:rPr>
              <w:t>-</w:t>
            </w:r>
            <w:r>
              <w:rPr>
                <w:rFonts w:ascii="Arial"/>
                <w:sz w:val="16"/>
              </w:rPr>
            </w:r>
          </w:p>
        </w:tc>
      </w:tr>
      <w:tr>
        <w:trPr>
          <w:trHeight w:val="784"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联通华盛通信有限公司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（“联通华盛”）</w:t>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4"/>
              <w:jc w:val="center"/>
              <w:rPr>
                <w:rFonts w:ascii="Arial" w:hAnsi="Arial" w:cs="Arial" w:eastAsia="Arial" w:hint="default"/>
                <w:sz w:val="16"/>
                <w:szCs w:val="16"/>
              </w:rPr>
            </w:pPr>
            <w:r>
              <w:rPr>
                <w:rFonts w:ascii="Arial"/>
                <w:sz w:val="16"/>
              </w:rPr>
              <w:t>(2)</w:t>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2" w:right="111"/>
              <w:jc w:val="left"/>
              <w:rPr>
                <w:rFonts w:ascii="宋体" w:hAnsi="宋体" w:cs="宋体" w:eastAsia="宋体" w:hint="default"/>
                <w:sz w:val="16"/>
                <w:szCs w:val="16"/>
              </w:rPr>
            </w:pPr>
            <w:r>
              <w:rPr>
                <w:rFonts w:ascii="宋体" w:hAnsi="宋体" w:cs="宋体" w:eastAsia="宋体" w:hint="default"/>
                <w:sz w:val="16"/>
                <w:szCs w:val="16"/>
              </w:rPr>
              <w:t>间接</w:t>
            </w:r>
            <w:r>
              <w:rPr>
                <w:rFonts w:ascii="宋体" w:hAnsi="宋体" w:cs="宋体" w:eastAsia="宋体" w:hint="default"/>
                <w:w w:val="99"/>
                <w:sz w:val="16"/>
                <w:szCs w:val="16"/>
              </w:rPr>
              <w:t> </w:t>
            </w:r>
            <w:r>
              <w:rPr>
                <w:rFonts w:ascii="宋体" w:hAnsi="宋体" w:cs="宋体" w:eastAsia="宋体" w:hint="default"/>
                <w:sz w:val="16"/>
                <w:szCs w:val="16"/>
              </w:rPr>
              <w:t>控股</w:t>
            </w:r>
          </w:p>
        </w:tc>
        <w:tc>
          <w:tcPr>
            <w:tcW w:w="1500" w:type="dxa"/>
            <w:tcBorders>
              <w:top w:val="nil" w:sz="6" w:space="0" w:color="auto"/>
              <w:left w:val="nil" w:sz="6" w:space="0" w:color="auto"/>
              <w:bottom w:val="nil" w:sz="6" w:space="0" w:color="auto"/>
              <w:right w:val="nil" w:sz="6" w:space="0" w:color="auto"/>
            </w:tcBorders>
          </w:tcPr>
          <w:p>
            <w:pPr>
              <w:pStyle w:val="TableParagraph"/>
              <w:spacing w:line="208" w:lineRule="exact" w:before="45"/>
              <w:ind w:right="14"/>
              <w:jc w:val="center"/>
              <w:rPr>
                <w:rFonts w:ascii="宋体" w:hAnsi="宋体" w:cs="宋体" w:eastAsia="宋体" w:hint="default"/>
                <w:sz w:val="16"/>
                <w:szCs w:val="16"/>
              </w:rPr>
            </w:pPr>
            <w:r>
              <w:rPr>
                <w:rFonts w:ascii="宋体" w:hAnsi="宋体" w:cs="宋体" w:eastAsia="宋体" w:hint="default"/>
                <w:sz w:val="16"/>
                <w:szCs w:val="16"/>
              </w:rPr>
              <w:t>中国，北京市</w:t>
            </w:r>
          </w:p>
          <w:p>
            <w:pPr>
              <w:pStyle w:val="TableParagraph"/>
              <w:spacing w:line="213" w:lineRule="exact"/>
              <w:ind w:right="15"/>
              <w:jc w:val="center"/>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right="15"/>
              <w:jc w:val="center"/>
              <w:rPr>
                <w:rFonts w:ascii="宋体" w:hAnsi="宋体" w:cs="宋体" w:eastAsia="宋体" w:hint="default"/>
                <w:sz w:val="16"/>
                <w:szCs w:val="16"/>
              </w:rPr>
            </w:pPr>
            <w:r>
              <w:rPr>
                <w:rFonts w:ascii="Arial" w:hAnsi="Arial" w:cs="Arial" w:eastAsia="Arial" w:hint="default"/>
                <w:sz w:val="16"/>
                <w:szCs w:val="16"/>
              </w:rPr>
              <w:t>8</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19</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10" w:right="270"/>
              <w:jc w:val="both"/>
              <w:rPr>
                <w:rFonts w:ascii="宋体" w:hAnsi="宋体" w:cs="宋体" w:eastAsia="宋体" w:hint="default"/>
                <w:sz w:val="16"/>
                <w:szCs w:val="16"/>
              </w:rPr>
            </w:pPr>
            <w:r>
              <w:rPr>
                <w:rFonts w:ascii="宋体" w:hAnsi="宋体" w:cs="宋体" w:eastAsia="宋体" w:hint="default"/>
                <w:sz w:val="16"/>
                <w:szCs w:val="16"/>
              </w:rPr>
              <w:t>通信</w:t>
            </w:r>
            <w:r>
              <w:rPr>
                <w:rFonts w:ascii="宋体" w:hAnsi="宋体" w:cs="宋体" w:eastAsia="宋体" w:hint="default"/>
                <w:w w:val="99"/>
                <w:sz w:val="16"/>
                <w:szCs w:val="16"/>
              </w:rPr>
              <w:t> </w:t>
            </w:r>
            <w:r>
              <w:rPr>
                <w:rFonts w:ascii="宋体" w:hAnsi="宋体" w:cs="宋体" w:eastAsia="宋体" w:hint="default"/>
                <w:sz w:val="16"/>
                <w:szCs w:val="16"/>
              </w:rPr>
              <w:t>终端</w:t>
            </w:r>
            <w:r>
              <w:rPr>
                <w:rFonts w:ascii="宋体" w:hAnsi="宋体" w:cs="宋体" w:eastAsia="宋体" w:hint="default"/>
                <w:w w:val="99"/>
                <w:sz w:val="16"/>
                <w:szCs w:val="16"/>
              </w:rPr>
              <w:t> </w:t>
            </w:r>
            <w:r>
              <w:rPr>
                <w:rFonts w:ascii="宋体" w:hAnsi="宋体" w:cs="宋体" w:eastAsia="宋体" w:hint="default"/>
                <w:sz w:val="16"/>
                <w:szCs w:val="16"/>
              </w:rPr>
              <w:t>销售</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23"/>
              <w:jc w:val="right"/>
              <w:rPr>
                <w:rFonts w:ascii="Arial" w:hAnsi="Arial" w:cs="Arial" w:eastAsia="Arial" w:hint="default"/>
                <w:sz w:val="16"/>
                <w:szCs w:val="16"/>
              </w:rPr>
            </w:pPr>
            <w:r>
              <w:rPr>
                <w:rFonts w:ascii="Arial"/>
                <w:w w:val="95"/>
                <w:sz w:val="16"/>
              </w:rPr>
              <w:t>500,000</w:t>
            </w:r>
            <w:r>
              <w:rPr>
                <w:rFonts w:ascii="Arial"/>
                <w:sz w:val="16"/>
              </w:rPr>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8" w:right="87" w:hanging="173"/>
              <w:jc w:val="left"/>
              <w:rPr>
                <w:rFonts w:ascii="宋体" w:hAnsi="宋体" w:cs="宋体" w:eastAsia="宋体" w:hint="default"/>
                <w:sz w:val="16"/>
                <w:szCs w:val="16"/>
              </w:rPr>
            </w:pPr>
            <w:r>
              <w:rPr>
                <w:rFonts w:ascii="宋体" w:hAnsi="宋体" w:cs="宋体" w:eastAsia="宋体" w:hint="default"/>
                <w:sz w:val="16"/>
                <w:szCs w:val="16"/>
              </w:rPr>
              <w:t>通信终端</w:t>
            </w:r>
            <w:r>
              <w:rPr>
                <w:rFonts w:ascii="宋体" w:hAnsi="宋体" w:cs="宋体" w:eastAsia="宋体" w:hint="default"/>
                <w:w w:val="99"/>
                <w:sz w:val="16"/>
                <w:szCs w:val="16"/>
              </w:rPr>
              <w:t> </w:t>
            </w:r>
            <w:r>
              <w:rPr>
                <w:rFonts w:ascii="宋体" w:hAnsi="宋体" w:cs="宋体" w:eastAsia="宋体" w:hint="default"/>
                <w:sz w:val="16"/>
                <w:szCs w:val="16"/>
              </w:rPr>
              <w:t>销售</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8" w:right="116" w:hanging="160"/>
              <w:jc w:val="left"/>
              <w:rPr>
                <w:rFonts w:ascii="宋体" w:hAnsi="宋体" w:cs="宋体" w:eastAsia="宋体" w:hint="default"/>
                <w:sz w:val="16"/>
                <w:szCs w:val="16"/>
              </w:rPr>
            </w:pPr>
            <w:r>
              <w:rPr>
                <w:rFonts w:ascii="宋体" w:hAnsi="宋体" w:cs="宋体" w:eastAsia="宋体" w:hint="default"/>
                <w:w w:val="95"/>
                <w:sz w:val="16"/>
                <w:szCs w:val="16"/>
              </w:rPr>
              <w:t>有限责任</w:t>
            </w:r>
            <w:r>
              <w:rPr>
                <w:rFonts w:ascii="宋体" w:hAnsi="宋体" w:cs="宋体" w:eastAsia="宋体" w:hint="default"/>
                <w:spacing w:val="-46"/>
                <w:w w:val="95"/>
                <w:sz w:val="16"/>
                <w:szCs w:val="16"/>
              </w:rPr>
              <w:t> </w:t>
            </w:r>
            <w:r>
              <w:rPr>
                <w:rFonts w:ascii="宋体" w:hAnsi="宋体" w:cs="宋体" w:eastAsia="宋体" w:hint="default"/>
                <w:sz w:val="16"/>
                <w:szCs w:val="16"/>
              </w:rPr>
              <w:t>公司</w:t>
            </w:r>
          </w:p>
        </w:tc>
        <w:tc>
          <w:tcPr>
            <w:tcW w:w="6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6"/>
                <w:szCs w:val="16"/>
              </w:rPr>
            </w:pPr>
            <w:r>
              <w:rPr>
                <w:rFonts w:ascii="宋体" w:hAnsi="宋体" w:cs="宋体" w:eastAsia="宋体" w:hint="default"/>
                <w:sz w:val="16"/>
                <w:szCs w:val="16"/>
              </w:rPr>
              <w:t>李刚</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0" w:right="0"/>
              <w:jc w:val="center"/>
              <w:rPr>
                <w:rFonts w:ascii="Arial" w:hAnsi="Arial" w:cs="Arial" w:eastAsia="Arial" w:hint="default"/>
                <w:sz w:val="16"/>
                <w:szCs w:val="16"/>
              </w:rPr>
            </w:pPr>
            <w:r>
              <w:rPr>
                <w:rFonts w:ascii="Arial"/>
                <w:sz w:val="16"/>
              </w:rPr>
              <w:t>678751887</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13"/>
              <w:jc w:val="right"/>
              <w:rPr>
                <w:rFonts w:ascii="Arial" w:hAnsi="Arial" w:cs="Arial" w:eastAsia="Arial" w:hint="default"/>
                <w:sz w:val="16"/>
                <w:szCs w:val="16"/>
              </w:rPr>
            </w:pPr>
            <w:r>
              <w:rPr>
                <w:rFonts w:ascii="Arial"/>
                <w:w w:val="95"/>
                <w:sz w:val="16"/>
              </w:rPr>
              <w:t>500,000</w:t>
            </w:r>
            <w:r>
              <w:rPr>
                <w:rFonts w:ascii="Arial"/>
                <w:sz w:val="16"/>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44"/>
              <w:jc w:val="right"/>
              <w:rPr>
                <w:rFonts w:ascii="Arial" w:hAnsi="Arial" w:cs="Arial" w:eastAsia="Arial" w:hint="default"/>
                <w:sz w:val="16"/>
                <w:szCs w:val="16"/>
              </w:rPr>
            </w:pPr>
            <w:r>
              <w:rPr>
                <w:rFonts w:ascii="Arial"/>
                <w:w w:val="95"/>
                <w:sz w:val="16"/>
              </w:rPr>
              <w:t>33.88</w:t>
            </w:r>
            <w:r>
              <w:rPr>
                <w:rFonts w:ascii="Arial"/>
                <w:sz w:val="16"/>
              </w:rPr>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70"/>
              <w:jc w:val="right"/>
              <w:rPr>
                <w:rFonts w:ascii="Arial" w:hAnsi="Arial" w:cs="Arial" w:eastAsia="Arial" w:hint="default"/>
                <w:sz w:val="16"/>
                <w:szCs w:val="16"/>
              </w:rPr>
            </w:pPr>
            <w:r>
              <w:rPr>
                <w:rFonts w:ascii="Arial"/>
                <w:w w:val="95"/>
                <w:sz w:val="16"/>
              </w:rPr>
              <w:t>62.04</w:t>
            </w:r>
            <w:r>
              <w:rPr>
                <w:rFonts w:ascii="Arial"/>
                <w:sz w:val="16"/>
              </w:rPr>
            </w:r>
          </w:p>
        </w:tc>
        <w:tc>
          <w:tcPr>
            <w:tcW w:w="5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5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9"/>
              <w:jc w:val="right"/>
              <w:rPr>
                <w:rFonts w:ascii="Arial" w:hAnsi="Arial" w:cs="Arial" w:eastAsia="Arial" w:hint="default"/>
                <w:sz w:val="16"/>
                <w:szCs w:val="16"/>
              </w:rPr>
            </w:pPr>
            <w:r>
              <w:rPr>
                <w:rFonts w:ascii="Arial"/>
                <w:w w:val="99"/>
                <w:sz w:val="16"/>
              </w:rPr>
              <w:t>-</w:t>
            </w:r>
            <w:r>
              <w:rPr>
                <w:rFonts w:ascii="Arial"/>
                <w:sz w:val="16"/>
              </w:rPr>
            </w:r>
          </w:p>
        </w:tc>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23"/>
              <w:jc w:val="right"/>
              <w:rPr>
                <w:rFonts w:ascii="Arial" w:hAnsi="Arial" w:cs="Arial" w:eastAsia="Arial" w:hint="default"/>
                <w:sz w:val="16"/>
                <w:szCs w:val="16"/>
              </w:rPr>
            </w:pPr>
            <w:r>
              <w:rPr>
                <w:rFonts w:ascii="Arial"/>
                <w:w w:val="99"/>
                <w:sz w:val="16"/>
              </w:rPr>
              <w:t>-</w:t>
            </w:r>
            <w:r>
              <w:rPr>
                <w:rFonts w:ascii="Arial"/>
                <w:sz w:val="16"/>
              </w:rPr>
            </w:r>
          </w:p>
        </w:tc>
      </w:tr>
      <w:tr>
        <w:trPr>
          <w:trHeight w:val="784"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亿迅投资有限公司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（“亿迅公司”）</w:t>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4"/>
              <w:jc w:val="center"/>
              <w:rPr>
                <w:rFonts w:ascii="Arial" w:hAnsi="Arial" w:cs="Arial" w:eastAsia="Arial" w:hint="default"/>
                <w:sz w:val="16"/>
                <w:szCs w:val="16"/>
              </w:rPr>
            </w:pPr>
            <w:r>
              <w:rPr>
                <w:rFonts w:ascii="Arial"/>
                <w:sz w:val="16"/>
              </w:rPr>
              <w:t>(1)</w:t>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2" w:right="111"/>
              <w:jc w:val="left"/>
              <w:rPr>
                <w:rFonts w:ascii="宋体" w:hAnsi="宋体" w:cs="宋体" w:eastAsia="宋体" w:hint="default"/>
                <w:sz w:val="16"/>
                <w:szCs w:val="16"/>
              </w:rPr>
            </w:pPr>
            <w:r>
              <w:rPr>
                <w:rFonts w:ascii="宋体" w:hAnsi="宋体" w:cs="宋体" w:eastAsia="宋体" w:hint="default"/>
                <w:sz w:val="16"/>
                <w:szCs w:val="16"/>
              </w:rPr>
              <w:t>间接</w:t>
            </w:r>
            <w:r>
              <w:rPr>
                <w:rFonts w:ascii="宋体" w:hAnsi="宋体" w:cs="宋体" w:eastAsia="宋体" w:hint="default"/>
                <w:w w:val="99"/>
                <w:sz w:val="16"/>
                <w:szCs w:val="16"/>
              </w:rPr>
              <w:t> </w:t>
            </w:r>
            <w:r>
              <w:rPr>
                <w:rFonts w:ascii="宋体" w:hAnsi="宋体" w:cs="宋体" w:eastAsia="宋体" w:hint="default"/>
                <w:sz w:val="16"/>
                <w:szCs w:val="16"/>
              </w:rPr>
              <w:t>控股</w:t>
            </w:r>
          </w:p>
        </w:tc>
        <w:tc>
          <w:tcPr>
            <w:tcW w:w="1500" w:type="dxa"/>
            <w:tcBorders>
              <w:top w:val="nil" w:sz="6" w:space="0" w:color="auto"/>
              <w:left w:val="nil" w:sz="6" w:space="0" w:color="auto"/>
              <w:bottom w:val="nil" w:sz="6" w:space="0" w:color="auto"/>
              <w:right w:val="nil" w:sz="6" w:space="0" w:color="auto"/>
            </w:tcBorders>
          </w:tcPr>
          <w:p>
            <w:pPr>
              <w:pStyle w:val="TableParagraph"/>
              <w:spacing w:line="208" w:lineRule="exact" w:before="45"/>
              <w:ind w:right="14"/>
              <w:jc w:val="center"/>
              <w:rPr>
                <w:rFonts w:ascii="宋体" w:hAnsi="宋体" w:cs="宋体" w:eastAsia="宋体" w:hint="default"/>
                <w:sz w:val="16"/>
                <w:szCs w:val="16"/>
              </w:rPr>
            </w:pPr>
            <w:r>
              <w:rPr>
                <w:rFonts w:ascii="宋体" w:hAnsi="宋体" w:cs="宋体" w:eastAsia="宋体" w:hint="default"/>
                <w:spacing w:val="-3"/>
                <w:sz w:val="16"/>
                <w:szCs w:val="16"/>
              </w:rPr>
              <w:t>（英属）维尔京群岛</w:t>
            </w:r>
          </w:p>
          <w:p>
            <w:pPr>
              <w:pStyle w:val="TableParagraph"/>
              <w:spacing w:line="213" w:lineRule="exact"/>
              <w:ind w:right="15"/>
              <w:jc w:val="center"/>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right="15"/>
              <w:jc w:val="center"/>
              <w:rPr>
                <w:rFonts w:ascii="宋体" w:hAnsi="宋体" w:cs="宋体" w:eastAsia="宋体" w:hint="default"/>
                <w:sz w:val="16"/>
                <w:szCs w:val="16"/>
              </w:rPr>
            </w:pPr>
            <w:r>
              <w:rPr>
                <w:rFonts w:ascii="Arial" w:hAnsi="Arial" w:cs="Arial" w:eastAsia="Arial" w:hint="default"/>
                <w:sz w:val="16"/>
                <w:szCs w:val="16"/>
              </w:rPr>
              <w:t>8</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15</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191" w:hanging="81"/>
              <w:jc w:val="left"/>
              <w:rPr>
                <w:rFonts w:ascii="宋体" w:hAnsi="宋体" w:cs="宋体" w:eastAsia="宋体" w:hint="default"/>
                <w:sz w:val="16"/>
                <w:szCs w:val="16"/>
              </w:rPr>
            </w:pPr>
            <w:r>
              <w:rPr>
                <w:rFonts w:ascii="宋体" w:hAnsi="宋体" w:cs="宋体" w:eastAsia="宋体" w:hint="default"/>
                <w:sz w:val="16"/>
                <w:szCs w:val="16"/>
              </w:rPr>
              <w:t>投资及</w:t>
            </w:r>
            <w:r>
              <w:rPr>
                <w:rFonts w:ascii="宋体" w:hAnsi="宋体" w:cs="宋体" w:eastAsia="宋体" w:hint="default"/>
                <w:w w:val="99"/>
                <w:sz w:val="16"/>
                <w:szCs w:val="16"/>
              </w:rPr>
              <w:t> </w:t>
            </w:r>
            <w:r>
              <w:rPr>
                <w:rFonts w:ascii="宋体" w:hAnsi="宋体" w:cs="宋体" w:eastAsia="宋体" w:hint="default"/>
                <w:sz w:val="16"/>
                <w:szCs w:val="16"/>
              </w:rPr>
              <w:t>融资</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6"/>
                <w:szCs w:val="16"/>
              </w:rPr>
            </w:pPr>
            <w:r>
              <w:rPr>
                <w:rFonts w:ascii="Arial" w:hAnsi="Arial" w:cs="Arial" w:eastAsia="Arial" w:hint="default"/>
                <w:sz w:val="16"/>
                <w:szCs w:val="16"/>
              </w:rPr>
              <w:t>1</w:t>
            </w:r>
            <w:r>
              <w:rPr>
                <w:rFonts w:ascii="Arial" w:hAnsi="Arial" w:cs="Arial" w:eastAsia="Arial" w:hint="default"/>
                <w:spacing w:val="-7"/>
                <w:sz w:val="16"/>
                <w:szCs w:val="16"/>
              </w:rPr>
              <w:t> </w:t>
            </w:r>
            <w:r>
              <w:rPr>
                <w:rFonts w:ascii="宋体" w:hAnsi="宋体" w:cs="宋体" w:eastAsia="宋体" w:hint="default"/>
                <w:sz w:val="16"/>
                <w:szCs w:val="16"/>
              </w:rPr>
              <w:t>美元</w:t>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65" w:right="167" w:hanging="81"/>
              <w:jc w:val="left"/>
              <w:rPr>
                <w:rFonts w:ascii="宋体" w:hAnsi="宋体" w:cs="宋体" w:eastAsia="宋体" w:hint="default"/>
                <w:sz w:val="16"/>
                <w:szCs w:val="16"/>
              </w:rPr>
            </w:pPr>
            <w:r>
              <w:rPr>
                <w:rFonts w:ascii="宋体" w:hAnsi="宋体" w:cs="宋体" w:eastAsia="宋体" w:hint="default"/>
                <w:sz w:val="16"/>
                <w:szCs w:val="16"/>
              </w:rPr>
              <w:t>投资及</w:t>
            </w:r>
            <w:r>
              <w:rPr>
                <w:rFonts w:ascii="宋体" w:hAnsi="宋体" w:cs="宋体" w:eastAsia="宋体" w:hint="default"/>
                <w:w w:val="99"/>
                <w:sz w:val="16"/>
                <w:szCs w:val="16"/>
              </w:rPr>
              <w:t> </w:t>
            </w:r>
            <w:r>
              <w:rPr>
                <w:rFonts w:ascii="宋体" w:hAnsi="宋体" w:cs="宋体" w:eastAsia="宋体" w:hint="default"/>
                <w:sz w:val="16"/>
                <w:szCs w:val="16"/>
              </w:rPr>
              <w:t>融资</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8" w:right="274"/>
              <w:jc w:val="left"/>
              <w:rPr>
                <w:rFonts w:ascii="宋体" w:hAnsi="宋体" w:cs="宋体" w:eastAsia="宋体" w:hint="default"/>
                <w:sz w:val="16"/>
                <w:szCs w:val="16"/>
              </w:rPr>
            </w:pPr>
            <w:r>
              <w:rPr>
                <w:rFonts w:ascii="宋体" w:hAnsi="宋体" w:cs="宋体" w:eastAsia="宋体" w:hint="default"/>
                <w:sz w:val="16"/>
                <w:szCs w:val="16"/>
              </w:rPr>
              <w:t>有限</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6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6"/>
                <w:szCs w:val="16"/>
              </w:rPr>
            </w:pPr>
            <w:r>
              <w:rPr>
                <w:rFonts w:ascii="宋体" w:hAnsi="宋体" w:cs="宋体" w:eastAsia="宋体" w:hint="default"/>
                <w:sz w:val="16"/>
                <w:szCs w:val="16"/>
              </w:rPr>
              <w:t>不适用</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center"/>
              <w:rPr>
                <w:rFonts w:ascii="宋体" w:hAnsi="宋体" w:cs="宋体" w:eastAsia="宋体" w:hint="default"/>
                <w:sz w:val="16"/>
                <w:szCs w:val="16"/>
              </w:rPr>
            </w:pPr>
            <w:r>
              <w:rPr>
                <w:rFonts w:ascii="宋体" w:hAnsi="宋体" w:cs="宋体" w:eastAsia="宋体" w:hint="default"/>
                <w:sz w:val="16"/>
                <w:szCs w:val="16"/>
              </w:rPr>
              <w:t>不适用</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4"/>
              <w:jc w:val="right"/>
              <w:rPr>
                <w:rFonts w:ascii="宋体" w:hAnsi="宋体" w:cs="宋体" w:eastAsia="宋体" w:hint="default"/>
                <w:sz w:val="16"/>
                <w:szCs w:val="16"/>
              </w:rPr>
            </w:pPr>
            <w:r>
              <w:rPr>
                <w:rFonts w:ascii="Arial" w:hAnsi="Arial" w:cs="Arial" w:eastAsia="Arial" w:hint="default"/>
                <w:sz w:val="16"/>
                <w:szCs w:val="16"/>
              </w:rPr>
              <w:t>1</w:t>
            </w:r>
            <w:r>
              <w:rPr>
                <w:rFonts w:ascii="Arial" w:hAnsi="Arial" w:cs="Arial" w:eastAsia="Arial" w:hint="default"/>
                <w:spacing w:val="-7"/>
                <w:sz w:val="16"/>
                <w:szCs w:val="16"/>
              </w:rPr>
              <w:t> </w:t>
            </w:r>
            <w:r>
              <w:rPr>
                <w:rFonts w:ascii="宋体" w:hAnsi="宋体" w:cs="宋体" w:eastAsia="宋体" w:hint="default"/>
                <w:sz w:val="16"/>
                <w:szCs w:val="16"/>
              </w:rPr>
              <w:t>美元</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44"/>
              <w:jc w:val="right"/>
              <w:rPr>
                <w:rFonts w:ascii="Arial" w:hAnsi="Arial" w:cs="Arial" w:eastAsia="Arial" w:hint="default"/>
                <w:sz w:val="16"/>
                <w:szCs w:val="16"/>
              </w:rPr>
            </w:pPr>
            <w:r>
              <w:rPr>
                <w:rFonts w:ascii="Arial"/>
                <w:w w:val="95"/>
                <w:sz w:val="16"/>
              </w:rPr>
              <w:t>33.88</w:t>
            </w:r>
            <w:r>
              <w:rPr>
                <w:rFonts w:ascii="Arial"/>
                <w:sz w:val="16"/>
              </w:rPr>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70"/>
              <w:jc w:val="right"/>
              <w:rPr>
                <w:rFonts w:ascii="Arial" w:hAnsi="Arial" w:cs="Arial" w:eastAsia="Arial" w:hint="default"/>
                <w:sz w:val="16"/>
                <w:szCs w:val="16"/>
              </w:rPr>
            </w:pPr>
            <w:r>
              <w:rPr>
                <w:rFonts w:ascii="Arial"/>
                <w:w w:val="95"/>
                <w:sz w:val="16"/>
              </w:rPr>
              <w:t>62.04</w:t>
            </w:r>
            <w:r>
              <w:rPr>
                <w:rFonts w:ascii="Arial"/>
                <w:sz w:val="16"/>
              </w:rPr>
            </w:r>
          </w:p>
        </w:tc>
        <w:tc>
          <w:tcPr>
            <w:tcW w:w="5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5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9"/>
              <w:jc w:val="right"/>
              <w:rPr>
                <w:rFonts w:ascii="Arial" w:hAnsi="Arial" w:cs="Arial" w:eastAsia="Arial" w:hint="default"/>
                <w:sz w:val="16"/>
                <w:szCs w:val="16"/>
              </w:rPr>
            </w:pPr>
            <w:r>
              <w:rPr>
                <w:rFonts w:ascii="Arial"/>
                <w:w w:val="99"/>
                <w:sz w:val="16"/>
              </w:rPr>
              <w:t>-</w:t>
            </w:r>
            <w:r>
              <w:rPr>
                <w:rFonts w:ascii="Arial"/>
                <w:sz w:val="16"/>
              </w:rPr>
            </w:r>
          </w:p>
        </w:tc>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23"/>
              <w:jc w:val="right"/>
              <w:rPr>
                <w:rFonts w:ascii="Arial" w:hAnsi="Arial" w:cs="Arial" w:eastAsia="Arial" w:hint="default"/>
                <w:sz w:val="16"/>
                <w:szCs w:val="16"/>
              </w:rPr>
            </w:pPr>
            <w:r>
              <w:rPr>
                <w:rFonts w:ascii="Arial"/>
                <w:w w:val="99"/>
                <w:sz w:val="16"/>
              </w:rPr>
              <w:t>-</w:t>
            </w:r>
            <w:r>
              <w:rPr>
                <w:rFonts w:ascii="Arial"/>
                <w:sz w:val="16"/>
              </w:rPr>
            </w:r>
          </w:p>
        </w:tc>
      </w:tr>
      <w:tr>
        <w:trPr>
          <w:trHeight w:val="784"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联通支付有限公司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（“联通支付”）</w:t>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4"/>
              <w:jc w:val="center"/>
              <w:rPr>
                <w:rFonts w:ascii="Arial" w:hAnsi="Arial" w:cs="Arial" w:eastAsia="Arial" w:hint="default"/>
                <w:sz w:val="16"/>
                <w:szCs w:val="16"/>
              </w:rPr>
            </w:pPr>
            <w:r>
              <w:rPr>
                <w:rFonts w:ascii="Arial"/>
                <w:sz w:val="16"/>
              </w:rPr>
              <w:t>(2)</w:t>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2" w:right="111"/>
              <w:jc w:val="left"/>
              <w:rPr>
                <w:rFonts w:ascii="宋体" w:hAnsi="宋体" w:cs="宋体" w:eastAsia="宋体" w:hint="default"/>
                <w:sz w:val="16"/>
                <w:szCs w:val="16"/>
              </w:rPr>
            </w:pPr>
            <w:r>
              <w:rPr>
                <w:rFonts w:ascii="宋体" w:hAnsi="宋体" w:cs="宋体" w:eastAsia="宋体" w:hint="default"/>
                <w:sz w:val="16"/>
                <w:szCs w:val="16"/>
              </w:rPr>
              <w:t>间接</w:t>
            </w:r>
            <w:r>
              <w:rPr>
                <w:rFonts w:ascii="宋体" w:hAnsi="宋体" w:cs="宋体" w:eastAsia="宋体" w:hint="default"/>
                <w:w w:val="99"/>
                <w:sz w:val="16"/>
                <w:szCs w:val="16"/>
              </w:rPr>
              <w:t> </w:t>
            </w:r>
            <w:r>
              <w:rPr>
                <w:rFonts w:ascii="宋体" w:hAnsi="宋体" w:cs="宋体" w:eastAsia="宋体" w:hint="default"/>
                <w:sz w:val="16"/>
                <w:szCs w:val="16"/>
              </w:rPr>
              <w:t>控股</w:t>
            </w:r>
          </w:p>
        </w:tc>
        <w:tc>
          <w:tcPr>
            <w:tcW w:w="1500" w:type="dxa"/>
            <w:tcBorders>
              <w:top w:val="nil" w:sz="6" w:space="0" w:color="auto"/>
              <w:left w:val="nil" w:sz="6" w:space="0" w:color="auto"/>
              <w:bottom w:val="nil" w:sz="6" w:space="0" w:color="auto"/>
              <w:right w:val="nil" w:sz="6" w:space="0" w:color="auto"/>
            </w:tcBorders>
          </w:tcPr>
          <w:p>
            <w:pPr>
              <w:pStyle w:val="TableParagraph"/>
              <w:spacing w:line="208" w:lineRule="exact" w:before="45"/>
              <w:ind w:right="14"/>
              <w:jc w:val="center"/>
              <w:rPr>
                <w:rFonts w:ascii="宋体" w:hAnsi="宋体" w:cs="宋体" w:eastAsia="宋体" w:hint="default"/>
                <w:sz w:val="16"/>
                <w:szCs w:val="16"/>
              </w:rPr>
            </w:pPr>
            <w:r>
              <w:rPr>
                <w:rFonts w:ascii="宋体" w:hAnsi="宋体" w:cs="宋体" w:eastAsia="宋体" w:hint="default"/>
                <w:sz w:val="16"/>
                <w:szCs w:val="16"/>
              </w:rPr>
              <w:t>中国，北京市</w:t>
            </w:r>
          </w:p>
          <w:p>
            <w:pPr>
              <w:pStyle w:val="TableParagraph"/>
              <w:spacing w:line="213" w:lineRule="exact"/>
              <w:ind w:right="15"/>
              <w:jc w:val="center"/>
              <w:rPr>
                <w:rFonts w:ascii="宋体" w:hAnsi="宋体" w:cs="宋体" w:eastAsia="宋体" w:hint="default"/>
                <w:sz w:val="16"/>
                <w:szCs w:val="16"/>
              </w:rPr>
            </w:pPr>
            <w:r>
              <w:rPr>
                <w:rFonts w:ascii="Arial" w:hAnsi="Arial" w:cs="Arial" w:eastAsia="Arial" w:hint="default"/>
                <w:sz w:val="16"/>
                <w:szCs w:val="16"/>
              </w:rPr>
              <w:t>2011</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right="15"/>
              <w:jc w:val="center"/>
              <w:rPr>
                <w:rFonts w:ascii="宋体" w:hAnsi="宋体" w:cs="宋体" w:eastAsia="宋体" w:hint="default"/>
                <w:sz w:val="16"/>
                <w:szCs w:val="16"/>
              </w:rPr>
            </w:pPr>
            <w:r>
              <w:rPr>
                <w:rFonts w:ascii="Arial" w:hAnsi="Arial" w:cs="Arial" w:eastAsia="Arial" w:hint="default"/>
                <w:sz w:val="16"/>
                <w:szCs w:val="16"/>
              </w:rPr>
              <w:t>4</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1" w:right="110"/>
              <w:jc w:val="both"/>
              <w:rPr>
                <w:rFonts w:ascii="宋体" w:hAnsi="宋体" w:cs="宋体" w:eastAsia="宋体" w:hint="default"/>
                <w:sz w:val="16"/>
                <w:szCs w:val="16"/>
              </w:rPr>
            </w:pPr>
            <w:r>
              <w:rPr>
                <w:rFonts w:ascii="宋体" w:hAnsi="宋体" w:cs="宋体" w:eastAsia="宋体" w:hint="default"/>
                <w:sz w:val="16"/>
                <w:szCs w:val="16"/>
              </w:rPr>
              <w:t>软件服务</w:t>
            </w:r>
            <w:r>
              <w:rPr>
                <w:rFonts w:ascii="宋体" w:hAnsi="宋体" w:cs="宋体" w:eastAsia="宋体" w:hint="default"/>
                <w:w w:val="99"/>
                <w:sz w:val="16"/>
                <w:szCs w:val="16"/>
              </w:rPr>
              <w:t> </w:t>
            </w:r>
            <w:r>
              <w:rPr>
                <w:rFonts w:ascii="宋体" w:hAnsi="宋体" w:cs="宋体" w:eastAsia="宋体" w:hint="default"/>
                <w:sz w:val="16"/>
                <w:szCs w:val="16"/>
              </w:rPr>
              <w:t>及技术开</w:t>
            </w:r>
            <w:r>
              <w:rPr>
                <w:rFonts w:ascii="宋体" w:hAnsi="宋体" w:cs="宋体" w:eastAsia="宋体" w:hint="default"/>
                <w:w w:val="99"/>
                <w:sz w:val="16"/>
                <w:szCs w:val="16"/>
              </w:rPr>
              <w:t> </w:t>
            </w:r>
            <w:r>
              <w:rPr>
                <w:rFonts w:ascii="宋体" w:hAnsi="宋体" w:cs="宋体" w:eastAsia="宋体" w:hint="default"/>
                <w:sz w:val="16"/>
                <w:szCs w:val="16"/>
              </w:rPr>
              <w:t>发与咨询</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23"/>
              <w:jc w:val="right"/>
              <w:rPr>
                <w:rFonts w:ascii="Arial" w:hAnsi="Arial" w:cs="Arial" w:eastAsia="Arial" w:hint="default"/>
                <w:sz w:val="16"/>
                <w:szCs w:val="16"/>
              </w:rPr>
            </w:pPr>
            <w:r>
              <w:rPr>
                <w:rFonts w:ascii="Arial"/>
                <w:w w:val="95"/>
                <w:sz w:val="16"/>
              </w:rPr>
              <w:t>250,000</w:t>
            </w:r>
            <w:r>
              <w:rPr>
                <w:rFonts w:ascii="Arial"/>
                <w:sz w:val="16"/>
              </w:rPr>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6" w:right="87"/>
              <w:jc w:val="center"/>
              <w:rPr>
                <w:rFonts w:ascii="宋体" w:hAnsi="宋体" w:cs="宋体" w:eastAsia="宋体" w:hint="default"/>
                <w:sz w:val="16"/>
                <w:szCs w:val="16"/>
              </w:rPr>
            </w:pPr>
            <w:r>
              <w:rPr>
                <w:rFonts w:ascii="宋体" w:hAnsi="宋体" w:cs="宋体" w:eastAsia="宋体" w:hint="default"/>
                <w:w w:val="95"/>
                <w:sz w:val="16"/>
                <w:szCs w:val="16"/>
              </w:rPr>
              <w:t>信息咨询</w:t>
            </w:r>
            <w:r>
              <w:rPr>
                <w:rFonts w:ascii="宋体" w:hAnsi="宋体" w:cs="宋体" w:eastAsia="宋体" w:hint="default"/>
                <w:spacing w:val="-47"/>
                <w:w w:val="95"/>
                <w:sz w:val="16"/>
                <w:szCs w:val="16"/>
              </w:rPr>
              <w:t> </w:t>
            </w:r>
            <w:r>
              <w:rPr>
                <w:rFonts w:ascii="宋体" w:hAnsi="宋体" w:cs="宋体" w:eastAsia="宋体" w:hint="default"/>
                <w:sz w:val="16"/>
                <w:szCs w:val="16"/>
              </w:rPr>
              <w:t>及</w:t>
            </w:r>
            <w:r>
              <w:rPr>
                <w:rFonts w:ascii="宋体" w:hAnsi="宋体" w:cs="宋体" w:eastAsia="宋体" w:hint="default"/>
                <w:w w:val="99"/>
                <w:sz w:val="16"/>
                <w:szCs w:val="16"/>
              </w:rPr>
              <w:t> </w:t>
            </w:r>
            <w:r>
              <w:rPr>
                <w:rFonts w:ascii="宋体" w:hAnsi="宋体" w:cs="宋体" w:eastAsia="宋体" w:hint="default"/>
                <w:w w:val="95"/>
                <w:sz w:val="16"/>
                <w:szCs w:val="16"/>
              </w:rPr>
              <w:t>软件服务</w:t>
            </w:r>
            <w:r>
              <w:rPr>
                <w:rFonts w:ascii="宋体" w:hAnsi="宋体" w:cs="宋体" w:eastAsia="宋体" w:hint="default"/>
                <w:sz w:val="16"/>
                <w:szCs w:val="16"/>
              </w:rPr>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8" w:right="274"/>
              <w:jc w:val="left"/>
              <w:rPr>
                <w:rFonts w:ascii="宋体" w:hAnsi="宋体" w:cs="宋体" w:eastAsia="宋体" w:hint="default"/>
                <w:sz w:val="16"/>
                <w:szCs w:val="16"/>
              </w:rPr>
            </w:pPr>
            <w:r>
              <w:rPr>
                <w:rFonts w:ascii="宋体" w:hAnsi="宋体" w:cs="宋体" w:eastAsia="宋体" w:hint="default"/>
                <w:sz w:val="16"/>
                <w:szCs w:val="16"/>
              </w:rPr>
              <w:t>有限</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6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6"/>
                <w:szCs w:val="16"/>
              </w:rPr>
            </w:pPr>
            <w:r>
              <w:rPr>
                <w:rFonts w:ascii="宋体" w:hAnsi="宋体" w:cs="宋体" w:eastAsia="宋体" w:hint="default"/>
                <w:sz w:val="16"/>
                <w:szCs w:val="16"/>
              </w:rPr>
              <w:t>戴任飞</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6"/>
              <w:jc w:val="center"/>
              <w:rPr>
                <w:rFonts w:ascii="Arial" w:hAnsi="Arial" w:cs="Arial" w:eastAsia="Arial" w:hint="default"/>
                <w:sz w:val="16"/>
                <w:szCs w:val="16"/>
              </w:rPr>
            </w:pPr>
            <w:r>
              <w:rPr>
                <w:rFonts w:ascii="Arial"/>
                <w:sz w:val="16"/>
              </w:rPr>
              <w:t>57322905-6</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13"/>
              <w:jc w:val="right"/>
              <w:rPr>
                <w:rFonts w:ascii="Arial" w:hAnsi="Arial" w:cs="Arial" w:eastAsia="Arial" w:hint="default"/>
                <w:sz w:val="16"/>
                <w:szCs w:val="16"/>
              </w:rPr>
            </w:pPr>
            <w:r>
              <w:rPr>
                <w:rFonts w:ascii="Arial"/>
                <w:w w:val="95"/>
                <w:sz w:val="16"/>
              </w:rPr>
              <w:t>250,000</w:t>
            </w:r>
            <w:r>
              <w:rPr>
                <w:rFonts w:ascii="Arial"/>
                <w:sz w:val="16"/>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44"/>
              <w:jc w:val="right"/>
              <w:rPr>
                <w:rFonts w:ascii="Arial" w:hAnsi="Arial" w:cs="Arial" w:eastAsia="Arial" w:hint="default"/>
                <w:sz w:val="16"/>
                <w:szCs w:val="16"/>
              </w:rPr>
            </w:pPr>
            <w:r>
              <w:rPr>
                <w:rFonts w:ascii="Arial"/>
                <w:w w:val="95"/>
                <w:sz w:val="16"/>
              </w:rPr>
              <w:t>33.88</w:t>
            </w:r>
            <w:r>
              <w:rPr>
                <w:rFonts w:ascii="Arial"/>
                <w:sz w:val="16"/>
              </w:rPr>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70"/>
              <w:jc w:val="right"/>
              <w:rPr>
                <w:rFonts w:ascii="Arial" w:hAnsi="Arial" w:cs="Arial" w:eastAsia="Arial" w:hint="default"/>
                <w:sz w:val="16"/>
                <w:szCs w:val="16"/>
              </w:rPr>
            </w:pPr>
            <w:r>
              <w:rPr>
                <w:rFonts w:ascii="Arial"/>
                <w:w w:val="95"/>
                <w:sz w:val="16"/>
              </w:rPr>
              <w:t>62.04</w:t>
            </w:r>
            <w:r>
              <w:rPr>
                <w:rFonts w:ascii="Arial"/>
                <w:sz w:val="16"/>
              </w:rPr>
            </w:r>
          </w:p>
        </w:tc>
        <w:tc>
          <w:tcPr>
            <w:tcW w:w="5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5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9"/>
              <w:jc w:val="right"/>
              <w:rPr>
                <w:rFonts w:ascii="Arial" w:hAnsi="Arial" w:cs="Arial" w:eastAsia="Arial" w:hint="default"/>
                <w:sz w:val="16"/>
                <w:szCs w:val="16"/>
              </w:rPr>
            </w:pPr>
            <w:r>
              <w:rPr>
                <w:rFonts w:ascii="Arial"/>
                <w:w w:val="99"/>
                <w:sz w:val="16"/>
              </w:rPr>
              <w:t>-</w:t>
            </w:r>
            <w:r>
              <w:rPr>
                <w:rFonts w:ascii="Arial"/>
                <w:sz w:val="16"/>
              </w:rPr>
            </w:r>
          </w:p>
        </w:tc>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23"/>
              <w:jc w:val="right"/>
              <w:rPr>
                <w:rFonts w:ascii="Arial" w:hAnsi="Arial" w:cs="Arial" w:eastAsia="Arial" w:hint="default"/>
                <w:sz w:val="16"/>
                <w:szCs w:val="16"/>
              </w:rPr>
            </w:pPr>
            <w:r>
              <w:rPr>
                <w:rFonts w:ascii="Arial"/>
                <w:w w:val="99"/>
                <w:sz w:val="16"/>
              </w:rPr>
              <w:t>-</w:t>
            </w:r>
            <w:r>
              <w:rPr>
                <w:rFonts w:ascii="Arial"/>
                <w:sz w:val="16"/>
              </w:rPr>
            </w:r>
          </w:p>
        </w:tc>
      </w:tr>
      <w:tr>
        <w:trPr>
          <w:trHeight w:val="689"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联通新时空通信有限公司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（“联通新时空”）</w:t>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4"/>
              <w:jc w:val="center"/>
              <w:rPr>
                <w:rFonts w:ascii="Arial" w:hAnsi="Arial" w:cs="Arial" w:eastAsia="Arial" w:hint="default"/>
                <w:sz w:val="16"/>
                <w:szCs w:val="16"/>
              </w:rPr>
            </w:pPr>
            <w:r>
              <w:rPr>
                <w:rFonts w:ascii="Arial"/>
                <w:sz w:val="16"/>
              </w:rPr>
              <w:t>(5)</w:t>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2" w:right="111"/>
              <w:jc w:val="left"/>
              <w:rPr>
                <w:rFonts w:ascii="宋体" w:hAnsi="宋体" w:cs="宋体" w:eastAsia="宋体" w:hint="default"/>
                <w:sz w:val="16"/>
                <w:szCs w:val="16"/>
              </w:rPr>
            </w:pPr>
            <w:r>
              <w:rPr>
                <w:rFonts w:ascii="宋体" w:hAnsi="宋体" w:cs="宋体" w:eastAsia="宋体" w:hint="default"/>
                <w:sz w:val="16"/>
                <w:szCs w:val="16"/>
              </w:rPr>
              <w:t>间接</w:t>
            </w:r>
            <w:r>
              <w:rPr>
                <w:rFonts w:ascii="宋体" w:hAnsi="宋体" w:cs="宋体" w:eastAsia="宋体" w:hint="default"/>
                <w:w w:val="99"/>
                <w:sz w:val="16"/>
                <w:szCs w:val="16"/>
              </w:rPr>
              <w:t> </w:t>
            </w:r>
            <w:r>
              <w:rPr>
                <w:rFonts w:ascii="宋体" w:hAnsi="宋体" w:cs="宋体" w:eastAsia="宋体" w:hint="default"/>
                <w:sz w:val="16"/>
                <w:szCs w:val="16"/>
              </w:rPr>
              <w:t>控股</w:t>
            </w:r>
          </w:p>
        </w:tc>
        <w:tc>
          <w:tcPr>
            <w:tcW w:w="1500" w:type="dxa"/>
            <w:tcBorders>
              <w:top w:val="nil" w:sz="6" w:space="0" w:color="auto"/>
              <w:left w:val="nil" w:sz="6" w:space="0" w:color="auto"/>
              <w:bottom w:val="nil" w:sz="6" w:space="0" w:color="auto"/>
              <w:right w:val="nil" w:sz="6" w:space="0" w:color="auto"/>
            </w:tcBorders>
          </w:tcPr>
          <w:p>
            <w:pPr>
              <w:pStyle w:val="TableParagraph"/>
              <w:spacing w:line="208" w:lineRule="exact" w:before="45"/>
              <w:ind w:right="14"/>
              <w:jc w:val="center"/>
              <w:rPr>
                <w:rFonts w:ascii="宋体" w:hAnsi="宋体" w:cs="宋体" w:eastAsia="宋体" w:hint="default"/>
                <w:sz w:val="16"/>
                <w:szCs w:val="16"/>
              </w:rPr>
            </w:pPr>
            <w:r>
              <w:rPr>
                <w:rFonts w:ascii="宋体" w:hAnsi="宋体" w:cs="宋体" w:eastAsia="宋体" w:hint="default"/>
                <w:sz w:val="16"/>
                <w:szCs w:val="16"/>
              </w:rPr>
              <w:t>中国，北京市</w:t>
            </w:r>
          </w:p>
          <w:p>
            <w:pPr>
              <w:pStyle w:val="TableParagraph"/>
              <w:spacing w:line="213" w:lineRule="exact"/>
              <w:ind w:right="15"/>
              <w:jc w:val="center"/>
              <w:rPr>
                <w:rFonts w:ascii="宋体" w:hAnsi="宋体" w:cs="宋体" w:eastAsia="宋体" w:hint="default"/>
                <w:sz w:val="16"/>
                <w:szCs w:val="16"/>
              </w:rPr>
            </w:pPr>
            <w:r>
              <w:rPr>
                <w:rFonts w:ascii="Arial" w:hAnsi="Arial" w:cs="Arial" w:eastAsia="Arial" w:hint="default"/>
                <w:sz w:val="16"/>
                <w:szCs w:val="16"/>
              </w:rPr>
              <w:t>2001</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right="15"/>
              <w:jc w:val="center"/>
              <w:rPr>
                <w:rFonts w:ascii="宋体" w:hAnsi="宋体" w:cs="宋体" w:eastAsia="宋体" w:hint="default"/>
                <w:sz w:val="16"/>
                <w:szCs w:val="16"/>
              </w:rPr>
            </w:pPr>
            <w:r>
              <w:rPr>
                <w:rFonts w:ascii="Arial" w:hAnsi="Arial" w:cs="Arial" w:eastAsia="Arial" w:hint="default"/>
                <w:sz w:val="16"/>
                <w:szCs w:val="16"/>
              </w:rPr>
              <w:t>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14</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1" w:right="110"/>
              <w:jc w:val="left"/>
              <w:rPr>
                <w:rFonts w:ascii="宋体" w:hAnsi="宋体" w:cs="宋体" w:eastAsia="宋体" w:hint="default"/>
                <w:sz w:val="16"/>
                <w:szCs w:val="16"/>
              </w:rPr>
            </w:pPr>
            <w:r>
              <w:rPr>
                <w:rFonts w:ascii="宋体" w:hAnsi="宋体" w:cs="宋体" w:eastAsia="宋体" w:hint="default"/>
                <w:sz w:val="16"/>
                <w:szCs w:val="16"/>
              </w:rPr>
              <w:t>固定电信</w:t>
            </w:r>
            <w:r>
              <w:rPr>
                <w:rFonts w:ascii="宋体" w:hAnsi="宋体" w:cs="宋体" w:eastAsia="宋体" w:hint="default"/>
                <w:w w:val="99"/>
                <w:sz w:val="16"/>
                <w:szCs w:val="16"/>
              </w:rPr>
              <w:t> </w:t>
            </w:r>
            <w:r>
              <w:rPr>
                <w:rFonts w:ascii="宋体" w:hAnsi="宋体" w:cs="宋体" w:eastAsia="宋体" w:hint="default"/>
                <w:sz w:val="16"/>
                <w:szCs w:val="16"/>
              </w:rPr>
              <w:t>网络租赁</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23"/>
              <w:jc w:val="right"/>
              <w:rPr>
                <w:rFonts w:ascii="Arial" w:hAnsi="Arial" w:cs="Arial" w:eastAsia="Arial" w:hint="default"/>
                <w:sz w:val="16"/>
                <w:szCs w:val="16"/>
              </w:rPr>
            </w:pPr>
            <w:r>
              <w:rPr>
                <w:rFonts w:ascii="Arial"/>
                <w:w w:val="95"/>
                <w:sz w:val="16"/>
              </w:rPr>
              <w:t>40,233,740</w:t>
            </w:r>
            <w:r>
              <w:rPr>
                <w:rFonts w:ascii="Arial"/>
                <w:sz w:val="16"/>
              </w:rPr>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6" w:right="87" w:hanging="3"/>
              <w:jc w:val="left"/>
              <w:rPr>
                <w:rFonts w:ascii="宋体" w:hAnsi="宋体" w:cs="宋体" w:eastAsia="宋体" w:hint="default"/>
                <w:sz w:val="16"/>
                <w:szCs w:val="16"/>
              </w:rPr>
            </w:pPr>
            <w:r>
              <w:rPr>
                <w:rFonts w:ascii="宋体" w:hAnsi="宋体" w:cs="宋体" w:eastAsia="宋体" w:hint="default"/>
                <w:sz w:val="16"/>
                <w:szCs w:val="16"/>
              </w:rPr>
              <w:t>固定电信</w:t>
            </w:r>
            <w:r>
              <w:rPr>
                <w:rFonts w:ascii="宋体" w:hAnsi="宋体" w:cs="宋体" w:eastAsia="宋体" w:hint="default"/>
                <w:w w:val="99"/>
                <w:sz w:val="16"/>
                <w:szCs w:val="16"/>
              </w:rPr>
              <w:t> </w:t>
            </w:r>
            <w:r>
              <w:rPr>
                <w:rFonts w:ascii="宋体" w:hAnsi="宋体" w:cs="宋体" w:eastAsia="宋体" w:hint="default"/>
                <w:sz w:val="16"/>
                <w:szCs w:val="16"/>
              </w:rPr>
              <w:t>网络租赁</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8" w:right="274"/>
              <w:jc w:val="left"/>
              <w:rPr>
                <w:rFonts w:ascii="宋体" w:hAnsi="宋体" w:cs="宋体" w:eastAsia="宋体" w:hint="default"/>
                <w:sz w:val="16"/>
                <w:szCs w:val="16"/>
              </w:rPr>
            </w:pPr>
            <w:r>
              <w:rPr>
                <w:rFonts w:ascii="宋体" w:hAnsi="宋体" w:cs="宋体" w:eastAsia="宋体" w:hint="default"/>
                <w:sz w:val="16"/>
                <w:szCs w:val="16"/>
              </w:rPr>
              <w:t>有限</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6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6"/>
                <w:szCs w:val="16"/>
              </w:rPr>
            </w:pPr>
            <w:r>
              <w:rPr>
                <w:rFonts w:ascii="宋体" w:hAnsi="宋体" w:cs="宋体" w:eastAsia="宋体" w:hint="default"/>
                <w:sz w:val="16"/>
                <w:szCs w:val="16"/>
              </w:rPr>
              <w:t>李张挺</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6"/>
              <w:jc w:val="center"/>
              <w:rPr>
                <w:rFonts w:ascii="Arial" w:hAnsi="Arial" w:cs="Arial" w:eastAsia="Arial" w:hint="default"/>
                <w:sz w:val="16"/>
                <w:szCs w:val="16"/>
              </w:rPr>
            </w:pPr>
            <w:r>
              <w:rPr>
                <w:rFonts w:ascii="Arial"/>
                <w:sz w:val="16"/>
              </w:rPr>
              <w:t>71092788X</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13"/>
              <w:jc w:val="right"/>
              <w:rPr>
                <w:rFonts w:ascii="Arial" w:hAnsi="Arial" w:cs="Arial" w:eastAsia="Arial" w:hint="default"/>
                <w:sz w:val="16"/>
                <w:szCs w:val="16"/>
              </w:rPr>
            </w:pPr>
            <w:r>
              <w:rPr>
                <w:rFonts w:ascii="Arial"/>
                <w:w w:val="95"/>
                <w:sz w:val="16"/>
              </w:rPr>
              <w:t>12,350,616</w:t>
            </w:r>
            <w:r>
              <w:rPr>
                <w:rFonts w:ascii="Arial"/>
                <w:sz w:val="16"/>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 w:right="0"/>
              <w:jc w:val="center"/>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44"/>
              <w:jc w:val="right"/>
              <w:rPr>
                <w:rFonts w:ascii="Arial" w:hAnsi="Arial" w:cs="Arial" w:eastAsia="Arial" w:hint="default"/>
                <w:sz w:val="16"/>
                <w:szCs w:val="16"/>
              </w:rPr>
            </w:pPr>
            <w:r>
              <w:rPr>
                <w:rFonts w:ascii="Arial"/>
                <w:w w:val="95"/>
                <w:sz w:val="16"/>
              </w:rPr>
              <w:t>33.88</w:t>
            </w:r>
            <w:r>
              <w:rPr>
                <w:rFonts w:ascii="Arial"/>
                <w:sz w:val="16"/>
              </w:rPr>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70"/>
              <w:jc w:val="right"/>
              <w:rPr>
                <w:rFonts w:ascii="Arial" w:hAnsi="Arial" w:cs="Arial" w:eastAsia="Arial" w:hint="default"/>
                <w:sz w:val="16"/>
                <w:szCs w:val="16"/>
              </w:rPr>
            </w:pPr>
            <w:r>
              <w:rPr>
                <w:rFonts w:ascii="Arial"/>
                <w:w w:val="95"/>
                <w:sz w:val="16"/>
              </w:rPr>
              <w:t>62.04</w:t>
            </w:r>
            <w:r>
              <w:rPr>
                <w:rFonts w:ascii="Arial"/>
                <w:sz w:val="16"/>
              </w:rPr>
            </w:r>
          </w:p>
        </w:tc>
        <w:tc>
          <w:tcPr>
            <w:tcW w:w="5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50"/>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9"/>
              <w:jc w:val="right"/>
              <w:rPr>
                <w:rFonts w:ascii="Arial" w:hAnsi="Arial" w:cs="Arial" w:eastAsia="Arial" w:hint="default"/>
                <w:sz w:val="16"/>
                <w:szCs w:val="16"/>
              </w:rPr>
            </w:pPr>
            <w:r>
              <w:rPr>
                <w:rFonts w:ascii="Arial"/>
                <w:w w:val="99"/>
                <w:sz w:val="16"/>
              </w:rPr>
              <w:t>-</w:t>
            </w:r>
            <w:r>
              <w:rPr>
                <w:rFonts w:ascii="Arial"/>
                <w:sz w:val="16"/>
              </w:rPr>
            </w:r>
          </w:p>
        </w:tc>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23"/>
              <w:jc w:val="right"/>
              <w:rPr>
                <w:rFonts w:ascii="Arial" w:hAnsi="Arial" w:cs="Arial" w:eastAsia="Arial" w:hint="default"/>
                <w:sz w:val="16"/>
                <w:szCs w:val="16"/>
              </w:rPr>
            </w:pPr>
            <w:r>
              <w:rPr>
                <w:rFonts w:ascii="Arial"/>
                <w:w w:val="99"/>
                <w:sz w:val="16"/>
              </w:rPr>
              <w:t>-</w:t>
            </w:r>
            <w:r>
              <w:rPr>
                <w:rFonts w:ascii="Arial"/>
                <w:sz w:val="16"/>
              </w:rPr>
            </w:r>
          </w:p>
        </w:tc>
      </w:tr>
    </w:tbl>
    <w:p>
      <w:pPr>
        <w:spacing w:line="240" w:lineRule="auto" w:before="8"/>
        <w:rPr>
          <w:rFonts w:ascii="宋体" w:hAnsi="宋体" w:cs="宋体" w:eastAsia="宋体" w:hint="default"/>
          <w:sz w:val="8"/>
          <w:szCs w:val="8"/>
        </w:rPr>
      </w:pPr>
    </w:p>
    <w:p>
      <w:pPr>
        <w:spacing w:before="50"/>
        <w:ind w:left="557" w:right="0" w:firstLine="0"/>
        <w:jc w:val="left"/>
        <w:rPr>
          <w:rFonts w:ascii="宋体" w:hAnsi="宋体" w:cs="宋体" w:eastAsia="宋体" w:hint="default"/>
          <w:sz w:val="16"/>
          <w:szCs w:val="16"/>
        </w:rPr>
      </w:pPr>
      <w:r>
        <w:rPr>
          <w:rFonts w:ascii="宋体" w:hAnsi="宋体" w:cs="宋体" w:eastAsia="宋体" w:hint="default"/>
          <w:sz w:val="16"/>
          <w:szCs w:val="16"/>
        </w:rPr>
        <w:t>注：少数股东权益项目指“少数股东权益中用于冲减少数股东损益的金额”。</w:t>
      </w:r>
    </w:p>
    <w:p>
      <w:pPr>
        <w:spacing w:after="0"/>
        <w:jc w:val="left"/>
        <w:rPr>
          <w:rFonts w:ascii="宋体" w:hAnsi="宋体" w:cs="宋体" w:eastAsia="宋体" w:hint="default"/>
          <w:sz w:val="16"/>
          <w:szCs w:val="16"/>
        </w:rPr>
        <w:sectPr>
          <w:headerReference w:type="default" r:id="rId71"/>
          <w:footerReference w:type="default" r:id="rId72"/>
          <w:pgSz w:w="16840" w:h="11910" w:orient="landscape"/>
          <w:pgMar w:header="1189" w:footer="458" w:top="2500" w:bottom="640" w:left="460" w:right="760"/>
          <w:pgNumType w:start="93"/>
        </w:sectPr>
      </w:pPr>
    </w:p>
    <w:p>
      <w:pPr>
        <w:spacing w:line="240" w:lineRule="auto" w:before="5"/>
        <w:rPr>
          <w:rFonts w:ascii="宋体" w:hAnsi="宋体" w:cs="宋体" w:eastAsia="宋体" w:hint="default"/>
          <w:sz w:val="18"/>
          <w:szCs w:val="18"/>
        </w:rPr>
      </w:pPr>
    </w:p>
    <w:p>
      <w:pPr>
        <w:pStyle w:val="BodyText"/>
        <w:spacing w:line="240" w:lineRule="auto" w:before="31"/>
        <w:ind w:left="107" w:right="0"/>
        <w:jc w:val="left"/>
      </w:pPr>
      <w:r>
        <w:rPr>
          <w:rFonts w:ascii="Arial" w:hAnsi="Arial" w:cs="Arial" w:eastAsia="Arial" w:hint="default"/>
        </w:rPr>
        <w:t>(b) </w:t>
      </w:r>
      <w:r>
        <w:rPr>
          <w:rFonts w:ascii="Arial" w:hAnsi="Arial" w:cs="Arial" w:eastAsia="Arial" w:hint="default"/>
          <w:spacing w:val="19"/>
        </w:rPr>
        <w:t> </w:t>
      </w:r>
      <w:r>
        <w:rPr/>
        <w:t>通过同一控制下的企业合并取得的子公司</w:t>
      </w:r>
    </w:p>
    <w:p>
      <w:pPr>
        <w:spacing w:line="240" w:lineRule="auto" w:before="6"/>
        <w:rPr>
          <w:rFonts w:ascii="宋体" w:hAnsi="宋体" w:cs="宋体" w:eastAsia="宋体" w:hint="default"/>
          <w:sz w:val="22"/>
          <w:szCs w:val="22"/>
        </w:rPr>
      </w:pPr>
    </w:p>
    <w:tbl>
      <w:tblPr>
        <w:tblW w:w="0" w:type="auto"/>
        <w:jc w:val="left"/>
        <w:tblInd w:w="467" w:type="dxa"/>
        <w:tblLayout w:type="fixed"/>
        <w:tblCellMar>
          <w:top w:w="0" w:type="dxa"/>
          <w:left w:w="0" w:type="dxa"/>
          <w:bottom w:w="0" w:type="dxa"/>
          <w:right w:w="0" w:type="dxa"/>
        </w:tblCellMar>
        <w:tblLook w:val="01E0"/>
      </w:tblPr>
      <w:tblGrid>
        <w:gridCol w:w="1681"/>
        <w:gridCol w:w="397"/>
        <w:gridCol w:w="616"/>
        <w:gridCol w:w="1145"/>
        <w:gridCol w:w="1021"/>
        <w:gridCol w:w="1078"/>
        <w:gridCol w:w="1247"/>
        <w:gridCol w:w="823"/>
        <w:gridCol w:w="680"/>
        <w:gridCol w:w="1128"/>
        <w:gridCol w:w="1145"/>
        <w:gridCol w:w="1063"/>
        <w:gridCol w:w="539"/>
        <w:gridCol w:w="580"/>
        <w:gridCol w:w="452"/>
        <w:gridCol w:w="811"/>
        <w:gridCol w:w="619"/>
      </w:tblGrid>
      <w:tr>
        <w:trPr>
          <w:trHeight w:val="814" w:hRule="exact"/>
        </w:trPr>
        <w:tc>
          <w:tcPr>
            <w:tcW w:w="1681"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76" w:right="0"/>
              <w:jc w:val="left"/>
              <w:rPr>
                <w:rFonts w:ascii="宋体" w:hAnsi="宋体" w:cs="宋体" w:eastAsia="宋体" w:hint="default"/>
                <w:sz w:val="16"/>
                <w:szCs w:val="16"/>
              </w:rPr>
            </w:pPr>
            <w:r>
              <w:rPr>
                <w:rFonts w:ascii="宋体" w:hAnsi="宋体" w:cs="宋体" w:eastAsia="宋体" w:hint="default"/>
                <w:sz w:val="16"/>
                <w:szCs w:val="16"/>
              </w:rPr>
              <w:t>名称</w:t>
            </w:r>
          </w:p>
        </w:tc>
        <w:tc>
          <w:tcPr>
            <w:tcW w:w="397"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5" w:right="0"/>
              <w:jc w:val="left"/>
              <w:rPr>
                <w:rFonts w:ascii="宋体" w:hAnsi="宋体" w:cs="宋体" w:eastAsia="宋体" w:hint="default"/>
                <w:sz w:val="16"/>
                <w:szCs w:val="16"/>
              </w:rPr>
            </w:pPr>
            <w:r>
              <w:rPr>
                <w:rFonts w:ascii="宋体" w:hAnsi="宋体" w:cs="宋体" w:eastAsia="宋体" w:hint="default"/>
                <w:sz w:val="16"/>
                <w:szCs w:val="16"/>
              </w:rPr>
              <w:t>注释</w:t>
            </w:r>
          </w:p>
        </w:tc>
        <w:tc>
          <w:tcPr>
            <w:tcW w:w="616"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151" w:right="64" w:hanging="81"/>
              <w:jc w:val="left"/>
              <w:rPr>
                <w:rFonts w:ascii="宋体" w:hAnsi="宋体" w:cs="宋体" w:eastAsia="宋体" w:hint="default"/>
                <w:sz w:val="16"/>
                <w:szCs w:val="16"/>
              </w:rPr>
            </w:pPr>
            <w:r>
              <w:rPr>
                <w:rFonts w:ascii="宋体" w:hAnsi="宋体" w:cs="宋体" w:eastAsia="宋体" w:hint="default"/>
                <w:sz w:val="16"/>
                <w:szCs w:val="16"/>
              </w:rPr>
              <w:t>子公司</w:t>
            </w:r>
            <w:r>
              <w:rPr>
                <w:rFonts w:ascii="宋体" w:hAnsi="宋体" w:cs="宋体" w:eastAsia="宋体" w:hint="default"/>
                <w:w w:val="99"/>
                <w:sz w:val="16"/>
                <w:szCs w:val="16"/>
              </w:rPr>
              <w:t> </w:t>
            </w:r>
            <w:r>
              <w:rPr>
                <w:rFonts w:ascii="宋体" w:hAnsi="宋体" w:cs="宋体" w:eastAsia="宋体" w:hint="default"/>
                <w:sz w:val="16"/>
                <w:szCs w:val="16"/>
              </w:rPr>
              <w:t>类型</w:t>
            </w:r>
          </w:p>
        </w:tc>
        <w:tc>
          <w:tcPr>
            <w:tcW w:w="1145"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291" w:right="212"/>
              <w:jc w:val="left"/>
              <w:rPr>
                <w:rFonts w:ascii="宋体" w:hAnsi="宋体" w:cs="宋体" w:eastAsia="宋体" w:hint="default"/>
                <w:sz w:val="16"/>
                <w:szCs w:val="16"/>
              </w:rPr>
            </w:pPr>
            <w:r>
              <w:rPr>
                <w:rFonts w:ascii="宋体" w:hAnsi="宋体" w:cs="宋体" w:eastAsia="宋体" w:hint="default"/>
                <w:sz w:val="16"/>
                <w:szCs w:val="16"/>
              </w:rPr>
              <w:t>注册地及</w:t>
            </w:r>
            <w:r>
              <w:rPr>
                <w:rFonts w:ascii="宋体" w:hAnsi="宋体" w:cs="宋体" w:eastAsia="宋体" w:hint="default"/>
                <w:w w:val="99"/>
                <w:sz w:val="16"/>
                <w:szCs w:val="16"/>
              </w:rPr>
              <w:t> </w:t>
            </w:r>
            <w:r>
              <w:rPr>
                <w:rFonts w:ascii="宋体" w:hAnsi="宋体" w:cs="宋体" w:eastAsia="宋体" w:hint="default"/>
                <w:sz w:val="16"/>
                <w:szCs w:val="16"/>
              </w:rPr>
              <w:t>设立日期</w:t>
            </w:r>
          </w:p>
        </w:tc>
        <w:tc>
          <w:tcPr>
            <w:tcW w:w="1021"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346" w:right="353"/>
              <w:jc w:val="center"/>
              <w:rPr>
                <w:rFonts w:ascii="宋体" w:hAnsi="宋体" w:cs="宋体" w:eastAsia="宋体" w:hint="default"/>
                <w:sz w:val="16"/>
                <w:szCs w:val="16"/>
              </w:rPr>
            </w:pPr>
            <w:r>
              <w:rPr>
                <w:rFonts w:ascii="宋体" w:hAnsi="宋体" w:cs="宋体" w:eastAsia="宋体" w:hint="default"/>
                <w:sz w:val="16"/>
                <w:szCs w:val="16"/>
              </w:rPr>
              <w:t>业务</w:t>
            </w:r>
            <w:r>
              <w:rPr>
                <w:rFonts w:ascii="宋体" w:hAnsi="宋体" w:cs="宋体" w:eastAsia="宋体" w:hint="default"/>
                <w:w w:val="99"/>
                <w:sz w:val="16"/>
                <w:szCs w:val="16"/>
              </w:rPr>
              <w:t> </w:t>
            </w:r>
            <w:r>
              <w:rPr>
                <w:rFonts w:ascii="宋体" w:hAnsi="宋体" w:cs="宋体" w:eastAsia="宋体" w:hint="default"/>
                <w:sz w:val="16"/>
                <w:szCs w:val="16"/>
              </w:rPr>
              <w:t>性质</w:t>
            </w:r>
          </w:p>
        </w:tc>
        <w:tc>
          <w:tcPr>
            <w:tcW w:w="1078"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08" w:lineRule="exact"/>
              <w:ind w:left="231" w:right="0"/>
              <w:jc w:val="left"/>
              <w:rPr>
                <w:rFonts w:ascii="宋体" w:hAnsi="宋体" w:cs="宋体" w:eastAsia="宋体" w:hint="default"/>
                <w:sz w:val="16"/>
                <w:szCs w:val="16"/>
              </w:rPr>
            </w:pPr>
            <w:r>
              <w:rPr>
                <w:rFonts w:ascii="宋体" w:hAnsi="宋体" w:cs="宋体" w:eastAsia="宋体" w:hint="default"/>
                <w:sz w:val="16"/>
                <w:szCs w:val="16"/>
              </w:rPr>
              <w:t>注册资本</w:t>
            </w:r>
          </w:p>
          <w:p>
            <w:pPr>
              <w:pStyle w:val="TableParagraph"/>
              <w:spacing w:line="208" w:lineRule="exact"/>
              <w:ind w:left="252" w:right="0"/>
              <w:jc w:val="left"/>
              <w:rPr>
                <w:rFonts w:ascii="宋体" w:hAnsi="宋体" w:cs="宋体" w:eastAsia="宋体" w:hint="default"/>
                <w:sz w:val="16"/>
                <w:szCs w:val="16"/>
              </w:rPr>
            </w:pPr>
            <w:r>
              <w:rPr>
                <w:rFonts w:ascii="宋体" w:hAnsi="宋体" w:cs="宋体" w:eastAsia="宋体" w:hint="default"/>
                <w:sz w:val="16"/>
                <w:szCs w:val="16"/>
              </w:rPr>
              <w:t>（千元）</w:t>
            </w:r>
          </w:p>
        </w:tc>
        <w:tc>
          <w:tcPr>
            <w:tcW w:w="1247"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272"/>
              <w:jc w:val="right"/>
              <w:rPr>
                <w:rFonts w:ascii="宋体" w:hAnsi="宋体" w:cs="宋体" w:eastAsia="宋体" w:hint="default"/>
                <w:sz w:val="16"/>
                <w:szCs w:val="16"/>
              </w:rPr>
            </w:pPr>
            <w:r>
              <w:rPr>
                <w:rFonts w:ascii="宋体" w:hAnsi="宋体" w:cs="宋体" w:eastAsia="宋体" w:hint="default"/>
                <w:w w:val="95"/>
                <w:sz w:val="16"/>
                <w:szCs w:val="16"/>
              </w:rPr>
              <w:t>经营范围</w:t>
            </w:r>
            <w:r>
              <w:rPr>
                <w:rFonts w:ascii="宋体" w:hAnsi="宋体" w:cs="宋体" w:eastAsia="宋体" w:hint="default"/>
                <w:sz w:val="16"/>
                <w:szCs w:val="16"/>
              </w:rPr>
            </w:r>
          </w:p>
        </w:tc>
        <w:tc>
          <w:tcPr>
            <w:tcW w:w="823"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99" w:right="0"/>
              <w:jc w:val="left"/>
              <w:rPr>
                <w:rFonts w:ascii="宋体" w:hAnsi="宋体" w:cs="宋体" w:eastAsia="宋体" w:hint="default"/>
                <w:sz w:val="16"/>
                <w:szCs w:val="16"/>
              </w:rPr>
            </w:pPr>
            <w:r>
              <w:rPr>
                <w:rFonts w:ascii="宋体" w:hAnsi="宋体" w:cs="宋体" w:eastAsia="宋体" w:hint="default"/>
                <w:sz w:val="16"/>
                <w:szCs w:val="16"/>
              </w:rPr>
              <w:t>企业类型</w:t>
            </w:r>
          </w:p>
        </w:tc>
        <w:tc>
          <w:tcPr>
            <w:tcW w:w="680"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225" w:right="133"/>
              <w:jc w:val="left"/>
              <w:rPr>
                <w:rFonts w:ascii="宋体" w:hAnsi="宋体" w:cs="宋体" w:eastAsia="宋体" w:hint="default"/>
                <w:sz w:val="16"/>
                <w:szCs w:val="16"/>
              </w:rPr>
            </w:pPr>
            <w:r>
              <w:rPr>
                <w:rFonts w:ascii="宋体" w:hAnsi="宋体" w:cs="宋体" w:eastAsia="宋体" w:hint="default"/>
                <w:sz w:val="16"/>
                <w:szCs w:val="16"/>
              </w:rPr>
              <w:t>法人</w:t>
            </w:r>
            <w:r>
              <w:rPr>
                <w:rFonts w:ascii="宋体" w:hAnsi="宋体" w:cs="宋体" w:eastAsia="宋体" w:hint="default"/>
                <w:w w:val="99"/>
                <w:sz w:val="16"/>
                <w:szCs w:val="16"/>
              </w:rPr>
              <w:t> </w:t>
            </w:r>
            <w:r>
              <w:rPr>
                <w:rFonts w:ascii="宋体" w:hAnsi="宋体" w:cs="宋体" w:eastAsia="宋体" w:hint="default"/>
                <w:sz w:val="16"/>
                <w:szCs w:val="16"/>
              </w:rPr>
              <w:t>代表</w:t>
            </w:r>
          </w:p>
        </w:tc>
        <w:tc>
          <w:tcPr>
            <w:tcW w:w="1128"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326" w:right="322" w:hanging="160"/>
              <w:jc w:val="left"/>
              <w:rPr>
                <w:rFonts w:ascii="宋体" w:hAnsi="宋体" w:cs="宋体" w:eastAsia="宋体" w:hint="default"/>
                <w:sz w:val="16"/>
                <w:szCs w:val="16"/>
              </w:rPr>
            </w:pPr>
            <w:r>
              <w:rPr>
                <w:rFonts w:ascii="宋体" w:hAnsi="宋体" w:cs="宋体" w:eastAsia="宋体" w:hint="default"/>
                <w:w w:val="95"/>
                <w:sz w:val="16"/>
                <w:szCs w:val="16"/>
              </w:rPr>
              <w:t>组织机构</w:t>
            </w:r>
            <w:r>
              <w:rPr>
                <w:rFonts w:ascii="宋体" w:hAnsi="宋体" w:cs="宋体" w:eastAsia="宋体" w:hint="default"/>
                <w:spacing w:val="-46"/>
                <w:w w:val="95"/>
                <w:sz w:val="16"/>
                <w:szCs w:val="16"/>
              </w:rPr>
              <w:t> </w:t>
            </w:r>
            <w:r>
              <w:rPr>
                <w:rFonts w:ascii="宋体" w:hAnsi="宋体" w:cs="宋体" w:eastAsia="宋体" w:hint="default"/>
                <w:sz w:val="16"/>
                <w:szCs w:val="16"/>
              </w:rPr>
              <w:t>代码</w:t>
            </w:r>
          </w:p>
        </w:tc>
        <w:tc>
          <w:tcPr>
            <w:tcW w:w="1145" w:type="dxa"/>
            <w:tcBorders>
              <w:top w:val="nil" w:sz="6" w:space="0" w:color="auto"/>
              <w:left w:val="nil" w:sz="6" w:space="0" w:color="auto"/>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291" w:right="292" w:hanging="80"/>
              <w:jc w:val="left"/>
              <w:rPr>
                <w:rFonts w:ascii="宋体" w:hAnsi="宋体" w:cs="宋体" w:eastAsia="宋体" w:hint="default"/>
                <w:sz w:val="16"/>
                <w:szCs w:val="16"/>
              </w:rPr>
            </w:pPr>
            <w:r>
              <w:rPr>
                <w:rFonts w:ascii="宋体" w:hAnsi="宋体" w:cs="宋体" w:eastAsia="宋体" w:hint="default"/>
                <w:sz w:val="16"/>
                <w:szCs w:val="16"/>
              </w:rPr>
              <w:t>年末实际</w:t>
            </w:r>
            <w:r>
              <w:rPr>
                <w:rFonts w:ascii="宋体" w:hAnsi="宋体" w:cs="宋体" w:eastAsia="宋体" w:hint="default"/>
                <w:w w:val="99"/>
                <w:sz w:val="16"/>
                <w:szCs w:val="16"/>
              </w:rPr>
              <w:t> </w:t>
            </w:r>
            <w:r>
              <w:rPr>
                <w:rFonts w:ascii="宋体" w:hAnsi="宋体" w:cs="宋体" w:eastAsia="宋体" w:hint="default"/>
                <w:sz w:val="16"/>
                <w:szCs w:val="16"/>
              </w:rPr>
              <w:t>出资额</w:t>
            </w:r>
          </w:p>
          <w:p>
            <w:pPr>
              <w:pStyle w:val="TableParagraph"/>
              <w:spacing w:line="208" w:lineRule="exact"/>
              <w:ind w:left="212" w:right="0"/>
              <w:jc w:val="left"/>
              <w:rPr>
                <w:rFonts w:ascii="宋体" w:hAnsi="宋体" w:cs="宋体" w:eastAsia="宋体" w:hint="default"/>
                <w:sz w:val="16"/>
                <w:szCs w:val="16"/>
              </w:rPr>
            </w:pPr>
            <w:r>
              <w:rPr>
                <w:rFonts w:ascii="宋体" w:hAnsi="宋体" w:cs="宋体" w:eastAsia="宋体" w:hint="default"/>
                <w:sz w:val="16"/>
                <w:szCs w:val="16"/>
              </w:rPr>
              <w:t>（千元）</w:t>
            </w:r>
          </w:p>
        </w:tc>
        <w:tc>
          <w:tcPr>
            <w:tcW w:w="1063" w:type="dxa"/>
            <w:tcBorders>
              <w:top w:val="nil" w:sz="6" w:space="0" w:color="auto"/>
              <w:left w:val="nil" w:sz="6" w:space="0" w:color="auto"/>
              <w:bottom w:val="single" w:sz="6" w:space="0" w:color="000000"/>
              <w:right w:val="nil" w:sz="6" w:space="0" w:color="auto"/>
            </w:tcBorders>
          </w:tcPr>
          <w:p>
            <w:pPr>
              <w:pStyle w:val="TableParagraph"/>
              <w:spacing w:line="158" w:lineRule="exact"/>
              <w:ind w:left="170" w:right="0"/>
              <w:jc w:val="both"/>
              <w:rPr>
                <w:rFonts w:ascii="宋体" w:hAnsi="宋体" w:cs="宋体" w:eastAsia="宋体" w:hint="default"/>
                <w:sz w:val="16"/>
                <w:szCs w:val="16"/>
              </w:rPr>
            </w:pPr>
            <w:r>
              <w:rPr>
                <w:rFonts w:ascii="宋体" w:hAnsi="宋体" w:cs="宋体" w:eastAsia="宋体" w:hint="default"/>
                <w:sz w:val="16"/>
                <w:szCs w:val="16"/>
              </w:rPr>
              <w:t>实质上构成</w:t>
            </w:r>
          </w:p>
          <w:p>
            <w:pPr>
              <w:pStyle w:val="TableParagraph"/>
              <w:spacing w:line="240" w:lineRule="auto"/>
              <w:ind w:left="170" w:right="91"/>
              <w:jc w:val="both"/>
              <w:rPr>
                <w:rFonts w:ascii="宋体" w:hAnsi="宋体" w:cs="宋体" w:eastAsia="宋体" w:hint="default"/>
                <w:sz w:val="16"/>
                <w:szCs w:val="16"/>
              </w:rPr>
            </w:pPr>
            <w:r>
              <w:rPr>
                <w:rFonts w:ascii="宋体" w:hAnsi="宋体" w:cs="宋体" w:eastAsia="宋体" w:hint="default"/>
                <w:sz w:val="16"/>
                <w:szCs w:val="16"/>
              </w:rPr>
              <w:t>对子公司净</w:t>
            </w:r>
            <w:r>
              <w:rPr>
                <w:rFonts w:ascii="宋体" w:hAnsi="宋体" w:cs="宋体" w:eastAsia="宋体" w:hint="default"/>
                <w:w w:val="99"/>
                <w:sz w:val="16"/>
                <w:szCs w:val="16"/>
              </w:rPr>
              <w:t> </w:t>
            </w:r>
            <w:r>
              <w:rPr>
                <w:rFonts w:ascii="宋体" w:hAnsi="宋体" w:cs="宋体" w:eastAsia="宋体" w:hint="default"/>
                <w:sz w:val="16"/>
                <w:szCs w:val="16"/>
              </w:rPr>
              <w:t>投资的其他</w:t>
            </w:r>
            <w:r>
              <w:rPr>
                <w:rFonts w:ascii="宋体" w:hAnsi="宋体" w:cs="宋体" w:eastAsia="宋体" w:hint="default"/>
                <w:w w:val="99"/>
                <w:sz w:val="16"/>
                <w:szCs w:val="16"/>
              </w:rPr>
              <w:t> </w:t>
            </w:r>
            <w:r>
              <w:rPr>
                <w:rFonts w:ascii="宋体" w:hAnsi="宋体" w:cs="宋体" w:eastAsia="宋体" w:hint="default"/>
                <w:sz w:val="16"/>
                <w:szCs w:val="16"/>
              </w:rPr>
              <w:t>项目余额</w:t>
            </w:r>
          </w:p>
        </w:tc>
        <w:tc>
          <w:tcPr>
            <w:tcW w:w="539"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52" w:lineRule="auto"/>
              <w:ind w:left="121" w:right="96"/>
              <w:jc w:val="both"/>
              <w:rPr>
                <w:rFonts w:ascii="Arial" w:hAnsi="Arial" w:cs="Arial" w:eastAsia="Arial" w:hint="default"/>
                <w:sz w:val="16"/>
                <w:szCs w:val="16"/>
              </w:rPr>
            </w:pPr>
            <w:r>
              <w:rPr>
                <w:rFonts w:ascii="宋体" w:hAnsi="宋体" w:cs="宋体" w:eastAsia="宋体" w:hint="default"/>
                <w:sz w:val="16"/>
                <w:szCs w:val="16"/>
              </w:rPr>
              <w:t>持股</w:t>
            </w:r>
            <w:r>
              <w:rPr>
                <w:rFonts w:ascii="宋体" w:hAnsi="宋体" w:cs="宋体" w:eastAsia="宋体" w:hint="default"/>
                <w:w w:val="99"/>
                <w:sz w:val="16"/>
                <w:szCs w:val="16"/>
              </w:rPr>
              <w:t> </w:t>
            </w:r>
            <w:r>
              <w:rPr>
                <w:rFonts w:ascii="宋体" w:hAnsi="宋体" w:cs="宋体" w:eastAsia="宋体" w:hint="default"/>
                <w:sz w:val="16"/>
                <w:szCs w:val="16"/>
              </w:rPr>
              <w:t>比例</w:t>
            </w:r>
            <w:r>
              <w:rPr>
                <w:rFonts w:ascii="宋体" w:hAnsi="宋体" w:cs="宋体" w:eastAsia="宋体" w:hint="default"/>
                <w:w w:val="99"/>
                <w:sz w:val="16"/>
                <w:szCs w:val="16"/>
              </w:rPr>
              <w:t> </w:t>
            </w:r>
            <w:r>
              <w:rPr>
                <w:rFonts w:ascii="Arial" w:hAnsi="Arial" w:cs="Arial" w:eastAsia="Arial" w:hint="default"/>
                <w:sz w:val="16"/>
                <w:szCs w:val="16"/>
              </w:rPr>
              <w:t>(%)</w:t>
            </w:r>
          </w:p>
        </w:tc>
        <w:tc>
          <w:tcPr>
            <w:tcW w:w="580"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52" w:lineRule="auto"/>
              <w:ind w:left="46" w:right="51"/>
              <w:jc w:val="center"/>
              <w:rPr>
                <w:rFonts w:ascii="Arial" w:hAnsi="Arial" w:cs="Arial" w:eastAsia="Arial" w:hint="default"/>
                <w:sz w:val="16"/>
                <w:szCs w:val="16"/>
              </w:rPr>
            </w:pPr>
            <w:r>
              <w:rPr>
                <w:rFonts w:ascii="宋体" w:hAnsi="宋体" w:cs="宋体" w:eastAsia="宋体" w:hint="default"/>
                <w:sz w:val="16"/>
                <w:szCs w:val="16"/>
              </w:rPr>
              <w:t>表决权</w:t>
            </w:r>
            <w:r>
              <w:rPr>
                <w:rFonts w:ascii="宋体" w:hAnsi="宋体" w:cs="宋体" w:eastAsia="宋体" w:hint="default"/>
                <w:w w:val="99"/>
                <w:sz w:val="16"/>
                <w:szCs w:val="16"/>
              </w:rPr>
              <w:t> </w:t>
            </w:r>
            <w:r>
              <w:rPr>
                <w:rFonts w:ascii="宋体" w:hAnsi="宋体" w:cs="宋体" w:eastAsia="宋体" w:hint="default"/>
                <w:sz w:val="16"/>
                <w:szCs w:val="16"/>
              </w:rPr>
              <w:t>比例</w:t>
            </w:r>
            <w:r>
              <w:rPr>
                <w:rFonts w:ascii="宋体" w:hAnsi="宋体" w:cs="宋体" w:eastAsia="宋体" w:hint="default"/>
                <w:w w:val="99"/>
                <w:sz w:val="16"/>
                <w:szCs w:val="16"/>
              </w:rPr>
              <w:t> </w:t>
            </w:r>
            <w:r>
              <w:rPr>
                <w:rFonts w:ascii="Arial" w:hAnsi="Arial" w:cs="Arial" w:eastAsia="Arial" w:hint="default"/>
                <w:sz w:val="16"/>
                <w:szCs w:val="16"/>
              </w:rPr>
              <w:t>(%)</w:t>
            </w:r>
          </w:p>
        </w:tc>
        <w:tc>
          <w:tcPr>
            <w:tcW w:w="452" w:type="dxa"/>
            <w:tcBorders>
              <w:top w:val="nil" w:sz="6" w:space="0" w:color="auto"/>
              <w:left w:val="nil" w:sz="6" w:space="0" w:color="auto"/>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51" w:right="79"/>
              <w:jc w:val="both"/>
              <w:rPr>
                <w:rFonts w:ascii="宋体" w:hAnsi="宋体" w:cs="宋体" w:eastAsia="宋体" w:hint="default"/>
                <w:sz w:val="16"/>
                <w:szCs w:val="16"/>
              </w:rPr>
            </w:pPr>
            <w:r>
              <w:rPr>
                <w:rFonts w:ascii="宋体" w:hAnsi="宋体" w:cs="宋体" w:eastAsia="宋体" w:hint="default"/>
                <w:sz w:val="16"/>
                <w:szCs w:val="16"/>
              </w:rPr>
              <w:t>是否</w:t>
            </w:r>
            <w:r>
              <w:rPr>
                <w:rFonts w:ascii="宋体" w:hAnsi="宋体" w:cs="宋体" w:eastAsia="宋体" w:hint="default"/>
                <w:w w:val="99"/>
                <w:sz w:val="16"/>
                <w:szCs w:val="16"/>
              </w:rPr>
              <w:t> </w:t>
            </w:r>
            <w:r>
              <w:rPr>
                <w:rFonts w:ascii="宋体" w:hAnsi="宋体" w:cs="宋体" w:eastAsia="宋体" w:hint="default"/>
                <w:sz w:val="16"/>
                <w:szCs w:val="16"/>
              </w:rPr>
              <w:t>合并</w:t>
            </w:r>
            <w:r>
              <w:rPr>
                <w:rFonts w:ascii="宋体" w:hAnsi="宋体" w:cs="宋体" w:eastAsia="宋体" w:hint="default"/>
                <w:w w:val="99"/>
                <w:sz w:val="16"/>
                <w:szCs w:val="16"/>
              </w:rPr>
              <w:t> </w:t>
            </w:r>
            <w:r>
              <w:rPr>
                <w:rFonts w:ascii="宋体" w:hAnsi="宋体" w:cs="宋体" w:eastAsia="宋体" w:hint="default"/>
                <w:sz w:val="16"/>
                <w:szCs w:val="16"/>
              </w:rPr>
              <w:t>报表</w:t>
            </w:r>
          </w:p>
        </w:tc>
        <w:tc>
          <w:tcPr>
            <w:tcW w:w="811" w:type="dxa"/>
            <w:tcBorders>
              <w:top w:val="nil" w:sz="6" w:space="0" w:color="auto"/>
              <w:left w:val="nil" w:sz="6" w:space="0" w:color="auto"/>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241" w:right="89" w:hanging="160"/>
              <w:jc w:val="left"/>
              <w:rPr>
                <w:rFonts w:ascii="宋体" w:hAnsi="宋体" w:cs="宋体" w:eastAsia="宋体" w:hint="default"/>
                <w:sz w:val="16"/>
                <w:szCs w:val="16"/>
              </w:rPr>
            </w:pPr>
            <w:r>
              <w:rPr>
                <w:rFonts w:ascii="宋体" w:hAnsi="宋体" w:cs="宋体" w:eastAsia="宋体" w:hint="default"/>
                <w:sz w:val="16"/>
                <w:szCs w:val="16"/>
              </w:rPr>
              <w:t>少数股东</w:t>
            </w:r>
            <w:r>
              <w:rPr>
                <w:rFonts w:ascii="宋体" w:hAnsi="宋体" w:cs="宋体" w:eastAsia="宋体" w:hint="default"/>
                <w:w w:val="99"/>
                <w:sz w:val="16"/>
                <w:szCs w:val="16"/>
              </w:rPr>
              <w:t> </w:t>
            </w:r>
            <w:r>
              <w:rPr>
                <w:rFonts w:ascii="宋体" w:hAnsi="宋体" w:cs="宋体" w:eastAsia="宋体" w:hint="default"/>
                <w:sz w:val="16"/>
                <w:szCs w:val="16"/>
              </w:rPr>
              <w:t>权益</w:t>
            </w:r>
          </w:p>
          <w:p>
            <w:pPr>
              <w:pStyle w:val="TableParagraph"/>
              <w:spacing w:line="208" w:lineRule="exact"/>
              <w:ind w:left="81" w:right="0"/>
              <w:jc w:val="left"/>
              <w:rPr>
                <w:rFonts w:ascii="宋体" w:hAnsi="宋体" w:cs="宋体" w:eastAsia="宋体" w:hint="default"/>
                <w:sz w:val="16"/>
                <w:szCs w:val="16"/>
              </w:rPr>
            </w:pPr>
            <w:r>
              <w:rPr>
                <w:rFonts w:ascii="宋体" w:hAnsi="宋体" w:cs="宋体" w:eastAsia="宋体" w:hint="default"/>
                <w:sz w:val="16"/>
                <w:szCs w:val="16"/>
              </w:rPr>
              <w:t>（亿元）</w:t>
            </w:r>
          </w:p>
        </w:tc>
        <w:tc>
          <w:tcPr>
            <w:tcW w:w="619" w:type="dxa"/>
            <w:tcBorders>
              <w:top w:val="nil" w:sz="6" w:space="0" w:color="auto"/>
              <w:left w:val="nil" w:sz="6" w:space="0" w:color="auto"/>
              <w:bottom w:val="single" w:sz="6" w:space="0" w:color="000000"/>
              <w:right w:val="nil" w:sz="6" w:space="0" w:color="auto"/>
            </w:tcBorders>
          </w:tcPr>
          <w:p>
            <w:pPr>
              <w:pStyle w:val="TableParagraph"/>
              <w:spacing w:line="158" w:lineRule="exact"/>
              <w:ind w:left="91" w:right="0"/>
              <w:jc w:val="left"/>
              <w:rPr>
                <w:rFonts w:ascii="宋体" w:hAnsi="宋体" w:cs="宋体" w:eastAsia="宋体" w:hint="default"/>
                <w:sz w:val="16"/>
                <w:szCs w:val="16"/>
              </w:rPr>
            </w:pPr>
            <w:r>
              <w:rPr>
                <w:rFonts w:ascii="宋体" w:hAnsi="宋体" w:cs="宋体" w:eastAsia="宋体" w:hint="default"/>
                <w:sz w:val="16"/>
                <w:szCs w:val="16"/>
              </w:rPr>
              <w:t>少数股</w:t>
            </w:r>
          </w:p>
          <w:p>
            <w:pPr>
              <w:pStyle w:val="TableParagraph"/>
              <w:spacing w:line="240" w:lineRule="auto"/>
              <w:ind w:left="170" w:right="47" w:hanging="80"/>
              <w:jc w:val="left"/>
              <w:rPr>
                <w:rFonts w:ascii="宋体" w:hAnsi="宋体" w:cs="宋体" w:eastAsia="宋体" w:hint="default"/>
                <w:sz w:val="16"/>
                <w:szCs w:val="16"/>
              </w:rPr>
            </w:pPr>
            <w:r>
              <w:rPr>
                <w:rFonts w:ascii="宋体" w:hAnsi="宋体" w:cs="宋体" w:eastAsia="宋体" w:hint="default"/>
                <w:sz w:val="16"/>
                <w:szCs w:val="16"/>
              </w:rPr>
              <w:t>东权益</w:t>
            </w:r>
            <w:r>
              <w:rPr>
                <w:rFonts w:ascii="宋体" w:hAnsi="宋体" w:cs="宋体" w:eastAsia="宋体" w:hint="default"/>
                <w:w w:val="99"/>
                <w:sz w:val="16"/>
                <w:szCs w:val="16"/>
              </w:rPr>
              <w:t> </w:t>
            </w:r>
            <w:r>
              <w:rPr>
                <w:rFonts w:ascii="宋体" w:hAnsi="宋体" w:cs="宋体" w:eastAsia="宋体" w:hint="default"/>
                <w:sz w:val="16"/>
                <w:szCs w:val="16"/>
              </w:rPr>
              <w:t>项目</w:t>
            </w:r>
          </w:p>
          <w:p>
            <w:pPr>
              <w:pStyle w:val="TableParagraph"/>
              <w:spacing w:line="208" w:lineRule="exact"/>
              <w:ind w:left="91" w:right="0"/>
              <w:jc w:val="left"/>
              <w:rPr>
                <w:rFonts w:ascii="宋体" w:hAnsi="宋体" w:cs="宋体" w:eastAsia="宋体" w:hint="default"/>
                <w:sz w:val="16"/>
                <w:szCs w:val="16"/>
              </w:rPr>
            </w:pPr>
            <w:r>
              <w:rPr>
                <w:rFonts w:ascii="宋体" w:hAnsi="宋体" w:cs="宋体" w:eastAsia="宋体" w:hint="default"/>
                <w:sz w:val="16"/>
                <w:szCs w:val="16"/>
              </w:rPr>
              <w:t>（注）</w:t>
            </w:r>
          </w:p>
        </w:tc>
      </w:tr>
      <w:tr>
        <w:trPr>
          <w:trHeight w:val="816" w:hRule="exact"/>
        </w:trPr>
        <w:tc>
          <w:tcPr>
            <w:tcW w:w="1681" w:type="dxa"/>
            <w:tcBorders>
              <w:top w:val="single" w:sz="6" w:space="0" w:color="000000"/>
              <w:left w:val="nil" w:sz="6" w:space="0" w:color="auto"/>
              <w:bottom w:val="nil" w:sz="6" w:space="0" w:color="auto"/>
              <w:right w:val="nil" w:sz="6" w:space="0" w:color="auto"/>
            </w:tcBorders>
          </w:tcPr>
          <w:p>
            <w:pPr>
              <w:pStyle w:val="TableParagraph"/>
              <w:spacing w:line="240" w:lineRule="auto" w:before="59"/>
              <w:ind w:left="242" w:right="323" w:hanging="166"/>
              <w:jc w:val="left"/>
              <w:rPr>
                <w:rFonts w:ascii="宋体" w:hAnsi="宋体" w:cs="宋体" w:eastAsia="宋体" w:hint="default"/>
                <w:sz w:val="16"/>
                <w:szCs w:val="16"/>
              </w:rPr>
            </w:pPr>
            <w:r>
              <w:rPr>
                <w:rFonts w:ascii="宋体" w:hAnsi="宋体" w:cs="宋体" w:eastAsia="宋体" w:hint="default"/>
                <w:sz w:val="16"/>
                <w:szCs w:val="16"/>
              </w:rPr>
              <w:t>联通系统集成有限</w:t>
            </w:r>
            <w:r>
              <w:rPr>
                <w:rFonts w:ascii="宋体" w:hAnsi="宋体" w:cs="宋体" w:eastAsia="宋体" w:hint="default"/>
                <w:w w:val="99"/>
                <w:sz w:val="16"/>
                <w:szCs w:val="16"/>
              </w:rPr>
              <w:t> </w:t>
            </w:r>
            <w:r>
              <w:rPr>
                <w:rFonts w:ascii="宋体" w:hAnsi="宋体" w:cs="宋体" w:eastAsia="宋体" w:hint="default"/>
                <w:sz w:val="16"/>
                <w:szCs w:val="16"/>
              </w:rPr>
              <w:t>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w w:val="95"/>
                <w:sz w:val="16"/>
                <w:szCs w:val="16"/>
              </w:rPr>
              <w:t>（“系统集成公司”）</w:t>
            </w:r>
            <w:r>
              <w:rPr>
                <w:rFonts w:ascii="宋体" w:hAnsi="宋体" w:cs="宋体" w:eastAsia="宋体" w:hint="default"/>
                <w:sz w:val="16"/>
                <w:szCs w:val="16"/>
              </w:rPr>
            </w:r>
          </w:p>
        </w:tc>
        <w:tc>
          <w:tcPr>
            <w:tcW w:w="397"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68" w:right="0"/>
              <w:jc w:val="left"/>
              <w:rPr>
                <w:rFonts w:ascii="Arial" w:hAnsi="Arial" w:cs="Arial" w:eastAsia="Arial" w:hint="default"/>
                <w:sz w:val="16"/>
                <w:szCs w:val="16"/>
              </w:rPr>
            </w:pPr>
            <w:r>
              <w:rPr>
                <w:rFonts w:ascii="Arial"/>
                <w:sz w:val="16"/>
              </w:rPr>
              <w:t>(3)</w:t>
            </w:r>
          </w:p>
        </w:tc>
        <w:tc>
          <w:tcPr>
            <w:tcW w:w="616"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51" w:right="143"/>
              <w:jc w:val="left"/>
              <w:rPr>
                <w:rFonts w:ascii="宋体" w:hAnsi="宋体" w:cs="宋体" w:eastAsia="宋体" w:hint="default"/>
                <w:sz w:val="16"/>
                <w:szCs w:val="16"/>
              </w:rPr>
            </w:pPr>
            <w:r>
              <w:rPr>
                <w:rFonts w:ascii="宋体" w:hAnsi="宋体" w:cs="宋体" w:eastAsia="宋体" w:hint="default"/>
                <w:sz w:val="16"/>
                <w:szCs w:val="16"/>
              </w:rPr>
              <w:t>间接</w:t>
            </w:r>
            <w:r>
              <w:rPr>
                <w:rFonts w:ascii="宋体" w:hAnsi="宋体" w:cs="宋体" w:eastAsia="宋体" w:hint="default"/>
                <w:w w:val="99"/>
                <w:sz w:val="16"/>
                <w:szCs w:val="16"/>
              </w:rPr>
              <w:t> </w:t>
            </w:r>
            <w:r>
              <w:rPr>
                <w:rFonts w:ascii="宋体" w:hAnsi="宋体" w:cs="宋体" w:eastAsia="宋体" w:hint="default"/>
                <w:sz w:val="16"/>
                <w:szCs w:val="16"/>
              </w:rPr>
              <w:t>控股</w:t>
            </w:r>
          </w:p>
        </w:tc>
        <w:tc>
          <w:tcPr>
            <w:tcW w:w="1145" w:type="dxa"/>
            <w:tcBorders>
              <w:top w:val="single" w:sz="6" w:space="0" w:color="000000"/>
              <w:left w:val="nil" w:sz="6" w:space="0" w:color="auto"/>
              <w:bottom w:val="nil" w:sz="6" w:space="0" w:color="auto"/>
              <w:right w:val="nil" w:sz="6" w:space="0" w:color="auto"/>
            </w:tcBorders>
          </w:tcPr>
          <w:p>
            <w:pPr>
              <w:pStyle w:val="TableParagraph"/>
              <w:spacing w:line="208" w:lineRule="exact" w:before="59"/>
              <w:ind w:right="51"/>
              <w:jc w:val="center"/>
              <w:rPr>
                <w:rFonts w:ascii="宋体" w:hAnsi="宋体" w:cs="宋体" w:eastAsia="宋体" w:hint="default"/>
                <w:sz w:val="16"/>
                <w:szCs w:val="16"/>
              </w:rPr>
            </w:pPr>
            <w:r>
              <w:rPr>
                <w:rFonts w:ascii="宋体" w:hAnsi="宋体" w:cs="宋体" w:eastAsia="宋体" w:hint="default"/>
                <w:sz w:val="16"/>
                <w:szCs w:val="16"/>
              </w:rPr>
              <w:t>中国，北京市</w:t>
            </w:r>
          </w:p>
          <w:p>
            <w:pPr>
              <w:pStyle w:val="TableParagraph"/>
              <w:spacing w:line="213" w:lineRule="exact"/>
              <w:ind w:right="50"/>
              <w:jc w:val="center"/>
              <w:rPr>
                <w:rFonts w:ascii="宋体" w:hAnsi="宋体" w:cs="宋体" w:eastAsia="宋体" w:hint="default"/>
                <w:sz w:val="16"/>
                <w:szCs w:val="16"/>
              </w:rPr>
            </w:pPr>
            <w:r>
              <w:rPr>
                <w:rFonts w:ascii="Arial" w:hAnsi="Arial" w:cs="Arial" w:eastAsia="Arial" w:hint="default"/>
                <w:sz w:val="16"/>
                <w:szCs w:val="16"/>
              </w:rPr>
              <w:t>2006</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right="50"/>
              <w:jc w:val="center"/>
              <w:rPr>
                <w:rFonts w:ascii="宋体" w:hAnsi="宋体" w:cs="宋体" w:eastAsia="宋体" w:hint="default"/>
                <w:sz w:val="16"/>
                <w:szCs w:val="16"/>
              </w:rPr>
            </w:pPr>
            <w:r>
              <w:rPr>
                <w:rFonts w:ascii="Arial" w:hAnsi="Arial" w:cs="Arial" w:eastAsia="Arial" w:hint="default"/>
                <w:sz w:val="16"/>
                <w:szCs w:val="16"/>
              </w:rPr>
              <w:t>4</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30</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1021"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00" w:right="100" w:hanging="81"/>
              <w:jc w:val="left"/>
              <w:rPr>
                <w:rFonts w:ascii="宋体" w:hAnsi="宋体" w:cs="宋体" w:eastAsia="宋体" w:hint="default"/>
                <w:sz w:val="16"/>
                <w:szCs w:val="16"/>
              </w:rPr>
            </w:pPr>
            <w:r>
              <w:rPr>
                <w:rFonts w:ascii="宋体" w:hAnsi="宋体" w:cs="宋体" w:eastAsia="宋体" w:hint="default"/>
                <w:sz w:val="16"/>
                <w:szCs w:val="16"/>
              </w:rPr>
              <w:t>信息及系统</w:t>
            </w:r>
            <w:r>
              <w:rPr>
                <w:rFonts w:ascii="宋体" w:hAnsi="宋体" w:cs="宋体" w:eastAsia="宋体" w:hint="default"/>
                <w:w w:val="99"/>
                <w:sz w:val="16"/>
                <w:szCs w:val="16"/>
              </w:rPr>
              <w:t> </w:t>
            </w:r>
            <w:r>
              <w:rPr>
                <w:rFonts w:ascii="宋体" w:hAnsi="宋体" w:cs="宋体" w:eastAsia="宋体" w:hint="default"/>
                <w:sz w:val="16"/>
                <w:szCs w:val="16"/>
              </w:rPr>
              <w:t>集成业务</w:t>
            </w:r>
          </w:p>
        </w:tc>
        <w:tc>
          <w:tcPr>
            <w:tcW w:w="1078"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25"/>
              <w:jc w:val="right"/>
              <w:rPr>
                <w:rFonts w:ascii="Arial" w:hAnsi="Arial" w:cs="Arial" w:eastAsia="Arial" w:hint="default"/>
                <w:sz w:val="16"/>
                <w:szCs w:val="16"/>
              </w:rPr>
            </w:pPr>
            <w:r>
              <w:rPr>
                <w:rFonts w:ascii="Arial"/>
                <w:w w:val="95"/>
                <w:sz w:val="16"/>
              </w:rPr>
              <w:t>550,000</w:t>
            </w:r>
            <w:r>
              <w:rPr>
                <w:rFonts w:ascii="Arial"/>
                <w:sz w:val="16"/>
              </w:rPr>
            </w:r>
          </w:p>
        </w:tc>
        <w:tc>
          <w:tcPr>
            <w:tcW w:w="1247"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14" w:right="112" w:hanging="240"/>
              <w:jc w:val="left"/>
              <w:rPr>
                <w:rFonts w:ascii="宋体" w:hAnsi="宋体" w:cs="宋体" w:eastAsia="宋体" w:hint="default"/>
                <w:sz w:val="16"/>
                <w:szCs w:val="16"/>
              </w:rPr>
            </w:pPr>
            <w:r>
              <w:rPr>
                <w:rFonts w:ascii="宋体" w:hAnsi="宋体" w:cs="宋体" w:eastAsia="宋体" w:hint="default"/>
                <w:sz w:val="16"/>
                <w:szCs w:val="16"/>
              </w:rPr>
              <w:t>信息及系统集</w:t>
            </w:r>
            <w:r>
              <w:rPr>
                <w:rFonts w:ascii="宋体" w:hAnsi="宋体" w:cs="宋体" w:eastAsia="宋体" w:hint="default"/>
                <w:w w:val="99"/>
                <w:sz w:val="16"/>
                <w:szCs w:val="16"/>
              </w:rPr>
              <w:t> </w:t>
            </w:r>
            <w:r>
              <w:rPr>
                <w:rFonts w:ascii="宋体" w:hAnsi="宋体" w:cs="宋体" w:eastAsia="宋体" w:hint="default"/>
                <w:sz w:val="16"/>
                <w:szCs w:val="16"/>
              </w:rPr>
              <w:t>成业务</w:t>
            </w:r>
          </w:p>
        </w:tc>
        <w:tc>
          <w:tcPr>
            <w:tcW w:w="823"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28" w:right="114" w:hanging="160"/>
              <w:jc w:val="left"/>
              <w:rPr>
                <w:rFonts w:ascii="宋体" w:hAnsi="宋体" w:cs="宋体" w:eastAsia="宋体" w:hint="default"/>
                <w:sz w:val="16"/>
                <w:szCs w:val="16"/>
              </w:rPr>
            </w:pPr>
            <w:r>
              <w:rPr>
                <w:rFonts w:ascii="宋体" w:hAnsi="宋体" w:cs="宋体" w:eastAsia="宋体" w:hint="default"/>
                <w:sz w:val="16"/>
                <w:szCs w:val="16"/>
              </w:rPr>
              <w:t>有限责任</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680"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9"/>
              <w:jc w:val="center"/>
              <w:rPr>
                <w:rFonts w:ascii="宋体" w:hAnsi="宋体" w:cs="宋体" w:eastAsia="宋体" w:hint="default"/>
                <w:sz w:val="16"/>
                <w:szCs w:val="16"/>
              </w:rPr>
            </w:pPr>
            <w:r>
              <w:rPr>
                <w:rFonts w:ascii="宋体" w:hAnsi="宋体" w:cs="宋体" w:eastAsia="宋体" w:hint="default"/>
                <w:sz w:val="16"/>
                <w:szCs w:val="16"/>
              </w:rPr>
              <w:t>孙世臻</w:t>
            </w:r>
          </w:p>
        </w:tc>
        <w:tc>
          <w:tcPr>
            <w:tcW w:w="1128"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4"/>
              <w:jc w:val="center"/>
              <w:rPr>
                <w:rFonts w:ascii="Arial" w:hAnsi="Arial" w:cs="Arial" w:eastAsia="Arial" w:hint="default"/>
                <w:sz w:val="16"/>
                <w:szCs w:val="16"/>
              </w:rPr>
            </w:pPr>
            <w:r>
              <w:rPr>
                <w:rFonts w:ascii="Arial"/>
                <w:sz w:val="16"/>
              </w:rPr>
              <w:t>788601492</w:t>
            </w:r>
          </w:p>
        </w:tc>
        <w:tc>
          <w:tcPr>
            <w:tcW w:w="1145"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68"/>
              <w:jc w:val="right"/>
              <w:rPr>
                <w:rFonts w:ascii="Arial" w:hAnsi="Arial" w:cs="Arial" w:eastAsia="Arial" w:hint="default"/>
                <w:sz w:val="16"/>
                <w:szCs w:val="16"/>
              </w:rPr>
            </w:pPr>
            <w:r>
              <w:rPr>
                <w:rFonts w:ascii="Arial"/>
                <w:w w:val="95"/>
                <w:sz w:val="16"/>
              </w:rPr>
              <w:t>550,000</w:t>
            </w:r>
            <w:r>
              <w:rPr>
                <w:rFonts w:ascii="Arial"/>
                <w:sz w:val="16"/>
              </w:rPr>
            </w:r>
          </w:p>
        </w:tc>
        <w:tc>
          <w:tcPr>
            <w:tcW w:w="1063"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410"/>
              <w:jc w:val="right"/>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39"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46" w:right="0"/>
              <w:jc w:val="center"/>
              <w:rPr>
                <w:rFonts w:ascii="Arial" w:hAnsi="Arial" w:cs="Arial" w:eastAsia="Arial" w:hint="default"/>
                <w:sz w:val="16"/>
                <w:szCs w:val="16"/>
              </w:rPr>
            </w:pPr>
            <w:r>
              <w:rPr>
                <w:rFonts w:ascii="Arial"/>
                <w:sz w:val="16"/>
              </w:rPr>
              <w:t>33.88</w:t>
            </w:r>
          </w:p>
        </w:tc>
        <w:tc>
          <w:tcPr>
            <w:tcW w:w="580"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76" w:right="0"/>
              <w:jc w:val="center"/>
              <w:rPr>
                <w:rFonts w:ascii="Arial" w:hAnsi="Arial" w:cs="Arial" w:eastAsia="Arial" w:hint="default"/>
                <w:sz w:val="16"/>
                <w:szCs w:val="16"/>
              </w:rPr>
            </w:pPr>
            <w:r>
              <w:rPr>
                <w:rFonts w:ascii="Arial"/>
                <w:sz w:val="16"/>
              </w:rPr>
              <w:t>62.04</w:t>
            </w:r>
          </w:p>
        </w:tc>
        <w:tc>
          <w:tcPr>
            <w:tcW w:w="452"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6"/>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11"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5"/>
              <w:jc w:val="right"/>
              <w:rPr>
                <w:rFonts w:ascii="Arial" w:hAnsi="Arial" w:cs="Arial" w:eastAsia="Arial" w:hint="default"/>
                <w:sz w:val="16"/>
                <w:szCs w:val="16"/>
              </w:rPr>
            </w:pPr>
            <w:r>
              <w:rPr>
                <w:rFonts w:ascii="Arial"/>
                <w:w w:val="99"/>
                <w:sz w:val="16"/>
              </w:rPr>
              <w:t>-</w:t>
            </w:r>
            <w:r>
              <w:rPr>
                <w:rFonts w:ascii="Arial"/>
                <w:sz w:val="16"/>
              </w:rPr>
            </w:r>
          </w:p>
        </w:tc>
        <w:tc>
          <w:tcPr>
            <w:tcW w:w="619"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4"/>
              <w:jc w:val="right"/>
              <w:rPr>
                <w:rFonts w:ascii="Arial" w:hAnsi="Arial" w:cs="Arial" w:eastAsia="Arial" w:hint="default"/>
                <w:sz w:val="16"/>
                <w:szCs w:val="16"/>
              </w:rPr>
            </w:pPr>
            <w:r>
              <w:rPr>
                <w:rFonts w:ascii="Arial"/>
                <w:w w:val="99"/>
                <w:sz w:val="16"/>
              </w:rPr>
              <w:t>-</w:t>
            </w:r>
            <w:r>
              <w:rPr>
                <w:rFonts w:ascii="Arial"/>
                <w:sz w:val="16"/>
              </w:rPr>
            </w:r>
          </w:p>
        </w:tc>
      </w:tr>
      <w:tr>
        <w:trPr>
          <w:trHeight w:val="807" w:hRule="exact"/>
        </w:trPr>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42" w:right="323" w:hanging="166"/>
              <w:jc w:val="left"/>
              <w:rPr>
                <w:rFonts w:ascii="宋体" w:hAnsi="宋体" w:cs="宋体" w:eastAsia="宋体" w:hint="default"/>
                <w:sz w:val="16"/>
                <w:szCs w:val="16"/>
              </w:rPr>
            </w:pPr>
            <w:r>
              <w:rPr>
                <w:rFonts w:ascii="宋体" w:hAnsi="宋体" w:cs="宋体" w:eastAsia="宋体" w:hint="default"/>
                <w:sz w:val="16"/>
                <w:szCs w:val="16"/>
              </w:rPr>
              <w:t>联通宽带在线有限</w:t>
            </w:r>
            <w:r>
              <w:rPr>
                <w:rFonts w:ascii="宋体" w:hAnsi="宋体" w:cs="宋体" w:eastAsia="宋体" w:hint="default"/>
                <w:w w:val="99"/>
                <w:sz w:val="16"/>
                <w:szCs w:val="16"/>
              </w:rPr>
              <w:t> </w:t>
            </w:r>
            <w:r>
              <w:rPr>
                <w:rFonts w:ascii="宋体" w:hAnsi="宋体" w:cs="宋体" w:eastAsia="宋体" w:hint="default"/>
                <w:sz w:val="16"/>
                <w:szCs w:val="16"/>
              </w:rPr>
              <w:t>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（“宽带在线”）</w:t>
            </w:r>
          </w:p>
        </w:tc>
        <w:tc>
          <w:tcPr>
            <w:tcW w:w="3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68" w:right="0"/>
              <w:jc w:val="left"/>
              <w:rPr>
                <w:rFonts w:ascii="Arial" w:hAnsi="Arial" w:cs="Arial" w:eastAsia="Arial" w:hint="default"/>
                <w:sz w:val="16"/>
                <w:szCs w:val="16"/>
              </w:rPr>
            </w:pPr>
            <w:r>
              <w:rPr>
                <w:rFonts w:ascii="Arial"/>
                <w:sz w:val="16"/>
              </w:rPr>
              <w:t>(3)</w:t>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51" w:right="143"/>
              <w:jc w:val="left"/>
              <w:rPr>
                <w:rFonts w:ascii="宋体" w:hAnsi="宋体" w:cs="宋体" w:eastAsia="宋体" w:hint="default"/>
                <w:sz w:val="16"/>
                <w:szCs w:val="16"/>
              </w:rPr>
            </w:pPr>
            <w:r>
              <w:rPr>
                <w:rFonts w:ascii="宋体" w:hAnsi="宋体" w:cs="宋体" w:eastAsia="宋体" w:hint="default"/>
                <w:sz w:val="16"/>
                <w:szCs w:val="16"/>
              </w:rPr>
              <w:t>间接</w:t>
            </w:r>
            <w:r>
              <w:rPr>
                <w:rFonts w:ascii="宋体" w:hAnsi="宋体" w:cs="宋体" w:eastAsia="宋体" w:hint="default"/>
                <w:w w:val="99"/>
                <w:sz w:val="16"/>
                <w:szCs w:val="16"/>
              </w:rPr>
              <w:t> </w:t>
            </w:r>
            <w:r>
              <w:rPr>
                <w:rFonts w:ascii="宋体" w:hAnsi="宋体" w:cs="宋体" w:eastAsia="宋体" w:hint="default"/>
                <w:sz w:val="16"/>
                <w:szCs w:val="16"/>
              </w:rPr>
              <w:t>控股</w:t>
            </w:r>
          </w:p>
        </w:tc>
        <w:tc>
          <w:tcPr>
            <w:tcW w:w="1145" w:type="dxa"/>
            <w:tcBorders>
              <w:top w:val="nil" w:sz="6" w:space="0" w:color="auto"/>
              <w:left w:val="nil" w:sz="6" w:space="0" w:color="auto"/>
              <w:bottom w:val="nil" w:sz="6" w:space="0" w:color="auto"/>
              <w:right w:val="nil" w:sz="6" w:space="0" w:color="auto"/>
            </w:tcBorders>
          </w:tcPr>
          <w:p>
            <w:pPr>
              <w:pStyle w:val="TableParagraph"/>
              <w:spacing w:line="208" w:lineRule="exact" w:before="56"/>
              <w:ind w:right="51"/>
              <w:jc w:val="center"/>
              <w:rPr>
                <w:rFonts w:ascii="宋体" w:hAnsi="宋体" w:cs="宋体" w:eastAsia="宋体" w:hint="default"/>
                <w:sz w:val="16"/>
                <w:szCs w:val="16"/>
              </w:rPr>
            </w:pPr>
            <w:r>
              <w:rPr>
                <w:rFonts w:ascii="宋体" w:hAnsi="宋体" w:cs="宋体" w:eastAsia="宋体" w:hint="default"/>
                <w:sz w:val="16"/>
                <w:szCs w:val="16"/>
              </w:rPr>
              <w:t>中国，北京市</w:t>
            </w:r>
          </w:p>
          <w:p>
            <w:pPr>
              <w:pStyle w:val="TableParagraph"/>
              <w:spacing w:line="213" w:lineRule="exact"/>
              <w:ind w:right="50"/>
              <w:jc w:val="center"/>
              <w:rPr>
                <w:rFonts w:ascii="宋体" w:hAnsi="宋体" w:cs="宋体" w:eastAsia="宋体" w:hint="default"/>
                <w:sz w:val="16"/>
                <w:szCs w:val="16"/>
              </w:rPr>
            </w:pPr>
            <w:r>
              <w:rPr>
                <w:rFonts w:ascii="Arial" w:hAnsi="Arial" w:cs="Arial" w:eastAsia="Arial" w:hint="default"/>
                <w:sz w:val="16"/>
                <w:szCs w:val="16"/>
              </w:rPr>
              <w:t>2006</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right="50"/>
              <w:jc w:val="center"/>
              <w:rPr>
                <w:rFonts w:ascii="宋体" w:hAnsi="宋体" w:cs="宋体" w:eastAsia="宋体" w:hint="default"/>
                <w:sz w:val="16"/>
                <w:szCs w:val="16"/>
              </w:rPr>
            </w:pPr>
            <w:r>
              <w:rPr>
                <w:rFonts w:ascii="Arial" w:hAnsi="Arial" w:cs="Arial" w:eastAsia="Arial" w:hint="default"/>
                <w:sz w:val="16"/>
                <w:szCs w:val="16"/>
              </w:rPr>
              <w:t>3</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29</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0" w:right="100"/>
              <w:jc w:val="left"/>
              <w:rPr>
                <w:rFonts w:ascii="宋体" w:hAnsi="宋体" w:cs="宋体" w:eastAsia="宋体" w:hint="default"/>
                <w:sz w:val="16"/>
                <w:szCs w:val="16"/>
              </w:rPr>
            </w:pPr>
            <w:r>
              <w:rPr>
                <w:rFonts w:ascii="宋体" w:hAnsi="宋体" w:cs="宋体" w:eastAsia="宋体" w:hint="default"/>
                <w:sz w:val="16"/>
                <w:szCs w:val="16"/>
              </w:rPr>
              <w:t>互联网及电</w:t>
            </w:r>
            <w:r>
              <w:rPr>
                <w:rFonts w:ascii="宋体" w:hAnsi="宋体" w:cs="宋体" w:eastAsia="宋体" w:hint="default"/>
                <w:w w:val="99"/>
                <w:sz w:val="16"/>
                <w:szCs w:val="16"/>
              </w:rPr>
              <w:t> </w:t>
            </w:r>
            <w:r>
              <w:rPr>
                <w:rFonts w:ascii="宋体" w:hAnsi="宋体" w:cs="宋体" w:eastAsia="宋体" w:hint="default"/>
                <w:sz w:val="16"/>
                <w:szCs w:val="16"/>
              </w:rPr>
              <w:t>信增值业务</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25"/>
              <w:jc w:val="right"/>
              <w:rPr>
                <w:rFonts w:ascii="Arial" w:hAnsi="Arial" w:cs="Arial" w:eastAsia="Arial" w:hint="default"/>
                <w:sz w:val="16"/>
                <w:szCs w:val="16"/>
              </w:rPr>
            </w:pPr>
            <w:r>
              <w:rPr>
                <w:rFonts w:ascii="Arial"/>
                <w:w w:val="95"/>
                <w:sz w:val="16"/>
              </w:rPr>
              <w:t>30,000</w:t>
            </w:r>
            <w:r>
              <w:rPr>
                <w:rFonts w:ascii="Arial"/>
                <w:sz w:val="16"/>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74" w:right="66" w:hanging="47"/>
              <w:jc w:val="left"/>
              <w:rPr>
                <w:rFonts w:ascii="宋体" w:hAnsi="宋体" w:cs="宋体" w:eastAsia="宋体" w:hint="default"/>
                <w:sz w:val="16"/>
                <w:szCs w:val="16"/>
              </w:rPr>
            </w:pPr>
            <w:r>
              <w:rPr>
                <w:rFonts w:ascii="宋体" w:hAnsi="宋体" w:cs="宋体" w:eastAsia="宋体" w:hint="default"/>
                <w:spacing w:val="-10"/>
                <w:w w:val="99"/>
                <w:sz w:val="16"/>
                <w:szCs w:val="16"/>
              </w:rPr>
              <w:t>互联网、互联网</w:t>
            </w:r>
            <w:r>
              <w:rPr>
                <w:rFonts w:ascii="宋体" w:hAnsi="宋体" w:cs="宋体" w:eastAsia="宋体" w:hint="default"/>
                <w:spacing w:val="-77"/>
                <w:w w:val="99"/>
                <w:sz w:val="16"/>
                <w:szCs w:val="16"/>
              </w:rPr>
              <w:t> </w:t>
            </w:r>
            <w:r>
              <w:rPr>
                <w:rFonts w:ascii="宋体" w:hAnsi="宋体" w:cs="宋体" w:eastAsia="宋体" w:hint="default"/>
                <w:spacing w:val="-77"/>
                <w:w w:val="99"/>
                <w:sz w:val="16"/>
                <w:szCs w:val="16"/>
              </w:rPr>
            </w:r>
            <w:r>
              <w:rPr>
                <w:rFonts w:ascii="宋体" w:hAnsi="宋体" w:cs="宋体" w:eastAsia="宋体" w:hint="default"/>
                <w:sz w:val="16"/>
                <w:szCs w:val="16"/>
              </w:rPr>
              <w:t>电信增值业务</w:t>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8" w:right="114" w:hanging="160"/>
              <w:jc w:val="left"/>
              <w:rPr>
                <w:rFonts w:ascii="宋体" w:hAnsi="宋体" w:cs="宋体" w:eastAsia="宋体" w:hint="default"/>
                <w:sz w:val="16"/>
                <w:szCs w:val="16"/>
              </w:rPr>
            </w:pPr>
            <w:r>
              <w:rPr>
                <w:rFonts w:ascii="宋体" w:hAnsi="宋体" w:cs="宋体" w:eastAsia="宋体" w:hint="default"/>
                <w:sz w:val="16"/>
                <w:szCs w:val="16"/>
              </w:rPr>
              <w:t>有限责任</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30"/>
              <w:jc w:val="center"/>
              <w:rPr>
                <w:rFonts w:ascii="宋体" w:hAnsi="宋体" w:cs="宋体" w:eastAsia="宋体" w:hint="default"/>
                <w:sz w:val="16"/>
                <w:szCs w:val="16"/>
              </w:rPr>
            </w:pPr>
            <w:r>
              <w:rPr>
                <w:rFonts w:ascii="宋体" w:hAnsi="宋体" w:cs="宋体" w:eastAsia="宋体" w:hint="default"/>
                <w:sz w:val="16"/>
                <w:szCs w:val="16"/>
              </w:rPr>
              <w:t>左风</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4"/>
              <w:jc w:val="center"/>
              <w:rPr>
                <w:rFonts w:ascii="Arial" w:hAnsi="Arial" w:cs="Arial" w:eastAsia="Arial" w:hint="default"/>
                <w:sz w:val="16"/>
                <w:szCs w:val="16"/>
              </w:rPr>
            </w:pPr>
            <w:r>
              <w:rPr>
                <w:rFonts w:ascii="Arial"/>
                <w:sz w:val="16"/>
              </w:rPr>
              <w:t>788601580</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68"/>
              <w:jc w:val="right"/>
              <w:rPr>
                <w:rFonts w:ascii="Arial" w:hAnsi="Arial" w:cs="Arial" w:eastAsia="Arial" w:hint="default"/>
                <w:sz w:val="16"/>
                <w:szCs w:val="16"/>
              </w:rPr>
            </w:pPr>
            <w:r>
              <w:rPr>
                <w:rFonts w:ascii="Arial"/>
                <w:w w:val="95"/>
                <w:sz w:val="16"/>
              </w:rPr>
              <w:t>30,000</w:t>
            </w:r>
            <w:r>
              <w:rPr>
                <w:rFonts w:ascii="Arial"/>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410"/>
              <w:jc w:val="right"/>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46" w:right="0"/>
              <w:jc w:val="center"/>
              <w:rPr>
                <w:rFonts w:ascii="Arial" w:hAnsi="Arial" w:cs="Arial" w:eastAsia="Arial" w:hint="default"/>
                <w:sz w:val="16"/>
                <w:szCs w:val="16"/>
              </w:rPr>
            </w:pPr>
            <w:r>
              <w:rPr>
                <w:rFonts w:ascii="Arial"/>
                <w:sz w:val="16"/>
              </w:rPr>
              <w:t>33.88</w:t>
            </w:r>
          </w:p>
        </w:tc>
        <w:tc>
          <w:tcPr>
            <w:tcW w:w="5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76" w:right="0"/>
              <w:jc w:val="center"/>
              <w:rPr>
                <w:rFonts w:ascii="Arial" w:hAnsi="Arial" w:cs="Arial" w:eastAsia="Arial" w:hint="default"/>
                <w:sz w:val="16"/>
                <w:szCs w:val="16"/>
              </w:rPr>
            </w:pPr>
            <w:r>
              <w:rPr>
                <w:rFonts w:ascii="Arial"/>
                <w:sz w:val="16"/>
              </w:rPr>
              <w:t>62.04</w:t>
            </w:r>
          </w:p>
        </w:tc>
        <w:tc>
          <w:tcPr>
            <w:tcW w:w="4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6"/>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5"/>
              <w:jc w:val="right"/>
              <w:rPr>
                <w:rFonts w:ascii="Arial" w:hAnsi="Arial" w:cs="Arial" w:eastAsia="Arial" w:hint="default"/>
                <w:sz w:val="16"/>
                <w:szCs w:val="16"/>
              </w:rPr>
            </w:pPr>
            <w:r>
              <w:rPr>
                <w:rFonts w:ascii="Arial"/>
                <w:w w:val="99"/>
                <w:sz w:val="16"/>
              </w:rPr>
              <w:t>-</w:t>
            </w:r>
            <w:r>
              <w:rPr>
                <w:rFonts w:ascii="Arial"/>
                <w:sz w:val="16"/>
              </w:rPr>
            </w: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4"/>
              <w:jc w:val="right"/>
              <w:rPr>
                <w:rFonts w:ascii="Arial" w:hAnsi="Arial" w:cs="Arial" w:eastAsia="Arial" w:hint="default"/>
                <w:sz w:val="16"/>
                <w:szCs w:val="16"/>
              </w:rPr>
            </w:pPr>
            <w:r>
              <w:rPr>
                <w:rFonts w:ascii="Arial"/>
                <w:w w:val="99"/>
                <w:sz w:val="16"/>
              </w:rPr>
              <w:t>-</w:t>
            </w:r>
            <w:r>
              <w:rPr>
                <w:rFonts w:ascii="Arial"/>
                <w:sz w:val="16"/>
              </w:rPr>
            </w:r>
          </w:p>
        </w:tc>
      </w:tr>
      <w:tr>
        <w:trPr>
          <w:trHeight w:val="807" w:hRule="exact"/>
        </w:trPr>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42" w:right="163" w:hanging="166"/>
              <w:jc w:val="left"/>
              <w:rPr>
                <w:rFonts w:ascii="宋体" w:hAnsi="宋体" w:cs="宋体" w:eastAsia="宋体" w:hint="default"/>
                <w:sz w:val="16"/>
                <w:szCs w:val="16"/>
              </w:rPr>
            </w:pPr>
            <w:r>
              <w:rPr>
                <w:rFonts w:ascii="宋体" w:hAnsi="宋体" w:cs="宋体" w:eastAsia="宋体" w:hint="default"/>
                <w:sz w:val="16"/>
                <w:szCs w:val="16"/>
              </w:rPr>
              <w:t>北京电信规划设计院</w:t>
            </w:r>
            <w:r>
              <w:rPr>
                <w:rFonts w:ascii="宋体" w:hAnsi="宋体" w:cs="宋体" w:eastAsia="宋体" w:hint="default"/>
                <w:w w:val="99"/>
                <w:sz w:val="16"/>
                <w:szCs w:val="16"/>
              </w:rPr>
              <w:t> </w:t>
            </w:r>
            <w:r>
              <w:rPr>
                <w:rFonts w:ascii="宋体" w:hAnsi="宋体" w:cs="宋体" w:eastAsia="宋体" w:hint="default"/>
                <w:sz w:val="16"/>
                <w:szCs w:val="16"/>
              </w:rPr>
              <w:t>有限公司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（“规划设计院”）</w:t>
            </w:r>
          </w:p>
        </w:tc>
        <w:tc>
          <w:tcPr>
            <w:tcW w:w="3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68" w:right="0"/>
              <w:jc w:val="left"/>
              <w:rPr>
                <w:rFonts w:ascii="Arial" w:hAnsi="Arial" w:cs="Arial" w:eastAsia="Arial" w:hint="default"/>
                <w:sz w:val="16"/>
                <w:szCs w:val="16"/>
              </w:rPr>
            </w:pPr>
            <w:r>
              <w:rPr>
                <w:rFonts w:ascii="Arial"/>
                <w:sz w:val="16"/>
              </w:rPr>
              <w:t>(3)</w:t>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51" w:right="143"/>
              <w:jc w:val="left"/>
              <w:rPr>
                <w:rFonts w:ascii="宋体" w:hAnsi="宋体" w:cs="宋体" w:eastAsia="宋体" w:hint="default"/>
                <w:sz w:val="16"/>
                <w:szCs w:val="16"/>
              </w:rPr>
            </w:pPr>
            <w:r>
              <w:rPr>
                <w:rFonts w:ascii="宋体" w:hAnsi="宋体" w:cs="宋体" w:eastAsia="宋体" w:hint="default"/>
                <w:sz w:val="16"/>
                <w:szCs w:val="16"/>
              </w:rPr>
              <w:t>间接</w:t>
            </w:r>
            <w:r>
              <w:rPr>
                <w:rFonts w:ascii="宋体" w:hAnsi="宋体" w:cs="宋体" w:eastAsia="宋体" w:hint="default"/>
                <w:w w:val="99"/>
                <w:sz w:val="16"/>
                <w:szCs w:val="16"/>
              </w:rPr>
              <w:t> </w:t>
            </w:r>
            <w:r>
              <w:rPr>
                <w:rFonts w:ascii="宋体" w:hAnsi="宋体" w:cs="宋体" w:eastAsia="宋体" w:hint="default"/>
                <w:sz w:val="16"/>
                <w:szCs w:val="16"/>
              </w:rPr>
              <w:t>控股</w:t>
            </w:r>
          </w:p>
        </w:tc>
        <w:tc>
          <w:tcPr>
            <w:tcW w:w="1145" w:type="dxa"/>
            <w:tcBorders>
              <w:top w:val="nil" w:sz="6" w:space="0" w:color="auto"/>
              <w:left w:val="nil" w:sz="6" w:space="0" w:color="auto"/>
              <w:bottom w:val="nil" w:sz="6" w:space="0" w:color="auto"/>
              <w:right w:val="nil" w:sz="6" w:space="0" w:color="auto"/>
            </w:tcBorders>
          </w:tcPr>
          <w:p>
            <w:pPr>
              <w:pStyle w:val="TableParagraph"/>
              <w:spacing w:line="208" w:lineRule="exact" w:before="57"/>
              <w:ind w:right="51"/>
              <w:jc w:val="center"/>
              <w:rPr>
                <w:rFonts w:ascii="宋体" w:hAnsi="宋体" w:cs="宋体" w:eastAsia="宋体" w:hint="default"/>
                <w:sz w:val="16"/>
                <w:szCs w:val="16"/>
              </w:rPr>
            </w:pPr>
            <w:r>
              <w:rPr>
                <w:rFonts w:ascii="宋体" w:hAnsi="宋体" w:cs="宋体" w:eastAsia="宋体" w:hint="default"/>
                <w:sz w:val="16"/>
                <w:szCs w:val="16"/>
              </w:rPr>
              <w:t>中国，北京市</w:t>
            </w:r>
          </w:p>
          <w:p>
            <w:pPr>
              <w:pStyle w:val="TableParagraph"/>
              <w:spacing w:line="213" w:lineRule="exact"/>
              <w:ind w:right="50"/>
              <w:jc w:val="center"/>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right="50"/>
              <w:jc w:val="center"/>
              <w:rPr>
                <w:rFonts w:ascii="宋体" w:hAnsi="宋体" w:cs="宋体" w:eastAsia="宋体" w:hint="default"/>
                <w:sz w:val="16"/>
                <w:szCs w:val="16"/>
              </w:rPr>
            </w:pPr>
            <w:r>
              <w:rPr>
                <w:rFonts w:ascii="Arial" w:hAnsi="Arial" w:cs="Arial" w:eastAsia="Arial" w:hint="default"/>
                <w:sz w:val="16"/>
                <w:szCs w:val="16"/>
              </w:rPr>
              <w:t>6</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Arial" w:hAnsi="Arial" w:cs="Arial" w:eastAsia="Arial" w:hint="default"/>
                <w:sz w:val="16"/>
                <w:szCs w:val="16"/>
              </w:rPr>
              <w:t>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00" w:right="100" w:hanging="81"/>
              <w:jc w:val="left"/>
              <w:rPr>
                <w:rFonts w:ascii="宋体" w:hAnsi="宋体" w:cs="宋体" w:eastAsia="宋体" w:hint="default"/>
                <w:sz w:val="16"/>
                <w:szCs w:val="16"/>
              </w:rPr>
            </w:pPr>
            <w:r>
              <w:rPr>
                <w:rFonts w:ascii="宋体" w:hAnsi="宋体" w:cs="宋体" w:eastAsia="宋体" w:hint="default"/>
                <w:sz w:val="16"/>
                <w:szCs w:val="16"/>
              </w:rPr>
              <w:t>勘察设计及</w:t>
            </w:r>
            <w:r>
              <w:rPr>
                <w:rFonts w:ascii="宋体" w:hAnsi="宋体" w:cs="宋体" w:eastAsia="宋体" w:hint="default"/>
                <w:w w:val="99"/>
                <w:sz w:val="16"/>
                <w:szCs w:val="16"/>
              </w:rPr>
              <w:t> </w:t>
            </w:r>
            <w:r>
              <w:rPr>
                <w:rFonts w:ascii="宋体" w:hAnsi="宋体" w:cs="宋体" w:eastAsia="宋体" w:hint="default"/>
                <w:sz w:val="16"/>
                <w:szCs w:val="16"/>
              </w:rPr>
              <w:t>咨询服务</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25"/>
              <w:jc w:val="right"/>
              <w:rPr>
                <w:rFonts w:ascii="Arial" w:hAnsi="Arial" w:cs="Arial" w:eastAsia="Arial" w:hint="default"/>
                <w:sz w:val="16"/>
                <w:szCs w:val="16"/>
              </w:rPr>
            </w:pPr>
            <w:r>
              <w:rPr>
                <w:rFonts w:ascii="Arial"/>
                <w:w w:val="95"/>
                <w:sz w:val="16"/>
              </w:rPr>
              <w:t>264,227</w:t>
            </w:r>
            <w:r>
              <w:rPr>
                <w:rFonts w:ascii="Arial"/>
                <w:sz w:val="16"/>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14" w:right="112" w:hanging="240"/>
              <w:jc w:val="left"/>
              <w:rPr>
                <w:rFonts w:ascii="宋体" w:hAnsi="宋体" w:cs="宋体" w:eastAsia="宋体" w:hint="default"/>
                <w:sz w:val="16"/>
                <w:szCs w:val="16"/>
              </w:rPr>
            </w:pPr>
            <w:r>
              <w:rPr>
                <w:rFonts w:ascii="宋体" w:hAnsi="宋体" w:cs="宋体" w:eastAsia="宋体" w:hint="default"/>
                <w:sz w:val="16"/>
                <w:szCs w:val="16"/>
              </w:rPr>
              <w:t>勘察设计及咨</w:t>
            </w:r>
            <w:r>
              <w:rPr>
                <w:rFonts w:ascii="宋体" w:hAnsi="宋体" w:cs="宋体" w:eastAsia="宋体" w:hint="default"/>
                <w:w w:val="99"/>
                <w:sz w:val="16"/>
                <w:szCs w:val="16"/>
              </w:rPr>
              <w:t> </w:t>
            </w:r>
            <w:r>
              <w:rPr>
                <w:rFonts w:ascii="宋体" w:hAnsi="宋体" w:cs="宋体" w:eastAsia="宋体" w:hint="default"/>
                <w:sz w:val="16"/>
                <w:szCs w:val="16"/>
              </w:rPr>
              <w:t>询服务</w:t>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8" w:right="114" w:hanging="160"/>
              <w:jc w:val="left"/>
              <w:rPr>
                <w:rFonts w:ascii="宋体" w:hAnsi="宋体" w:cs="宋体" w:eastAsia="宋体" w:hint="default"/>
                <w:sz w:val="16"/>
                <w:szCs w:val="16"/>
              </w:rPr>
            </w:pPr>
            <w:r>
              <w:rPr>
                <w:rFonts w:ascii="宋体" w:hAnsi="宋体" w:cs="宋体" w:eastAsia="宋体" w:hint="default"/>
                <w:sz w:val="16"/>
                <w:szCs w:val="16"/>
              </w:rPr>
              <w:t>有限责任</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30"/>
              <w:jc w:val="center"/>
              <w:rPr>
                <w:rFonts w:ascii="宋体" w:hAnsi="宋体" w:cs="宋体" w:eastAsia="宋体" w:hint="default"/>
                <w:sz w:val="16"/>
                <w:szCs w:val="16"/>
              </w:rPr>
            </w:pPr>
            <w:r>
              <w:rPr>
                <w:rFonts w:ascii="宋体" w:hAnsi="宋体" w:cs="宋体" w:eastAsia="宋体" w:hint="default"/>
                <w:sz w:val="16"/>
                <w:szCs w:val="16"/>
              </w:rPr>
              <w:t>肖杰</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4"/>
              <w:jc w:val="center"/>
              <w:rPr>
                <w:rFonts w:ascii="Arial" w:hAnsi="Arial" w:cs="Arial" w:eastAsia="Arial" w:hint="default"/>
                <w:sz w:val="16"/>
                <w:szCs w:val="16"/>
              </w:rPr>
            </w:pPr>
            <w:r>
              <w:rPr>
                <w:rFonts w:ascii="Arial"/>
                <w:sz w:val="16"/>
              </w:rPr>
              <w:t>101940069</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68"/>
              <w:jc w:val="right"/>
              <w:rPr>
                <w:rFonts w:ascii="Arial" w:hAnsi="Arial" w:cs="Arial" w:eastAsia="Arial" w:hint="default"/>
                <w:sz w:val="16"/>
                <w:szCs w:val="16"/>
              </w:rPr>
            </w:pPr>
            <w:r>
              <w:rPr>
                <w:rFonts w:ascii="Arial"/>
                <w:w w:val="95"/>
                <w:sz w:val="16"/>
              </w:rPr>
              <w:t>264,227</w:t>
            </w:r>
            <w:r>
              <w:rPr>
                <w:rFonts w:ascii="Arial"/>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410"/>
              <w:jc w:val="right"/>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46" w:right="0"/>
              <w:jc w:val="center"/>
              <w:rPr>
                <w:rFonts w:ascii="Arial" w:hAnsi="Arial" w:cs="Arial" w:eastAsia="Arial" w:hint="default"/>
                <w:sz w:val="16"/>
                <w:szCs w:val="16"/>
              </w:rPr>
            </w:pPr>
            <w:r>
              <w:rPr>
                <w:rFonts w:ascii="Arial"/>
                <w:sz w:val="16"/>
              </w:rPr>
              <w:t>33.88</w:t>
            </w:r>
          </w:p>
        </w:tc>
        <w:tc>
          <w:tcPr>
            <w:tcW w:w="5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76" w:right="0"/>
              <w:jc w:val="center"/>
              <w:rPr>
                <w:rFonts w:ascii="Arial" w:hAnsi="Arial" w:cs="Arial" w:eastAsia="Arial" w:hint="default"/>
                <w:sz w:val="16"/>
                <w:szCs w:val="16"/>
              </w:rPr>
            </w:pPr>
            <w:r>
              <w:rPr>
                <w:rFonts w:ascii="Arial"/>
                <w:sz w:val="16"/>
              </w:rPr>
              <w:t>62.04</w:t>
            </w:r>
          </w:p>
        </w:tc>
        <w:tc>
          <w:tcPr>
            <w:tcW w:w="4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6"/>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5"/>
              <w:jc w:val="right"/>
              <w:rPr>
                <w:rFonts w:ascii="Arial" w:hAnsi="Arial" w:cs="Arial" w:eastAsia="Arial" w:hint="default"/>
                <w:sz w:val="16"/>
                <w:szCs w:val="16"/>
              </w:rPr>
            </w:pPr>
            <w:r>
              <w:rPr>
                <w:rFonts w:ascii="Arial"/>
                <w:w w:val="99"/>
                <w:sz w:val="16"/>
              </w:rPr>
              <w:t>-</w:t>
            </w:r>
            <w:r>
              <w:rPr>
                <w:rFonts w:ascii="Arial"/>
                <w:sz w:val="16"/>
              </w:rPr>
            </w: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4"/>
              <w:jc w:val="right"/>
              <w:rPr>
                <w:rFonts w:ascii="Arial" w:hAnsi="Arial" w:cs="Arial" w:eastAsia="Arial" w:hint="default"/>
                <w:sz w:val="16"/>
                <w:szCs w:val="16"/>
              </w:rPr>
            </w:pPr>
            <w:r>
              <w:rPr>
                <w:rFonts w:ascii="Arial"/>
                <w:w w:val="99"/>
                <w:sz w:val="16"/>
              </w:rPr>
              <w:t>-</w:t>
            </w:r>
            <w:r>
              <w:rPr>
                <w:rFonts w:ascii="Arial"/>
                <w:sz w:val="16"/>
              </w:rPr>
            </w:r>
          </w:p>
        </w:tc>
      </w:tr>
      <w:tr>
        <w:trPr>
          <w:trHeight w:val="806" w:hRule="exact"/>
        </w:trPr>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42" w:right="323" w:hanging="166"/>
              <w:jc w:val="left"/>
              <w:rPr>
                <w:rFonts w:ascii="宋体" w:hAnsi="宋体" w:cs="宋体" w:eastAsia="宋体" w:hint="default"/>
                <w:sz w:val="16"/>
                <w:szCs w:val="16"/>
              </w:rPr>
            </w:pPr>
            <w:r>
              <w:rPr>
                <w:rFonts w:ascii="宋体" w:hAnsi="宋体" w:cs="宋体" w:eastAsia="宋体" w:hint="default"/>
                <w:sz w:val="16"/>
                <w:szCs w:val="16"/>
              </w:rPr>
              <w:t>中融信息服务有限</w:t>
            </w:r>
            <w:r>
              <w:rPr>
                <w:rFonts w:ascii="宋体" w:hAnsi="宋体" w:cs="宋体" w:eastAsia="宋体" w:hint="default"/>
                <w:w w:val="99"/>
                <w:sz w:val="16"/>
                <w:szCs w:val="16"/>
              </w:rPr>
              <w:t> </w:t>
            </w:r>
            <w:r>
              <w:rPr>
                <w:rFonts w:ascii="宋体" w:hAnsi="宋体" w:cs="宋体" w:eastAsia="宋体" w:hint="default"/>
                <w:sz w:val="16"/>
                <w:szCs w:val="16"/>
              </w:rPr>
              <w:t>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（“中融信息”）</w:t>
            </w:r>
          </w:p>
        </w:tc>
        <w:tc>
          <w:tcPr>
            <w:tcW w:w="3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68" w:right="0"/>
              <w:jc w:val="left"/>
              <w:rPr>
                <w:rFonts w:ascii="Arial" w:hAnsi="Arial" w:cs="Arial" w:eastAsia="Arial" w:hint="default"/>
                <w:sz w:val="16"/>
                <w:szCs w:val="16"/>
              </w:rPr>
            </w:pPr>
            <w:r>
              <w:rPr>
                <w:rFonts w:ascii="Arial"/>
                <w:sz w:val="16"/>
              </w:rPr>
              <w:t>(3)</w:t>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51" w:right="143"/>
              <w:jc w:val="left"/>
              <w:rPr>
                <w:rFonts w:ascii="宋体" w:hAnsi="宋体" w:cs="宋体" w:eastAsia="宋体" w:hint="default"/>
                <w:sz w:val="16"/>
                <w:szCs w:val="16"/>
              </w:rPr>
            </w:pPr>
            <w:r>
              <w:rPr>
                <w:rFonts w:ascii="宋体" w:hAnsi="宋体" w:cs="宋体" w:eastAsia="宋体" w:hint="default"/>
                <w:sz w:val="16"/>
                <w:szCs w:val="16"/>
              </w:rPr>
              <w:t>间接</w:t>
            </w:r>
            <w:r>
              <w:rPr>
                <w:rFonts w:ascii="宋体" w:hAnsi="宋体" w:cs="宋体" w:eastAsia="宋体" w:hint="default"/>
                <w:w w:val="99"/>
                <w:sz w:val="16"/>
                <w:szCs w:val="16"/>
              </w:rPr>
              <w:t> </w:t>
            </w:r>
            <w:r>
              <w:rPr>
                <w:rFonts w:ascii="宋体" w:hAnsi="宋体" w:cs="宋体" w:eastAsia="宋体" w:hint="default"/>
                <w:sz w:val="16"/>
                <w:szCs w:val="16"/>
              </w:rPr>
              <w:t>控股</w:t>
            </w:r>
          </w:p>
        </w:tc>
        <w:tc>
          <w:tcPr>
            <w:tcW w:w="1145" w:type="dxa"/>
            <w:tcBorders>
              <w:top w:val="nil" w:sz="6" w:space="0" w:color="auto"/>
              <w:left w:val="nil" w:sz="6" w:space="0" w:color="auto"/>
              <w:bottom w:val="nil" w:sz="6" w:space="0" w:color="auto"/>
              <w:right w:val="nil" w:sz="6" w:space="0" w:color="auto"/>
            </w:tcBorders>
          </w:tcPr>
          <w:p>
            <w:pPr>
              <w:pStyle w:val="TableParagraph"/>
              <w:spacing w:line="208" w:lineRule="exact" w:before="56"/>
              <w:ind w:right="51"/>
              <w:jc w:val="center"/>
              <w:rPr>
                <w:rFonts w:ascii="宋体" w:hAnsi="宋体" w:cs="宋体" w:eastAsia="宋体" w:hint="default"/>
                <w:sz w:val="16"/>
                <w:szCs w:val="16"/>
              </w:rPr>
            </w:pPr>
            <w:r>
              <w:rPr>
                <w:rFonts w:ascii="宋体" w:hAnsi="宋体" w:cs="宋体" w:eastAsia="宋体" w:hint="default"/>
                <w:sz w:val="16"/>
                <w:szCs w:val="16"/>
              </w:rPr>
              <w:t>中国，北京市</w:t>
            </w:r>
          </w:p>
          <w:p>
            <w:pPr>
              <w:pStyle w:val="TableParagraph"/>
              <w:spacing w:line="213" w:lineRule="exact"/>
              <w:ind w:right="50"/>
              <w:jc w:val="center"/>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right="50"/>
              <w:jc w:val="center"/>
              <w:rPr>
                <w:rFonts w:ascii="宋体" w:hAnsi="宋体" w:cs="宋体" w:eastAsia="宋体" w:hint="default"/>
                <w:sz w:val="16"/>
                <w:szCs w:val="16"/>
              </w:rPr>
            </w:pPr>
            <w:r>
              <w:rPr>
                <w:rFonts w:ascii="Arial" w:hAnsi="Arial" w:cs="Arial" w:eastAsia="Arial" w:hint="default"/>
                <w:sz w:val="16"/>
                <w:szCs w:val="16"/>
              </w:rPr>
              <w:t>3</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60" w:right="339"/>
              <w:jc w:val="center"/>
              <w:rPr>
                <w:rFonts w:ascii="宋体" w:hAnsi="宋体" w:cs="宋体" w:eastAsia="宋体" w:hint="default"/>
                <w:sz w:val="16"/>
                <w:szCs w:val="16"/>
              </w:rPr>
            </w:pPr>
            <w:r>
              <w:rPr>
                <w:rFonts w:ascii="宋体" w:hAnsi="宋体" w:cs="宋体" w:eastAsia="宋体" w:hint="default"/>
                <w:sz w:val="16"/>
                <w:szCs w:val="16"/>
              </w:rPr>
              <w:t>信息</w:t>
            </w:r>
            <w:r>
              <w:rPr>
                <w:rFonts w:ascii="宋体" w:hAnsi="宋体" w:cs="宋体" w:eastAsia="宋体" w:hint="default"/>
                <w:w w:val="99"/>
                <w:sz w:val="16"/>
                <w:szCs w:val="16"/>
              </w:rPr>
              <w:t> </w:t>
            </w:r>
            <w:r>
              <w:rPr>
                <w:rFonts w:ascii="宋体" w:hAnsi="宋体" w:cs="宋体" w:eastAsia="宋体" w:hint="default"/>
                <w:sz w:val="16"/>
                <w:szCs w:val="16"/>
              </w:rPr>
              <w:t>咨询</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25"/>
              <w:jc w:val="right"/>
              <w:rPr>
                <w:rFonts w:ascii="Arial" w:hAnsi="Arial" w:cs="Arial" w:eastAsia="Arial" w:hint="default"/>
                <w:sz w:val="16"/>
                <w:szCs w:val="16"/>
              </w:rPr>
            </w:pPr>
            <w:r>
              <w:rPr>
                <w:rFonts w:ascii="Arial"/>
                <w:w w:val="95"/>
                <w:sz w:val="16"/>
              </w:rPr>
              <w:t>50,000</w:t>
            </w:r>
            <w:r>
              <w:rPr>
                <w:rFonts w:ascii="Arial"/>
                <w:sz w:val="16"/>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72"/>
              <w:jc w:val="right"/>
              <w:rPr>
                <w:rFonts w:ascii="宋体" w:hAnsi="宋体" w:cs="宋体" w:eastAsia="宋体" w:hint="default"/>
                <w:sz w:val="16"/>
                <w:szCs w:val="16"/>
              </w:rPr>
            </w:pPr>
            <w:r>
              <w:rPr>
                <w:rFonts w:ascii="宋体" w:hAnsi="宋体" w:cs="宋体" w:eastAsia="宋体" w:hint="default"/>
                <w:w w:val="95"/>
                <w:sz w:val="16"/>
                <w:szCs w:val="16"/>
              </w:rPr>
              <w:t>信息咨询</w:t>
            </w:r>
            <w:r>
              <w:rPr>
                <w:rFonts w:ascii="宋体" w:hAnsi="宋体" w:cs="宋体" w:eastAsia="宋体" w:hint="default"/>
                <w:sz w:val="16"/>
                <w:szCs w:val="16"/>
              </w:rPr>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8" w:right="114" w:hanging="160"/>
              <w:jc w:val="left"/>
              <w:rPr>
                <w:rFonts w:ascii="宋体" w:hAnsi="宋体" w:cs="宋体" w:eastAsia="宋体" w:hint="default"/>
                <w:sz w:val="16"/>
                <w:szCs w:val="16"/>
              </w:rPr>
            </w:pPr>
            <w:r>
              <w:rPr>
                <w:rFonts w:ascii="宋体" w:hAnsi="宋体" w:cs="宋体" w:eastAsia="宋体" w:hint="default"/>
                <w:sz w:val="16"/>
                <w:szCs w:val="16"/>
              </w:rPr>
              <w:t>有限责任</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9"/>
              <w:jc w:val="center"/>
              <w:rPr>
                <w:rFonts w:ascii="宋体" w:hAnsi="宋体" w:cs="宋体" w:eastAsia="宋体" w:hint="default"/>
                <w:sz w:val="16"/>
                <w:szCs w:val="16"/>
              </w:rPr>
            </w:pPr>
            <w:r>
              <w:rPr>
                <w:rFonts w:ascii="宋体" w:hAnsi="宋体" w:cs="宋体" w:eastAsia="宋体" w:hint="default"/>
                <w:sz w:val="16"/>
                <w:szCs w:val="16"/>
              </w:rPr>
              <w:t>牛俊岩</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94"/>
              <w:jc w:val="center"/>
              <w:rPr>
                <w:rFonts w:ascii="Arial" w:hAnsi="Arial" w:cs="Arial" w:eastAsia="Arial" w:hint="default"/>
                <w:sz w:val="16"/>
                <w:szCs w:val="16"/>
              </w:rPr>
            </w:pPr>
            <w:r>
              <w:rPr>
                <w:rFonts w:ascii="Arial"/>
                <w:sz w:val="16"/>
              </w:rPr>
              <w:t>673804476</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68"/>
              <w:jc w:val="right"/>
              <w:rPr>
                <w:rFonts w:ascii="Arial" w:hAnsi="Arial" w:cs="Arial" w:eastAsia="Arial" w:hint="default"/>
                <w:sz w:val="16"/>
                <w:szCs w:val="16"/>
              </w:rPr>
            </w:pPr>
            <w:r>
              <w:rPr>
                <w:rFonts w:ascii="Arial"/>
                <w:w w:val="95"/>
                <w:sz w:val="16"/>
              </w:rPr>
              <w:t>50,000</w:t>
            </w:r>
            <w:r>
              <w:rPr>
                <w:rFonts w:ascii="Arial"/>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410"/>
              <w:jc w:val="right"/>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46" w:right="0"/>
              <w:jc w:val="center"/>
              <w:rPr>
                <w:rFonts w:ascii="Arial" w:hAnsi="Arial" w:cs="Arial" w:eastAsia="Arial" w:hint="default"/>
                <w:sz w:val="16"/>
                <w:szCs w:val="16"/>
              </w:rPr>
            </w:pPr>
            <w:r>
              <w:rPr>
                <w:rFonts w:ascii="Arial"/>
                <w:sz w:val="16"/>
              </w:rPr>
              <w:t>33.88</w:t>
            </w:r>
          </w:p>
        </w:tc>
        <w:tc>
          <w:tcPr>
            <w:tcW w:w="5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76" w:right="0"/>
              <w:jc w:val="center"/>
              <w:rPr>
                <w:rFonts w:ascii="Arial" w:hAnsi="Arial" w:cs="Arial" w:eastAsia="Arial" w:hint="default"/>
                <w:sz w:val="16"/>
                <w:szCs w:val="16"/>
              </w:rPr>
            </w:pPr>
            <w:r>
              <w:rPr>
                <w:rFonts w:ascii="Arial"/>
                <w:sz w:val="16"/>
              </w:rPr>
              <w:t>62.04</w:t>
            </w:r>
          </w:p>
        </w:tc>
        <w:tc>
          <w:tcPr>
            <w:tcW w:w="4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6"/>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5"/>
              <w:jc w:val="right"/>
              <w:rPr>
                <w:rFonts w:ascii="Arial" w:hAnsi="Arial" w:cs="Arial" w:eastAsia="Arial" w:hint="default"/>
                <w:sz w:val="16"/>
                <w:szCs w:val="16"/>
              </w:rPr>
            </w:pPr>
            <w:r>
              <w:rPr>
                <w:rFonts w:ascii="Arial"/>
                <w:w w:val="99"/>
                <w:sz w:val="16"/>
              </w:rPr>
              <w:t>-</w:t>
            </w:r>
            <w:r>
              <w:rPr>
                <w:rFonts w:ascii="Arial"/>
                <w:sz w:val="16"/>
              </w:rPr>
            </w: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94"/>
              <w:jc w:val="right"/>
              <w:rPr>
                <w:rFonts w:ascii="Arial" w:hAnsi="Arial" w:cs="Arial" w:eastAsia="Arial" w:hint="default"/>
                <w:sz w:val="16"/>
                <w:szCs w:val="16"/>
              </w:rPr>
            </w:pPr>
            <w:r>
              <w:rPr>
                <w:rFonts w:ascii="Arial"/>
                <w:w w:val="99"/>
                <w:sz w:val="16"/>
              </w:rPr>
              <w:t>-</w:t>
            </w:r>
            <w:r>
              <w:rPr>
                <w:rFonts w:ascii="Arial"/>
                <w:sz w:val="16"/>
              </w:rPr>
            </w:r>
          </w:p>
        </w:tc>
      </w:tr>
      <w:tr>
        <w:trPr>
          <w:trHeight w:val="806" w:hRule="exact"/>
        </w:trPr>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42" w:right="323" w:hanging="166"/>
              <w:jc w:val="left"/>
              <w:rPr>
                <w:rFonts w:ascii="宋体" w:hAnsi="宋体" w:cs="宋体" w:eastAsia="宋体" w:hint="default"/>
                <w:sz w:val="16"/>
                <w:szCs w:val="16"/>
              </w:rPr>
            </w:pPr>
            <w:r>
              <w:rPr>
                <w:rFonts w:ascii="宋体" w:hAnsi="宋体" w:cs="宋体" w:eastAsia="宋体" w:hint="default"/>
                <w:sz w:val="16"/>
                <w:szCs w:val="16"/>
              </w:rPr>
              <w:t>中国联通（香港）</w:t>
            </w:r>
            <w:r>
              <w:rPr>
                <w:rFonts w:ascii="宋体" w:hAnsi="宋体" w:cs="宋体" w:eastAsia="宋体" w:hint="default"/>
                <w:w w:val="99"/>
                <w:sz w:val="16"/>
                <w:szCs w:val="16"/>
              </w:rPr>
              <w:t> </w:t>
            </w:r>
            <w:r>
              <w:rPr>
                <w:rFonts w:ascii="宋体" w:hAnsi="宋体" w:cs="宋体" w:eastAsia="宋体" w:hint="default"/>
                <w:sz w:val="16"/>
                <w:szCs w:val="16"/>
              </w:rPr>
              <w:t>运营有限公司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w w:val="95"/>
                <w:sz w:val="16"/>
                <w:szCs w:val="16"/>
              </w:rPr>
              <w:t>（“联通香港运营”）</w:t>
            </w:r>
            <w:r>
              <w:rPr>
                <w:rFonts w:ascii="宋体" w:hAnsi="宋体" w:cs="宋体" w:eastAsia="宋体" w:hint="default"/>
                <w:sz w:val="16"/>
                <w:szCs w:val="16"/>
              </w:rPr>
            </w:r>
          </w:p>
        </w:tc>
        <w:tc>
          <w:tcPr>
            <w:tcW w:w="3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68" w:right="0"/>
              <w:jc w:val="left"/>
              <w:rPr>
                <w:rFonts w:ascii="Arial" w:hAnsi="Arial" w:cs="Arial" w:eastAsia="Arial" w:hint="default"/>
                <w:sz w:val="16"/>
                <w:szCs w:val="16"/>
              </w:rPr>
            </w:pPr>
            <w:r>
              <w:rPr>
                <w:rFonts w:ascii="Arial"/>
                <w:sz w:val="16"/>
              </w:rPr>
              <w:t>(1)</w:t>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51" w:right="143"/>
              <w:jc w:val="left"/>
              <w:rPr>
                <w:rFonts w:ascii="宋体" w:hAnsi="宋体" w:cs="宋体" w:eastAsia="宋体" w:hint="default"/>
                <w:sz w:val="16"/>
                <w:szCs w:val="16"/>
              </w:rPr>
            </w:pPr>
            <w:r>
              <w:rPr>
                <w:rFonts w:ascii="宋体" w:hAnsi="宋体" w:cs="宋体" w:eastAsia="宋体" w:hint="default"/>
                <w:sz w:val="16"/>
                <w:szCs w:val="16"/>
              </w:rPr>
              <w:t>间接</w:t>
            </w:r>
            <w:r>
              <w:rPr>
                <w:rFonts w:ascii="宋体" w:hAnsi="宋体" w:cs="宋体" w:eastAsia="宋体" w:hint="default"/>
                <w:w w:val="99"/>
                <w:sz w:val="16"/>
                <w:szCs w:val="16"/>
              </w:rPr>
              <w:t> </w:t>
            </w:r>
            <w:r>
              <w:rPr>
                <w:rFonts w:ascii="宋体" w:hAnsi="宋体" w:cs="宋体" w:eastAsia="宋体" w:hint="default"/>
                <w:sz w:val="16"/>
                <w:szCs w:val="16"/>
              </w:rPr>
              <w:t>控股</w:t>
            </w:r>
          </w:p>
        </w:tc>
        <w:tc>
          <w:tcPr>
            <w:tcW w:w="1145" w:type="dxa"/>
            <w:tcBorders>
              <w:top w:val="nil" w:sz="6" w:space="0" w:color="auto"/>
              <w:left w:val="nil" w:sz="6" w:space="0" w:color="auto"/>
              <w:bottom w:val="nil" w:sz="6" w:space="0" w:color="auto"/>
              <w:right w:val="nil" w:sz="6" w:space="0" w:color="auto"/>
            </w:tcBorders>
          </w:tcPr>
          <w:p>
            <w:pPr>
              <w:pStyle w:val="TableParagraph"/>
              <w:spacing w:line="208" w:lineRule="exact" w:before="56"/>
              <w:ind w:right="50"/>
              <w:jc w:val="center"/>
              <w:rPr>
                <w:rFonts w:ascii="宋体" w:hAnsi="宋体" w:cs="宋体" w:eastAsia="宋体" w:hint="default"/>
                <w:sz w:val="16"/>
                <w:szCs w:val="16"/>
              </w:rPr>
            </w:pPr>
            <w:r>
              <w:rPr>
                <w:rFonts w:ascii="宋体" w:hAnsi="宋体" w:cs="宋体" w:eastAsia="宋体" w:hint="default"/>
                <w:sz w:val="16"/>
                <w:szCs w:val="16"/>
              </w:rPr>
              <w:t>中国，香港</w:t>
            </w:r>
          </w:p>
          <w:p>
            <w:pPr>
              <w:pStyle w:val="TableParagraph"/>
              <w:spacing w:line="213" w:lineRule="exact"/>
              <w:ind w:right="50"/>
              <w:jc w:val="center"/>
              <w:rPr>
                <w:rFonts w:ascii="宋体" w:hAnsi="宋体" w:cs="宋体" w:eastAsia="宋体" w:hint="default"/>
                <w:sz w:val="16"/>
                <w:szCs w:val="16"/>
              </w:rPr>
            </w:pPr>
            <w:r>
              <w:rPr>
                <w:rFonts w:ascii="Arial" w:hAnsi="Arial" w:cs="Arial" w:eastAsia="Arial" w:hint="default"/>
                <w:sz w:val="16"/>
                <w:szCs w:val="16"/>
              </w:rPr>
              <w:t>2000</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left="193" w:right="0"/>
              <w:jc w:val="left"/>
              <w:rPr>
                <w:rFonts w:ascii="宋体" w:hAnsi="宋体" w:cs="宋体" w:eastAsia="宋体" w:hint="default"/>
                <w:sz w:val="16"/>
                <w:szCs w:val="16"/>
              </w:rPr>
            </w:pPr>
            <w:r>
              <w:rPr>
                <w:rFonts w:ascii="Arial" w:hAnsi="Arial" w:cs="Arial" w:eastAsia="Arial" w:hint="default"/>
                <w:sz w:val="16"/>
                <w:szCs w:val="16"/>
              </w:rPr>
              <w:t>5</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24</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60" w:right="339"/>
              <w:jc w:val="center"/>
              <w:rPr>
                <w:rFonts w:ascii="宋体" w:hAnsi="宋体" w:cs="宋体" w:eastAsia="宋体" w:hint="default"/>
                <w:sz w:val="16"/>
                <w:szCs w:val="16"/>
              </w:rPr>
            </w:pPr>
            <w:r>
              <w:rPr>
                <w:rFonts w:ascii="宋体" w:hAnsi="宋体" w:cs="宋体" w:eastAsia="宋体" w:hint="default"/>
                <w:sz w:val="16"/>
                <w:szCs w:val="16"/>
              </w:rPr>
              <w:t>电信</w:t>
            </w:r>
            <w:r>
              <w:rPr>
                <w:rFonts w:ascii="宋体" w:hAnsi="宋体" w:cs="宋体" w:eastAsia="宋体" w:hint="default"/>
                <w:w w:val="99"/>
                <w:sz w:val="16"/>
                <w:szCs w:val="16"/>
              </w:rPr>
              <w:t> </w:t>
            </w:r>
            <w:r>
              <w:rPr>
                <w:rFonts w:ascii="宋体" w:hAnsi="宋体" w:cs="宋体" w:eastAsia="宋体" w:hint="default"/>
                <w:sz w:val="16"/>
                <w:szCs w:val="16"/>
              </w:rPr>
              <w:t>业务</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26"/>
              <w:jc w:val="right"/>
              <w:rPr>
                <w:rFonts w:ascii="Arial" w:hAnsi="Arial" w:cs="Arial" w:eastAsia="Arial" w:hint="default"/>
                <w:sz w:val="16"/>
                <w:szCs w:val="16"/>
              </w:rPr>
            </w:pPr>
            <w:r>
              <w:rPr>
                <w:rFonts w:ascii="宋体" w:hAnsi="宋体" w:cs="宋体" w:eastAsia="宋体" w:hint="default"/>
                <w:sz w:val="16"/>
                <w:szCs w:val="16"/>
              </w:rPr>
              <w:t>港币</w:t>
            </w:r>
            <w:r>
              <w:rPr>
                <w:rFonts w:ascii="宋体" w:hAnsi="宋体" w:cs="宋体" w:eastAsia="宋体" w:hint="default"/>
                <w:spacing w:val="-43"/>
                <w:sz w:val="16"/>
                <w:szCs w:val="16"/>
              </w:rPr>
              <w:t> </w:t>
            </w:r>
            <w:r>
              <w:rPr>
                <w:rFonts w:ascii="Arial" w:hAnsi="Arial" w:cs="Arial" w:eastAsia="Arial" w:hint="default"/>
                <w:sz w:val="16"/>
                <w:szCs w:val="16"/>
              </w:rPr>
              <w:t>60,100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72"/>
              <w:jc w:val="right"/>
              <w:rPr>
                <w:rFonts w:ascii="宋体" w:hAnsi="宋体" w:cs="宋体" w:eastAsia="宋体" w:hint="default"/>
                <w:sz w:val="16"/>
                <w:szCs w:val="16"/>
              </w:rPr>
            </w:pPr>
            <w:r>
              <w:rPr>
                <w:rFonts w:ascii="宋体" w:hAnsi="宋体" w:cs="宋体" w:eastAsia="宋体" w:hint="default"/>
                <w:w w:val="95"/>
                <w:sz w:val="16"/>
                <w:szCs w:val="16"/>
              </w:rPr>
              <w:t>电信业务</w:t>
            </w:r>
            <w:r>
              <w:rPr>
                <w:rFonts w:ascii="宋体" w:hAnsi="宋体" w:cs="宋体" w:eastAsia="宋体" w:hint="default"/>
                <w:sz w:val="16"/>
                <w:szCs w:val="16"/>
              </w:rPr>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8" w:right="274"/>
              <w:jc w:val="left"/>
              <w:rPr>
                <w:rFonts w:ascii="宋体" w:hAnsi="宋体" w:cs="宋体" w:eastAsia="宋体" w:hint="default"/>
                <w:sz w:val="16"/>
                <w:szCs w:val="16"/>
              </w:rPr>
            </w:pPr>
            <w:r>
              <w:rPr>
                <w:rFonts w:ascii="宋体" w:hAnsi="宋体" w:cs="宋体" w:eastAsia="宋体" w:hint="default"/>
                <w:sz w:val="16"/>
                <w:szCs w:val="16"/>
              </w:rPr>
              <w:t>有限</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9"/>
              <w:jc w:val="center"/>
              <w:rPr>
                <w:rFonts w:ascii="宋体" w:hAnsi="宋体" w:cs="宋体" w:eastAsia="宋体" w:hint="default"/>
                <w:sz w:val="16"/>
                <w:szCs w:val="16"/>
              </w:rPr>
            </w:pPr>
            <w:r>
              <w:rPr>
                <w:rFonts w:ascii="宋体" w:hAnsi="宋体" w:cs="宋体" w:eastAsia="宋体" w:hint="default"/>
                <w:sz w:val="16"/>
                <w:szCs w:val="16"/>
              </w:rPr>
              <w:t>不适用</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40"/>
              <w:jc w:val="center"/>
              <w:rPr>
                <w:rFonts w:ascii="宋体" w:hAnsi="宋体" w:cs="宋体" w:eastAsia="宋体" w:hint="default"/>
                <w:sz w:val="16"/>
                <w:szCs w:val="16"/>
              </w:rPr>
            </w:pPr>
            <w:r>
              <w:rPr>
                <w:rFonts w:ascii="宋体" w:hAnsi="宋体" w:cs="宋体" w:eastAsia="宋体" w:hint="default"/>
                <w:sz w:val="16"/>
                <w:szCs w:val="16"/>
              </w:rPr>
              <w:t>不适用</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68"/>
              <w:jc w:val="right"/>
              <w:rPr>
                <w:rFonts w:ascii="Arial" w:hAnsi="Arial" w:cs="Arial" w:eastAsia="Arial" w:hint="default"/>
                <w:sz w:val="16"/>
                <w:szCs w:val="16"/>
              </w:rPr>
            </w:pPr>
            <w:r>
              <w:rPr>
                <w:rFonts w:ascii="Arial"/>
                <w:w w:val="95"/>
                <w:sz w:val="16"/>
              </w:rPr>
              <w:t>106,579</w:t>
            </w:r>
            <w:r>
              <w:rPr>
                <w:rFonts w:ascii="Arial"/>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410"/>
              <w:jc w:val="right"/>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46" w:right="0"/>
              <w:jc w:val="center"/>
              <w:rPr>
                <w:rFonts w:ascii="Arial" w:hAnsi="Arial" w:cs="Arial" w:eastAsia="Arial" w:hint="default"/>
                <w:sz w:val="16"/>
                <w:szCs w:val="16"/>
              </w:rPr>
            </w:pPr>
            <w:r>
              <w:rPr>
                <w:rFonts w:ascii="Arial"/>
                <w:sz w:val="16"/>
              </w:rPr>
              <w:t>33.88</w:t>
            </w:r>
          </w:p>
        </w:tc>
        <w:tc>
          <w:tcPr>
            <w:tcW w:w="5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76" w:right="0"/>
              <w:jc w:val="center"/>
              <w:rPr>
                <w:rFonts w:ascii="Arial" w:hAnsi="Arial" w:cs="Arial" w:eastAsia="Arial" w:hint="default"/>
                <w:sz w:val="16"/>
                <w:szCs w:val="16"/>
              </w:rPr>
            </w:pPr>
            <w:r>
              <w:rPr>
                <w:rFonts w:ascii="Arial"/>
                <w:sz w:val="16"/>
              </w:rPr>
              <w:t>62.04</w:t>
            </w:r>
          </w:p>
        </w:tc>
        <w:tc>
          <w:tcPr>
            <w:tcW w:w="4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6"/>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5"/>
              <w:jc w:val="right"/>
              <w:rPr>
                <w:rFonts w:ascii="Arial" w:hAnsi="Arial" w:cs="Arial" w:eastAsia="Arial" w:hint="default"/>
                <w:sz w:val="16"/>
                <w:szCs w:val="16"/>
              </w:rPr>
            </w:pPr>
            <w:r>
              <w:rPr>
                <w:rFonts w:ascii="Arial"/>
                <w:w w:val="99"/>
                <w:sz w:val="16"/>
              </w:rPr>
              <w:t>-</w:t>
            </w:r>
            <w:r>
              <w:rPr>
                <w:rFonts w:ascii="Arial"/>
                <w:sz w:val="16"/>
              </w:rPr>
            </w: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94"/>
              <w:jc w:val="right"/>
              <w:rPr>
                <w:rFonts w:ascii="Arial" w:hAnsi="Arial" w:cs="Arial" w:eastAsia="Arial" w:hint="default"/>
                <w:sz w:val="16"/>
                <w:szCs w:val="16"/>
              </w:rPr>
            </w:pPr>
            <w:r>
              <w:rPr>
                <w:rFonts w:ascii="Arial"/>
                <w:w w:val="99"/>
                <w:sz w:val="16"/>
              </w:rPr>
              <w:t>-</w:t>
            </w:r>
            <w:r>
              <w:rPr>
                <w:rFonts w:ascii="Arial"/>
                <w:sz w:val="16"/>
              </w:rPr>
            </w:r>
          </w:p>
        </w:tc>
      </w:tr>
      <w:tr>
        <w:trPr>
          <w:trHeight w:val="701" w:hRule="exact"/>
        </w:trPr>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42" w:right="323" w:hanging="166"/>
              <w:jc w:val="left"/>
              <w:rPr>
                <w:rFonts w:ascii="宋体" w:hAnsi="宋体" w:cs="宋体" w:eastAsia="宋体" w:hint="default"/>
                <w:sz w:val="16"/>
                <w:szCs w:val="16"/>
              </w:rPr>
            </w:pPr>
            <w:r>
              <w:rPr>
                <w:rFonts w:ascii="宋体" w:hAnsi="宋体" w:cs="宋体" w:eastAsia="宋体" w:hint="default"/>
                <w:sz w:val="16"/>
                <w:szCs w:val="16"/>
              </w:rPr>
              <w:t>中国联通（美洲）</w:t>
            </w:r>
            <w:r>
              <w:rPr>
                <w:rFonts w:ascii="宋体" w:hAnsi="宋体" w:cs="宋体" w:eastAsia="宋体" w:hint="default"/>
                <w:w w:val="99"/>
                <w:sz w:val="16"/>
                <w:szCs w:val="16"/>
              </w:rPr>
              <w:t> </w:t>
            </w:r>
            <w:r>
              <w:rPr>
                <w:rFonts w:ascii="宋体" w:hAnsi="宋体" w:cs="宋体" w:eastAsia="宋体" w:hint="default"/>
                <w:sz w:val="16"/>
                <w:szCs w:val="16"/>
              </w:rPr>
              <w:t>运营有限公司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（“联通美洲运营”）</w:t>
            </w:r>
          </w:p>
        </w:tc>
        <w:tc>
          <w:tcPr>
            <w:tcW w:w="3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68" w:right="0"/>
              <w:jc w:val="left"/>
              <w:rPr>
                <w:rFonts w:ascii="Arial" w:hAnsi="Arial" w:cs="Arial" w:eastAsia="Arial" w:hint="default"/>
                <w:sz w:val="16"/>
                <w:szCs w:val="16"/>
              </w:rPr>
            </w:pPr>
            <w:r>
              <w:rPr>
                <w:rFonts w:ascii="Arial"/>
                <w:sz w:val="16"/>
              </w:rPr>
              <w:t>(1)</w:t>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51" w:right="143"/>
              <w:jc w:val="left"/>
              <w:rPr>
                <w:rFonts w:ascii="宋体" w:hAnsi="宋体" w:cs="宋体" w:eastAsia="宋体" w:hint="default"/>
                <w:sz w:val="16"/>
                <w:szCs w:val="16"/>
              </w:rPr>
            </w:pPr>
            <w:r>
              <w:rPr>
                <w:rFonts w:ascii="宋体" w:hAnsi="宋体" w:cs="宋体" w:eastAsia="宋体" w:hint="default"/>
                <w:sz w:val="16"/>
                <w:szCs w:val="16"/>
              </w:rPr>
              <w:t>间接</w:t>
            </w:r>
            <w:r>
              <w:rPr>
                <w:rFonts w:ascii="宋体" w:hAnsi="宋体" w:cs="宋体" w:eastAsia="宋体" w:hint="default"/>
                <w:w w:val="99"/>
                <w:sz w:val="16"/>
                <w:szCs w:val="16"/>
              </w:rPr>
              <w:t> </w:t>
            </w:r>
            <w:r>
              <w:rPr>
                <w:rFonts w:ascii="宋体" w:hAnsi="宋体" w:cs="宋体" w:eastAsia="宋体" w:hint="default"/>
                <w:sz w:val="16"/>
                <w:szCs w:val="16"/>
              </w:rPr>
              <w:t>控股</w:t>
            </w:r>
          </w:p>
        </w:tc>
        <w:tc>
          <w:tcPr>
            <w:tcW w:w="1145" w:type="dxa"/>
            <w:tcBorders>
              <w:top w:val="nil" w:sz="6" w:space="0" w:color="auto"/>
              <w:left w:val="nil" w:sz="6" w:space="0" w:color="auto"/>
              <w:bottom w:val="nil" w:sz="6" w:space="0" w:color="auto"/>
              <w:right w:val="nil" w:sz="6" w:space="0" w:color="auto"/>
            </w:tcBorders>
          </w:tcPr>
          <w:p>
            <w:pPr>
              <w:pStyle w:val="TableParagraph"/>
              <w:spacing w:line="208" w:lineRule="exact" w:before="56"/>
              <w:ind w:right="50"/>
              <w:jc w:val="center"/>
              <w:rPr>
                <w:rFonts w:ascii="宋体" w:hAnsi="宋体" w:cs="宋体" w:eastAsia="宋体" w:hint="default"/>
                <w:sz w:val="16"/>
                <w:szCs w:val="16"/>
              </w:rPr>
            </w:pPr>
            <w:r>
              <w:rPr>
                <w:rFonts w:ascii="宋体" w:hAnsi="宋体" w:cs="宋体" w:eastAsia="宋体" w:hint="default"/>
                <w:sz w:val="16"/>
                <w:szCs w:val="16"/>
              </w:rPr>
              <w:t>美国</w:t>
            </w:r>
          </w:p>
          <w:p>
            <w:pPr>
              <w:pStyle w:val="TableParagraph"/>
              <w:spacing w:line="213" w:lineRule="exact"/>
              <w:ind w:right="50"/>
              <w:jc w:val="center"/>
              <w:rPr>
                <w:rFonts w:ascii="宋体" w:hAnsi="宋体" w:cs="宋体" w:eastAsia="宋体" w:hint="default"/>
                <w:sz w:val="16"/>
                <w:szCs w:val="16"/>
              </w:rPr>
            </w:pPr>
            <w:r>
              <w:rPr>
                <w:rFonts w:ascii="Arial" w:hAnsi="Arial" w:cs="Arial" w:eastAsia="Arial" w:hint="default"/>
                <w:sz w:val="16"/>
                <w:szCs w:val="16"/>
              </w:rPr>
              <w:t>2002</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right="50"/>
              <w:jc w:val="center"/>
              <w:rPr>
                <w:rFonts w:ascii="宋体" w:hAnsi="宋体" w:cs="宋体" w:eastAsia="宋体" w:hint="default"/>
                <w:sz w:val="16"/>
                <w:szCs w:val="16"/>
              </w:rPr>
            </w:pPr>
            <w:r>
              <w:rPr>
                <w:rFonts w:ascii="Arial" w:hAnsi="Arial" w:cs="Arial" w:eastAsia="Arial" w:hint="default"/>
                <w:sz w:val="16"/>
                <w:szCs w:val="16"/>
              </w:rPr>
              <w:t>5</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24</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60" w:right="339"/>
              <w:jc w:val="center"/>
              <w:rPr>
                <w:rFonts w:ascii="宋体" w:hAnsi="宋体" w:cs="宋体" w:eastAsia="宋体" w:hint="default"/>
                <w:sz w:val="16"/>
                <w:szCs w:val="16"/>
              </w:rPr>
            </w:pPr>
            <w:r>
              <w:rPr>
                <w:rFonts w:ascii="宋体" w:hAnsi="宋体" w:cs="宋体" w:eastAsia="宋体" w:hint="default"/>
                <w:sz w:val="16"/>
                <w:szCs w:val="16"/>
              </w:rPr>
              <w:t>电信</w:t>
            </w:r>
            <w:r>
              <w:rPr>
                <w:rFonts w:ascii="宋体" w:hAnsi="宋体" w:cs="宋体" w:eastAsia="宋体" w:hint="default"/>
                <w:w w:val="99"/>
                <w:sz w:val="16"/>
                <w:szCs w:val="16"/>
              </w:rPr>
              <w:t> </w:t>
            </w:r>
            <w:r>
              <w:rPr>
                <w:rFonts w:ascii="宋体" w:hAnsi="宋体" w:cs="宋体" w:eastAsia="宋体" w:hint="default"/>
                <w:sz w:val="16"/>
                <w:szCs w:val="16"/>
              </w:rPr>
              <w:t>业务</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25"/>
              <w:jc w:val="right"/>
              <w:rPr>
                <w:rFonts w:ascii="Arial" w:hAnsi="Arial" w:cs="Arial" w:eastAsia="Arial" w:hint="default"/>
                <w:sz w:val="16"/>
                <w:szCs w:val="16"/>
              </w:rPr>
            </w:pPr>
            <w:r>
              <w:rPr>
                <w:rFonts w:ascii="宋体" w:hAnsi="宋体" w:cs="宋体" w:eastAsia="宋体" w:hint="default"/>
                <w:sz w:val="16"/>
                <w:szCs w:val="16"/>
              </w:rPr>
              <w:t>美元</w:t>
            </w:r>
            <w:r>
              <w:rPr>
                <w:rFonts w:ascii="宋体" w:hAnsi="宋体" w:cs="宋体" w:eastAsia="宋体" w:hint="default"/>
                <w:spacing w:val="-43"/>
                <w:sz w:val="16"/>
                <w:szCs w:val="16"/>
              </w:rPr>
              <w:t> </w:t>
            </w:r>
            <w:r>
              <w:rPr>
                <w:rFonts w:ascii="Arial" w:hAnsi="Arial" w:cs="Arial" w:eastAsia="Arial" w:hint="default"/>
                <w:sz w:val="16"/>
                <w:szCs w:val="16"/>
              </w:rPr>
              <w:t>500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72"/>
              <w:jc w:val="right"/>
              <w:rPr>
                <w:rFonts w:ascii="宋体" w:hAnsi="宋体" w:cs="宋体" w:eastAsia="宋体" w:hint="default"/>
                <w:sz w:val="16"/>
                <w:szCs w:val="16"/>
              </w:rPr>
            </w:pPr>
            <w:r>
              <w:rPr>
                <w:rFonts w:ascii="宋体" w:hAnsi="宋体" w:cs="宋体" w:eastAsia="宋体" w:hint="default"/>
                <w:w w:val="95"/>
                <w:sz w:val="16"/>
                <w:szCs w:val="16"/>
              </w:rPr>
              <w:t>电信业务</w:t>
            </w:r>
            <w:r>
              <w:rPr>
                <w:rFonts w:ascii="宋体" w:hAnsi="宋体" w:cs="宋体" w:eastAsia="宋体" w:hint="default"/>
                <w:sz w:val="16"/>
                <w:szCs w:val="16"/>
              </w:rPr>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8" w:right="274"/>
              <w:jc w:val="left"/>
              <w:rPr>
                <w:rFonts w:ascii="宋体" w:hAnsi="宋体" w:cs="宋体" w:eastAsia="宋体" w:hint="default"/>
                <w:sz w:val="16"/>
                <w:szCs w:val="16"/>
              </w:rPr>
            </w:pPr>
            <w:r>
              <w:rPr>
                <w:rFonts w:ascii="宋体" w:hAnsi="宋体" w:cs="宋体" w:eastAsia="宋体" w:hint="default"/>
                <w:sz w:val="16"/>
                <w:szCs w:val="16"/>
              </w:rPr>
              <w:t>有限</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9"/>
              <w:jc w:val="center"/>
              <w:rPr>
                <w:rFonts w:ascii="宋体" w:hAnsi="宋体" w:cs="宋体" w:eastAsia="宋体" w:hint="default"/>
                <w:sz w:val="16"/>
                <w:szCs w:val="16"/>
              </w:rPr>
            </w:pPr>
            <w:r>
              <w:rPr>
                <w:rFonts w:ascii="宋体" w:hAnsi="宋体" w:cs="宋体" w:eastAsia="宋体" w:hint="default"/>
                <w:sz w:val="16"/>
                <w:szCs w:val="16"/>
              </w:rPr>
              <w:t>不适用</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40"/>
              <w:jc w:val="center"/>
              <w:rPr>
                <w:rFonts w:ascii="宋体" w:hAnsi="宋体" w:cs="宋体" w:eastAsia="宋体" w:hint="default"/>
                <w:sz w:val="16"/>
                <w:szCs w:val="16"/>
              </w:rPr>
            </w:pPr>
            <w:r>
              <w:rPr>
                <w:rFonts w:ascii="宋体" w:hAnsi="宋体" w:cs="宋体" w:eastAsia="宋体" w:hint="default"/>
                <w:sz w:val="16"/>
                <w:szCs w:val="16"/>
              </w:rPr>
              <w:t>不适用</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68"/>
              <w:jc w:val="right"/>
              <w:rPr>
                <w:rFonts w:ascii="Arial" w:hAnsi="Arial" w:cs="Arial" w:eastAsia="Arial" w:hint="default"/>
                <w:sz w:val="16"/>
                <w:szCs w:val="16"/>
              </w:rPr>
            </w:pPr>
            <w:r>
              <w:rPr>
                <w:rFonts w:ascii="Arial"/>
                <w:w w:val="95"/>
                <w:sz w:val="16"/>
              </w:rPr>
              <w:t>109,218</w:t>
            </w:r>
            <w:r>
              <w:rPr>
                <w:rFonts w:ascii="Arial"/>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410"/>
              <w:jc w:val="right"/>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46" w:right="0"/>
              <w:jc w:val="center"/>
              <w:rPr>
                <w:rFonts w:ascii="Arial" w:hAnsi="Arial" w:cs="Arial" w:eastAsia="Arial" w:hint="default"/>
                <w:sz w:val="16"/>
                <w:szCs w:val="16"/>
              </w:rPr>
            </w:pPr>
            <w:r>
              <w:rPr>
                <w:rFonts w:ascii="Arial"/>
                <w:sz w:val="16"/>
              </w:rPr>
              <w:t>33.88</w:t>
            </w:r>
          </w:p>
        </w:tc>
        <w:tc>
          <w:tcPr>
            <w:tcW w:w="5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76" w:right="0"/>
              <w:jc w:val="center"/>
              <w:rPr>
                <w:rFonts w:ascii="Arial" w:hAnsi="Arial" w:cs="Arial" w:eastAsia="Arial" w:hint="default"/>
                <w:sz w:val="16"/>
                <w:szCs w:val="16"/>
              </w:rPr>
            </w:pPr>
            <w:r>
              <w:rPr>
                <w:rFonts w:ascii="Arial"/>
                <w:sz w:val="16"/>
              </w:rPr>
              <w:t>62.04</w:t>
            </w:r>
          </w:p>
        </w:tc>
        <w:tc>
          <w:tcPr>
            <w:tcW w:w="4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6"/>
              <w:jc w:val="center"/>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5"/>
              <w:jc w:val="right"/>
              <w:rPr>
                <w:rFonts w:ascii="Arial" w:hAnsi="Arial" w:cs="Arial" w:eastAsia="Arial" w:hint="default"/>
                <w:sz w:val="16"/>
                <w:szCs w:val="16"/>
              </w:rPr>
            </w:pPr>
            <w:r>
              <w:rPr>
                <w:rFonts w:ascii="Arial"/>
                <w:w w:val="99"/>
                <w:sz w:val="16"/>
              </w:rPr>
              <w:t>-</w:t>
            </w:r>
            <w:r>
              <w:rPr>
                <w:rFonts w:ascii="Arial"/>
                <w:sz w:val="16"/>
              </w:rPr>
            </w: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94"/>
              <w:jc w:val="right"/>
              <w:rPr>
                <w:rFonts w:ascii="Arial" w:hAnsi="Arial" w:cs="Arial" w:eastAsia="Arial" w:hint="default"/>
                <w:sz w:val="16"/>
                <w:szCs w:val="16"/>
              </w:rPr>
            </w:pPr>
            <w:r>
              <w:rPr>
                <w:rFonts w:ascii="Arial"/>
                <w:w w:val="99"/>
                <w:sz w:val="16"/>
              </w:rPr>
              <w:t>-</w:t>
            </w:r>
            <w:r>
              <w:rPr>
                <w:rFonts w:ascii="Arial"/>
                <w:sz w:val="16"/>
              </w:rPr>
            </w:r>
          </w:p>
        </w:tc>
      </w:tr>
    </w:tbl>
    <w:p>
      <w:pPr>
        <w:spacing w:line="240" w:lineRule="auto" w:before="11"/>
        <w:rPr>
          <w:rFonts w:ascii="宋体" w:hAnsi="宋体" w:cs="宋体" w:eastAsia="宋体" w:hint="default"/>
          <w:sz w:val="13"/>
          <w:szCs w:val="13"/>
        </w:rPr>
      </w:pPr>
    </w:p>
    <w:p>
      <w:pPr>
        <w:spacing w:before="50"/>
        <w:ind w:left="611" w:right="0" w:firstLine="0"/>
        <w:jc w:val="left"/>
        <w:rPr>
          <w:rFonts w:ascii="宋体" w:hAnsi="宋体" w:cs="宋体" w:eastAsia="宋体" w:hint="default"/>
          <w:sz w:val="16"/>
          <w:szCs w:val="16"/>
        </w:rPr>
      </w:pPr>
      <w:r>
        <w:rPr>
          <w:rFonts w:ascii="宋体" w:hAnsi="宋体" w:cs="宋体" w:eastAsia="宋体" w:hint="default"/>
          <w:sz w:val="16"/>
          <w:szCs w:val="16"/>
        </w:rPr>
        <w:t>注：少数股东权益项目指“少数股东权益中用于冲减少数股东损益的金额”。</w:t>
      </w:r>
    </w:p>
    <w:p>
      <w:pPr>
        <w:spacing w:after="0"/>
        <w:jc w:val="left"/>
        <w:rPr>
          <w:rFonts w:ascii="宋体" w:hAnsi="宋体" w:cs="宋体" w:eastAsia="宋体" w:hint="default"/>
          <w:sz w:val="16"/>
          <w:szCs w:val="16"/>
        </w:rPr>
        <w:sectPr>
          <w:headerReference w:type="default" r:id="rId73"/>
          <w:pgSz w:w="16840" w:h="11910" w:orient="landscape"/>
          <w:pgMar w:header="1189" w:footer="458" w:top="3560" w:bottom="640" w:left="460" w:right="760"/>
        </w:sectPr>
      </w:pPr>
    </w:p>
    <w:p>
      <w:pPr>
        <w:spacing w:line="240" w:lineRule="auto" w:before="4"/>
        <w:rPr>
          <w:rFonts w:ascii="宋体" w:hAnsi="宋体" w:cs="宋体" w:eastAsia="宋体" w:hint="default"/>
          <w:sz w:val="11"/>
          <w:szCs w:val="11"/>
        </w:rPr>
      </w:pPr>
    </w:p>
    <w:p>
      <w:pPr>
        <w:pStyle w:val="BodyText"/>
        <w:spacing w:line="240" w:lineRule="auto" w:before="31"/>
        <w:ind w:left="135" w:right="0"/>
        <w:jc w:val="left"/>
      </w:pPr>
      <w:r>
        <w:rPr>
          <w:rFonts w:ascii="Arial" w:hAnsi="Arial" w:cs="Arial" w:eastAsia="Arial" w:hint="default"/>
        </w:rPr>
        <w:t>(b)</w:t>
      </w:r>
      <w:r>
        <w:rPr>
          <w:rFonts w:ascii="Arial" w:hAnsi="Arial" w:cs="Arial" w:eastAsia="Arial" w:hint="default"/>
          <w:spacing w:val="51"/>
        </w:rPr>
        <w:t> </w:t>
      </w:r>
      <w:r>
        <w:rPr/>
        <w:t>通过同一控制下的企业合并取得的子公司（续）</w:t>
      </w:r>
    </w:p>
    <w:p>
      <w:pPr>
        <w:spacing w:line="240" w:lineRule="auto" w:before="5"/>
        <w:rPr>
          <w:rFonts w:ascii="宋体" w:hAnsi="宋体" w:cs="宋体" w:eastAsia="宋体" w:hint="default"/>
          <w:sz w:val="15"/>
          <w:szCs w:val="15"/>
        </w:rPr>
      </w:pPr>
    </w:p>
    <w:tbl>
      <w:tblPr>
        <w:tblW w:w="0" w:type="auto"/>
        <w:jc w:val="left"/>
        <w:tblInd w:w="544" w:type="dxa"/>
        <w:tblLayout w:type="fixed"/>
        <w:tblCellMar>
          <w:top w:w="0" w:type="dxa"/>
          <w:left w:w="0" w:type="dxa"/>
          <w:bottom w:w="0" w:type="dxa"/>
          <w:right w:w="0" w:type="dxa"/>
        </w:tblCellMar>
        <w:tblLook w:val="01E0"/>
      </w:tblPr>
      <w:tblGrid>
        <w:gridCol w:w="1589"/>
        <w:gridCol w:w="412"/>
        <w:gridCol w:w="640"/>
        <w:gridCol w:w="1170"/>
        <w:gridCol w:w="814"/>
        <w:gridCol w:w="1094"/>
        <w:gridCol w:w="1103"/>
        <w:gridCol w:w="781"/>
        <w:gridCol w:w="779"/>
        <w:gridCol w:w="1037"/>
        <w:gridCol w:w="1147"/>
        <w:gridCol w:w="1080"/>
        <w:gridCol w:w="587"/>
        <w:gridCol w:w="580"/>
        <w:gridCol w:w="463"/>
        <w:gridCol w:w="824"/>
        <w:gridCol w:w="734"/>
      </w:tblGrid>
      <w:tr>
        <w:trPr>
          <w:trHeight w:val="815" w:hRule="exact"/>
        </w:trPr>
        <w:tc>
          <w:tcPr>
            <w:tcW w:w="1589"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76" w:right="0"/>
              <w:jc w:val="left"/>
              <w:rPr>
                <w:rFonts w:ascii="宋体" w:hAnsi="宋体" w:cs="宋体" w:eastAsia="宋体" w:hint="default"/>
                <w:sz w:val="16"/>
                <w:szCs w:val="16"/>
              </w:rPr>
            </w:pPr>
            <w:r>
              <w:rPr>
                <w:rFonts w:ascii="宋体" w:hAnsi="宋体" w:cs="宋体" w:eastAsia="宋体" w:hint="default"/>
                <w:sz w:val="16"/>
                <w:szCs w:val="16"/>
              </w:rPr>
              <w:t>名称</w:t>
            </w:r>
          </w:p>
        </w:tc>
        <w:tc>
          <w:tcPr>
            <w:tcW w:w="412"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47"/>
              <w:jc w:val="center"/>
              <w:rPr>
                <w:rFonts w:ascii="宋体" w:hAnsi="宋体" w:cs="宋体" w:eastAsia="宋体" w:hint="default"/>
                <w:sz w:val="16"/>
                <w:szCs w:val="16"/>
              </w:rPr>
            </w:pPr>
            <w:r>
              <w:rPr>
                <w:rFonts w:ascii="宋体" w:hAnsi="宋体" w:cs="宋体" w:eastAsia="宋体" w:hint="default"/>
                <w:sz w:val="16"/>
                <w:szCs w:val="16"/>
              </w:rPr>
              <w:t>注释</w:t>
            </w:r>
          </w:p>
        </w:tc>
        <w:tc>
          <w:tcPr>
            <w:tcW w:w="640"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51" w:right="88" w:hanging="81"/>
              <w:jc w:val="left"/>
              <w:rPr>
                <w:rFonts w:ascii="宋体" w:hAnsi="宋体" w:cs="宋体" w:eastAsia="宋体" w:hint="default"/>
                <w:sz w:val="16"/>
                <w:szCs w:val="16"/>
              </w:rPr>
            </w:pPr>
            <w:r>
              <w:rPr>
                <w:rFonts w:ascii="宋体" w:hAnsi="宋体" w:cs="宋体" w:eastAsia="宋体" w:hint="default"/>
                <w:sz w:val="16"/>
                <w:szCs w:val="16"/>
              </w:rPr>
              <w:t>子公司</w:t>
            </w:r>
            <w:r>
              <w:rPr>
                <w:rFonts w:ascii="宋体" w:hAnsi="宋体" w:cs="宋体" w:eastAsia="宋体" w:hint="default"/>
                <w:w w:val="99"/>
                <w:sz w:val="16"/>
                <w:szCs w:val="16"/>
              </w:rPr>
              <w:t> </w:t>
            </w:r>
            <w:r>
              <w:rPr>
                <w:rFonts w:ascii="宋体" w:hAnsi="宋体" w:cs="宋体" w:eastAsia="宋体" w:hint="default"/>
                <w:sz w:val="16"/>
                <w:szCs w:val="16"/>
              </w:rPr>
              <w:t>类型</w:t>
            </w:r>
          </w:p>
        </w:tc>
        <w:tc>
          <w:tcPr>
            <w:tcW w:w="1170"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298" w:right="230"/>
              <w:jc w:val="left"/>
              <w:rPr>
                <w:rFonts w:ascii="宋体" w:hAnsi="宋体" w:cs="宋体" w:eastAsia="宋体" w:hint="default"/>
                <w:sz w:val="16"/>
                <w:szCs w:val="16"/>
              </w:rPr>
            </w:pPr>
            <w:r>
              <w:rPr>
                <w:rFonts w:ascii="宋体" w:hAnsi="宋体" w:cs="宋体" w:eastAsia="宋体" w:hint="default"/>
                <w:sz w:val="16"/>
                <w:szCs w:val="16"/>
              </w:rPr>
              <w:t>注册地及</w:t>
            </w:r>
            <w:r>
              <w:rPr>
                <w:rFonts w:ascii="宋体" w:hAnsi="宋体" w:cs="宋体" w:eastAsia="宋体" w:hint="default"/>
                <w:w w:val="99"/>
                <w:sz w:val="16"/>
                <w:szCs w:val="16"/>
              </w:rPr>
              <w:t> </w:t>
            </w:r>
            <w:r>
              <w:rPr>
                <w:rFonts w:ascii="宋体" w:hAnsi="宋体" w:cs="宋体" w:eastAsia="宋体" w:hint="default"/>
                <w:sz w:val="16"/>
                <w:szCs w:val="16"/>
              </w:rPr>
              <w:t>设立日期</w:t>
            </w:r>
          </w:p>
        </w:tc>
        <w:tc>
          <w:tcPr>
            <w:tcW w:w="814"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267" w:right="227"/>
              <w:jc w:val="left"/>
              <w:rPr>
                <w:rFonts w:ascii="宋体" w:hAnsi="宋体" w:cs="宋体" w:eastAsia="宋体" w:hint="default"/>
                <w:sz w:val="16"/>
                <w:szCs w:val="16"/>
              </w:rPr>
            </w:pPr>
            <w:r>
              <w:rPr>
                <w:rFonts w:ascii="宋体" w:hAnsi="宋体" w:cs="宋体" w:eastAsia="宋体" w:hint="default"/>
                <w:w w:val="95"/>
                <w:sz w:val="16"/>
                <w:szCs w:val="16"/>
              </w:rPr>
              <w:t>业务</w:t>
            </w:r>
            <w:r>
              <w:rPr>
                <w:rFonts w:ascii="宋体" w:hAnsi="宋体" w:cs="宋体" w:eastAsia="宋体" w:hint="default"/>
                <w:spacing w:val="-61"/>
                <w:w w:val="95"/>
                <w:sz w:val="16"/>
                <w:szCs w:val="16"/>
              </w:rPr>
              <w:t> </w:t>
            </w:r>
            <w:r>
              <w:rPr>
                <w:rFonts w:ascii="宋体" w:hAnsi="宋体" w:cs="宋体" w:eastAsia="宋体" w:hint="default"/>
                <w:w w:val="95"/>
                <w:sz w:val="16"/>
                <w:szCs w:val="16"/>
              </w:rPr>
              <w:t>性质</w:t>
            </w:r>
            <w:r>
              <w:rPr>
                <w:rFonts w:ascii="宋体" w:hAnsi="宋体" w:cs="宋体" w:eastAsia="宋体" w:hint="default"/>
                <w:sz w:val="16"/>
                <w:szCs w:val="16"/>
              </w:rPr>
            </w:r>
          </w:p>
        </w:tc>
        <w:tc>
          <w:tcPr>
            <w:tcW w:w="1094"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08" w:lineRule="exact"/>
              <w:ind w:left="272" w:right="0"/>
              <w:jc w:val="left"/>
              <w:rPr>
                <w:rFonts w:ascii="宋体" w:hAnsi="宋体" w:cs="宋体" w:eastAsia="宋体" w:hint="default"/>
                <w:sz w:val="16"/>
                <w:szCs w:val="16"/>
              </w:rPr>
            </w:pPr>
            <w:r>
              <w:rPr>
                <w:rFonts w:ascii="宋体" w:hAnsi="宋体" w:cs="宋体" w:eastAsia="宋体" w:hint="default"/>
                <w:sz w:val="16"/>
                <w:szCs w:val="16"/>
              </w:rPr>
              <w:t>注册资本</w:t>
            </w:r>
          </w:p>
          <w:p>
            <w:pPr>
              <w:pStyle w:val="TableParagraph"/>
              <w:spacing w:line="208" w:lineRule="exact"/>
              <w:ind w:left="293" w:right="0"/>
              <w:jc w:val="left"/>
              <w:rPr>
                <w:rFonts w:ascii="宋体" w:hAnsi="宋体" w:cs="宋体" w:eastAsia="宋体" w:hint="default"/>
                <w:sz w:val="16"/>
                <w:szCs w:val="16"/>
              </w:rPr>
            </w:pPr>
            <w:r>
              <w:rPr>
                <w:rFonts w:ascii="宋体" w:hAnsi="宋体" w:cs="宋体" w:eastAsia="宋体" w:hint="default"/>
                <w:sz w:val="16"/>
                <w:szCs w:val="16"/>
              </w:rPr>
              <w:t>（千元）</w:t>
            </w:r>
          </w:p>
        </w:tc>
        <w:tc>
          <w:tcPr>
            <w:tcW w:w="1103"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center"/>
              <w:rPr>
                <w:rFonts w:ascii="宋体" w:hAnsi="宋体" w:cs="宋体" w:eastAsia="宋体" w:hint="default"/>
                <w:sz w:val="16"/>
                <w:szCs w:val="16"/>
              </w:rPr>
            </w:pPr>
            <w:r>
              <w:rPr>
                <w:rFonts w:ascii="宋体" w:hAnsi="宋体" w:cs="宋体" w:eastAsia="宋体" w:hint="default"/>
                <w:sz w:val="16"/>
                <w:szCs w:val="16"/>
              </w:rPr>
              <w:t>经营范围</w:t>
            </w:r>
          </w:p>
        </w:tc>
        <w:tc>
          <w:tcPr>
            <w:tcW w:w="781"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75" w:right="0"/>
              <w:jc w:val="left"/>
              <w:rPr>
                <w:rFonts w:ascii="宋体" w:hAnsi="宋体" w:cs="宋体" w:eastAsia="宋体" w:hint="default"/>
                <w:sz w:val="16"/>
                <w:szCs w:val="16"/>
              </w:rPr>
            </w:pPr>
            <w:r>
              <w:rPr>
                <w:rFonts w:ascii="宋体" w:hAnsi="宋体" w:cs="宋体" w:eastAsia="宋体" w:hint="default"/>
                <w:sz w:val="16"/>
                <w:szCs w:val="16"/>
              </w:rPr>
              <w:t>企业类型</w:t>
            </w:r>
          </w:p>
        </w:tc>
        <w:tc>
          <w:tcPr>
            <w:tcW w:w="779"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257" w:right="200"/>
              <w:jc w:val="left"/>
              <w:rPr>
                <w:rFonts w:ascii="宋体" w:hAnsi="宋体" w:cs="宋体" w:eastAsia="宋体" w:hint="default"/>
                <w:sz w:val="16"/>
                <w:szCs w:val="16"/>
              </w:rPr>
            </w:pPr>
            <w:r>
              <w:rPr>
                <w:rFonts w:ascii="宋体" w:hAnsi="宋体" w:cs="宋体" w:eastAsia="宋体" w:hint="default"/>
                <w:sz w:val="16"/>
                <w:szCs w:val="16"/>
              </w:rPr>
              <w:t>法人</w:t>
            </w:r>
            <w:r>
              <w:rPr>
                <w:rFonts w:ascii="宋体" w:hAnsi="宋体" w:cs="宋体" w:eastAsia="宋体" w:hint="default"/>
                <w:w w:val="99"/>
                <w:sz w:val="16"/>
                <w:szCs w:val="16"/>
              </w:rPr>
              <w:t> </w:t>
            </w:r>
            <w:r>
              <w:rPr>
                <w:rFonts w:ascii="宋体" w:hAnsi="宋体" w:cs="宋体" w:eastAsia="宋体" w:hint="default"/>
                <w:sz w:val="16"/>
                <w:szCs w:val="16"/>
              </w:rPr>
              <w:t>代表</w:t>
            </w:r>
          </w:p>
        </w:tc>
        <w:tc>
          <w:tcPr>
            <w:tcW w:w="1037"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299" w:right="256" w:hanging="160"/>
              <w:jc w:val="left"/>
              <w:rPr>
                <w:rFonts w:ascii="宋体" w:hAnsi="宋体" w:cs="宋体" w:eastAsia="宋体" w:hint="default"/>
                <w:sz w:val="16"/>
                <w:szCs w:val="16"/>
              </w:rPr>
            </w:pPr>
            <w:r>
              <w:rPr>
                <w:rFonts w:ascii="宋体" w:hAnsi="宋体" w:cs="宋体" w:eastAsia="宋体" w:hint="default"/>
                <w:sz w:val="16"/>
                <w:szCs w:val="16"/>
              </w:rPr>
              <w:t>组织机构</w:t>
            </w:r>
            <w:r>
              <w:rPr>
                <w:rFonts w:ascii="宋体" w:hAnsi="宋体" w:cs="宋体" w:eastAsia="宋体" w:hint="default"/>
                <w:w w:val="99"/>
                <w:sz w:val="16"/>
                <w:szCs w:val="16"/>
              </w:rPr>
              <w:t> </w:t>
            </w:r>
            <w:r>
              <w:rPr>
                <w:rFonts w:ascii="宋体" w:hAnsi="宋体" w:cs="宋体" w:eastAsia="宋体" w:hint="default"/>
                <w:sz w:val="16"/>
                <w:szCs w:val="16"/>
              </w:rPr>
              <w:t>代码</w:t>
            </w:r>
          </w:p>
        </w:tc>
        <w:tc>
          <w:tcPr>
            <w:tcW w:w="1147"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245" w:right="341" w:hanging="81"/>
              <w:jc w:val="left"/>
              <w:rPr>
                <w:rFonts w:ascii="宋体" w:hAnsi="宋体" w:cs="宋体" w:eastAsia="宋体" w:hint="default"/>
                <w:sz w:val="16"/>
                <w:szCs w:val="16"/>
              </w:rPr>
            </w:pPr>
            <w:r>
              <w:rPr>
                <w:rFonts w:ascii="宋体" w:hAnsi="宋体" w:cs="宋体" w:eastAsia="宋体" w:hint="default"/>
                <w:sz w:val="16"/>
                <w:szCs w:val="16"/>
              </w:rPr>
              <w:t>年末实际</w:t>
            </w:r>
            <w:r>
              <w:rPr>
                <w:rFonts w:ascii="宋体" w:hAnsi="宋体" w:cs="宋体" w:eastAsia="宋体" w:hint="default"/>
                <w:w w:val="99"/>
                <w:sz w:val="16"/>
                <w:szCs w:val="16"/>
              </w:rPr>
              <w:t> </w:t>
            </w:r>
            <w:r>
              <w:rPr>
                <w:rFonts w:ascii="宋体" w:hAnsi="宋体" w:cs="宋体" w:eastAsia="宋体" w:hint="default"/>
                <w:sz w:val="16"/>
                <w:szCs w:val="16"/>
              </w:rPr>
              <w:t>出资额</w:t>
            </w:r>
          </w:p>
          <w:p>
            <w:pPr>
              <w:pStyle w:val="TableParagraph"/>
              <w:spacing w:line="208" w:lineRule="exact"/>
              <w:ind w:left="164" w:right="0"/>
              <w:jc w:val="left"/>
              <w:rPr>
                <w:rFonts w:ascii="宋体" w:hAnsi="宋体" w:cs="宋体" w:eastAsia="宋体" w:hint="default"/>
                <w:sz w:val="16"/>
                <w:szCs w:val="16"/>
              </w:rPr>
            </w:pPr>
            <w:r>
              <w:rPr>
                <w:rFonts w:ascii="宋体" w:hAnsi="宋体" w:cs="宋体" w:eastAsia="宋体" w:hint="default"/>
                <w:sz w:val="16"/>
                <w:szCs w:val="16"/>
              </w:rPr>
              <w:t>（千元）</w:t>
            </w:r>
          </w:p>
        </w:tc>
        <w:tc>
          <w:tcPr>
            <w:tcW w:w="1080" w:type="dxa"/>
            <w:tcBorders>
              <w:top w:val="nil" w:sz="6" w:space="0" w:color="auto"/>
              <w:left w:val="nil" w:sz="6" w:space="0" w:color="auto"/>
              <w:bottom w:val="single" w:sz="6" w:space="0" w:color="000000"/>
              <w:right w:val="nil" w:sz="6" w:space="0" w:color="auto"/>
            </w:tcBorders>
          </w:tcPr>
          <w:p>
            <w:pPr>
              <w:pStyle w:val="TableParagraph"/>
              <w:spacing w:line="159" w:lineRule="exact"/>
              <w:ind w:left="140" w:right="0"/>
              <w:jc w:val="both"/>
              <w:rPr>
                <w:rFonts w:ascii="宋体" w:hAnsi="宋体" w:cs="宋体" w:eastAsia="宋体" w:hint="default"/>
                <w:sz w:val="16"/>
                <w:szCs w:val="16"/>
              </w:rPr>
            </w:pPr>
            <w:r>
              <w:rPr>
                <w:rFonts w:ascii="宋体" w:hAnsi="宋体" w:cs="宋体" w:eastAsia="宋体" w:hint="default"/>
                <w:sz w:val="16"/>
                <w:szCs w:val="16"/>
              </w:rPr>
              <w:t>实质上构成</w:t>
            </w:r>
          </w:p>
          <w:p>
            <w:pPr>
              <w:pStyle w:val="TableParagraph"/>
              <w:spacing w:line="240" w:lineRule="auto"/>
              <w:ind w:left="140" w:right="138"/>
              <w:jc w:val="both"/>
              <w:rPr>
                <w:rFonts w:ascii="宋体" w:hAnsi="宋体" w:cs="宋体" w:eastAsia="宋体" w:hint="default"/>
                <w:sz w:val="16"/>
                <w:szCs w:val="16"/>
              </w:rPr>
            </w:pPr>
            <w:r>
              <w:rPr>
                <w:rFonts w:ascii="宋体" w:hAnsi="宋体" w:cs="宋体" w:eastAsia="宋体" w:hint="default"/>
                <w:sz w:val="16"/>
                <w:szCs w:val="16"/>
              </w:rPr>
              <w:t>对子公司净</w:t>
            </w:r>
            <w:r>
              <w:rPr>
                <w:rFonts w:ascii="宋体" w:hAnsi="宋体" w:cs="宋体" w:eastAsia="宋体" w:hint="default"/>
                <w:w w:val="99"/>
                <w:sz w:val="16"/>
                <w:szCs w:val="16"/>
              </w:rPr>
              <w:t> </w:t>
            </w:r>
            <w:r>
              <w:rPr>
                <w:rFonts w:ascii="宋体" w:hAnsi="宋体" w:cs="宋体" w:eastAsia="宋体" w:hint="default"/>
                <w:sz w:val="16"/>
                <w:szCs w:val="16"/>
              </w:rPr>
              <w:t>投资的其他</w:t>
            </w:r>
            <w:r>
              <w:rPr>
                <w:rFonts w:ascii="宋体" w:hAnsi="宋体" w:cs="宋体" w:eastAsia="宋体" w:hint="default"/>
                <w:w w:val="99"/>
                <w:sz w:val="16"/>
                <w:szCs w:val="16"/>
              </w:rPr>
              <w:t> </w:t>
            </w:r>
            <w:r>
              <w:rPr>
                <w:rFonts w:ascii="宋体" w:hAnsi="宋体" w:cs="宋体" w:eastAsia="宋体" w:hint="default"/>
                <w:sz w:val="16"/>
                <w:szCs w:val="16"/>
              </w:rPr>
              <w:t>项目余额</w:t>
            </w:r>
          </w:p>
        </w:tc>
        <w:tc>
          <w:tcPr>
            <w:tcW w:w="587" w:type="dxa"/>
            <w:tcBorders>
              <w:top w:val="nil" w:sz="6" w:space="0" w:color="auto"/>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52" w:lineRule="auto"/>
              <w:ind w:left="169" w:right="96"/>
              <w:jc w:val="both"/>
              <w:rPr>
                <w:rFonts w:ascii="Arial" w:hAnsi="Arial" w:cs="Arial" w:eastAsia="Arial" w:hint="default"/>
                <w:sz w:val="16"/>
                <w:szCs w:val="16"/>
              </w:rPr>
            </w:pPr>
            <w:r>
              <w:rPr>
                <w:rFonts w:ascii="宋体" w:hAnsi="宋体" w:cs="宋体" w:eastAsia="宋体" w:hint="default"/>
                <w:sz w:val="16"/>
                <w:szCs w:val="16"/>
              </w:rPr>
              <w:t>持股</w:t>
            </w:r>
            <w:r>
              <w:rPr>
                <w:rFonts w:ascii="宋体" w:hAnsi="宋体" w:cs="宋体" w:eastAsia="宋体" w:hint="default"/>
                <w:w w:val="99"/>
                <w:sz w:val="16"/>
                <w:szCs w:val="16"/>
              </w:rPr>
              <w:t> </w:t>
            </w:r>
            <w:r>
              <w:rPr>
                <w:rFonts w:ascii="宋体" w:hAnsi="宋体" w:cs="宋体" w:eastAsia="宋体" w:hint="default"/>
                <w:sz w:val="16"/>
                <w:szCs w:val="16"/>
              </w:rPr>
              <w:t>比例</w:t>
            </w:r>
            <w:r>
              <w:rPr>
                <w:rFonts w:ascii="宋体" w:hAnsi="宋体" w:cs="宋体" w:eastAsia="宋体" w:hint="default"/>
                <w:w w:val="99"/>
                <w:sz w:val="16"/>
                <w:szCs w:val="16"/>
              </w:rPr>
              <w:t> </w:t>
            </w:r>
            <w:r>
              <w:rPr>
                <w:rFonts w:ascii="Arial" w:hAnsi="Arial" w:cs="Arial" w:eastAsia="Arial" w:hint="default"/>
                <w:sz w:val="16"/>
                <w:szCs w:val="16"/>
              </w:rPr>
              <w:t>(%)</w:t>
            </w:r>
          </w:p>
        </w:tc>
        <w:tc>
          <w:tcPr>
            <w:tcW w:w="580" w:type="dxa"/>
            <w:tcBorders>
              <w:top w:val="nil" w:sz="6" w:space="0" w:color="auto"/>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52" w:lineRule="auto"/>
              <w:ind w:left="46" w:right="51"/>
              <w:jc w:val="center"/>
              <w:rPr>
                <w:rFonts w:ascii="Arial" w:hAnsi="Arial" w:cs="Arial" w:eastAsia="Arial" w:hint="default"/>
                <w:sz w:val="16"/>
                <w:szCs w:val="16"/>
              </w:rPr>
            </w:pPr>
            <w:r>
              <w:rPr>
                <w:rFonts w:ascii="宋体" w:hAnsi="宋体" w:cs="宋体" w:eastAsia="宋体" w:hint="default"/>
                <w:sz w:val="16"/>
                <w:szCs w:val="16"/>
              </w:rPr>
              <w:t>表决权</w:t>
            </w:r>
            <w:r>
              <w:rPr>
                <w:rFonts w:ascii="宋体" w:hAnsi="宋体" w:cs="宋体" w:eastAsia="宋体" w:hint="default"/>
                <w:w w:val="99"/>
                <w:sz w:val="16"/>
                <w:szCs w:val="16"/>
              </w:rPr>
              <w:t> </w:t>
            </w:r>
            <w:r>
              <w:rPr>
                <w:rFonts w:ascii="宋体" w:hAnsi="宋体" w:cs="宋体" w:eastAsia="宋体" w:hint="default"/>
                <w:sz w:val="16"/>
                <w:szCs w:val="16"/>
              </w:rPr>
              <w:t>比例</w:t>
            </w:r>
            <w:r>
              <w:rPr>
                <w:rFonts w:ascii="宋体" w:hAnsi="宋体" w:cs="宋体" w:eastAsia="宋体" w:hint="default"/>
                <w:w w:val="99"/>
                <w:sz w:val="16"/>
                <w:szCs w:val="16"/>
              </w:rPr>
              <w:t> </w:t>
            </w:r>
            <w:r>
              <w:rPr>
                <w:rFonts w:ascii="Arial" w:hAnsi="Arial" w:cs="Arial" w:eastAsia="Arial" w:hint="default"/>
                <w:sz w:val="16"/>
                <w:szCs w:val="16"/>
              </w:rPr>
              <w:t>(%)</w:t>
            </w:r>
          </w:p>
        </w:tc>
        <w:tc>
          <w:tcPr>
            <w:tcW w:w="463"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51" w:right="90"/>
              <w:jc w:val="both"/>
              <w:rPr>
                <w:rFonts w:ascii="宋体" w:hAnsi="宋体" w:cs="宋体" w:eastAsia="宋体" w:hint="default"/>
                <w:sz w:val="16"/>
                <w:szCs w:val="16"/>
              </w:rPr>
            </w:pPr>
            <w:r>
              <w:rPr>
                <w:rFonts w:ascii="宋体" w:hAnsi="宋体" w:cs="宋体" w:eastAsia="宋体" w:hint="default"/>
                <w:sz w:val="16"/>
                <w:szCs w:val="16"/>
              </w:rPr>
              <w:t>是否</w:t>
            </w:r>
            <w:r>
              <w:rPr>
                <w:rFonts w:ascii="宋体" w:hAnsi="宋体" w:cs="宋体" w:eastAsia="宋体" w:hint="default"/>
                <w:w w:val="99"/>
                <w:sz w:val="16"/>
                <w:szCs w:val="16"/>
              </w:rPr>
              <w:t> </w:t>
            </w:r>
            <w:r>
              <w:rPr>
                <w:rFonts w:ascii="宋体" w:hAnsi="宋体" w:cs="宋体" w:eastAsia="宋体" w:hint="default"/>
                <w:sz w:val="16"/>
                <w:szCs w:val="16"/>
              </w:rPr>
              <w:t>合并</w:t>
            </w:r>
            <w:r>
              <w:rPr>
                <w:rFonts w:ascii="宋体" w:hAnsi="宋体" w:cs="宋体" w:eastAsia="宋体" w:hint="default"/>
                <w:w w:val="99"/>
                <w:sz w:val="16"/>
                <w:szCs w:val="16"/>
              </w:rPr>
              <w:t> </w:t>
            </w:r>
            <w:r>
              <w:rPr>
                <w:rFonts w:ascii="宋体" w:hAnsi="宋体" w:cs="宋体" w:eastAsia="宋体" w:hint="default"/>
                <w:sz w:val="16"/>
                <w:szCs w:val="16"/>
              </w:rPr>
              <w:t>报表</w:t>
            </w:r>
          </w:p>
        </w:tc>
        <w:tc>
          <w:tcPr>
            <w:tcW w:w="824"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251" w:right="91" w:hanging="160"/>
              <w:jc w:val="left"/>
              <w:rPr>
                <w:rFonts w:ascii="宋体" w:hAnsi="宋体" w:cs="宋体" w:eastAsia="宋体" w:hint="default"/>
                <w:sz w:val="16"/>
                <w:szCs w:val="16"/>
              </w:rPr>
            </w:pPr>
            <w:r>
              <w:rPr>
                <w:rFonts w:ascii="宋体" w:hAnsi="宋体" w:cs="宋体" w:eastAsia="宋体" w:hint="default"/>
                <w:sz w:val="16"/>
                <w:szCs w:val="16"/>
              </w:rPr>
              <w:t>少数股东</w:t>
            </w:r>
            <w:r>
              <w:rPr>
                <w:rFonts w:ascii="宋体" w:hAnsi="宋体" w:cs="宋体" w:eastAsia="宋体" w:hint="default"/>
                <w:w w:val="99"/>
                <w:sz w:val="16"/>
                <w:szCs w:val="16"/>
              </w:rPr>
              <w:t> </w:t>
            </w:r>
            <w:r>
              <w:rPr>
                <w:rFonts w:ascii="宋体" w:hAnsi="宋体" w:cs="宋体" w:eastAsia="宋体" w:hint="default"/>
                <w:sz w:val="16"/>
                <w:szCs w:val="16"/>
              </w:rPr>
              <w:t>权益</w:t>
            </w:r>
          </w:p>
          <w:p>
            <w:pPr>
              <w:pStyle w:val="TableParagraph"/>
              <w:spacing w:line="208" w:lineRule="exact"/>
              <w:ind w:left="92" w:right="0"/>
              <w:jc w:val="left"/>
              <w:rPr>
                <w:rFonts w:ascii="宋体" w:hAnsi="宋体" w:cs="宋体" w:eastAsia="宋体" w:hint="default"/>
                <w:sz w:val="16"/>
                <w:szCs w:val="16"/>
              </w:rPr>
            </w:pPr>
            <w:r>
              <w:rPr>
                <w:rFonts w:ascii="宋体" w:hAnsi="宋体" w:cs="宋体" w:eastAsia="宋体" w:hint="default"/>
                <w:sz w:val="16"/>
                <w:szCs w:val="16"/>
              </w:rPr>
              <w:t>（亿元）</w:t>
            </w:r>
          </w:p>
        </w:tc>
        <w:tc>
          <w:tcPr>
            <w:tcW w:w="734" w:type="dxa"/>
            <w:tcBorders>
              <w:top w:val="nil" w:sz="6" w:space="0" w:color="auto"/>
              <w:left w:val="nil" w:sz="6" w:space="0" w:color="auto"/>
              <w:bottom w:val="single" w:sz="6" w:space="0" w:color="000000"/>
              <w:right w:val="nil" w:sz="6" w:space="0" w:color="auto"/>
            </w:tcBorders>
          </w:tcPr>
          <w:p>
            <w:pPr>
              <w:pStyle w:val="TableParagraph"/>
              <w:spacing w:line="159" w:lineRule="exact"/>
              <w:ind w:left="158" w:right="0"/>
              <w:jc w:val="left"/>
              <w:rPr>
                <w:rFonts w:ascii="宋体" w:hAnsi="宋体" w:cs="宋体" w:eastAsia="宋体" w:hint="default"/>
                <w:sz w:val="16"/>
                <w:szCs w:val="16"/>
              </w:rPr>
            </w:pPr>
            <w:r>
              <w:rPr>
                <w:rFonts w:ascii="宋体" w:hAnsi="宋体" w:cs="宋体" w:eastAsia="宋体" w:hint="default"/>
                <w:sz w:val="16"/>
                <w:szCs w:val="16"/>
              </w:rPr>
              <w:t>少数股</w:t>
            </w:r>
          </w:p>
          <w:p>
            <w:pPr>
              <w:pStyle w:val="TableParagraph"/>
              <w:spacing w:line="240" w:lineRule="auto"/>
              <w:ind w:left="237" w:right="95" w:hanging="80"/>
              <w:jc w:val="left"/>
              <w:rPr>
                <w:rFonts w:ascii="宋体" w:hAnsi="宋体" w:cs="宋体" w:eastAsia="宋体" w:hint="default"/>
                <w:sz w:val="16"/>
                <w:szCs w:val="16"/>
              </w:rPr>
            </w:pPr>
            <w:r>
              <w:rPr>
                <w:rFonts w:ascii="宋体" w:hAnsi="宋体" w:cs="宋体" w:eastAsia="宋体" w:hint="default"/>
                <w:sz w:val="16"/>
                <w:szCs w:val="16"/>
              </w:rPr>
              <w:t>东权益</w:t>
            </w:r>
            <w:r>
              <w:rPr>
                <w:rFonts w:ascii="宋体" w:hAnsi="宋体" w:cs="宋体" w:eastAsia="宋体" w:hint="default"/>
                <w:w w:val="99"/>
                <w:sz w:val="16"/>
                <w:szCs w:val="16"/>
              </w:rPr>
              <w:t> </w:t>
            </w:r>
            <w:r>
              <w:rPr>
                <w:rFonts w:ascii="宋体" w:hAnsi="宋体" w:cs="宋体" w:eastAsia="宋体" w:hint="default"/>
                <w:sz w:val="16"/>
                <w:szCs w:val="16"/>
              </w:rPr>
              <w:t>项目</w:t>
            </w:r>
          </w:p>
          <w:p>
            <w:pPr>
              <w:pStyle w:val="TableParagraph"/>
              <w:spacing w:line="219" w:lineRule="exact"/>
              <w:ind w:left="93" w:right="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3"/>
                <w:sz w:val="16"/>
                <w:szCs w:val="16"/>
              </w:rPr>
              <w:t> </w:t>
            </w:r>
            <w:r>
              <w:rPr>
                <w:rFonts w:ascii="Arial" w:hAnsi="Arial" w:cs="Arial" w:eastAsia="Arial" w:hint="default"/>
                <w:sz w:val="16"/>
                <w:szCs w:val="16"/>
              </w:rPr>
              <w:t>1</w:t>
            </w:r>
            <w:r>
              <w:rPr>
                <w:rFonts w:ascii="宋体" w:hAnsi="宋体" w:cs="宋体" w:eastAsia="宋体" w:hint="default"/>
                <w:sz w:val="16"/>
                <w:szCs w:val="16"/>
              </w:rPr>
              <w:t>）</w:t>
            </w:r>
          </w:p>
        </w:tc>
      </w:tr>
      <w:tr>
        <w:trPr>
          <w:trHeight w:val="696" w:hRule="exact"/>
        </w:trPr>
        <w:tc>
          <w:tcPr>
            <w:tcW w:w="1589" w:type="dxa"/>
            <w:tcBorders>
              <w:top w:val="single" w:sz="6" w:space="0" w:color="000000"/>
              <w:left w:val="nil" w:sz="6" w:space="0" w:color="auto"/>
              <w:bottom w:val="nil" w:sz="6" w:space="0" w:color="auto"/>
              <w:right w:val="nil" w:sz="6" w:space="0" w:color="auto"/>
            </w:tcBorders>
          </w:tcPr>
          <w:p>
            <w:pPr>
              <w:pStyle w:val="TableParagraph"/>
              <w:spacing w:line="181" w:lineRule="exact"/>
              <w:ind w:left="255" w:right="0" w:hanging="179"/>
              <w:jc w:val="left"/>
              <w:rPr>
                <w:rFonts w:ascii="宋体" w:hAnsi="宋体" w:cs="宋体" w:eastAsia="宋体" w:hint="default"/>
                <w:sz w:val="16"/>
                <w:szCs w:val="16"/>
              </w:rPr>
            </w:pPr>
            <w:r>
              <w:rPr>
                <w:rFonts w:ascii="宋体" w:hAnsi="宋体" w:cs="宋体" w:eastAsia="宋体" w:hint="default"/>
                <w:sz w:val="16"/>
                <w:szCs w:val="16"/>
              </w:rPr>
              <w:t>中国联通（欧洲）</w:t>
            </w:r>
          </w:p>
          <w:p>
            <w:pPr>
              <w:pStyle w:val="TableParagraph"/>
              <w:spacing w:line="208" w:lineRule="exact"/>
              <w:ind w:right="116"/>
              <w:jc w:val="center"/>
              <w:rPr>
                <w:rFonts w:ascii="宋体" w:hAnsi="宋体" w:cs="宋体" w:eastAsia="宋体" w:hint="default"/>
                <w:sz w:val="16"/>
                <w:szCs w:val="16"/>
              </w:rPr>
            </w:pPr>
            <w:r>
              <w:rPr>
                <w:rFonts w:ascii="宋体" w:hAnsi="宋体" w:cs="宋体" w:eastAsia="宋体" w:hint="default"/>
                <w:sz w:val="16"/>
                <w:szCs w:val="16"/>
              </w:rPr>
              <w:t>运营有限公司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pacing w:val="-11"/>
                <w:sz w:val="16"/>
                <w:szCs w:val="16"/>
              </w:rPr>
              <w:t>（“联通欧洲运营”）</w:t>
            </w:r>
            <w:r>
              <w:rPr>
                <w:rFonts w:ascii="宋体" w:hAnsi="宋体" w:cs="宋体" w:eastAsia="宋体" w:hint="default"/>
                <w:sz w:val="16"/>
                <w:szCs w:val="16"/>
              </w:rPr>
            </w:r>
          </w:p>
        </w:tc>
        <w:tc>
          <w:tcPr>
            <w:tcW w:w="412"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47"/>
              <w:jc w:val="center"/>
              <w:rPr>
                <w:rFonts w:ascii="Arial" w:hAnsi="Arial" w:cs="Arial" w:eastAsia="Arial" w:hint="default"/>
                <w:sz w:val="16"/>
                <w:szCs w:val="16"/>
              </w:rPr>
            </w:pPr>
            <w:r>
              <w:rPr>
                <w:rFonts w:ascii="Arial"/>
                <w:sz w:val="16"/>
              </w:rPr>
              <w:t>(1)</w:t>
            </w:r>
          </w:p>
        </w:tc>
        <w:tc>
          <w:tcPr>
            <w:tcW w:w="640"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51" w:right="167"/>
              <w:jc w:val="left"/>
              <w:rPr>
                <w:rFonts w:ascii="宋体" w:hAnsi="宋体" w:cs="宋体" w:eastAsia="宋体" w:hint="default"/>
                <w:sz w:val="16"/>
                <w:szCs w:val="16"/>
              </w:rPr>
            </w:pPr>
            <w:r>
              <w:rPr>
                <w:rFonts w:ascii="宋体" w:hAnsi="宋体" w:cs="宋体" w:eastAsia="宋体" w:hint="default"/>
                <w:sz w:val="16"/>
                <w:szCs w:val="16"/>
              </w:rPr>
              <w:t>间接</w:t>
            </w:r>
            <w:r>
              <w:rPr>
                <w:rFonts w:ascii="宋体" w:hAnsi="宋体" w:cs="宋体" w:eastAsia="宋体" w:hint="default"/>
                <w:w w:val="99"/>
                <w:sz w:val="16"/>
                <w:szCs w:val="16"/>
              </w:rPr>
              <w:t> </w:t>
            </w:r>
            <w:r>
              <w:rPr>
                <w:rFonts w:ascii="宋体" w:hAnsi="宋体" w:cs="宋体" w:eastAsia="宋体" w:hint="default"/>
                <w:sz w:val="16"/>
                <w:szCs w:val="16"/>
              </w:rPr>
              <w:t>控股</w:t>
            </w:r>
          </w:p>
        </w:tc>
        <w:tc>
          <w:tcPr>
            <w:tcW w:w="1170" w:type="dxa"/>
            <w:tcBorders>
              <w:top w:val="single" w:sz="6" w:space="0" w:color="000000"/>
              <w:left w:val="nil" w:sz="6" w:space="0" w:color="auto"/>
              <w:bottom w:val="nil" w:sz="6" w:space="0" w:color="auto"/>
              <w:right w:val="nil" w:sz="6" w:space="0" w:color="auto"/>
            </w:tcBorders>
          </w:tcPr>
          <w:p>
            <w:pPr>
              <w:pStyle w:val="TableParagraph"/>
              <w:spacing w:line="181" w:lineRule="exact"/>
              <w:ind w:right="29"/>
              <w:jc w:val="center"/>
              <w:rPr>
                <w:rFonts w:ascii="宋体" w:hAnsi="宋体" w:cs="宋体" w:eastAsia="宋体" w:hint="default"/>
                <w:sz w:val="16"/>
                <w:szCs w:val="16"/>
              </w:rPr>
            </w:pPr>
            <w:r>
              <w:rPr>
                <w:rFonts w:ascii="宋体" w:hAnsi="宋体" w:cs="宋体" w:eastAsia="宋体" w:hint="default"/>
                <w:sz w:val="16"/>
                <w:szCs w:val="16"/>
              </w:rPr>
              <w:t>英国</w:t>
            </w:r>
          </w:p>
          <w:p>
            <w:pPr>
              <w:pStyle w:val="TableParagraph"/>
              <w:spacing w:line="213" w:lineRule="exact"/>
              <w:ind w:right="29"/>
              <w:jc w:val="center"/>
              <w:rPr>
                <w:rFonts w:ascii="宋体" w:hAnsi="宋体" w:cs="宋体" w:eastAsia="宋体" w:hint="default"/>
                <w:sz w:val="16"/>
                <w:szCs w:val="16"/>
              </w:rPr>
            </w:pPr>
            <w:r>
              <w:rPr>
                <w:rFonts w:ascii="Arial" w:hAnsi="Arial" w:cs="Arial" w:eastAsia="Arial" w:hint="default"/>
                <w:sz w:val="16"/>
                <w:szCs w:val="16"/>
              </w:rPr>
              <w:t>2006</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right="29"/>
              <w:jc w:val="center"/>
              <w:rPr>
                <w:rFonts w:ascii="宋体" w:hAnsi="宋体" w:cs="宋体" w:eastAsia="宋体" w:hint="default"/>
                <w:sz w:val="16"/>
                <w:szCs w:val="16"/>
              </w:rPr>
            </w:pPr>
            <w:r>
              <w:rPr>
                <w:rFonts w:ascii="Arial" w:hAnsi="Arial" w:cs="Arial" w:eastAsia="Arial" w:hint="default"/>
                <w:sz w:val="16"/>
                <w:szCs w:val="16"/>
              </w:rPr>
              <w:t>11</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Arial" w:hAnsi="Arial" w:cs="Arial" w:eastAsia="Arial" w:hint="default"/>
                <w:sz w:val="16"/>
                <w:szCs w:val="16"/>
              </w:rPr>
              <w:t>8</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814"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80" w:right="212"/>
              <w:jc w:val="left"/>
              <w:rPr>
                <w:rFonts w:ascii="宋体" w:hAnsi="宋体" w:cs="宋体" w:eastAsia="宋体" w:hint="default"/>
                <w:sz w:val="16"/>
                <w:szCs w:val="16"/>
              </w:rPr>
            </w:pPr>
            <w:r>
              <w:rPr>
                <w:rFonts w:ascii="宋体" w:hAnsi="宋体" w:cs="宋体" w:eastAsia="宋体" w:hint="default"/>
                <w:sz w:val="16"/>
                <w:szCs w:val="16"/>
              </w:rPr>
              <w:t>电信</w:t>
            </w:r>
            <w:r>
              <w:rPr>
                <w:rFonts w:ascii="宋体" w:hAnsi="宋体" w:cs="宋体" w:eastAsia="宋体" w:hint="default"/>
                <w:w w:val="99"/>
                <w:sz w:val="16"/>
                <w:szCs w:val="16"/>
              </w:rPr>
              <w:t> </w:t>
            </w:r>
            <w:r>
              <w:rPr>
                <w:rFonts w:ascii="宋体" w:hAnsi="宋体" w:cs="宋体" w:eastAsia="宋体" w:hint="default"/>
                <w:sz w:val="16"/>
                <w:szCs w:val="16"/>
              </w:rPr>
              <w:t>业务</w:t>
            </w:r>
          </w:p>
        </w:tc>
        <w:tc>
          <w:tcPr>
            <w:tcW w:w="1094"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Arial" w:hAnsi="Arial" w:cs="Arial" w:eastAsia="Arial" w:hint="default"/>
                <w:sz w:val="16"/>
                <w:szCs w:val="16"/>
              </w:rPr>
            </w:pPr>
            <w:r>
              <w:rPr>
                <w:rFonts w:ascii="宋体" w:hAnsi="宋体" w:cs="宋体" w:eastAsia="宋体" w:hint="default"/>
                <w:sz w:val="16"/>
                <w:szCs w:val="16"/>
              </w:rPr>
              <w:t>英镑</w:t>
            </w:r>
            <w:r>
              <w:rPr>
                <w:rFonts w:ascii="宋体" w:hAnsi="宋体" w:cs="宋体" w:eastAsia="宋体" w:hint="default"/>
                <w:spacing w:val="-42"/>
                <w:sz w:val="16"/>
                <w:szCs w:val="16"/>
              </w:rPr>
              <w:t> </w:t>
            </w:r>
            <w:r>
              <w:rPr>
                <w:rFonts w:ascii="Arial" w:hAnsi="Arial" w:cs="Arial" w:eastAsia="Arial" w:hint="default"/>
                <w:sz w:val="16"/>
                <w:szCs w:val="16"/>
              </w:rPr>
              <w:t>4,861</w:t>
            </w:r>
          </w:p>
        </w:tc>
        <w:tc>
          <w:tcPr>
            <w:tcW w:w="1103"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60" w:right="0"/>
              <w:jc w:val="center"/>
              <w:rPr>
                <w:rFonts w:ascii="宋体" w:hAnsi="宋体" w:cs="宋体" w:eastAsia="宋体" w:hint="default"/>
                <w:sz w:val="16"/>
                <w:szCs w:val="16"/>
              </w:rPr>
            </w:pPr>
            <w:r>
              <w:rPr>
                <w:rFonts w:ascii="宋体" w:hAnsi="宋体" w:cs="宋体" w:eastAsia="宋体" w:hint="default"/>
                <w:sz w:val="16"/>
                <w:szCs w:val="16"/>
              </w:rPr>
              <w:t>电信业务</w:t>
            </w:r>
          </w:p>
        </w:tc>
        <w:tc>
          <w:tcPr>
            <w:tcW w:w="781"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02" w:right="257"/>
              <w:jc w:val="left"/>
              <w:rPr>
                <w:rFonts w:ascii="宋体" w:hAnsi="宋体" w:cs="宋体" w:eastAsia="宋体" w:hint="default"/>
                <w:sz w:val="16"/>
                <w:szCs w:val="16"/>
              </w:rPr>
            </w:pPr>
            <w:r>
              <w:rPr>
                <w:rFonts w:ascii="宋体" w:hAnsi="宋体" w:cs="宋体" w:eastAsia="宋体" w:hint="default"/>
                <w:sz w:val="16"/>
                <w:szCs w:val="16"/>
              </w:rPr>
              <w:t>有限</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779"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不适用</w:t>
            </w:r>
          </w:p>
        </w:tc>
        <w:tc>
          <w:tcPr>
            <w:tcW w:w="1037"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center"/>
              <w:rPr>
                <w:rFonts w:ascii="宋体" w:hAnsi="宋体" w:cs="宋体" w:eastAsia="宋体" w:hint="default"/>
                <w:sz w:val="16"/>
                <w:szCs w:val="16"/>
              </w:rPr>
            </w:pPr>
            <w:r>
              <w:rPr>
                <w:rFonts w:ascii="宋体" w:hAnsi="宋体" w:cs="宋体" w:eastAsia="宋体" w:hint="default"/>
                <w:sz w:val="16"/>
                <w:szCs w:val="16"/>
              </w:rPr>
              <w:t>不适用</w:t>
            </w:r>
          </w:p>
        </w:tc>
        <w:tc>
          <w:tcPr>
            <w:tcW w:w="1147"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83" w:right="0"/>
              <w:jc w:val="left"/>
              <w:rPr>
                <w:rFonts w:ascii="Arial" w:hAnsi="Arial" w:cs="Arial" w:eastAsia="Arial" w:hint="default"/>
                <w:sz w:val="16"/>
                <w:szCs w:val="16"/>
              </w:rPr>
            </w:pPr>
            <w:r>
              <w:rPr>
                <w:rFonts w:ascii="Arial"/>
                <w:sz w:val="16"/>
              </w:rPr>
              <w:t>65,737</w:t>
            </w:r>
          </w:p>
        </w:tc>
        <w:tc>
          <w:tcPr>
            <w:tcW w:w="1080"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60" w:right="0"/>
              <w:jc w:val="left"/>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87"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44"/>
              <w:jc w:val="right"/>
              <w:rPr>
                <w:rFonts w:ascii="Arial" w:hAnsi="Arial" w:cs="Arial" w:eastAsia="Arial" w:hint="default"/>
                <w:sz w:val="16"/>
                <w:szCs w:val="16"/>
              </w:rPr>
            </w:pPr>
            <w:r>
              <w:rPr>
                <w:rFonts w:ascii="Arial"/>
                <w:w w:val="95"/>
                <w:sz w:val="16"/>
              </w:rPr>
              <w:t>33.88</w:t>
            </w:r>
            <w:r>
              <w:rPr>
                <w:rFonts w:ascii="Arial"/>
                <w:sz w:val="16"/>
              </w:rPr>
            </w:r>
          </w:p>
        </w:tc>
        <w:tc>
          <w:tcPr>
            <w:tcW w:w="580"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49"/>
              <w:jc w:val="right"/>
              <w:rPr>
                <w:rFonts w:ascii="Arial" w:hAnsi="Arial" w:cs="Arial" w:eastAsia="Arial" w:hint="default"/>
                <w:sz w:val="16"/>
                <w:szCs w:val="16"/>
              </w:rPr>
            </w:pPr>
            <w:r>
              <w:rPr>
                <w:rFonts w:ascii="Arial"/>
                <w:w w:val="95"/>
                <w:sz w:val="16"/>
              </w:rPr>
              <w:t>62.04</w:t>
            </w:r>
            <w:r>
              <w:rPr>
                <w:rFonts w:ascii="Arial"/>
                <w:sz w:val="16"/>
              </w:rPr>
            </w:r>
          </w:p>
        </w:tc>
        <w:tc>
          <w:tcPr>
            <w:tcW w:w="463"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32"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24"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7"/>
              <w:jc w:val="right"/>
              <w:rPr>
                <w:rFonts w:ascii="Arial" w:hAnsi="Arial" w:cs="Arial" w:eastAsia="Arial" w:hint="default"/>
                <w:sz w:val="16"/>
                <w:szCs w:val="16"/>
              </w:rPr>
            </w:pPr>
            <w:r>
              <w:rPr>
                <w:rFonts w:ascii="Arial"/>
                <w:w w:val="99"/>
                <w:sz w:val="16"/>
              </w:rPr>
              <w:t>-</w:t>
            </w:r>
            <w:r>
              <w:rPr>
                <w:rFonts w:ascii="Arial"/>
                <w:sz w:val="16"/>
              </w:rPr>
            </w:r>
          </w:p>
        </w:tc>
        <w:tc>
          <w:tcPr>
            <w:tcW w:w="734"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2"/>
              <w:jc w:val="right"/>
              <w:rPr>
                <w:rFonts w:ascii="Arial" w:hAnsi="Arial" w:cs="Arial" w:eastAsia="Arial" w:hint="default"/>
                <w:sz w:val="16"/>
                <w:szCs w:val="16"/>
              </w:rPr>
            </w:pPr>
            <w:r>
              <w:rPr>
                <w:rFonts w:ascii="Arial"/>
                <w:w w:val="99"/>
                <w:sz w:val="16"/>
              </w:rPr>
              <w:t>-</w:t>
            </w:r>
            <w:r>
              <w:rPr>
                <w:rFonts w:ascii="Arial"/>
                <w:sz w:val="16"/>
              </w:rPr>
            </w:r>
          </w:p>
        </w:tc>
      </w:tr>
      <w:tr>
        <w:trPr>
          <w:trHeight w:val="760" w:hRule="exact"/>
        </w:trPr>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55" w:right="230" w:hanging="179"/>
              <w:jc w:val="left"/>
              <w:rPr>
                <w:rFonts w:ascii="宋体" w:hAnsi="宋体" w:cs="宋体" w:eastAsia="宋体" w:hint="default"/>
                <w:sz w:val="16"/>
                <w:szCs w:val="16"/>
              </w:rPr>
            </w:pPr>
            <w:r>
              <w:rPr>
                <w:rFonts w:ascii="宋体" w:hAnsi="宋体" w:cs="宋体" w:eastAsia="宋体" w:hint="default"/>
                <w:sz w:val="16"/>
                <w:szCs w:val="16"/>
              </w:rPr>
              <w:t>中国联通（日本）</w:t>
            </w:r>
            <w:r>
              <w:rPr>
                <w:rFonts w:ascii="宋体" w:hAnsi="宋体" w:cs="宋体" w:eastAsia="宋体" w:hint="default"/>
                <w:w w:val="99"/>
                <w:sz w:val="16"/>
                <w:szCs w:val="16"/>
              </w:rPr>
              <w:t> </w:t>
            </w:r>
            <w:r>
              <w:rPr>
                <w:rFonts w:ascii="宋体" w:hAnsi="宋体" w:cs="宋体" w:eastAsia="宋体" w:hint="default"/>
                <w:sz w:val="16"/>
                <w:szCs w:val="16"/>
              </w:rPr>
              <w:t>运营有限公司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pacing w:val="-11"/>
                <w:sz w:val="16"/>
                <w:szCs w:val="16"/>
              </w:rPr>
              <w:t>（“联通日本运营”）</w:t>
            </w:r>
            <w:r>
              <w:rPr>
                <w:rFonts w:ascii="宋体" w:hAnsi="宋体" w:cs="宋体" w:eastAsia="宋体" w:hint="default"/>
                <w:sz w:val="16"/>
                <w:szCs w:val="16"/>
              </w:rPr>
            </w:r>
          </w:p>
        </w:tc>
        <w:tc>
          <w:tcPr>
            <w:tcW w:w="4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47"/>
              <w:jc w:val="center"/>
              <w:rPr>
                <w:rFonts w:ascii="Arial" w:hAnsi="Arial" w:cs="Arial" w:eastAsia="Arial" w:hint="default"/>
                <w:sz w:val="16"/>
                <w:szCs w:val="16"/>
              </w:rPr>
            </w:pPr>
            <w:r>
              <w:rPr>
                <w:rFonts w:ascii="Arial"/>
                <w:sz w:val="16"/>
              </w:rPr>
              <w:t>(1)</w:t>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51" w:right="167"/>
              <w:jc w:val="left"/>
              <w:rPr>
                <w:rFonts w:ascii="宋体" w:hAnsi="宋体" w:cs="宋体" w:eastAsia="宋体" w:hint="default"/>
                <w:sz w:val="16"/>
                <w:szCs w:val="16"/>
              </w:rPr>
            </w:pPr>
            <w:r>
              <w:rPr>
                <w:rFonts w:ascii="宋体" w:hAnsi="宋体" w:cs="宋体" w:eastAsia="宋体" w:hint="default"/>
                <w:sz w:val="16"/>
                <w:szCs w:val="16"/>
              </w:rPr>
              <w:t>间接</w:t>
            </w:r>
            <w:r>
              <w:rPr>
                <w:rFonts w:ascii="宋体" w:hAnsi="宋体" w:cs="宋体" w:eastAsia="宋体" w:hint="default"/>
                <w:w w:val="99"/>
                <w:sz w:val="16"/>
                <w:szCs w:val="16"/>
              </w:rPr>
              <w:t> </w:t>
            </w:r>
            <w:r>
              <w:rPr>
                <w:rFonts w:ascii="宋体" w:hAnsi="宋体" w:cs="宋体" w:eastAsia="宋体" w:hint="default"/>
                <w:sz w:val="16"/>
                <w:szCs w:val="16"/>
              </w:rPr>
              <w:t>控股</w:t>
            </w:r>
          </w:p>
        </w:tc>
        <w:tc>
          <w:tcPr>
            <w:tcW w:w="1170" w:type="dxa"/>
            <w:tcBorders>
              <w:top w:val="nil" w:sz="6" w:space="0" w:color="auto"/>
              <w:left w:val="nil" w:sz="6" w:space="0" w:color="auto"/>
              <w:bottom w:val="nil" w:sz="6" w:space="0" w:color="auto"/>
              <w:right w:val="nil" w:sz="6" w:space="0" w:color="auto"/>
            </w:tcBorders>
          </w:tcPr>
          <w:p>
            <w:pPr>
              <w:pStyle w:val="TableParagraph"/>
              <w:spacing w:line="208" w:lineRule="exact" w:before="22"/>
              <w:ind w:right="29"/>
              <w:jc w:val="center"/>
              <w:rPr>
                <w:rFonts w:ascii="宋体" w:hAnsi="宋体" w:cs="宋体" w:eastAsia="宋体" w:hint="default"/>
                <w:sz w:val="16"/>
                <w:szCs w:val="16"/>
              </w:rPr>
            </w:pPr>
            <w:r>
              <w:rPr>
                <w:rFonts w:ascii="宋体" w:hAnsi="宋体" w:cs="宋体" w:eastAsia="宋体" w:hint="default"/>
                <w:sz w:val="16"/>
                <w:szCs w:val="16"/>
              </w:rPr>
              <w:t>日本</w:t>
            </w:r>
          </w:p>
          <w:p>
            <w:pPr>
              <w:pStyle w:val="TableParagraph"/>
              <w:spacing w:line="213" w:lineRule="exact"/>
              <w:ind w:right="29"/>
              <w:jc w:val="center"/>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right="29"/>
              <w:jc w:val="center"/>
              <w:rPr>
                <w:rFonts w:ascii="宋体" w:hAnsi="宋体" w:cs="宋体" w:eastAsia="宋体" w:hint="default"/>
                <w:sz w:val="16"/>
                <w:szCs w:val="16"/>
              </w:rPr>
            </w:pPr>
            <w:r>
              <w:rPr>
                <w:rFonts w:ascii="Arial" w:hAnsi="Arial" w:cs="Arial" w:eastAsia="Arial" w:hint="default"/>
                <w:sz w:val="16"/>
                <w:szCs w:val="16"/>
              </w:rPr>
              <w:t>1</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25</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80" w:right="212"/>
              <w:jc w:val="left"/>
              <w:rPr>
                <w:rFonts w:ascii="宋体" w:hAnsi="宋体" w:cs="宋体" w:eastAsia="宋体" w:hint="default"/>
                <w:sz w:val="16"/>
                <w:szCs w:val="16"/>
              </w:rPr>
            </w:pPr>
            <w:r>
              <w:rPr>
                <w:rFonts w:ascii="宋体" w:hAnsi="宋体" w:cs="宋体" w:eastAsia="宋体" w:hint="default"/>
                <w:sz w:val="16"/>
                <w:szCs w:val="16"/>
              </w:rPr>
              <w:t>电信</w:t>
            </w:r>
            <w:r>
              <w:rPr>
                <w:rFonts w:ascii="宋体" w:hAnsi="宋体" w:cs="宋体" w:eastAsia="宋体" w:hint="default"/>
                <w:w w:val="99"/>
                <w:sz w:val="16"/>
                <w:szCs w:val="16"/>
              </w:rPr>
              <w:t> </w:t>
            </w:r>
            <w:r>
              <w:rPr>
                <w:rFonts w:ascii="宋体" w:hAnsi="宋体" w:cs="宋体" w:eastAsia="宋体" w:hint="default"/>
                <w:sz w:val="16"/>
                <w:szCs w:val="16"/>
              </w:rPr>
              <w:t>业务</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Arial" w:hAnsi="Arial" w:cs="Arial" w:eastAsia="Arial" w:hint="default"/>
                <w:sz w:val="16"/>
                <w:szCs w:val="16"/>
              </w:rPr>
            </w:pPr>
            <w:r>
              <w:rPr>
                <w:rFonts w:ascii="宋体" w:hAnsi="宋体" w:cs="宋体" w:eastAsia="宋体" w:hint="default"/>
                <w:sz w:val="16"/>
                <w:szCs w:val="16"/>
              </w:rPr>
              <w:t>日元</w:t>
            </w:r>
            <w:r>
              <w:rPr>
                <w:rFonts w:ascii="宋体" w:hAnsi="宋体" w:cs="宋体" w:eastAsia="宋体" w:hint="default"/>
                <w:spacing w:val="-43"/>
                <w:sz w:val="16"/>
                <w:szCs w:val="16"/>
              </w:rPr>
              <w:t> </w:t>
            </w:r>
            <w:r>
              <w:rPr>
                <w:rFonts w:ascii="Arial" w:hAnsi="Arial" w:cs="Arial" w:eastAsia="Arial" w:hint="default"/>
                <w:sz w:val="16"/>
                <w:szCs w:val="16"/>
              </w:rPr>
              <w:t>366,000</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0" w:right="0"/>
              <w:jc w:val="center"/>
              <w:rPr>
                <w:rFonts w:ascii="宋体" w:hAnsi="宋体" w:cs="宋体" w:eastAsia="宋体" w:hint="default"/>
                <w:sz w:val="16"/>
                <w:szCs w:val="16"/>
              </w:rPr>
            </w:pPr>
            <w:r>
              <w:rPr>
                <w:rFonts w:ascii="宋体" w:hAnsi="宋体" w:cs="宋体" w:eastAsia="宋体" w:hint="default"/>
                <w:sz w:val="16"/>
                <w:szCs w:val="16"/>
              </w:rPr>
              <w:t>电信业务</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02" w:right="257"/>
              <w:jc w:val="left"/>
              <w:rPr>
                <w:rFonts w:ascii="宋体" w:hAnsi="宋体" w:cs="宋体" w:eastAsia="宋体" w:hint="default"/>
                <w:sz w:val="16"/>
                <w:szCs w:val="16"/>
              </w:rPr>
            </w:pPr>
            <w:r>
              <w:rPr>
                <w:rFonts w:ascii="宋体" w:hAnsi="宋体" w:cs="宋体" w:eastAsia="宋体" w:hint="default"/>
                <w:sz w:val="16"/>
                <w:szCs w:val="16"/>
              </w:rPr>
              <w:t>有限</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sz w:val="16"/>
                <w:szCs w:val="16"/>
              </w:rPr>
              <w:t>高津昌广</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center"/>
              <w:rPr>
                <w:rFonts w:ascii="宋体" w:hAnsi="宋体" w:cs="宋体" w:eastAsia="宋体" w:hint="default"/>
                <w:sz w:val="16"/>
                <w:szCs w:val="16"/>
              </w:rPr>
            </w:pPr>
            <w:r>
              <w:rPr>
                <w:rFonts w:ascii="宋体" w:hAnsi="宋体" w:cs="宋体" w:eastAsia="宋体" w:hint="default"/>
                <w:sz w:val="16"/>
                <w:szCs w:val="16"/>
              </w:rPr>
              <w:t>不适用</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83" w:right="0"/>
              <w:jc w:val="left"/>
              <w:rPr>
                <w:rFonts w:ascii="Arial" w:hAnsi="Arial" w:cs="Arial" w:eastAsia="Arial" w:hint="default"/>
                <w:sz w:val="16"/>
                <w:szCs w:val="16"/>
              </w:rPr>
            </w:pPr>
            <w:r>
              <w:rPr>
                <w:rFonts w:ascii="Arial"/>
                <w:sz w:val="16"/>
              </w:rPr>
              <w:t>23,807</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60" w:right="0"/>
              <w:jc w:val="left"/>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44"/>
              <w:jc w:val="right"/>
              <w:rPr>
                <w:rFonts w:ascii="Arial" w:hAnsi="Arial" w:cs="Arial" w:eastAsia="Arial" w:hint="default"/>
                <w:sz w:val="16"/>
                <w:szCs w:val="16"/>
              </w:rPr>
            </w:pPr>
            <w:r>
              <w:rPr>
                <w:rFonts w:ascii="Arial"/>
                <w:w w:val="95"/>
                <w:sz w:val="16"/>
              </w:rPr>
              <w:t>33.88</w:t>
            </w:r>
            <w:r>
              <w:rPr>
                <w:rFonts w:ascii="Arial"/>
                <w:sz w:val="16"/>
              </w:rPr>
            </w:r>
          </w:p>
        </w:tc>
        <w:tc>
          <w:tcPr>
            <w:tcW w:w="5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49"/>
              <w:jc w:val="right"/>
              <w:rPr>
                <w:rFonts w:ascii="Arial" w:hAnsi="Arial" w:cs="Arial" w:eastAsia="Arial" w:hint="default"/>
                <w:sz w:val="16"/>
                <w:szCs w:val="16"/>
              </w:rPr>
            </w:pPr>
            <w:r>
              <w:rPr>
                <w:rFonts w:ascii="Arial"/>
                <w:w w:val="95"/>
                <w:sz w:val="16"/>
              </w:rPr>
              <w:t>62.04</w:t>
            </w:r>
            <w:r>
              <w:rPr>
                <w:rFonts w:ascii="Arial"/>
                <w:sz w:val="16"/>
              </w:rPr>
            </w:r>
          </w:p>
        </w:tc>
        <w:tc>
          <w:tcPr>
            <w:tcW w:w="4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32"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7"/>
              <w:jc w:val="right"/>
              <w:rPr>
                <w:rFonts w:ascii="Arial" w:hAnsi="Arial" w:cs="Arial" w:eastAsia="Arial" w:hint="default"/>
                <w:sz w:val="16"/>
                <w:szCs w:val="16"/>
              </w:rPr>
            </w:pPr>
            <w:r>
              <w:rPr>
                <w:rFonts w:ascii="Arial"/>
                <w:w w:val="99"/>
                <w:sz w:val="16"/>
              </w:rPr>
              <w:t>-</w:t>
            </w:r>
            <w:r>
              <w:rPr>
                <w:rFonts w:ascii="Arial"/>
                <w:sz w:val="16"/>
              </w:rPr>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2"/>
              <w:jc w:val="right"/>
              <w:rPr>
                <w:rFonts w:ascii="Arial" w:hAnsi="Arial" w:cs="Arial" w:eastAsia="Arial" w:hint="default"/>
                <w:sz w:val="16"/>
                <w:szCs w:val="16"/>
              </w:rPr>
            </w:pPr>
            <w:r>
              <w:rPr>
                <w:rFonts w:ascii="Arial"/>
                <w:w w:val="99"/>
                <w:sz w:val="16"/>
              </w:rPr>
              <w:t>-</w:t>
            </w:r>
            <w:r>
              <w:rPr>
                <w:rFonts w:ascii="Arial"/>
                <w:sz w:val="16"/>
              </w:rPr>
            </w:r>
          </w:p>
        </w:tc>
      </w:tr>
      <w:tr>
        <w:trPr>
          <w:trHeight w:val="784" w:hRule="exact"/>
        </w:trPr>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55" w:right="71" w:hanging="179"/>
              <w:jc w:val="left"/>
              <w:rPr>
                <w:rFonts w:ascii="宋体" w:hAnsi="宋体" w:cs="宋体" w:eastAsia="宋体" w:hint="default"/>
                <w:sz w:val="16"/>
                <w:szCs w:val="16"/>
              </w:rPr>
            </w:pPr>
            <w:r>
              <w:rPr>
                <w:rFonts w:ascii="宋体" w:hAnsi="宋体" w:cs="宋体" w:eastAsia="宋体" w:hint="default"/>
                <w:sz w:val="16"/>
                <w:szCs w:val="16"/>
              </w:rPr>
              <w:t>中讯邮电咨询设计院</w:t>
            </w:r>
            <w:r>
              <w:rPr>
                <w:rFonts w:ascii="宋体" w:hAnsi="宋体" w:cs="宋体" w:eastAsia="宋体" w:hint="default"/>
                <w:w w:val="99"/>
                <w:sz w:val="16"/>
                <w:szCs w:val="16"/>
              </w:rPr>
              <w:t> </w:t>
            </w:r>
            <w:r>
              <w:rPr>
                <w:rFonts w:ascii="宋体" w:hAnsi="宋体" w:cs="宋体" w:eastAsia="宋体" w:hint="default"/>
                <w:sz w:val="16"/>
                <w:szCs w:val="16"/>
              </w:rPr>
              <w:t>有限公司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（“中讯设计院”）</w:t>
            </w:r>
          </w:p>
        </w:tc>
        <w:tc>
          <w:tcPr>
            <w:tcW w:w="4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47"/>
              <w:jc w:val="center"/>
              <w:rPr>
                <w:rFonts w:ascii="Arial" w:hAnsi="Arial" w:cs="Arial" w:eastAsia="Arial" w:hint="default"/>
                <w:sz w:val="16"/>
                <w:szCs w:val="16"/>
              </w:rPr>
            </w:pPr>
            <w:r>
              <w:rPr>
                <w:rFonts w:ascii="Arial"/>
                <w:sz w:val="16"/>
              </w:rPr>
              <w:t>(4)</w:t>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51" w:right="167"/>
              <w:jc w:val="left"/>
              <w:rPr>
                <w:rFonts w:ascii="宋体" w:hAnsi="宋体" w:cs="宋体" w:eastAsia="宋体" w:hint="default"/>
                <w:sz w:val="16"/>
                <w:szCs w:val="16"/>
              </w:rPr>
            </w:pPr>
            <w:r>
              <w:rPr>
                <w:rFonts w:ascii="宋体" w:hAnsi="宋体" w:cs="宋体" w:eastAsia="宋体" w:hint="default"/>
                <w:sz w:val="16"/>
                <w:szCs w:val="16"/>
              </w:rPr>
              <w:t>间接</w:t>
            </w:r>
            <w:r>
              <w:rPr>
                <w:rFonts w:ascii="宋体" w:hAnsi="宋体" w:cs="宋体" w:eastAsia="宋体" w:hint="default"/>
                <w:w w:val="99"/>
                <w:sz w:val="16"/>
                <w:szCs w:val="16"/>
              </w:rPr>
              <w:t> </w:t>
            </w:r>
            <w:r>
              <w:rPr>
                <w:rFonts w:ascii="宋体" w:hAnsi="宋体" w:cs="宋体" w:eastAsia="宋体" w:hint="default"/>
                <w:sz w:val="16"/>
                <w:szCs w:val="16"/>
              </w:rPr>
              <w:t>控股</w:t>
            </w:r>
          </w:p>
        </w:tc>
        <w:tc>
          <w:tcPr>
            <w:tcW w:w="1170" w:type="dxa"/>
            <w:tcBorders>
              <w:top w:val="nil" w:sz="6" w:space="0" w:color="auto"/>
              <w:left w:val="nil" w:sz="6" w:space="0" w:color="auto"/>
              <w:bottom w:val="nil" w:sz="6" w:space="0" w:color="auto"/>
              <w:right w:val="nil" w:sz="6" w:space="0" w:color="auto"/>
            </w:tcBorders>
          </w:tcPr>
          <w:p>
            <w:pPr>
              <w:pStyle w:val="TableParagraph"/>
              <w:spacing w:line="209" w:lineRule="exact" w:before="45"/>
              <w:ind w:right="28"/>
              <w:jc w:val="center"/>
              <w:rPr>
                <w:rFonts w:ascii="宋体" w:hAnsi="宋体" w:cs="宋体" w:eastAsia="宋体" w:hint="default"/>
                <w:sz w:val="16"/>
                <w:szCs w:val="16"/>
              </w:rPr>
            </w:pPr>
            <w:r>
              <w:rPr>
                <w:rFonts w:ascii="宋体" w:hAnsi="宋体" w:cs="宋体" w:eastAsia="宋体" w:hint="default"/>
                <w:sz w:val="16"/>
                <w:szCs w:val="16"/>
              </w:rPr>
              <w:t>中国，北京市</w:t>
            </w:r>
          </w:p>
          <w:p>
            <w:pPr>
              <w:pStyle w:val="TableParagraph"/>
              <w:spacing w:line="214" w:lineRule="exact"/>
              <w:ind w:right="29"/>
              <w:jc w:val="center"/>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right="29"/>
              <w:jc w:val="center"/>
              <w:rPr>
                <w:rFonts w:ascii="宋体" w:hAnsi="宋体" w:cs="宋体" w:eastAsia="宋体" w:hint="default"/>
                <w:sz w:val="16"/>
                <w:szCs w:val="16"/>
              </w:rPr>
            </w:pPr>
            <w:r>
              <w:rPr>
                <w:rFonts w:ascii="Arial" w:hAnsi="Arial" w:cs="Arial" w:eastAsia="Arial" w:hint="default"/>
                <w:sz w:val="16"/>
                <w:szCs w:val="16"/>
              </w:rPr>
              <w:t>9</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27</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20" w:right="53"/>
              <w:jc w:val="center"/>
              <w:rPr>
                <w:rFonts w:ascii="宋体" w:hAnsi="宋体" w:cs="宋体" w:eastAsia="宋体" w:hint="default"/>
                <w:sz w:val="16"/>
                <w:szCs w:val="16"/>
              </w:rPr>
            </w:pPr>
            <w:r>
              <w:rPr>
                <w:rFonts w:ascii="宋体" w:hAnsi="宋体" w:cs="宋体" w:eastAsia="宋体" w:hint="default"/>
                <w:w w:val="95"/>
                <w:sz w:val="16"/>
                <w:szCs w:val="16"/>
              </w:rPr>
              <w:t>勘察设计</w:t>
            </w:r>
            <w:r>
              <w:rPr>
                <w:rFonts w:ascii="宋体" w:hAnsi="宋体" w:cs="宋体" w:eastAsia="宋体" w:hint="default"/>
                <w:spacing w:val="-48"/>
                <w:w w:val="95"/>
                <w:sz w:val="16"/>
                <w:szCs w:val="16"/>
              </w:rPr>
              <w:t> </w:t>
            </w:r>
            <w:r>
              <w:rPr>
                <w:rFonts w:ascii="宋体" w:hAnsi="宋体" w:cs="宋体" w:eastAsia="宋体" w:hint="default"/>
                <w:w w:val="95"/>
                <w:sz w:val="16"/>
                <w:szCs w:val="16"/>
              </w:rPr>
              <w:t>及咨询服</w:t>
            </w:r>
            <w:r>
              <w:rPr>
                <w:rFonts w:ascii="宋体" w:hAnsi="宋体" w:cs="宋体" w:eastAsia="宋体" w:hint="default"/>
                <w:spacing w:val="-48"/>
                <w:w w:val="95"/>
                <w:sz w:val="16"/>
                <w:szCs w:val="16"/>
              </w:rPr>
              <w:t> </w:t>
            </w:r>
            <w:r>
              <w:rPr>
                <w:rFonts w:ascii="宋体" w:hAnsi="宋体" w:cs="宋体" w:eastAsia="宋体" w:hint="default"/>
                <w:sz w:val="16"/>
                <w:szCs w:val="16"/>
              </w:rPr>
              <w:t>务</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9"/>
              <w:jc w:val="right"/>
              <w:rPr>
                <w:rFonts w:ascii="Arial" w:hAnsi="Arial" w:cs="Arial" w:eastAsia="Arial" w:hint="default"/>
                <w:sz w:val="16"/>
                <w:szCs w:val="16"/>
              </w:rPr>
            </w:pPr>
            <w:r>
              <w:rPr>
                <w:rFonts w:ascii="Arial"/>
                <w:w w:val="95"/>
                <w:sz w:val="16"/>
              </w:rPr>
              <w:t>430,000</w:t>
            </w:r>
            <w:r>
              <w:rPr>
                <w:rFonts w:ascii="Arial"/>
                <w:sz w:val="16"/>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41" w:right="40" w:hanging="240"/>
              <w:jc w:val="left"/>
              <w:rPr>
                <w:rFonts w:ascii="宋体" w:hAnsi="宋体" w:cs="宋体" w:eastAsia="宋体" w:hint="default"/>
                <w:sz w:val="16"/>
                <w:szCs w:val="16"/>
              </w:rPr>
            </w:pPr>
            <w:r>
              <w:rPr>
                <w:rFonts w:ascii="宋体" w:hAnsi="宋体" w:cs="宋体" w:eastAsia="宋体" w:hint="default"/>
                <w:sz w:val="16"/>
                <w:szCs w:val="16"/>
              </w:rPr>
              <w:t>勘察设计及咨</w:t>
            </w:r>
            <w:r>
              <w:rPr>
                <w:rFonts w:ascii="宋体" w:hAnsi="宋体" w:cs="宋体" w:eastAsia="宋体" w:hint="default"/>
                <w:w w:val="99"/>
                <w:sz w:val="16"/>
                <w:szCs w:val="16"/>
              </w:rPr>
              <w:t> </w:t>
            </w:r>
            <w:r>
              <w:rPr>
                <w:rFonts w:ascii="宋体" w:hAnsi="宋体" w:cs="宋体" w:eastAsia="宋体" w:hint="default"/>
                <w:sz w:val="16"/>
                <w:szCs w:val="16"/>
              </w:rPr>
              <w:t>询服务</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02" w:right="98" w:hanging="160"/>
              <w:jc w:val="left"/>
              <w:rPr>
                <w:rFonts w:ascii="宋体" w:hAnsi="宋体" w:cs="宋体" w:eastAsia="宋体" w:hint="default"/>
                <w:sz w:val="16"/>
                <w:szCs w:val="16"/>
              </w:rPr>
            </w:pPr>
            <w:r>
              <w:rPr>
                <w:rFonts w:ascii="宋体" w:hAnsi="宋体" w:cs="宋体" w:eastAsia="宋体" w:hint="default"/>
                <w:sz w:val="16"/>
                <w:szCs w:val="16"/>
              </w:rPr>
              <w:t>有限责任</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韩志刚</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0"/>
              <w:jc w:val="center"/>
              <w:rPr>
                <w:rFonts w:ascii="Arial" w:hAnsi="Arial" w:cs="Arial" w:eastAsia="Arial" w:hint="default"/>
                <w:sz w:val="16"/>
                <w:szCs w:val="16"/>
              </w:rPr>
            </w:pPr>
            <w:r>
              <w:rPr>
                <w:rFonts w:ascii="Arial"/>
                <w:sz w:val="16"/>
              </w:rPr>
              <w:t>170054458</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8"/>
              <w:jc w:val="righ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3"/>
                <w:sz w:val="16"/>
                <w:szCs w:val="16"/>
              </w:rPr>
              <w:t> </w:t>
            </w:r>
            <w:r>
              <w:rPr>
                <w:rFonts w:ascii="Arial" w:hAnsi="Arial" w:cs="Arial" w:eastAsia="Arial" w:hint="default"/>
                <w:sz w:val="16"/>
                <w:szCs w:val="16"/>
              </w:rPr>
              <w:t>2</w:t>
            </w:r>
            <w:r>
              <w:rPr>
                <w:rFonts w:ascii="宋体" w:hAnsi="宋体" w:cs="宋体" w:eastAsia="宋体" w:hint="default"/>
                <w:sz w:val="16"/>
                <w:szCs w:val="16"/>
              </w:rPr>
              <w:t>）</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60" w:right="0"/>
              <w:jc w:val="left"/>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44"/>
              <w:jc w:val="right"/>
              <w:rPr>
                <w:rFonts w:ascii="Arial" w:hAnsi="Arial" w:cs="Arial" w:eastAsia="Arial" w:hint="default"/>
                <w:sz w:val="16"/>
                <w:szCs w:val="16"/>
              </w:rPr>
            </w:pPr>
            <w:r>
              <w:rPr>
                <w:rFonts w:ascii="Arial"/>
                <w:w w:val="95"/>
                <w:sz w:val="16"/>
              </w:rPr>
              <w:t>33.88</w:t>
            </w:r>
            <w:r>
              <w:rPr>
                <w:rFonts w:ascii="Arial"/>
                <w:sz w:val="16"/>
              </w:rPr>
            </w:r>
          </w:p>
        </w:tc>
        <w:tc>
          <w:tcPr>
            <w:tcW w:w="5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49"/>
              <w:jc w:val="right"/>
              <w:rPr>
                <w:rFonts w:ascii="Arial" w:hAnsi="Arial" w:cs="Arial" w:eastAsia="Arial" w:hint="default"/>
                <w:sz w:val="16"/>
                <w:szCs w:val="16"/>
              </w:rPr>
            </w:pPr>
            <w:r>
              <w:rPr>
                <w:rFonts w:ascii="Arial"/>
                <w:w w:val="95"/>
                <w:sz w:val="16"/>
              </w:rPr>
              <w:t>62.04</w:t>
            </w:r>
            <w:r>
              <w:rPr>
                <w:rFonts w:ascii="Arial"/>
                <w:sz w:val="16"/>
              </w:rPr>
            </w:r>
          </w:p>
        </w:tc>
        <w:tc>
          <w:tcPr>
            <w:tcW w:w="4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32"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7"/>
              <w:jc w:val="right"/>
              <w:rPr>
                <w:rFonts w:ascii="Arial" w:hAnsi="Arial" w:cs="Arial" w:eastAsia="Arial" w:hint="default"/>
                <w:sz w:val="16"/>
                <w:szCs w:val="16"/>
              </w:rPr>
            </w:pPr>
            <w:r>
              <w:rPr>
                <w:rFonts w:ascii="Arial"/>
                <w:w w:val="99"/>
                <w:sz w:val="16"/>
              </w:rPr>
              <w:t>-</w:t>
            </w:r>
            <w:r>
              <w:rPr>
                <w:rFonts w:ascii="Arial"/>
                <w:sz w:val="16"/>
              </w:rPr>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2"/>
              <w:jc w:val="right"/>
              <w:rPr>
                <w:rFonts w:ascii="Arial" w:hAnsi="Arial" w:cs="Arial" w:eastAsia="Arial" w:hint="default"/>
                <w:sz w:val="16"/>
                <w:szCs w:val="16"/>
              </w:rPr>
            </w:pPr>
            <w:r>
              <w:rPr>
                <w:rFonts w:ascii="Arial"/>
                <w:w w:val="99"/>
                <w:sz w:val="16"/>
              </w:rPr>
              <w:t>-</w:t>
            </w:r>
            <w:r>
              <w:rPr>
                <w:rFonts w:ascii="Arial"/>
                <w:sz w:val="16"/>
              </w:rPr>
            </w:r>
          </w:p>
        </w:tc>
      </w:tr>
      <w:tr>
        <w:trPr>
          <w:trHeight w:val="784" w:hRule="exact"/>
        </w:trPr>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37" w:right="71" w:hanging="161"/>
              <w:jc w:val="left"/>
              <w:rPr>
                <w:rFonts w:ascii="宋体" w:hAnsi="宋体" w:cs="宋体" w:eastAsia="宋体" w:hint="default"/>
                <w:sz w:val="16"/>
                <w:szCs w:val="16"/>
              </w:rPr>
            </w:pPr>
            <w:r>
              <w:rPr>
                <w:rFonts w:ascii="宋体" w:hAnsi="宋体" w:cs="宋体" w:eastAsia="宋体" w:hint="default"/>
                <w:sz w:val="16"/>
                <w:szCs w:val="16"/>
              </w:rPr>
              <w:t>联通信息导航有限公</w:t>
            </w:r>
            <w:r>
              <w:rPr>
                <w:rFonts w:ascii="宋体" w:hAnsi="宋体" w:cs="宋体" w:eastAsia="宋体" w:hint="default"/>
                <w:w w:val="99"/>
                <w:sz w:val="16"/>
                <w:szCs w:val="16"/>
              </w:rPr>
              <w:t> </w:t>
            </w:r>
            <w:r>
              <w:rPr>
                <w:rFonts w:ascii="宋体" w:hAnsi="宋体" w:cs="宋体" w:eastAsia="宋体" w:hint="default"/>
                <w:sz w:val="16"/>
                <w:szCs w:val="16"/>
              </w:rPr>
              <w:t>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pacing w:val="-11"/>
                <w:sz w:val="16"/>
                <w:szCs w:val="16"/>
              </w:rPr>
              <w:t>（“联通信息导航”）</w:t>
            </w:r>
            <w:r>
              <w:rPr>
                <w:rFonts w:ascii="宋体" w:hAnsi="宋体" w:cs="宋体" w:eastAsia="宋体" w:hint="default"/>
                <w:sz w:val="16"/>
                <w:szCs w:val="16"/>
              </w:rPr>
            </w:r>
          </w:p>
        </w:tc>
        <w:tc>
          <w:tcPr>
            <w:tcW w:w="4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47"/>
              <w:jc w:val="center"/>
              <w:rPr>
                <w:rFonts w:ascii="Arial" w:hAnsi="Arial" w:cs="Arial" w:eastAsia="Arial" w:hint="default"/>
                <w:sz w:val="16"/>
                <w:szCs w:val="16"/>
              </w:rPr>
            </w:pPr>
            <w:r>
              <w:rPr>
                <w:rFonts w:ascii="Arial"/>
                <w:sz w:val="16"/>
              </w:rPr>
              <w:t>(4)</w:t>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1" w:right="167"/>
              <w:jc w:val="left"/>
              <w:rPr>
                <w:rFonts w:ascii="宋体" w:hAnsi="宋体" w:cs="宋体" w:eastAsia="宋体" w:hint="default"/>
                <w:sz w:val="16"/>
                <w:szCs w:val="16"/>
              </w:rPr>
            </w:pPr>
            <w:r>
              <w:rPr>
                <w:rFonts w:ascii="宋体" w:hAnsi="宋体" w:cs="宋体" w:eastAsia="宋体" w:hint="default"/>
                <w:sz w:val="16"/>
                <w:szCs w:val="16"/>
              </w:rPr>
              <w:t>间接</w:t>
            </w:r>
            <w:r>
              <w:rPr>
                <w:rFonts w:ascii="宋体" w:hAnsi="宋体" w:cs="宋体" w:eastAsia="宋体" w:hint="default"/>
                <w:w w:val="99"/>
                <w:sz w:val="16"/>
                <w:szCs w:val="16"/>
              </w:rPr>
              <w:t> </w:t>
            </w:r>
            <w:r>
              <w:rPr>
                <w:rFonts w:ascii="宋体" w:hAnsi="宋体" w:cs="宋体" w:eastAsia="宋体" w:hint="default"/>
                <w:sz w:val="16"/>
                <w:szCs w:val="16"/>
              </w:rPr>
              <w:t>控股</w:t>
            </w:r>
          </w:p>
        </w:tc>
        <w:tc>
          <w:tcPr>
            <w:tcW w:w="1170" w:type="dxa"/>
            <w:tcBorders>
              <w:top w:val="nil" w:sz="6" w:space="0" w:color="auto"/>
              <w:left w:val="nil" w:sz="6" w:space="0" w:color="auto"/>
              <w:bottom w:val="nil" w:sz="6" w:space="0" w:color="auto"/>
              <w:right w:val="nil" w:sz="6" w:space="0" w:color="auto"/>
            </w:tcBorders>
          </w:tcPr>
          <w:p>
            <w:pPr>
              <w:pStyle w:val="TableParagraph"/>
              <w:spacing w:line="208" w:lineRule="exact" w:before="45"/>
              <w:ind w:right="28"/>
              <w:jc w:val="center"/>
              <w:rPr>
                <w:rFonts w:ascii="宋体" w:hAnsi="宋体" w:cs="宋体" w:eastAsia="宋体" w:hint="default"/>
                <w:sz w:val="16"/>
                <w:szCs w:val="16"/>
              </w:rPr>
            </w:pPr>
            <w:r>
              <w:rPr>
                <w:rFonts w:ascii="宋体" w:hAnsi="宋体" w:cs="宋体" w:eastAsia="宋体" w:hint="default"/>
                <w:sz w:val="16"/>
                <w:szCs w:val="16"/>
              </w:rPr>
              <w:t>中国，北京市</w:t>
            </w:r>
          </w:p>
          <w:p>
            <w:pPr>
              <w:pStyle w:val="TableParagraph"/>
              <w:spacing w:line="213" w:lineRule="exact"/>
              <w:ind w:right="29"/>
              <w:jc w:val="center"/>
              <w:rPr>
                <w:rFonts w:ascii="宋体" w:hAnsi="宋体" w:cs="宋体" w:eastAsia="宋体" w:hint="default"/>
                <w:sz w:val="16"/>
                <w:szCs w:val="16"/>
              </w:rPr>
            </w:pPr>
            <w:r>
              <w:rPr>
                <w:rFonts w:ascii="Arial" w:hAnsi="Arial" w:cs="Arial" w:eastAsia="Arial" w:hint="default"/>
                <w:sz w:val="16"/>
                <w:szCs w:val="16"/>
              </w:rPr>
              <w:t>1998</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right="29"/>
              <w:jc w:val="center"/>
              <w:rPr>
                <w:rFonts w:ascii="宋体" w:hAnsi="宋体" w:cs="宋体" w:eastAsia="宋体" w:hint="default"/>
                <w:sz w:val="16"/>
                <w:szCs w:val="16"/>
              </w:rPr>
            </w:pPr>
            <w:r>
              <w:rPr>
                <w:rFonts w:ascii="Arial" w:hAnsi="Arial" w:cs="Arial" w:eastAsia="Arial" w:hint="default"/>
                <w:sz w:val="16"/>
                <w:szCs w:val="16"/>
              </w:rPr>
              <w:t>9</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17</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0" w:right="53" w:hanging="160"/>
              <w:jc w:val="left"/>
              <w:rPr>
                <w:rFonts w:ascii="宋体" w:hAnsi="宋体" w:cs="宋体" w:eastAsia="宋体" w:hint="default"/>
                <w:sz w:val="16"/>
                <w:szCs w:val="16"/>
              </w:rPr>
            </w:pPr>
            <w:r>
              <w:rPr>
                <w:rFonts w:ascii="宋体" w:hAnsi="宋体" w:cs="宋体" w:eastAsia="宋体" w:hint="default"/>
                <w:sz w:val="16"/>
                <w:szCs w:val="16"/>
              </w:rPr>
              <w:t>电信客户</w:t>
            </w:r>
            <w:r>
              <w:rPr>
                <w:rFonts w:ascii="宋体" w:hAnsi="宋体" w:cs="宋体" w:eastAsia="宋体" w:hint="default"/>
                <w:w w:val="99"/>
                <w:sz w:val="16"/>
                <w:szCs w:val="16"/>
              </w:rPr>
              <w:t> </w:t>
            </w:r>
            <w:r>
              <w:rPr>
                <w:rFonts w:ascii="宋体" w:hAnsi="宋体" w:cs="宋体" w:eastAsia="宋体" w:hint="default"/>
                <w:sz w:val="16"/>
                <w:szCs w:val="16"/>
              </w:rPr>
              <w:t>服务</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9"/>
              <w:jc w:val="right"/>
              <w:rPr>
                <w:rFonts w:ascii="Arial" w:hAnsi="Arial" w:cs="Arial" w:eastAsia="Arial" w:hint="default"/>
                <w:sz w:val="16"/>
                <w:szCs w:val="16"/>
              </w:rPr>
            </w:pPr>
            <w:r>
              <w:rPr>
                <w:rFonts w:ascii="Arial"/>
                <w:w w:val="95"/>
                <w:sz w:val="16"/>
              </w:rPr>
              <w:t>6,825,088</w:t>
            </w:r>
            <w:r>
              <w:rPr>
                <w:rFonts w:ascii="Arial"/>
                <w:sz w:val="16"/>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8" w:right="0"/>
              <w:jc w:val="center"/>
              <w:rPr>
                <w:rFonts w:ascii="宋体" w:hAnsi="宋体" w:cs="宋体" w:eastAsia="宋体" w:hint="default"/>
                <w:sz w:val="16"/>
                <w:szCs w:val="16"/>
              </w:rPr>
            </w:pPr>
            <w:r>
              <w:rPr>
                <w:rFonts w:ascii="宋体" w:hAnsi="宋体" w:cs="宋体" w:eastAsia="宋体" w:hint="default"/>
                <w:sz w:val="16"/>
                <w:szCs w:val="16"/>
              </w:rPr>
              <w:t>电信客户服务</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2" w:right="98" w:hanging="160"/>
              <w:jc w:val="left"/>
              <w:rPr>
                <w:rFonts w:ascii="宋体" w:hAnsi="宋体" w:cs="宋体" w:eastAsia="宋体" w:hint="default"/>
                <w:sz w:val="16"/>
                <w:szCs w:val="16"/>
              </w:rPr>
            </w:pPr>
            <w:r>
              <w:rPr>
                <w:rFonts w:ascii="宋体" w:hAnsi="宋体" w:cs="宋体" w:eastAsia="宋体" w:hint="default"/>
                <w:sz w:val="16"/>
                <w:szCs w:val="16"/>
              </w:rPr>
              <w:t>有限责任</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sz w:val="16"/>
                <w:szCs w:val="16"/>
              </w:rPr>
              <w:t>李刚</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0"/>
              <w:jc w:val="center"/>
              <w:rPr>
                <w:rFonts w:ascii="Arial" w:hAnsi="Arial" w:cs="Arial" w:eastAsia="Arial" w:hint="default"/>
                <w:sz w:val="16"/>
                <w:szCs w:val="16"/>
              </w:rPr>
            </w:pPr>
            <w:r>
              <w:rPr>
                <w:rFonts w:ascii="Arial"/>
                <w:sz w:val="16"/>
              </w:rPr>
              <w:t>710923096</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8"/>
              <w:jc w:val="righ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3"/>
                <w:sz w:val="16"/>
                <w:szCs w:val="16"/>
              </w:rPr>
              <w:t> </w:t>
            </w:r>
            <w:r>
              <w:rPr>
                <w:rFonts w:ascii="Arial" w:hAnsi="Arial" w:cs="Arial" w:eastAsia="Arial" w:hint="default"/>
                <w:sz w:val="16"/>
                <w:szCs w:val="16"/>
              </w:rPr>
              <w:t>2</w:t>
            </w:r>
            <w:r>
              <w:rPr>
                <w:rFonts w:ascii="宋体" w:hAnsi="宋体" w:cs="宋体" w:eastAsia="宋体" w:hint="default"/>
                <w:sz w:val="16"/>
                <w:szCs w:val="16"/>
              </w:rPr>
              <w:t>）</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60" w:right="0"/>
              <w:jc w:val="left"/>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44"/>
              <w:jc w:val="right"/>
              <w:rPr>
                <w:rFonts w:ascii="Arial" w:hAnsi="Arial" w:cs="Arial" w:eastAsia="Arial" w:hint="default"/>
                <w:sz w:val="16"/>
                <w:szCs w:val="16"/>
              </w:rPr>
            </w:pPr>
            <w:r>
              <w:rPr>
                <w:rFonts w:ascii="Arial"/>
                <w:w w:val="95"/>
                <w:sz w:val="16"/>
              </w:rPr>
              <w:t>33.88</w:t>
            </w:r>
            <w:r>
              <w:rPr>
                <w:rFonts w:ascii="Arial"/>
                <w:sz w:val="16"/>
              </w:rPr>
            </w:r>
          </w:p>
        </w:tc>
        <w:tc>
          <w:tcPr>
            <w:tcW w:w="5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49"/>
              <w:jc w:val="right"/>
              <w:rPr>
                <w:rFonts w:ascii="Arial" w:hAnsi="Arial" w:cs="Arial" w:eastAsia="Arial" w:hint="default"/>
                <w:sz w:val="16"/>
                <w:szCs w:val="16"/>
              </w:rPr>
            </w:pPr>
            <w:r>
              <w:rPr>
                <w:rFonts w:ascii="Arial"/>
                <w:w w:val="95"/>
                <w:sz w:val="16"/>
              </w:rPr>
              <w:t>62.04</w:t>
            </w:r>
            <w:r>
              <w:rPr>
                <w:rFonts w:ascii="Arial"/>
                <w:sz w:val="16"/>
              </w:rPr>
            </w:r>
          </w:p>
        </w:tc>
        <w:tc>
          <w:tcPr>
            <w:tcW w:w="4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32"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7"/>
              <w:jc w:val="right"/>
              <w:rPr>
                <w:rFonts w:ascii="Arial" w:hAnsi="Arial" w:cs="Arial" w:eastAsia="Arial" w:hint="default"/>
                <w:sz w:val="16"/>
                <w:szCs w:val="16"/>
              </w:rPr>
            </w:pPr>
            <w:r>
              <w:rPr>
                <w:rFonts w:ascii="Arial"/>
                <w:w w:val="99"/>
                <w:sz w:val="16"/>
              </w:rPr>
              <w:t>-</w:t>
            </w:r>
            <w:r>
              <w:rPr>
                <w:rFonts w:ascii="Arial"/>
                <w:sz w:val="16"/>
              </w:rPr>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2"/>
              <w:jc w:val="right"/>
              <w:rPr>
                <w:rFonts w:ascii="Arial" w:hAnsi="Arial" w:cs="Arial" w:eastAsia="Arial" w:hint="default"/>
                <w:sz w:val="16"/>
                <w:szCs w:val="16"/>
              </w:rPr>
            </w:pPr>
            <w:r>
              <w:rPr>
                <w:rFonts w:ascii="Arial"/>
                <w:w w:val="99"/>
                <w:sz w:val="16"/>
              </w:rPr>
              <w:t>-</w:t>
            </w:r>
            <w:r>
              <w:rPr>
                <w:rFonts w:ascii="Arial"/>
                <w:sz w:val="16"/>
              </w:rPr>
            </w:r>
          </w:p>
        </w:tc>
      </w:tr>
      <w:tr>
        <w:trPr>
          <w:trHeight w:val="784" w:hRule="exact"/>
        </w:trPr>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37" w:right="71" w:hanging="161"/>
              <w:jc w:val="left"/>
              <w:rPr>
                <w:rFonts w:ascii="宋体" w:hAnsi="宋体" w:cs="宋体" w:eastAsia="宋体" w:hint="default"/>
                <w:sz w:val="16"/>
                <w:szCs w:val="16"/>
              </w:rPr>
            </w:pPr>
            <w:r>
              <w:rPr>
                <w:rFonts w:ascii="宋体" w:hAnsi="宋体" w:cs="宋体" w:eastAsia="宋体" w:hint="default"/>
                <w:sz w:val="16"/>
                <w:szCs w:val="16"/>
              </w:rPr>
              <w:t>联通兴业通信技术有</w:t>
            </w:r>
            <w:r>
              <w:rPr>
                <w:rFonts w:ascii="宋体" w:hAnsi="宋体" w:cs="宋体" w:eastAsia="宋体" w:hint="default"/>
                <w:w w:val="99"/>
                <w:sz w:val="16"/>
                <w:szCs w:val="16"/>
              </w:rPr>
              <w:t> </w:t>
            </w:r>
            <w:r>
              <w:rPr>
                <w:rFonts w:ascii="宋体" w:hAnsi="宋体" w:cs="宋体" w:eastAsia="宋体" w:hint="default"/>
                <w:sz w:val="16"/>
                <w:szCs w:val="16"/>
              </w:rPr>
              <w:t>限公司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（“联通兴业”）</w:t>
            </w:r>
          </w:p>
        </w:tc>
        <w:tc>
          <w:tcPr>
            <w:tcW w:w="4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47"/>
              <w:jc w:val="center"/>
              <w:rPr>
                <w:rFonts w:ascii="Arial" w:hAnsi="Arial" w:cs="Arial" w:eastAsia="Arial" w:hint="default"/>
                <w:sz w:val="16"/>
                <w:szCs w:val="16"/>
              </w:rPr>
            </w:pPr>
            <w:r>
              <w:rPr>
                <w:rFonts w:ascii="Arial"/>
                <w:sz w:val="16"/>
              </w:rPr>
              <w:t>(4)</w:t>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1" w:right="167"/>
              <w:jc w:val="left"/>
              <w:rPr>
                <w:rFonts w:ascii="宋体" w:hAnsi="宋体" w:cs="宋体" w:eastAsia="宋体" w:hint="default"/>
                <w:sz w:val="16"/>
                <w:szCs w:val="16"/>
              </w:rPr>
            </w:pPr>
            <w:r>
              <w:rPr>
                <w:rFonts w:ascii="宋体" w:hAnsi="宋体" w:cs="宋体" w:eastAsia="宋体" w:hint="default"/>
                <w:sz w:val="16"/>
                <w:szCs w:val="16"/>
              </w:rPr>
              <w:t>间接</w:t>
            </w:r>
            <w:r>
              <w:rPr>
                <w:rFonts w:ascii="宋体" w:hAnsi="宋体" w:cs="宋体" w:eastAsia="宋体" w:hint="default"/>
                <w:w w:val="99"/>
                <w:sz w:val="16"/>
                <w:szCs w:val="16"/>
              </w:rPr>
              <w:t> </w:t>
            </w:r>
            <w:r>
              <w:rPr>
                <w:rFonts w:ascii="宋体" w:hAnsi="宋体" w:cs="宋体" w:eastAsia="宋体" w:hint="default"/>
                <w:sz w:val="16"/>
                <w:szCs w:val="16"/>
              </w:rPr>
              <w:t>控股</w:t>
            </w:r>
          </w:p>
        </w:tc>
        <w:tc>
          <w:tcPr>
            <w:tcW w:w="1170" w:type="dxa"/>
            <w:tcBorders>
              <w:top w:val="nil" w:sz="6" w:space="0" w:color="auto"/>
              <w:left w:val="nil" w:sz="6" w:space="0" w:color="auto"/>
              <w:bottom w:val="nil" w:sz="6" w:space="0" w:color="auto"/>
              <w:right w:val="nil" w:sz="6" w:space="0" w:color="auto"/>
            </w:tcBorders>
          </w:tcPr>
          <w:p>
            <w:pPr>
              <w:pStyle w:val="TableParagraph"/>
              <w:spacing w:line="208" w:lineRule="exact" w:before="45"/>
              <w:ind w:right="28"/>
              <w:jc w:val="center"/>
              <w:rPr>
                <w:rFonts w:ascii="宋体" w:hAnsi="宋体" w:cs="宋体" w:eastAsia="宋体" w:hint="default"/>
                <w:sz w:val="16"/>
                <w:szCs w:val="16"/>
              </w:rPr>
            </w:pPr>
            <w:r>
              <w:rPr>
                <w:rFonts w:ascii="宋体" w:hAnsi="宋体" w:cs="宋体" w:eastAsia="宋体" w:hint="default"/>
                <w:sz w:val="16"/>
                <w:szCs w:val="16"/>
              </w:rPr>
              <w:t>中国，北京市</w:t>
            </w:r>
          </w:p>
          <w:p>
            <w:pPr>
              <w:pStyle w:val="TableParagraph"/>
              <w:spacing w:line="213" w:lineRule="exact"/>
              <w:ind w:right="29"/>
              <w:jc w:val="center"/>
              <w:rPr>
                <w:rFonts w:ascii="宋体" w:hAnsi="宋体" w:cs="宋体" w:eastAsia="宋体" w:hint="default"/>
                <w:sz w:val="16"/>
                <w:szCs w:val="16"/>
              </w:rPr>
            </w:pPr>
            <w:r>
              <w:rPr>
                <w:rFonts w:ascii="Arial" w:hAnsi="Arial" w:cs="Arial" w:eastAsia="Arial" w:hint="default"/>
                <w:sz w:val="16"/>
                <w:szCs w:val="16"/>
              </w:rPr>
              <w:t>2000</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right="29"/>
              <w:jc w:val="center"/>
              <w:rPr>
                <w:rFonts w:ascii="宋体" w:hAnsi="宋体" w:cs="宋体" w:eastAsia="宋体" w:hint="default"/>
                <w:sz w:val="16"/>
                <w:szCs w:val="16"/>
              </w:rPr>
            </w:pPr>
            <w:r>
              <w:rPr>
                <w:rFonts w:ascii="Arial" w:hAnsi="Arial" w:cs="Arial" w:eastAsia="Arial" w:hint="default"/>
                <w:sz w:val="16"/>
                <w:szCs w:val="16"/>
              </w:rPr>
              <w:t>10</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30</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0" w:right="53" w:hanging="160"/>
              <w:jc w:val="left"/>
              <w:rPr>
                <w:rFonts w:ascii="宋体" w:hAnsi="宋体" w:cs="宋体" w:eastAsia="宋体" w:hint="default"/>
                <w:sz w:val="16"/>
                <w:szCs w:val="16"/>
              </w:rPr>
            </w:pPr>
            <w:r>
              <w:rPr>
                <w:rFonts w:ascii="宋体" w:hAnsi="宋体" w:cs="宋体" w:eastAsia="宋体" w:hint="default"/>
                <w:sz w:val="16"/>
                <w:szCs w:val="16"/>
              </w:rPr>
              <w:t>通信配件</w:t>
            </w:r>
            <w:r>
              <w:rPr>
                <w:rFonts w:ascii="宋体" w:hAnsi="宋体" w:cs="宋体" w:eastAsia="宋体" w:hint="default"/>
                <w:w w:val="99"/>
                <w:sz w:val="16"/>
                <w:szCs w:val="16"/>
              </w:rPr>
              <w:t> </w:t>
            </w:r>
            <w:r>
              <w:rPr>
                <w:rFonts w:ascii="宋体" w:hAnsi="宋体" w:cs="宋体" w:eastAsia="宋体" w:hint="default"/>
                <w:sz w:val="16"/>
                <w:szCs w:val="16"/>
              </w:rPr>
              <w:t>销售</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9"/>
              <w:jc w:val="right"/>
              <w:rPr>
                <w:rFonts w:ascii="Arial" w:hAnsi="Arial" w:cs="Arial" w:eastAsia="Arial" w:hint="default"/>
                <w:sz w:val="16"/>
                <w:szCs w:val="16"/>
              </w:rPr>
            </w:pPr>
            <w:r>
              <w:rPr>
                <w:rFonts w:ascii="Arial"/>
                <w:w w:val="95"/>
                <w:sz w:val="16"/>
              </w:rPr>
              <w:t>30,000</w:t>
            </w:r>
            <w:r>
              <w:rPr>
                <w:rFonts w:ascii="Arial"/>
                <w:sz w:val="16"/>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8" w:right="0"/>
              <w:jc w:val="center"/>
              <w:rPr>
                <w:rFonts w:ascii="宋体" w:hAnsi="宋体" w:cs="宋体" w:eastAsia="宋体" w:hint="default"/>
                <w:sz w:val="16"/>
                <w:szCs w:val="16"/>
              </w:rPr>
            </w:pPr>
            <w:r>
              <w:rPr>
                <w:rFonts w:ascii="宋体" w:hAnsi="宋体" w:cs="宋体" w:eastAsia="宋体" w:hint="default"/>
                <w:sz w:val="16"/>
                <w:szCs w:val="16"/>
              </w:rPr>
              <w:t>通信配件销售</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2" w:right="98" w:hanging="160"/>
              <w:jc w:val="left"/>
              <w:rPr>
                <w:rFonts w:ascii="宋体" w:hAnsi="宋体" w:cs="宋体" w:eastAsia="宋体" w:hint="default"/>
                <w:sz w:val="16"/>
                <w:szCs w:val="16"/>
              </w:rPr>
            </w:pPr>
            <w:r>
              <w:rPr>
                <w:rFonts w:ascii="宋体" w:hAnsi="宋体" w:cs="宋体" w:eastAsia="宋体" w:hint="default"/>
                <w:sz w:val="16"/>
                <w:szCs w:val="16"/>
              </w:rPr>
              <w:t>有限责任</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李广群</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0"/>
              <w:jc w:val="center"/>
              <w:rPr>
                <w:rFonts w:ascii="Arial" w:hAnsi="Arial" w:cs="Arial" w:eastAsia="Arial" w:hint="default"/>
                <w:sz w:val="16"/>
                <w:szCs w:val="16"/>
              </w:rPr>
            </w:pPr>
            <w:r>
              <w:rPr>
                <w:rFonts w:ascii="Arial"/>
                <w:sz w:val="16"/>
              </w:rPr>
              <w:t>710927345</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8"/>
              <w:jc w:val="righ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3"/>
                <w:sz w:val="16"/>
                <w:szCs w:val="16"/>
              </w:rPr>
              <w:t> </w:t>
            </w:r>
            <w:r>
              <w:rPr>
                <w:rFonts w:ascii="Arial" w:hAnsi="Arial" w:cs="Arial" w:eastAsia="Arial" w:hint="default"/>
                <w:sz w:val="16"/>
                <w:szCs w:val="16"/>
              </w:rPr>
              <w:t>2</w:t>
            </w:r>
            <w:r>
              <w:rPr>
                <w:rFonts w:ascii="宋体" w:hAnsi="宋体" w:cs="宋体" w:eastAsia="宋体" w:hint="default"/>
                <w:sz w:val="16"/>
                <w:szCs w:val="16"/>
              </w:rPr>
              <w:t>）</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60" w:right="0"/>
              <w:jc w:val="left"/>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44"/>
              <w:jc w:val="right"/>
              <w:rPr>
                <w:rFonts w:ascii="Arial" w:hAnsi="Arial" w:cs="Arial" w:eastAsia="Arial" w:hint="default"/>
                <w:sz w:val="16"/>
                <w:szCs w:val="16"/>
              </w:rPr>
            </w:pPr>
            <w:r>
              <w:rPr>
                <w:rFonts w:ascii="Arial"/>
                <w:w w:val="95"/>
                <w:sz w:val="16"/>
              </w:rPr>
              <w:t>33.88</w:t>
            </w:r>
            <w:r>
              <w:rPr>
                <w:rFonts w:ascii="Arial"/>
                <w:sz w:val="16"/>
              </w:rPr>
            </w:r>
          </w:p>
        </w:tc>
        <w:tc>
          <w:tcPr>
            <w:tcW w:w="5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49"/>
              <w:jc w:val="right"/>
              <w:rPr>
                <w:rFonts w:ascii="Arial" w:hAnsi="Arial" w:cs="Arial" w:eastAsia="Arial" w:hint="default"/>
                <w:sz w:val="16"/>
                <w:szCs w:val="16"/>
              </w:rPr>
            </w:pPr>
            <w:r>
              <w:rPr>
                <w:rFonts w:ascii="Arial"/>
                <w:w w:val="95"/>
                <w:sz w:val="16"/>
              </w:rPr>
              <w:t>62.04</w:t>
            </w:r>
            <w:r>
              <w:rPr>
                <w:rFonts w:ascii="Arial"/>
                <w:sz w:val="16"/>
              </w:rPr>
            </w:r>
          </w:p>
        </w:tc>
        <w:tc>
          <w:tcPr>
            <w:tcW w:w="4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32"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7"/>
              <w:jc w:val="right"/>
              <w:rPr>
                <w:rFonts w:ascii="Arial" w:hAnsi="Arial" w:cs="Arial" w:eastAsia="Arial" w:hint="default"/>
                <w:sz w:val="16"/>
                <w:szCs w:val="16"/>
              </w:rPr>
            </w:pPr>
            <w:r>
              <w:rPr>
                <w:rFonts w:ascii="Arial"/>
                <w:w w:val="99"/>
                <w:sz w:val="16"/>
              </w:rPr>
              <w:t>-</w:t>
            </w:r>
            <w:r>
              <w:rPr>
                <w:rFonts w:ascii="Arial"/>
                <w:sz w:val="16"/>
              </w:rPr>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2"/>
              <w:jc w:val="right"/>
              <w:rPr>
                <w:rFonts w:ascii="Arial" w:hAnsi="Arial" w:cs="Arial" w:eastAsia="Arial" w:hint="default"/>
                <w:sz w:val="16"/>
                <w:szCs w:val="16"/>
              </w:rPr>
            </w:pPr>
            <w:r>
              <w:rPr>
                <w:rFonts w:ascii="Arial"/>
                <w:w w:val="99"/>
                <w:sz w:val="16"/>
              </w:rPr>
              <w:t>-</w:t>
            </w:r>
            <w:r>
              <w:rPr>
                <w:rFonts w:ascii="Arial"/>
                <w:sz w:val="16"/>
              </w:rPr>
            </w:r>
          </w:p>
        </w:tc>
      </w:tr>
      <w:tr>
        <w:trPr>
          <w:trHeight w:val="689" w:hRule="exact"/>
        </w:trPr>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37" w:right="71" w:hanging="161"/>
              <w:jc w:val="left"/>
              <w:rPr>
                <w:rFonts w:ascii="宋体" w:hAnsi="宋体" w:cs="宋体" w:eastAsia="宋体" w:hint="default"/>
                <w:sz w:val="16"/>
                <w:szCs w:val="16"/>
              </w:rPr>
            </w:pPr>
            <w:r>
              <w:rPr>
                <w:rFonts w:ascii="宋体" w:hAnsi="宋体" w:cs="宋体" w:eastAsia="宋体" w:hint="default"/>
                <w:sz w:val="16"/>
                <w:szCs w:val="16"/>
              </w:rPr>
              <w:t>联通新时讯通信有限</w:t>
            </w:r>
            <w:r>
              <w:rPr>
                <w:rFonts w:ascii="宋体" w:hAnsi="宋体" w:cs="宋体" w:eastAsia="宋体" w:hint="default"/>
                <w:w w:val="99"/>
                <w:sz w:val="16"/>
                <w:szCs w:val="16"/>
              </w:rPr>
              <w:t> </w:t>
            </w:r>
            <w:r>
              <w:rPr>
                <w:rFonts w:ascii="宋体" w:hAnsi="宋体" w:cs="宋体" w:eastAsia="宋体" w:hint="default"/>
                <w:sz w:val="16"/>
                <w:szCs w:val="16"/>
              </w:rPr>
              <w:t>公司</w:t>
            </w:r>
          </w:p>
          <w:p>
            <w:pPr>
              <w:pStyle w:val="TableParagraph"/>
              <w:spacing w:line="206"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（“联通新时讯”）</w:t>
            </w:r>
          </w:p>
        </w:tc>
        <w:tc>
          <w:tcPr>
            <w:tcW w:w="4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47"/>
              <w:jc w:val="center"/>
              <w:rPr>
                <w:rFonts w:ascii="Arial" w:hAnsi="Arial" w:cs="Arial" w:eastAsia="Arial" w:hint="default"/>
                <w:sz w:val="16"/>
                <w:szCs w:val="16"/>
              </w:rPr>
            </w:pPr>
            <w:r>
              <w:rPr>
                <w:rFonts w:ascii="Arial"/>
                <w:sz w:val="16"/>
              </w:rPr>
              <w:t>(3)</w:t>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06" w:lineRule="exact"/>
              <w:ind w:left="151" w:right="167"/>
              <w:jc w:val="left"/>
              <w:rPr>
                <w:rFonts w:ascii="宋体" w:hAnsi="宋体" w:cs="宋体" w:eastAsia="宋体" w:hint="default"/>
                <w:sz w:val="16"/>
                <w:szCs w:val="16"/>
              </w:rPr>
            </w:pPr>
            <w:r>
              <w:rPr>
                <w:rFonts w:ascii="宋体" w:hAnsi="宋体" w:cs="宋体" w:eastAsia="宋体" w:hint="default"/>
                <w:sz w:val="16"/>
                <w:szCs w:val="16"/>
              </w:rPr>
              <w:t>间接</w:t>
            </w:r>
            <w:r>
              <w:rPr>
                <w:rFonts w:ascii="宋体" w:hAnsi="宋体" w:cs="宋体" w:eastAsia="宋体" w:hint="default"/>
                <w:w w:val="99"/>
                <w:sz w:val="16"/>
                <w:szCs w:val="16"/>
              </w:rPr>
              <w:t> </w:t>
            </w:r>
            <w:r>
              <w:rPr>
                <w:rFonts w:ascii="宋体" w:hAnsi="宋体" w:cs="宋体" w:eastAsia="宋体" w:hint="default"/>
                <w:sz w:val="16"/>
                <w:szCs w:val="16"/>
              </w:rPr>
              <w:t>控股</w:t>
            </w:r>
          </w:p>
        </w:tc>
        <w:tc>
          <w:tcPr>
            <w:tcW w:w="1170" w:type="dxa"/>
            <w:tcBorders>
              <w:top w:val="nil" w:sz="6" w:space="0" w:color="auto"/>
              <w:left w:val="nil" w:sz="6" w:space="0" w:color="auto"/>
              <w:bottom w:val="nil" w:sz="6" w:space="0" w:color="auto"/>
              <w:right w:val="nil" w:sz="6" w:space="0" w:color="auto"/>
            </w:tcBorders>
          </w:tcPr>
          <w:p>
            <w:pPr>
              <w:pStyle w:val="TableParagraph"/>
              <w:spacing w:line="208" w:lineRule="exact" w:before="45"/>
              <w:ind w:right="28"/>
              <w:jc w:val="center"/>
              <w:rPr>
                <w:rFonts w:ascii="宋体" w:hAnsi="宋体" w:cs="宋体" w:eastAsia="宋体" w:hint="default"/>
                <w:sz w:val="16"/>
                <w:szCs w:val="16"/>
              </w:rPr>
            </w:pPr>
            <w:r>
              <w:rPr>
                <w:rFonts w:ascii="宋体" w:hAnsi="宋体" w:cs="宋体" w:eastAsia="宋体" w:hint="default"/>
                <w:sz w:val="16"/>
                <w:szCs w:val="16"/>
              </w:rPr>
              <w:t>中国，北京市</w:t>
            </w:r>
          </w:p>
          <w:p>
            <w:pPr>
              <w:pStyle w:val="TableParagraph"/>
              <w:spacing w:line="213" w:lineRule="exact"/>
              <w:ind w:right="29"/>
              <w:jc w:val="center"/>
              <w:rPr>
                <w:rFonts w:ascii="宋体" w:hAnsi="宋体" w:cs="宋体" w:eastAsia="宋体" w:hint="default"/>
                <w:sz w:val="16"/>
                <w:szCs w:val="16"/>
              </w:rPr>
            </w:pPr>
            <w:r>
              <w:rPr>
                <w:rFonts w:ascii="Arial" w:hAnsi="Arial" w:cs="Arial" w:eastAsia="Arial" w:hint="default"/>
                <w:sz w:val="16"/>
                <w:szCs w:val="16"/>
              </w:rPr>
              <w:t>1999</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right="29"/>
              <w:jc w:val="center"/>
              <w:rPr>
                <w:rFonts w:ascii="宋体" w:hAnsi="宋体" w:cs="宋体" w:eastAsia="宋体" w:hint="default"/>
                <w:sz w:val="16"/>
                <w:szCs w:val="16"/>
              </w:rPr>
            </w:pPr>
            <w:r>
              <w:rPr>
                <w:rFonts w:ascii="Arial" w:hAnsi="Arial" w:cs="Arial" w:eastAsia="Arial" w:hint="default"/>
                <w:sz w:val="16"/>
                <w:szCs w:val="16"/>
              </w:rPr>
              <w:t>9</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0" w:right="0"/>
              <w:jc w:val="left"/>
              <w:rPr>
                <w:rFonts w:ascii="宋体" w:hAnsi="宋体" w:cs="宋体" w:eastAsia="宋体" w:hint="default"/>
                <w:sz w:val="16"/>
                <w:szCs w:val="16"/>
              </w:rPr>
            </w:pPr>
            <w:r>
              <w:rPr>
                <w:rFonts w:ascii="宋体" w:hAnsi="宋体" w:cs="宋体" w:eastAsia="宋体" w:hint="default"/>
                <w:sz w:val="16"/>
                <w:szCs w:val="16"/>
              </w:rPr>
              <w:t>电信业务</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9"/>
              <w:jc w:val="right"/>
              <w:rPr>
                <w:rFonts w:ascii="Arial" w:hAnsi="Arial" w:cs="Arial" w:eastAsia="Arial" w:hint="default"/>
                <w:sz w:val="16"/>
                <w:szCs w:val="16"/>
              </w:rPr>
            </w:pPr>
            <w:r>
              <w:rPr>
                <w:rFonts w:ascii="Arial"/>
                <w:w w:val="95"/>
                <w:sz w:val="16"/>
              </w:rPr>
              <w:t>120,000</w:t>
            </w:r>
            <w:r>
              <w:rPr>
                <w:rFonts w:ascii="Arial"/>
                <w:sz w:val="16"/>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8" w:right="0"/>
              <w:jc w:val="center"/>
              <w:rPr>
                <w:rFonts w:ascii="宋体" w:hAnsi="宋体" w:cs="宋体" w:eastAsia="宋体" w:hint="default"/>
                <w:sz w:val="16"/>
                <w:szCs w:val="16"/>
              </w:rPr>
            </w:pPr>
            <w:r>
              <w:rPr>
                <w:rFonts w:ascii="宋体" w:hAnsi="宋体" w:cs="宋体" w:eastAsia="宋体" w:hint="default"/>
                <w:sz w:val="16"/>
                <w:szCs w:val="16"/>
              </w:rPr>
              <w:t>手机增值业务</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06" w:lineRule="exact"/>
              <w:ind w:left="202" w:right="98" w:hanging="160"/>
              <w:jc w:val="left"/>
              <w:rPr>
                <w:rFonts w:ascii="宋体" w:hAnsi="宋体" w:cs="宋体" w:eastAsia="宋体" w:hint="default"/>
                <w:sz w:val="16"/>
                <w:szCs w:val="16"/>
              </w:rPr>
            </w:pPr>
            <w:r>
              <w:rPr>
                <w:rFonts w:ascii="宋体" w:hAnsi="宋体" w:cs="宋体" w:eastAsia="宋体" w:hint="default"/>
                <w:sz w:val="16"/>
                <w:szCs w:val="16"/>
              </w:rPr>
              <w:t>有限责任</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杨可可</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0"/>
              <w:jc w:val="center"/>
              <w:rPr>
                <w:rFonts w:ascii="Arial" w:hAnsi="Arial" w:cs="Arial" w:eastAsia="Arial" w:hint="default"/>
                <w:sz w:val="16"/>
                <w:szCs w:val="16"/>
              </w:rPr>
            </w:pPr>
            <w:r>
              <w:rPr>
                <w:rFonts w:ascii="Arial"/>
                <w:sz w:val="16"/>
              </w:rPr>
              <w:t>600035901</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94" w:right="0"/>
              <w:jc w:val="left"/>
              <w:rPr>
                <w:rFonts w:ascii="Arial" w:hAnsi="Arial" w:cs="Arial" w:eastAsia="Arial" w:hint="default"/>
                <w:sz w:val="16"/>
                <w:szCs w:val="16"/>
              </w:rPr>
            </w:pPr>
            <w:r>
              <w:rPr>
                <w:rFonts w:ascii="Arial"/>
                <w:sz w:val="16"/>
              </w:rPr>
              <w:t>157,925</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60" w:right="0"/>
              <w:jc w:val="left"/>
              <w:rPr>
                <w:rFonts w:ascii="宋体" w:hAnsi="宋体" w:cs="宋体" w:eastAsia="宋体" w:hint="default"/>
                <w:sz w:val="16"/>
                <w:szCs w:val="16"/>
              </w:rPr>
            </w:pPr>
            <w:r>
              <w:rPr>
                <w:rFonts w:ascii="宋体" w:hAnsi="宋体" w:cs="宋体" w:eastAsia="宋体" w:hint="default"/>
                <w:w w:val="99"/>
                <w:sz w:val="16"/>
                <w:szCs w:val="16"/>
              </w:rPr>
              <w:t>无</w:t>
            </w:r>
            <w:r>
              <w:rPr>
                <w:rFonts w:ascii="宋体" w:hAnsi="宋体" w:cs="宋体" w:eastAsia="宋体" w:hint="default"/>
                <w:sz w:val="16"/>
                <w:szCs w:val="16"/>
              </w:rPr>
            </w:r>
          </w:p>
        </w:tc>
        <w:tc>
          <w:tcPr>
            <w:tcW w:w="5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44"/>
              <w:jc w:val="right"/>
              <w:rPr>
                <w:rFonts w:ascii="Arial" w:hAnsi="Arial" w:cs="Arial" w:eastAsia="Arial" w:hint="default"/>
                <w:sz w:val="16"/>
                <w:szCs w:val="16"/>
              </w:rPr>
            </w:pPr>
            <w:r>
              <w:rPr>
                <w:rFonts w:ascii="Arial"/>
                <w:w w:val="95"/>
                <w:sz w:val="16"/>
              </w:rPr>
              <w:t>33.88</w:t>
            </w:r>
            <w:r>
              <w:rPr>
                <w:rFonts w:ascii="Arial"/>
                <w:sz w:val="16"/>
              </w:rPr>
            </w:r>
          </w:p>
        </w:tc>
        <w:tc>
          <w:tcPr>
            <w:tcW w:w="5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49"/>
              <w:jc w:val="right"/>
              <w:rPr>
                <w:rFonts w:ascii="Arial" w:hAnsi="Arial" w:cs="Arial" w:eastAsia="Arial" w:hint="default"/>
                <w:sz w:val="16"/>
                <w:szCs w:val="16"/>
              </w:rPr>
            </w:pPr>
            <w:r>
              <w:rPr>
                <w:rFonts w:ascii="Arial"/>
                <w:w w:val="95"/>
                <w:sz w:val="16"/>
              </w:rPr>
              <w:t>62.04</w:t>
            </w:r>
            <w:r>
              <w:rPr>
                <w:rFonts w:ascii="Arial"/>
                <w:sz w:val="16"/>
              </w:rPr>
            </w:r>
          </w:p>
        </w:tc>
        <w:tc>
          <w:tcPr>
            <w:tcW w:w="4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2"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7"/>
              <w:jc w:val="right"/>
              <w:rPr>
                <w:rFonts w:ascii="Arial" w:hAnsi="Arial" w:cs="Arial" w:eastAsia="Arial" w:hint="default"/>
                <w:sz w:val="16"/>
                <w:szCs w:val="16"/>
              </w:rPr>
            </w:pPr>
            <w:r>
              <w:rPr>
                <w:rFonts w:ascii="Arial"/>
                <w:w w:val="99"/>
                <w:sz w:val="16"/>
              </w:rPr>
              <w:t>-</w:t>
            </w:r>
            <w:r>
              <w:rPr>
                <w:rFonts w:ascii="Arial"/>
                <w:sz w:val="16"/>
              </w:rPr>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2"/>
              <w:jc w:val="right"/>
              <w:rPr>
                <w:rFonts w:ascii="Arial" w:hAnsi="Arial" w:cs="Arial" w:eastAsia="Arial" w:hint="default"/>
                <w:sz w:val="16"/>
                <w:szCs w:val="16"/>
              </w:rPr>
            </w:pPr>
            <w:r>
              <w:rPr>
                <w:rFonts w:ascii="Arial"/>
                <w:w w:val="99"/>
                <w:sz w:val="16"/>
              </w:rPr>
              <w:t>-</w:t>
            </w:r>
            <w:r>
              <w:rPr>
                <w:rFonts w:ascii="Arial"/>
                <w:sz w:val="16"/>
              </w:rPr>
            </w:r>
          </w:p>
        </w:tc>
      </w:tr>
    </w:tbl>
    <w:p>
      <w:pPr>
        <w:spacing w:line="240" w:lineRule="auto" w:before="11"/>
        <w:rPr>
          <w:rFonts w:ascii="宋体" w:hAnsi="宋体" w:cs="宋体" w:eastAsia="宋体" w:hint="default"/>
          <w:sz w:val="13"/>
          <w:szCs w:val="13"/>
        </w:rPr>
      </w:pPr>
    </w:p>
    <w:p>
      <w:pPr>
        <w:spacing w:line="214" w:lineRule="exact" w:before="50"/>
        <w:ind w:left="597" w:right="0" w:firstLine="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4"/>
          <w:sz w:val="16"/>
          <w:szCs w:val="16"/>
        </w:rPr>
        <w:t> </w:t>
      </w:r>
      <w:r>
        <w:rPr>
          <w:rFonts w:ascii="Arial" w:hAnsi="Arial" w:cs="Arial" w:eastAsia="Arial" w:hint="default"/>
          <w:sz w:val="16"/>
          <w:szCs w:val="16"/>
        </w:rPr>
        <w:t>1</w:t>
      </w:r>
      <w:r>
        <w:rPr>
          <w:rFonts w:ascii="宋体" w:hAnsi="宋体" w:cs="宋体" w:eastAsia="宋体" w:hint="default"/>
          <w:sz w:val="16"/>
          <w:szCs w:val="16"/>
        </w:rPr>
        <w:t>：</w:t>
      </w:r>
      <w:r>
        <w:rPr>
          <w:rFonts w:ascii="宋体" w:hAnsi="宋体" w:cs="宋体" w:eastAsia="宋体" w:hint="default"/>
          <w:spacing w:val="-23"/>
          <w:sz w:val="16"/>
          <w:szCs w:val="16"/>
        </w:rPr>
        <w:t> </w:t>
      </w:r>
      <w:r>
        <w:rPr>
          <w:rFonts w:ascii="宋体" w:hAnsi="宋体" w:cs="宋体" w:eastAsia="宋体" w:hint="default"/>
          <w:sz w:val="16"/>
          <w:szCs w:val="16"/>
        </w:rPr>
        <w:t>少数股东权益项目指“少数股东权益中用于冲减少数股东损益的金额”。</w:t>
      </w:r>
    </w:p>
    <w:p>
      <w:pPr>
        <w:spacing w:line="208" w:lineRule="exact" w:before="0"/>
        <w:ind w:left="597" w:right="0" w:firstLine="0"/>
        <w:jc w:val="left"/>
        <w:rPr>
          <w:rFonts w:ascii="Arial" w:hAnsi="Arial" w:cs="Arial" w:eastAsia="Arial" w:hint="default"/>
          <w:sz w:val="16"/>
          <w:szCs w:val="16"/>
        </w:rPr>
      </w:pPr>
      <w:r>
        <w:rPr>
          <w:rFonts w:ascii="宋体" w:hAnsi="宋体" w:cs="宋体" w:eastAsia="宋体" w:hint="default"/>
          <w:w w:val="99"/>
          <w:sz w:val="16"/>
          <w:szCs w:val="16"/>
        </w:rPr>
        <w:t>注</w:t>
      </w:r>
      <w:r>
        <w:rPr>
          <w:rFonts w:ascii="宋体" w:hAnsi="宋体" w:cs="宋体" w:eastAsia="宋体" w:hint="default"/>
          <w:spacing w:val="-41"/>
          <w:sz w:val="16"/>
          <w:szCs w:val="16"/>
        </w:rPr>
        <w:t> </w:t>
      </w:r>
      <w:r>
        <w:rPr>
          <w:rFonts w:ascii="Arial" w:hAnsi="Arial" w:cs="Arial" w:eastAsia="Arial" w:hint="default"/>
          <w:w w:val="99"/>
          <w:sz w:val="16"/>
          <w:szCs w:val="16"/>
        </w:rPr>
        <w:t>2</w:t>
      </w:r>
      <w:r>
        <w:rPr>
          <w:rFonts w:ascii="宋体" w:hAnsi="宋体" w:cs="宋体" w:eastAsia="宋体" w:hint="default"/>
          <w:w w:val="99"/>
          <w:sz w:val="16"/>
          <w:szCs w:val="16"/>
        </w:rPr>
        <w:t>：</w:t>
      </w:r>
      <w:r>
        <w:rPr>
          <w:rFonts w:ascii="宋体" w:hAnsi="宋体" w:cs="宋体" w:eastAsia="宋体" w:hint="default"/>
          <w:spacing w:val="-10"/>
          <w:sz w:val="16"/>
          <w:szCs w:val="16"/>
        </w:rPr>
        <w:t> </w:t>
      </w:r>
      <w:r>
        <w:rPr>
          <w:rFonts w:ascii="宋体" w:hAnsi="宋体" w:cs="宋体" w:eastAsia="宋体" w:hint="default"/>
          <w:w w:val="99"/>
          <w:sz w:val="16"/>
          <w:szCs w:val="16"/>
        </w:rPr>
        <w:t>联通运</w:t>
      </w:r>
      <w:r>
        <w:rPr>
          <w:rFonts w:ascii="宋体" w:hAnsi="宋体" w:cs="宋体" w:eastAsia="宋体" w:hint="default"/>
          <w:spacing w:val="1"/>
          <w:w w:val="99"/>
          <w:sz w:val="16"/>
          <w:szCs w:val="16"/>
        </w:rPr>
        <w:t>营</w:t>
      </w:r>
      <w:r>
        <w:rPr>
          <w:rFonts w:ascii="宋体" w:hAnsi="宋体" w:cs="宋体" w:eastAsia="宋体" w:hint="default"/>
          <w:w w:val="99"/>
          <w:sz w:val="16"/>
          <w:szCs w:val="16"/>
        </w:rPr>
        <w:t>公</w:t>
      </w:r>
      <w:r>
        <w:rPr>
          <w:rFonts w:ascii="宋体" w:hAnsi="宋体" w:cs="宋体" w:eastAsia="宋体" w:hint="default"/>
          <w:spacing w:val="1"/>
          <w:w w:val="99"/>
          <w:sz w:val="16"/>
          <w:szCs w:val="16"/>
        </w:rPr>
        <w:t>司</w:t>
      </w:r>
      <w:r>
        <w:rPr>
          <w:rFonts w:ascii="宋体" w:hAnsi="宋体" w:cs="宋体" w:eastAsia="宋体" w:hint="default"/>
          <w:w w:val="99"/>
          <w:sz w:val="16"/>
          <w:szCs w:val="16"/>
        </w:rPr>
        <w:t>于</w:t>
      </w:r>
      <w:r>
        <w:rPr>
          <w:rFonts w:ascii="宋体" w:hAnsi="宋体" w:cs="宋体" w:eastAsia="宋体" w:hint="default"/>
          <w:spacing w:val="-40"/>
          <w:sz w:val="16"/>
          <w:szCs w:val="16"/>
        </w:rPr>
        <w:t> </w:t>
      </w:r>
      <w:r>
        <w:rPr>
          <w:rFonts w:ascii="Arial" w:hAnsi="Arial" w:cs="Arial" w:eastAsia="Arial" w:hint="default"/>
          <w:w w:val="99"/>
          <w:sz w:val="16"/>
          <w:szCs w:val="16"/>
        </w:rPr>
        <w:t>2009</w:t>
      </w:r>
      <w:r>
        <w:rPr>
          <w:rFonts w:ascii="Arial" w:hAnsi="Arial" w:cs="Arial" w:eastAsia="Arial" w:hint="default"/>
          <w:spacing w:val="-4"/>
          <w:sz w:val="16"/>
          <w:szCs w:val="16"/>
        </w:rPr>
        <w:t> </w:t>
      </w:r>
      <w:r>
        <w:rPr>
          <w:rFonts w:ascii="宋体" w:hAnsi="宋体" w:cs="宋体" w:eastAsia="宋体" w:hint="default"/>
          <w:w w:val="99"/>
          <w:sz w:val="16"/>
          <w:szCs w:val="16"/>
        </w:rPr>
        <w:t>年</w:t>
      </w:r>
      <w:r>
        <w:rPr>
          <w:rFonts w:ascii="宋体" w:hAnsi="宋体" w:cs="宋体" w:eastAsia="宋体" w:hint="default"/>
          <w:spacing w:val="-41"/>
          <w:sz w:val="16"/>
          <w:szCs w:val="16"/>
        </w:rPr>
        <w:t> </w:t>
      </w:r>
      <w:r>
        <w:rPr>
          <w:rFonts w:ascii="Arial" w:hAnsi="Arial" w:cs="Arial" w:eastAsia="Arial" w:hint="default"/>
          <w:w w:val="99"/>
          <w:sz w:val="16"/>
          <w:szCs w:val="16"/>
        </w:rPr>
        <w:t>1</w:t>
      </w:r>
      <w:r>
        <w:rPr>
          <w:rFonts w:ascii="Arial" w:hAnsi="Arial" w:cs="Arial" w:eastAsia="Arial" w:hint="default"/>
          <w:spacing w:val="-5"/>
          <w:sz w:val="16"/>
          <w:szCs w:val="16"/>
        </w:rPr>
        <w:t> </w:t>
      </w:r>
      <w:r>
        <w:rPr>
          <w:rFonts w:ascii="宋体" w:hAnsi="宋体" w:cs="宋体" w:eastAsia="宋体" w:hint="default"/>
          <w:spacing w:val="1"/>
          <w:w w:val="99"/>
          <w:sz w:val="16"/>
          <w:szCs w:val="16"/>
        </w:rPr>
        <w:t>月</w:t>
      </w:r>
      <w:r>
        <w:rPr>
          <w:rFonts w:ascii="宋体" w:hAnsi="宋体" w:cs="宋体" w:eastAsia="宋体" w:hint="default"/>
          <w:w w:val="99"/>
          <w:sz w:val="16"/>
          <w:szCs w:val="16"/>
        </w:rPr>
        <w:t>完</w:t>
      </w:r>
      <w:r>
        <w:rPr>
          <w:rFonts w:ascii="宋体" w:hAnsi="宋体" w:cs="宋体" w:eastAsia="宋体" w:hint="default"/>
          <w:spacing w:val="1"/>
          <w:w w:val="99"/>
          <w:sz w:val="16"/>
          <w:szCs w:val="16"/>
        </w:rPr>
        <w:t>成</w:t>
      </w:r>
      <w:r>
        <w:rPr>
          <w:rFonts w:ascii="宋体" w:hAnsi="宋体" w:cs="宋体" w:eastAsia="宋体" w:hint="default"/>
          <w:w w:val="99"/>
          <w:sz w:val="16"/>
          <w:szCs w:val="16"/>
        </w:rPr>
        <w:t>向联通</w:t>
      </w:r>
      <w:r>
        <w:rPr>
          <w:rFonts w:ascii="宋体" w:hAnsi="宋体" w:cs="宋体" w:eastAsia="宋体" w:hint="default"/>
          <w:spacing w:val="1"/>
          <w:w w:val="99"/>
          <w:sz w:val="16"/>
          <w:szCs w:val="16"/>
        </w:rPr>
        <w:t>集</w:t>
      </w:r>
      <w:r>
        <w:rPr>
          <w:rFonts w:ascii="宋体" w:hAnsi="宋体" w:cs="宋体" w:eastAsia="宋体" w:hint="default"/>
          <w:w w:val="99"/>
          <w:sz w:val="16"/>
          <w:szCs w:val="16"/>
        </w:rPr>
        <w:t>团和</w:t>
      </w:r>
      <w:r>
        <w:rPr>
          <w:rFonts w:ascii="宋体" w:hAnsi="宋体" w:cs="宋体" w:eastAsia="宋体" w:hint="default"/>
          <w:spacing w:val="1"/>
          <w:w w:val="99"/>
          <w:sz w:val="16"/>
          <w:szCs w:val="16"/>
        </w:rPr>
        <w:t>网</w:t>
      </w:r>
      <w:r>
        <w:rPr>
          <w:rFonts w:ascii="宋体" w:hAnsi="宋体" w:cs="宋体" w:eastAsia="宋体" w:hint="default"/>
          <w:w w:val="99"/>
          <w:sz w:val="16"/>
          <w:szCs w:val="16"/>
        </w:rPr>
        <w:t>通集团</w:t>
      </w:r>
      <w:r>
        <w:rPr>
          <w:rFonts w:ascii="宋体" w:hAnsi="宋体" w:cs="宋体" w:eastAsia="宋体" w:hint="default"/>
          <w:spacing w:val="1"/>
          <w:w w:val="99"/>
          <w:sz w:val="16"/>
          <w:szCs w:val="16"/>
        </w:rPr>
        <w:t>收</w:t>
      </w:r>
      <w:r>
        <w:rPr>
          <w:rFonts w:ascii="宋体" w:hAnsi="宋体" w:cs="宋体" w:eastAsia="宋体" w:hint="default"/>
          <w:w w:val="99"/>
          <w:sz w:val="16"/>
          <w:szCs w:val="16"/>
        </w:rPr>
        <w:t>购相</w:t>
      </w:r>
      <w:r>
        <w:rPr>
          <w:rFonts w:ascii="宋体" w:hAnsi="宋体" w:cs="宋体" w:eastAsia="宋体" w:hint="default"/>
          <w:spacing w:val="1"/>
          <w:w w:val="99"/>
          <w:sz w:val="16"/>
          <w:szCs w:val="16"/>
        </w:rPr>
        <w:t>关</w:t>
      </w:r>
      <w:r>
        <w:rPr>
          <w:rFonts w:ascii="宋体" w:hAnsi="宋体" w:cs="宋体" w:eastAsia="宋体" w:hint="default"/>
          <w:w w:val="99"/>
          <w:sz w:val="16"/>
          <w:szCs w:val="16"/>
        </w:rPr>
        <w:t>电信业</w:t>
      </w:r>
      <w:r>
        <w:rPr>
          <w:rFonts w:ascii="宋体" w:hAnsi="宋体" w:cs="宋体" w:eastAsia="宋体" w:hint="default"/>
          <w:spacing w:val="1"/>
          <w:w w:val="99"/>
          <w:sz w:val="16"/>
          <w:szCs w:val="16"/>
        </w:rPr>
        <w:t>务</w:t>
      </w:r>
      <w:r>
        <w:rPr>
          <w:rFonts w:ascii="宋体" w:hAnsi="宋体" w:cs="宋体" w:eastAsia="宋体" w:hint="default"/>
          <w:w w:val="99"/>
          <w:sz w:val="16"/>
          <w:szCs w:val="16"/>
        </w:rPr>
        <w:t>的同</w:t>
      </w:r>
      <w:r>
        <w:rPr>
          <w:rFonts w:ascii="宋体" w:hAnsi="宋体" w:cs="宋体" w:eastAsia="宋体" w:hint="default"/>
          <w:spacing w:val="1"/>
          <w:w w:val="99"/>
          <w:sz w:val="16"/>
          <w:szCs w:val="16"/>
        </w:rPr>
        <w:t>一</w:t>
      </w:r>
      <w:r>
        <w:rPr>
          <w:rFonts w:ascii="宋体" w:hAnsi="宋体" w:cs="宋体" w:eastAsia="宋体" w:hint="default"/>
          <w:w w:val="99"/>
          <w:sz w:val="16"/>
          <w:szCs w:val="16"/>
        </w:rPr>
        <w:t>控制下</w:t>
      </w:r>
      <w:r>
        <w:rPr>
          <w:rFonts w:ascii="宋体" w:hAnsi="宋体" w:cs="宋体" w:eastAsia="宋体" w:hint="default"/>
          <w:spacing w:val="1"/>
          <w:w w:val="99"/>
          <w:sz w:val="16"/>
          <w:szCs w:val="16"/>
        </w:rPr>
        <w:t>的</w:t>
      </w:r>
      <w:r>
        <w:rPr>
          <w:rFonts w:ascii="宋体" w:hAnsi="宋体" w:cs="宋体" w:eastAsia="宋体" w:hint="default"/>
          <w:w w:val="99"/>
          <w:sz w:val="16"/>
          <w:szCs w:val="16"/>
        </w:rPr>
        <w:t>企业</w:t>
      </w:r>
      <w:r>
        <w:rPr>
          <w:rFonts w:ascii="宋体" w:hAnsi="宋体" w:cs="宋体" w:eastAsia="宋体" w:hint="default"/>
          <w:spacing w:val="1"/>
          <w:w w:val="99"/>
          <w:sz w:val="16"/>
          <w:szCs w:val="16"/>
        </w:rPr>
        <w:t>合</w:t>
      </w:r>
      <w:r>
        <w:rPr>
          <w:rFonts w:ascii="宋体" w:hAnsi="宋体" w:cs="宋体" w:eastAsia="宋体" w:hint="default"/>
          <w:w w:val="99"/>
          <w:sz w:val="16"/>
          <w:szCs w:val="16"/>
        </w:rPr>
        <w:t>并</w:t>
      </w:r>
      <w:r>
        <w:rPr>
          <w:rFonts w:ascii="宋体" w:hAnsi="宋体" w:cs="宋体" w:eastAsia="宋体" w:hint="default"/>
          <w:spacing w:val="-74"/>
          <w:w w:val="99"/>
          <w:sz w:val="16"/>
          <w:szCs w:val="16"/>
        </w:rPr>
        <w:t>，</w:t>
      </w:r>
      <w:r>
        <w:rPr>
          <w:rFonts w:ascii="宋体" w:hAnsi="宋体" w:cs="宋体" w:eastAsia="宋体" w:hint="default"/>
          <w:w w:val="99"/>
          <w:sz w:val="16"/>
          <w:szCs w:val="16"/>
        </w:rPr>
        <w:t>其中</w:t>
      </w:r>
      <w:r>
        <w:rPr>
          <w:rFonts w:ascii="宋体" w:hAnsi="宋体" w:cs="宋体" w:eastAsia="宋体" w:hint="default"/>
          <w:spacing w:val="1"/>
          <w:w w:val="99"/>
          <w:sz w:val="16"/>
          <w:szCs w:val="16"/>
        </w:rPr>
        <w:t>包</w:t>
      </w:r>
      <w:r>
        <w:rPr>
          <w:rFonts w:ascii="宋体" w:hAnsi="宋体" w:cs="宋体" w:eastAsia="宋体" w:hint="default"/>
          <w:w w:val="99"/>
          <w:sz w:val="16"/>
          <w:szCs w:val="16"/>
        </w:rPr>
        <w:t>括中</w:t>
      </w:r>
      <w:r>
        <w:rPr>
          <w:rFonts w:ascii="宋体" w:hAnsi="宋体" w:cs="宋体" w:eastAsia="宋体" w:hint="default"/>
          <w:spacing w:val="1"/>
          <w:w w:val="99"/>
          <w:sz w:val="16"/>
          <w:szCs w:val="16"/>
        </w:rPr>
        <w:t>讯</w:t>
      </w:r>
      <w:r>
        <w:rPr>
          <w:rFonts w:ascii="宋体" w:hAnsi="宋体" w:cs="宋体" w:eastAsia="宋体" w:hint="default"/>
          <w:w w:val="99"/>
          <w:sz w:val="16"/>
          <w:szCs w:val="16"/>
        </w:rPr>
        <w:t>设计院</w:t>
      </w:r>
      <w:r>
        <w:rPr>
          <w:rFonts w:ascii="宋体" w:hAnsi="宋体" w:cs="宋体" w:eastAsia="宋体" w:hint="default"/>
          <w:spacing w:val="-74"/>
          <w:w w:val="99"/>
          <w:sz w:val="16"/>
          <w:szCs w:val="16"/>
        </w:rPr>
        <w:t>、</w:t>
      </w:r>
      <w:r>
        <w:rPr>
          <w:rFonts w:ascii="宋体" w:hAnsi="宋体" w:cs="宋体" w:eastAsia="宋体" w:hint="default"/>
          <w:spacing w:val="1"/>
          <w:w w:val="99"/>
          <w:sz w:val="16"/>
          <w:szCs w:val="16"/>
        </w:rPr>
        <w:t>联</w:t>
      </w:r>
      <w:r>
        <w:rPr>
          <w:rFonts w:ascii="宋体" w:hAnsi="宋体" w:cs="宋体" w:eastAsia="宋体" w:hint="default"/>
          <w:w w:val="99"/>
          <w:sz w:val="16"/>
          <w:szCs w:val="16"/>
        </w:rPr>
        <w:t>通信</w:t>
      </w:r>
      <w:r>
        <w:rPr>
          <w:rFonts w:ascii="宋体" w:hAnsi="宋体" w:cs="宋体" w:eastAsia="宋体" w:hint="default"/>
          <w:spacing w:val="1"/>
          <w:w w:val="99"/>
          <w:sz w:val="16"/>
          <w:szCs w:val="16"/>
        </w:rPr>
        <w:t>息</w:t>
      </w:r>
      <w:r>
        <w:rPr>
          <w:rFonts w:ascii="宋体" w:hAnsi="宋体" w:cs="宋体" w:eastAsia="宋体" w:hint="default"/>
          <w:w w:val="99"/>
          <w:sz w:val="16"/>
          <w:szCs w:val="16"/>
        </w:rPr>
        <w:t>导航和</w:t>
      </w:r>
      <w:r>
        <w:rPr>
          <w:rFonts w:ascii="宋体" w:hAnsi="宋体" w:cs="宋体" w:eastAsia="宋体" w:hint="default"/>
          <w:spacing w:val="1"/>
          <w:w w:val="99"/>
          <w:sz w:val="16"/>
          <w:szCs w:val="16"/>
        </w:rPr>
        <w:t>联</w:t>
      </w:r>
      <w:r>
        <w:rPr>
          <w:rFonts w:ascii="宋体" w:hAnsi="宋体" w:cs="宋体" w:eastAsia="宋体" w:hint="default"/>
          <w:w w:val="99"/>
          <w:sz w:val="16"/>
          <w:szCs w:val="16"/>
        </w:rPr>
        <w:t>通兴</w:t>
      </w:r>
      <w:r>
        <w:rPr>
          <w:rFonts w:ascii="宋体" w:hAnsi="宋体" w:cs="宋体" w:eastAsia="宋体" w:hint="default"/>
          <w:spacing w:val="1"/>
          <w:w w:val="99"/>
          <w:sz w:val="16"/>
          <w:szCs w:val="16"/>
        </w:rPr>
        <w:t>业</w:t>
      </w:r>
      <w:r>
        <w:rPr>
          <w:rFonts w:ascii="宋体" w:hAnsi="宋体" w:cs="宋体" w:eastAsia="宋体" w:hint="default"/>
          <w:w w:val="99"/>
          <w:sz w:val="16"/>
          <w:szCs w:val="16"/>
        </w:rPr>
        <w:t>的全部</w:t>
      </w:r>
      <w:r>
        <w:rPr>
          <w:rFonts w:ascii="宋体" w:hAnsi="宋体" w:cs="宋体" w:eastAsia="宋体" w:hint="default"/>
          <w:spacing w:val="1"/>
          <w:w w:val="99"/>
          <w:sz w:val="16"/>
          <w:szCs w:val="16"/>
        </w:rPr>
        <w:t>股</w:t>
      </w:r>
      <w:r>
        <w:rPr>
          <w:rFonts w:ascii="宋体" w:hAnsi="宋体" w:cs="宋体" w:eastAsia="宋体" w:hint="default"/>
          <w:w w:val="99"/>
          <w:sz w:val="16"/>
          <w:szCs w:val="16"/>
        </w:rPr>
        <w:t>权</w:t>
      </w:r>
      <w:r>
        <w:rPr>
          <w:rFonts w:ascii="宋体" w:hAnsi="宋体" w:cs="宋体" w:eastAsia="宋体" w:hint="default"/>
          <w:spacing w:val="-74"/>
          <w:w w:val="99"/>
          <w:sz w:val="16"/>
          <w:szCs w:val="16"/>
        </w:rPr>
        <w:t>，</w:t>
      </w:r>
      <w:r>
        <w:rPr>
          <w:rFonts w:ascii="宋体" w:hAnsi="宋体" w:cs="宋体" w:eastAsia="宋体" w:hint="default"/>
          <w:w w:val="99"/>
          <w:sz w:val="16"/>
          <w:szCs w:val="16"/>
        </w:rPr>
        <w:t>此</w:t>
      </w:r>
      <w:r>
        <w:rPr>
          <w:rFonts w:ascii="宋体" w:hAnsi="宋体" w:cs="宋体" w:eastAsia="宋体" w:hint="default"/>
          <w:spacing w:val="1"/>
          <w:w w:val="99"/>
          <w:sz w:val="16"/>
          <w:szCs w:val="16"/>
        </w:rPr>
        <w:t>收</w:t>
      </w:r>
      <w:r>
        <w:rPr>
          <w:rFonts w:ascii="宋体" w:hAnsi="宋体" w:cs="宋体" w:eastAsia="宋体" w:hint="default"/>
          <w:w w:val="99"/>
          <w:sz w:val="16"/>
          <w:szCs w:val="16"/>
        </w:rPr>
        <w:t>购的总</w:t>
      </w:r>
      <w:r>
        <w:rPr>
          <w:rFonts w:ascii="宋体" w:hAnsi="宋体" w:cs="宋体" w:eastAsia="宋体" w:hint="default"/>
          <w:spacing w:val="1"/>
          <w:w w:val="99"/>
          <w:sz w:val="16"/>
          <w:szCs w:val="16"/>
        </w:rPr>
        <w:t>对</w:t>
      </w:r>
      <w:r>
        <w:rPr>
          <w:rFonts w:ascii="宋体" w:hAnsi="宋体" w:cs="宋体" w:eastAsia="宋体" w:hint="default"/>
          <w:w w:val="99"/>
          <w:sz w:val="16"/>
          <w:szCs w:val="16"/>
        </w:rPr>
        <w:t>价调</w:t>
      </w:r>
      <w:r>
        <w:rPr>
          <w:rFonts w:ascii="宋体" w:hAnsi="宋体" w:cs="宋体" w:eastAsia="宋体" w:hint="default"/>
          <w:spacing w:val="1"/>
          <w:w w:val="99"/>
          <w:sz w:val="16"/>
          <w:szCs w:val="16"/>
        </w:rPr>
        <w:t>整</w:t>
      </w:r>
      <w:r>
        <w:rPr>
          <w:rFonts w:ascii="宋体" w:hAnsi="宋体" w:cs="宋体" w:eastAsia="宋体" w:hint="default"/>
          <w:w w:val="99"/>
          <w:sz w:val="16"/>
          <w:szCs w:val="16"/>
        </w:rPr>
        <w:t>后约为</w:t>
      </w:r>
      <w:r>
        <w:rPr>
          <w:rFonts w:ascii="宋体" w:hAnsi="宋体" w:cs="宋体" w:eastAsia="宋体" w:hint="default"/>
          <w:spacing w:val="1"/>
          <w:w w:val="99"/>
          <w:sz w:val="16"/>
          <w:szCs w:val="16"/>
        </w:rPr>
        <w:t>人</w:t>
      </w:r>
      <w:r>
        <w:rPr>
          <w:rFonts w:ascii="宋体" w:hAnsi="宋体" w:cs="宋体" w:eastAsia="宋体" w:hint="default"/>
          <w:w w:val="99"/>
          <w:sz w:val="16"/>
          <w:szCs w:val="16"/>
        </w:rPr>
        <w:t>民币</w:t>
      </w:r>
      <w:r>
        <w:rPr>
          <w:rFonts w:ascii="宋体" w:hAnsi="宋体" w:cs="宋体" w:eastAsia="宋体" w:hint="default"/>
          <w:spacing w:val="-38"/>
          <w:sz w:val="16"/>
          <w:szCs w:val="16"/>
        </w:rPr>
        <w:t> </w:t>
      </w:r>
      <w:r>
        <w:rPr>
          <w:rFonts w:ascii="Arial" w:hAnsi="Arial" w:cs="Arial" w:eastAsia="Arial" w:hint="default"/>
          <w:spacing w:val="1"/>
          <w:w w:val="99"/>
          <w:sz w:val="16"/>
          <w:szCs w:val="16"/>
        </w:rPr>
        <w:t>3</w:t>
      </w:r>
      <w:r>
        <w:rPr>
          <w:rFonts w:ascii="Arial" w:hAnsi="Arial" w:cs="Arial" w:eastAsia="Arial" w:hint="default"/>
          <w:w w:val="99"/>
          <w:sz w:val="16"/>
          <w:szCs w:val="16"/>
        </w:rPr>
        <w:t>8</w:t>
      </w:r>
      <w:r>
        <w:rPr>
          <w:rFonts w:ascii="Arial" w:hAnsi="Arial" w:cs="Arial" w:eastAsia="Arial" w:hint="default"/>
          <w:spacing w:val="2"/>
          <w:w w:val="99"/>
          <w:sz w:val="16"/>
          <w:szCs w:val="16"/>
        </w:rPr>
        <w:t>.</w:t>
      </w:r>
      <w:r>
        <w:rPr>
          <w:rFonts w:ascii="Arial" w:hAnsi="Arial" w:cs="Arial" w:eastAsia="Arial" w:hint="default"/>
          <w:spacing w:val="1"/>
          <w:w w:val="99"/>
          <w:sz w:val="16"/>
          <w:szCs w:val="16"/>
        </w:rPr>
        <w:t>9</w:t>
      </w:r>
      <w:r>
        <w:rPr>
          <w:rFonts w:ascii="Arial" w:hAnsi="Arial" w:cs="Arial" w:eastAsia="Arial" w:hint="default"/>
          <w:w w:val="99"/>
          <w:sz w:val="16"/>
          <w:szCs w:val="16"/>
        </w:rPr>
        <w:t>5</w:t>
      </w:r>
      <w:r>
        <w:rPr>
          <w:rFonts w:ascii="Arial" w:hAnsi="Arial" w:cs="Arial" w:eastAsia="Arial" w:hint="default"/>
          <w:sz w:val="16"/>
          <w:szCs w:val="16"/>
        </w:rPr>
      </w:r>
    </w:p>
    <w:p>
      <w:pPr>
        <w:spacing w:line="203" w:lineRule="exact" w:before="0"/>
        <w:ind w:left="1115" w:right="0" w:firstLine="0"/>
        <w:jc w:val="left"/>
        <w:rPr>
          <w:rFonts w:ascii="宋体" w:hAnsi="宋体" w:cs="宋体" w:eastAsia="宋体" w:hint="default"/>
          <w:sz w:val="16"/>
          <w:szCs w:val="16"/>
        </w:rPr>
      </w:pPr>
      <w:r>
        <w:rPr>
          <w:rFonts w:ascii="宋体" w:hAnsi="宋体" w:cs="宋体" w:eastAsia="宋体" w:hint="default"/>
          <w:sz w:val="16"/>
          <w:szCs w:val="16"/>
        </w:rPr>
        <w:t>亿元。</w:t>
      </w:r>
    </w:p>
    <w:p>
      <w:pPr>
        <w:spacing w:after="0" w:line="203" w:lineRule="exact"/>
        <w:jc w:val="left"/>
        <w:rPr>
          <w:rFonts w:ascii="宋体" w:hAnsi="宋体" w:cs="宋体" w:eastAsia="宋体" w:hint="default"/>
          <w:sz w:val="16"/>
          <w:szCs w:val="16"/>
        </w:rPr>
        <w:sectPr>
          <w:pgSz w:w="16840" w:h="11910" w:orient="landscape"/>
          <w:pgMar w:header="1189" w:footer="458" w:top="3560" w:bottom="640" w:left="460" w:right="880"/>
        </w:sectPr>
      </w:pPr>
    </w:p>
    <w:p>
      <w:pPr>
        <w:spacing w:line="240" w:lineRule="auto" w:before="12"/>
        <w:rPr>
          <w:rFonts w:ascii="宋体" w:hAnsi="宋体" w:cs="宋体" w:eastAsia="宋体" w:hint="default"/>
          <w:sz w:val="8"/>
          <w:szCs w:val="8"/>
        </w:rPr>
      </w:pPr>
    </w:p>
    <w:p>
      <w:pPr>
        <w:pStyle w:val="BodyText"/>
        <w:spacing w:line="240" w:lineRule="auto" w:before="31"/>
        <w:ind w:left="525" w:right="0"/>
        <w:jc w:val="both"/>
      </w:pPr>
      <w:r>
        <w:rPr/>
        <w:t>注释：</w:t>
      </w:r>
    </w:p>
    <w:p>
      <w:pPr>
        <w:spacing w:line="240" w:lineRule="auto" w:before="10"/>
        <w:rPr>
          <w:rFonts w:ascii="宋体" w:hAnsi="宋体" w:cs="宋体" w:eastAsia="宋体" w:hint="default"/>
          <w:sz w:val="17"/>
          <w:szCs w:val="17"/>
        </w:rPr>
      </w:pPr>
    </w:p>
    <w:p>
      <w:pPr>
        <w:pStyle w:val="BodyText"/>
        <w:spacing w:line="286" w:lineRule="exact"/>
        <w:ind w:left="525" w:right="212" w:hanging="420"/>
        <w:jc w:val="both"/>
      </w:pPr>
      <w:r>
        <w:rPr>
          <w:rFonts w:ascii="Arial" w:hAnsi="Arial" w:cs="Arial" w:eastAsia="Arial" w:hint="default"/>
        </w:rPr>
        <w:t>(1)</w:t>
      </w:r>
      <w:r>
        <w:rPr>
          <w:rFonts w:ascii="Arial" w:hAnsi="Arial" w:cs="Arial" w:eastAsia="Arial" w:hint="default"/>
          <w:spacing w:val="25"/>
        </w:rPr>
        <w:t> </w:t>
      </w:r>
      <w:r>
        <w:rPr/>
        <w:t>联通红筹公司是于</w:t>
      </w:r>
      <w:r>
        <w:rPr>
          <w:spacing w:val="-43"/>
        </w:rPr>
        <w:t> </w:t>
      </w:r>
      <w:r>
        <w:rPr>
          <w:rFonts w:ascii="Arial" w:hAnsi="Arial" w:cs="Arial" w:eastAsia="Arial" w:hint="default"/>
        </w:rPr>
        <w:t>2000</w:t>
      </w:r>
      <w:r>
        <w:rPr>
          <w:rFonts w:ascii="Arial" w:hAnsi="Arial" w:cs="Arial" w:eastAsia="Arial" w:hint="default"/>
          <w:spacing w:val="5"/>
        </w:rPr>
        <w:t> </w:t>
      </w:r>
      <w:r>
        <w:rPr/>
        <w:t>年</w:t>
      </w:r>
      <w:r>
        <w:rPr>
          <w:spacing w:val="-43"/>
        </w:rPr>
        <w:t> </w:t>
      </w:r>
      <w:r>
        <w:rPr>
          <w:rFonts w:ascii="Arial" w:hAnsi="Arial" w:cs="Arial" w:eastAsia="Arial" w:hint="default"/>
        </w:rPr>
        <w:t>2</w:t>
      </w:r>
      <w:r>
        <w:rPr>
          <w:rFonts w:ascii="Arial" w:hAnsi="Arial" w:cs="Arial" w:eastAsia="Arial" w:hint="default"/>
          <w:spacing w:val="5"/>
        </w:rPr>
        <w:t> </w:t>
      </w:r>
      <w:r>
        <w:rPr/>
        <w:t>月</w:t>
      </w:r>
      <w:r>
        <w:rPr>
          <w:spacing w:val="-43"/>
        </w:rPr>
        <w:t> </w:t>
      </w:r>
      <w:r>
        <w:rPr>
          <w:rFonts w:ascii="Arial" w:hAnsi="Arial" w:cs="Arial" w:eastAsia="Arial" w:hint="default"/>
        </w:rPr>
        <w:t>8</w:t>
      </w:r>
      <w:r>
        <w:rPr>
          <w:rFonts w:ascii="Arial" w:hAnsi="Arial" w:cs="Arial" w:eastAsia="Arial" w:hint="default"/>
          <w:spacing w:val="6"/>
        </w:rPr>
        <w:t> </w:t>
      </w:r>
      <w:r>
        <w:rPr/>
        <w:t>日在香港注册成立的有限公司，主营业务为投资控股，目前</w:t>
      </w:r>
      <w:r>
        <w:rPr>
          <w:w w:val="99"/>
        </w:rPr>
        <w:t> </w:t>
      </w:r>
      <w:r>
        <w:rPr/>
        <w:t>其通过在中国境内全资拥有的联通运营公司提供移动电话、本地固定电话、长途电话、数据和</w:t>
      </w:r>
      <w:r>
        <w:rPr>
          <w:w w:val="99"/>
        </w:rPr>
        <w:t> </w:t>
      </w:r>
      <w:r>
        <w:rPr/>
        <w:t>互联网及宽带等电信业务。联通红筹公司的股票分别在香港和纽约证券交易所上市。亿迅公司</w:t>
      </w:r>
      <w:r>
        <w:rPr>
          <w:w w:val="99"/>
        </w:rPr>
        <w:t> </w:t>
      </w:r>
      <w:r>
        <w:rPr/>
        <w:t>是联通红筹公司于</w:t>
      </w:r>
      <w:r>
        <w:rPr>
          <w:spacing w:val="-63"/>
        </w:rPr>
        <w:t> </w:t>
      </w:r>
      <w:r>
        <w:rPr>
          <w:rFonts w:ascii="Arial" w:hAnsi="Arial" w:cs="Arial" w:eastAsia="Arial" w:hint="default"/>
        </w:rPr>
        <w:t>2007</w:t>
      </w:r>
      <w:r>
        <w:rPr>
          <w:rFonts w:ascii="Arial" w:hAnsi="Arial" w:cs="Arial" w:eastAsia="Arial" w:hint="default"/>
          <w:spacing w:val="-15"/>
        </w:rPr>
        <w:t> </w:t>
      </w:r>
      <w:r>
        <w:rPr/>
        <w:t>年</w:t>
      </w:r>
      <w:r>
        <w:rPr>
          <w:spacing w:val="-64"/>
        </w:rPr>
        <w:t> </w:t>
      </w:r>
      <w:r>
        <w:rPr>
          <w:rFonts w:ascii="Arial" w:hAnsi="Arial" w:cs="Arial" w:eastAsia="Arial" w:hint="default"/>
        </w:rPr>
        <w:t>8</w:t>
      </w:r>
      <w:r>
        <w:rPr>
          <w:rFonts w:ascii="Arial" w:hAnsi="Arial" w:cs="Arial" w:eastAsia="Arial" w:hint="default"/>
          <w:spacing w:val="-15"/>
        </w:rPr>
        <w:t> </w:t>
      </w:r>
      <w:r>
        <w:rPr/>
        <w:t>月</w:t>
      </w:r>
      <w:r>
        <w:rPr>
          <w:spacing w:val="-64"/>
        </w:rPr>
        <w:t> </w:t>
      </w:r>
      <w:r>
        <w:rPr>
          <w:rFonts w:ascii="Arial" w:hAnsi="Arial" w:cs="Arial" w:eastAsia="Arial" w:hint="default"/>
        </w:rPr>
        <w:t>15</w:t>
      </w:r>
      <w:r>
        <w:rPr>
          <w:rFonts w:ascii="Arial" w:hAnsi="Arial" w:cs="Arial" w:eastAsia="Arial" w:hint="default"/>
          <w:spacing w:val="-15"/>
        </w:rPr>
        <w:t> </w:t>
      </w:r>
      <w:r>
        <w:rPr/>
        <w:t>日在英属维尔京群岛注册成立的有限公司，为联通红筹公司</w:t>
      </w:r>
    </w:p>
    <w:p>
      <w:pPr>
        <w:pStyle w:val="BodyText"/>
        <w:spacing w:line="265" w:lineRule="exact"/>
        <w:ind w:left="525" w:right="0"/>
        <w:jc w:val="both"/>
      </w:pPr>
      <w:r>
        <w:rPr/>
        <w:t>的全资附属公司，目前的主营业务为投资及融资。联通红筹公司于</w:t>
      </w:r>
      <w:r>
        <w:rPr>
          <w:spacing w:val="-45"/>
        </w:rPr>
        <w:t> </w:t>
      </w:r>
      <w:r>
        <w:rPr>
          <w:rFonts w:ascii="Arial" w:hAnsi="Arial" w:cs="Arial" w:eastAsia="Arial" w:hint="default"/>
        </w:rPr>
        <w:t>2008</w:t>
      </w:r>
      <w:r>
        <w:rPr>
          <w:rFonts w:ascii="Arial" w:hAnsi="Arial" w:cs="Arial" w:eastAsia="Arial" w:hint="default"/>
          <w:spacing w:val="1"/>
        </w:rPr>
        <w:t> </w:t>
      </w:r>
      <w:r>
        <w:rPr/>
        <w:t>年</w:t>
      </w:r>
      <w:r>
        <w:rPr>
          <w:spacing w:val="-49"/>
        </w:rPr>
        <w:t> </w:t>
      </w:r>
      <w:r>
        <w:rPr>
          <w:rFonts w:ascii="Arial" w:hAnsi="Arial" w:cs="Arial" w:eastAsia="Arial" w:hint="default"/>
        </w:rPr>
        <w:t>10 </w:t>
      </w:r>
      <w:r>
        <w:rPr/>
        <w:t>月</w:t>
      </w:r>
      <w:r>
        <w:rPr>
          <w:spacing w:val="-47"/>
        </w:rPr>
        <w:t> </w:t>
      </w:r>
      <w:r>
        <w:rPr>
          <w:rFonts w:ascii="Arial" w:hAnsi="Arial" w:cs="Arial" w:eastAsia="Arial" w:hint="default"/>
        </w:rPr>
        <w:t>15 </w:t>
      </w:r>
      <w:r>
        <w:rPr/>
        <w:t>日完成了</w:t>
      </w:r>
    </w:p>
    <w:p>
      <w:pPr>
        <w:pStyle w:val="BodyText"/>
        <w:spacing w:line="279" w:lineRule="exact"/>
        <w:ind w:left="525" w:right="0"/>
        <w:jc w:val="both"/>
      </w:pPr>
      <w:r>
        <w:rPr/>
        <w:t>与网通红筹公司的合并，合并后网通红筹公司成为联通红筹公司的子公司。</w:t>
      </w:r>
    </w:p>
    <w:p>
      <w:pPr>
        <w:spacing w:line="240" w:lineRule="auto" w:before="10"/>
        <w:rPr>
          <w:rFonts w:ascii="宋体" w:hAnsi="宋体" w:cs="宋体" w:eastAsia="宋体" w:hint="default"/>
          <w:sz w:val="17"/>
          <w:szCs w:val="17"/>
        </w:rPr>
      </w:pPr>
    </w:p>
    <w:p>
      <w:pPr>
        <w:pStyle w:val="BodyText"/>
        <w:spacing w:line="286" w:lineRule="exact"/>
        <w:ind w:left="525" w:right="212" w:firstLine="12"/>
        <w:jc w:val="both"/>
      </w:pPr>
      <w:r>
        <w:rPr/>
        <w:t>除联通运营公司、亿迅公司及网通红筹公司外，联通红筹公司直接持有联通日本运营、联通欧</w:t>
      </w:r>
      <w:r>
        <w:rPr>
          <w:spacing w:val="-102"/>
        </w:rPr>
        <w:t> </w:t>
      </w:r>
      <w:r>
        <w:rPr>
          <w:spacing w:val="-102"/>
        </w:rPr>
      </w:r>
      <w:r>
        <w:rPr/>
        <w:t>洲运营、中国联通（新加坡）运营有限公司（“联通新加坡运营”）并通过亿迅公司间接持有</w:t>
      </w:r>
      <w:r>
        <w:rPr>
          <w:spacing w:val="-87"/>
        </w:rPr>
        <w:t> </w:t>
      </w:r>
      <w:r>
        <w:rPr>
          <w:spacing w:val="-87"/>
        </w:rPr>
      </w:r>
      <w:r>
        <w:rPr/>
        <w:t>联通美洲运营以及联通香港运营</w:t>
      </w:r>
      <w:r>
        <w:rPr>
          <w:spacing w:val="-33"/>
        </w:rPr>
        <w:t> </w:t>
      </w:r>
      <w:r>
        <w:rPr>
          <w:rFonts w:ascii="Arial" w:hAnsi="Arial" w:cs="Arial" w:eastAsia="Arial" w:hint="default"/>
        </w:rPr>
        <w:t>100%</w:t>
      </w:r>
      <w:r>
        <w:rPr/>
        <w:t>的股权。联通红筹公司通过这</w:t>
      </w:r>
      <w:r>
        <w:rPr>
          <w:spacing w:val="-33"/>
        </w:rPr>
        <w:t> </w:t>
      </w:r>
      <w:r>
        <w:rPr>
          <w:rFonts w:ascii="Arial" w:hAnsi="Arial" w:cs="Arial" w:eastAsia="Arial" w:hint="default"/>
        </w:rPr>
        <w:t>5</w:t>
      </w:r>
      <w:r>
        <w:rPr>
          <w:rFonts w:ascii="Arial" w:hAnsi="Arial" w:cs="Arial" w:eastAsia="Arial" w:hint="default"/>
          <w:spacing w:val="15"/>
        </w:rPr>
        <w:t> </w:t>
      </w:r>
      <w:r>
        <w:rPr/>
        <w:t>家境外子公司在其机构</w:t>
      </w:r>
      <w:r>
        <w:rPr>
          <w:w w:val="99"/>
        </w:rPr>
        <w:t> </w:t>
      </w:r>
      <w:r>
        <w:rPr/>
        <w:t>所在地提供电信服务。</w:t>
      </w:r>
    </w:p>
    <w:p>
      <w:pPr>
        <w:pStyle w:val="BodyText"/>
        <w:spacing w:line="295" w:lineRule="exact" w:before="178"/>
        <w:ind w:left="105" w:right="0"/>
        <w:jc w:val="left"/>
      </w:pPr>
      <w:r>
        <w:rPr>
          <w:rFonts w:ascii="Arial" w:hAnsi="Arial" w:cs="Arial" w:eastAsia="Arial" w:hint="default"/>
        </w:rPr>
        <w:t>(2) </w:t>
      </w:r>
      <w:r>
        <w:rPr>
          <w:rFonts w:ascii="Arial" w:hAnsi="Arial" w:cs="Arial" w:eastAsia="Arial" w:hint="default"/>
          <w:spacing w:val="12"/>
        </w:rPr>
        <w:t> </w:t>
      </w:r>
      <w:r>
        <w:rPr/>
        <w:t>联通运营公司为联通红筹公司的全资子公司，是一家于</w:t>
      </w:r>
      <w:r>
        <w:rPr>
          <w:spacing w:val="-59"/>
        </w:rPr>
        <w:t> </w:t>
      </w:r>
      <w:r>
        <w:rPr>
          <w:rFonts w:ascii="Arial" w:hAnsi="Arial" w:cs="Arial" w:eastAsia="Arial" w:hint="default"/>
        </w:rPr>
        <w:t>2000</w:t>
      </w:r>
      <w:r>
        <w:rPr>
          <w:rFonts w:ascii="Arial" w:hAnsi="Arial" w:cs="Arial" w:eastAsia="Arial" w:hint="default"/>
          <w:spacing w:val="-13"/>
        </w:rPr>
        <w:t> </w:t>
      </w:r>
      <w:r>
        <w:rPr/>
        <w:t>年</w:t>
      </w:r>
      <w:r>
        <w:rPr>
          <w:spacing w:val="-62"/>
        </w:rPr>
        <w:t> </w:t>
      </w:r>
      <w:r>
        <w:rPr>
          <w:rFonts w:ascii="Arial" w:hAnsi="Arial" w:cs="Arial" w:eastAsia="Arial" w:hint="default"/>
        </w:rPr>
        <w:t>4</w:t>
      </w:r>
      <w:r>
        <w:rPr>
          <w:rFonts w:ascii="Arial" w:hAnsi="Arial" w:cs="Arial" w:eastAsia="Arial" w:hint="default"/>
          <w:spacing w:val="-13"/>
        </w:rPr>
        <w:t> </w:t>
      </w:r>
      <w:r>
        <w:rPr/>
        <w:t>月</w:t>
      </w:r>
      <w:r>
        <w:rPr>
          <w:spacing w:val="-62"/>
        </w:rPr>
        <w:t> </w:t>
      </w:r>
      <w:r>
        <w:rPr>
          <w:rFonts w:ascii="Arial" w:hAnsi="Arial" w:cs="Arial" w:eastAsia="Arial" w:hint="default"/>
        </w:rPr>
        <w:t>21</w:t>
      </w:r>
      <w:r>
        <w:rPr>
          <w:rFonts w:ascii="Arial" w:hAnsi="Arial" w:cs="Arial" w:eastAsia="Arial" w:hint="default"/>
          <w:spacing w:val="-13"/>
        </w:rPr>
        <w:t> </w:t>
      </w:r>
      <w:r>
        <w:rPr/>
        <w:t>日在中国北京注册成立</w:t>
      </w:r>
    </w:p>
    <w:p>
      <w:pPr>
        <w:pStyle w:val="BodyText"/>
        <w:spacing w:line="286" w:lineRule="exact"/>
        <w:ind w:left="525" w:right="0"/>
        <w:jc w:val="both"/>
      </w:pPr>
      <w:r>
        <w:rPr/>
        <w:t>的有限责任公司（后于</w:t>
      </w:r>
      <w:r>
        <w:rPr>
          <w:spacing w:val="-34"/>
        </w:rPr>
        <w:t> </w:t>
      </w:r>
      <w:r>
        <w:rPr>
          <w:rFonts w:ascii="Arial" w:hAnsi="Arial" w:cs="Arial" w:eastAsia="Arial" w:hint="default"/>
        </w:rPr>
        <w:t>2000</w:t>
      </w:r>
      <w:r>
        <w:rPr>
          <w:rFonts w:ascii="Arial" w:hAnsi="Arial" w:cs="Arial" w:eastAsia="Arial" w:hint="default"/>
          <w:spacing w:val="13"/>
        </w:rPr>
        <w:t> </w:t>
      </w:r>
      <w:r>
        <w:rPr/>
        <w:t>年</w:t>
      </w:r>
      <w:r>
        <w:rPr>
          <w:spacing w:val="-35"/>
        </w:rPr>
        <w:t> </w:t>
      </w:r>
      <w:r>
        <w:rPr>
          <w:rFonts w:ascii="Arial" w:hAnsi="Arial" w:cs="Arial" w:eastAsia="Arial" w:hint="default"/>
        </w:rPr>
        <w:t>6</w:t>
      </w:r>
      <w:r>
        <w:rPr>
          <w:rFonts w:ascii="Arial" w:hAnsi="Arial" w:cs="Arial" w:eastAsia="Arial" w:hint="default"/>
          <w:spacing w:val="13"/>
        </w:rPr>
        <w:t> </w:t>
      </w:r>
      <w:r>
        <w:rPr/>
        <w:t>月经原对外贸易经济合作部批准成为一家外商投资企业）。</w:t>
      </w:r>
    </w:p>
    <w:p>
      <w:pPr>
        <w:pStyle w:val="BodyText"/>
        <w:spacing w:line="230" w:lineRule="auto" w:before="1"/>
        <w:ind w:left="525" w:right="211"/>
        <w:jc w:val="both"/>
      </w:pPr>
      <w:r>
        <w:rPr/>
        <w:t>于</w:t>
      </w:r>
      <w:r>
        <w:rPr>
          <w:spacing w:val="-57"/>
        </w:rPr>
        <w:t> </w:t>
      </w:r>
      <w:r>
        <w:rPr>
          <w:rFonts w:ascii="Arial" w:hAnsi="Arial" w:cs="Arial" w:eastAsia="Arial" w:hint="default"/>
        </w:rPr>
        <w:t>2004</w:t>
      </w:r>
      <w:r>
        <w:rPr>
          <w:rFonts w:ascii="Arial" w:hAnsi="Arial" w:cs="Arial" w:eastAsia="Arial" w:hint="default"/>
          <w:spacing w:val="-8"/>
        </w:rPr>
        <w:t> </w:t>
      </w:r>
      <w:r>
        <w:rPr/>
        <w:t>年</w:t>
      </w:r>
      <w:r>
        <w:rPr>
          <w:spacing w:val="-57"/>
        </w:rPr>
        <w:t> </w:t>
      </w:r>
      <w:r>
        <w:rPr>
          <w:rFonts w:ascii="Arial" w:hAnsi="Arial" w:cs="Arial" w:eastAsia="Arial" w:hint="default"/>
        </w:rPr>
        <w:t>7</w:t>
      </w:r>
      <w:r>
        <w:rPr>
          <w:rFonts w:ascii="Arial" w:hAnsi="Arial" w:cs="Arial" w:eastAsia="Arial" w:hint="default"/>
          <w:spacing w:val="-8"/>
        </w:rPr>
        <w:t> </w:t>
      </w:r>
      <w:r>
        <w:rPr/>
        <w:t>月</w:t>
      </w:r>
      <w:r>
        <w:rPr>
          <w:spacing w:val="-57"/>
        </w:rPr>
        <w:t> </w:t>
      </w:r>
      <w:r>
        <w:rPr>
          <w:rFonts w:ascii="Arial" w:hAnsi="Arial" w:cs="Arial" w:eastAsia="Arial" w:hint="default"/>
        </w:rPr>
        <w:t>30</w:t>
      </w:r>
      <w:r>
        <w:rPr>
          <w:rFonts w:ascii="Arial" w:hAnsi="Arial" w:cs="Arial" w:eastAsia="Arial" w:hint="default"/>
          <w:spacing w:val="-8"/>
        </w:rPr>
        <w:t> </w:t>
      </w:r>
      <w:r>
        <w:rPr/>
        <w:t>日和</w:t>
      </w:r>
      <w:r>
        <w:rPr>
          <w:spacing w:val="-57"/>
        </w:rPr>
        <w:t> </w:t>
      </w:r>
      <w:r>
        <w:rPr>
          <w:rFonts w:ascii="Arial" w:hAnsi="Arial" w:cs="Arial" w:eastAsia="Arial" w:hint="default"/>
        </w:rPr>
        <w:t>2005</w:t>
      </w:r>
      <w:r>
        <w:rPr>
          <w:rFonts w:ascii="Arial" w:hAnsi="Arial" w:cs="Arial" w:eastAsia="Arial" w:hint="default"/>
          <w:spacing w:val="-8"/>
        </w:rPr>
        <w:t> </w:t>
      </w:r>
      <w:r>
        <w:rPr/>
        <w:t>年</w:t>
      </w:r>
      <w:r>
        <w:rPr>
          <w:spacing w:val="-57"/>
        </w:rPr>
        <w:t> </w:t>
      </w:r>
      <w:r>
        <w:rPr>
          <w:rFonts w:ascii="Arial" w:hAnsi="Arial" w:cs="Arial" w:eastAsia="Arial" w:hint="default"/>
        </w:rPr>
        <w:t>9</w:t>
      </w:r>
      <w:r>
        <w:rPr>
          <w:rFonts w:ascii="Arial" w:hAnsi="Arial" w:cs="Arial" w:eastAsia="Arial" w:hint="default"/>
          <w:spacing w:val="-8"/>
        </w:rPr>
        <w:t> </w:t>
      </w:r>
      <w:r>
        <w:rPr/>
        <w:t>月</w:t>
      </w:r>
      <w:r>
        <w:rPr>
          <w:spacing w:val="-57"/>
        </w:rPr>
        <w:t> </w:t>
      </w:r>
      <w:r>
        <w:rPr>
          <w:rFonts w:ascii="Arial" w:hAnsi="Arial" w:cs="Arial" w:eastAsia="Arial" w:hint="default"/>
        </w:rPr>
        <w:t>1</w:t>
      </w:r>
      <w:r>
        <w:rPr>
          <w:rFonts w:ascii="Arial" w:hAnsi="Arial" w:cs="Arial" w:eastAsia="Arial" w:hint="default"/>
          <w:spacing w:val="-8"/>
        </w:rPr>
        <w:t> </w:t>
      </w:r>
      <w:r>
        <w:rPr/>
        <w:t>日，联通运营公司以吸收合并方式分别完成与联通新世</w:t>
      </w:r>
      <w:r>
        <w:rPr>
          <w:w w:val="99"/>
        </w:rPr>
        <w:t> </w:t>
      </w:r>
      <w:r>
        <w:rPr/>
        <w:t>纪通信有限公司（“联通新世纪”）和联通新世界通信有限公司（“联通新世界”）的合并。</w:t>
      </w:r>
      <w:r>
        <w:rPr>
          <w:spacing w:val="-87"/>
        </w:rPr>
        <w:t> </w:t>
      </w:r>
      <w:r>
        <w:rPr>
          <w:spacing w:val="-87"/>
        </w:rPr>
      </w:r>
      <w:r>
        <w:rPr>
          <w:w w:val="99"/>
        </w:rPr>
        <w:t>于</w:t>
      </w:r>
      <w:r>
        <w:rPr>
          <w:spacing w:val="-62"/>
          <w:w w:val="99"/>
        </w:rPr>
        <w:t> </w:t>
      </w:r>
      <w:r>
        <w:rPr>
          <w:rFonts w:ascii="Arial" w:hAnsi="Arial" w:cs="Arial" w:eastAsia="Arial" w:hint="default"/>
          <w:w w:val="99"/>
        </w:rPr>
        <w:t>2007</w:t>
      </w:r>
      <w:r>
        <w:rPr>
          <w:rFonts w:ascii="Arial" w:hAnsi="Arial" w:cs="Arial" w:eastAsia="Arial" w:hint="default"/>
          <w:spacing w:val="-12"/>
          <w:w w:val="99"/>
        </w:rPr>
        <w:t> </w:t>
      </w:r>
      <w:r>
        <w:rPr>
          <w:w w:val="99"/>
        </w:rPr>
        <w:t>年</w:t>
      </w:r>
      <w:r>
        <w:rPr>
          <w:spacing w:val="-62"/>
          <w:w w:val="99"/>
        </w:rPr>
        <w:t> </w:t>
      </w:r>
      <w:r>
        <w:rPr>
          <w:rFonts w:ascii="Arial" w:hAnsi="Arial" w:cs="Arial" w:eastAsia="Arial" w:hint="default"/>
          <w:w w:val="99"/>
        </w:rPr>
        <w:t>12</w:t>
      </w:r>
      <w:r>
        <w:rPr>
          <w:rFonts w:ascii="Arial" w:hAnsi="Arial" w:cs="Arial" w:eastAsia="Arial" w:hint="default"/>
          <w:spacing w:val="-13"/>
          <w:w w:val="99"/>
        </w:rPr>
        <w:t> </w:t>
      </w:r>
      <w:r>
        <w:rPr>
          <w:w w:val="99"/>
        </w:rPr>
        <w:t>月</w:t>
      </w:r>
      <w:r>
        <w:rPr>
          <w:spacing w:val="-62"/>
          <w:w w:val="99"/>
        </w:rPr>
        <w:t> </w:t>
      </w:r>
      <w:r>
        <w:rPr>
          <w:rFonts w:ascii="Arial" w:hAnsi="Arial" w:cs="Arial" w:eastAsia="Arial" w:hint="default"/>
          <w:w w:val="99"/>
        </w:rPr>
        <w:t>31</w:t>
      </w:r>
      <w:r>
        <w:rPr>
          <w:rFonts w:ascii="Arial" w:hAnsi="Arial" w:cs="Arial" w:eastAsia="Arial" w:hint="default"/>
          <w:spacing w:val="-13"/>
          <w:w w:val="99"/>
        </w:rPr>
        <w:t> </w:t>
      </w:r>
      <w:r>
        <w:rPr>
          <w:spacing w:val="-10"/>
          <w:w w:val="99"/>
        </w:rPr>
        <w:t>日，联通运营公司完成了向联通集团收购其贵州分公司移动业务及资产（“贵</w:t>
      </w:r>
      <w:r>
        <w:rPr>
          <w:spacing w:val="-10"/>
        </w:rPr>
      </w:r>
    </w:p>
    <w:p>
      <w:pPr>
        <w:pStyle w:val="BodyText"/>
        <w:spacing w:line="286" w:lineRule="exact" w:before="12"/>
        <w:ind w:left="525" w:right="211"/>
        <w:jc w:val="both"/>
      </w:pPr>
      <w:r>
        <w:rPr/>
        <w:t>州业务”）。联通运营公司于 </w:t>
      </w:r>
      <w:r>
        <w:rPr>
          <w:rFonts w:ascii="Arial" w:hAnsi="Arial" w:cs="Arial" w:eastAsia="Arial" w:hint="default"/>
        </w:rPr>
        <w:t>2008</w:t>
      </w:r>
      <w:r>
        <w:rPr>
          <w:rFonts w:ascii="Arial" w:hAnsi="Arial" w:cs="Arial" w:eastAsia="Arial" w:hint="default"/>
          <w:spacing w:val="36"/>
        </w:rPr>
        <w:t> </w:t>
      </w:r>
      <w:r>
        <w:rPr/>
        <w:t>年在北京设立了一家全资子公司联通华盛，其主要业务是</w:t>
      </w:r>
      <w:r>
        <w:rPr>
          <w:w w:val="99"/>
        </w:rPr>
        <w:t> </w:t>
      </w:r>
      <w:r>
        <w:rPr/>
        <w:t>销售手机及其他通信终端。</w:t>
      </w:r>
    </w:p>
    <w:p>
      <w:pPr>
        <w:pStyle w:val="BodyText"/>
        <w:spacing w:line="230" w:lineRule="auto" w:before="188"/>
        <w:ind w:left="525" w:right="212"/>
        <w:jc w:val="both"/>
      </w:pPr>
      <w:r>
        <w:rPr/>
        <w:t>于</w:t>
      </w:r>
      <w:r>
        <w:rPr>
          <w:spacing w:val="-35"/>
        </w:rPr>
        <w:t> </w:t>
      </w:r>
      <w:r>
        <w:rPr>
          <w:rFonts w:ascii="Arial" w:hAnsi="Arial" w:cs="Arial" w:eastAsia="Arial" w:hint="default"/>
        </w:rPr>
        <w:t>2009</w:t>
      </w:r>
      <w:r>
        <w:rPr>
          <w:rFonts w:ascii="Arial" w:hAnsi="Arial" w:cs="Arial" w:eastAsia="Arial" w:hint="default"/>
          <w:spacing w:val="14"/>
        </w:rPr>
        <w:t> </w:t>
      </w:r>
      <w:r>
        <w:rPr/>
        <w:t>年</w:t>
      </w:r>
      <w:r>
        <w:rPr>
          <w:spacing w:val="-35"/>
        </w:rPr>
        <w:t> </w:t>
      </w:r>
      <w:r>
        <w:rPr>
          <w:rFonts w:ascii="Arial" w:hAnsi="Arial" w:cs="Arial" w:eastAsia="Arial" w:hint="default"/>
        </w:rPr>
        <w:t>1</w:t>
      </w:r>
      <w:r>
        <w:rPr>
          <w:rFonts w:ascii="Arial" w:hAnsi="Arial" w:cs="Arial" w:eastAsia="Arial" w:hint="default"/>
          <w:spacing w:val="14"/>
        </w:rPr>
        <w:t> </w:t>
      </w:r>
      <w:r>
        <w:rPr/>
        <w:t>月，联通运营公司完成吸收合并网通红筹公司的全资子公司中国网通（集团）有</w:t>
      </w:r>
      <w:r>
        <w:rPr>
          <w:w w:val="99"/>
        </w:rPr>
        <w:t> </w:t>
      </w:r>
      <w:r>
        <w:rPr/>
        <w:t>限公司（“网通运营公司”），合并后联通运营公司存续，而网通运营公司被注销。另外，于</w:t>
      </w:r>
      <w:r>
        <w:rPr>
          <w:spacing w:val="-97"/>
        </w:rPr>
        <w:t> </w:t>
      </w:r>
      <w:r>
        <w:rPr>
          <w:spacing w:val="-97"/>
        </w:rPr>
      </w:r>
      <w:r>
        <w:rPr>
          <w:rFonts w:ascii="Arial" w:hAnsi="Arial" w:cs="Arial" w:eastAsia="Arial" w:hint="default"/>
        </w:rPr>
        <w:t>2009</w:t>
      </w:r>
      <w:r>
        <w:rPr>
          <w:rFonts w:ascii="Arial" w:hAnsi="Arial" w:cs="Arial" w:eastAsia="Arial" w:hint="default"/>
          <w:spacing w:val="-8"/>
        </w:rPr>
        <w:t> </w:t>
      </w:r>
      <w:r>
        <w:rPr/>
        <w:t>年</w:t>
      </w:r>
      <w:r>
        <w:rPr>
          <w:spacing w:val="-57"/>
        </w:rPr>
        <w:t> </w:t>
      </w:r>
      <w:r>
        <w:rPr>
          <w:rFonts w:ascii="Arial" w:hAnsi="Arial" w:cs="Arial" w:eastAsia="Arial" w:hint="default"/>
        </w:rPr>
        <w:t>1</w:t>
      </w:r>
      <w:r>
        <w:rPr>
          <w:rFonts w:ascii="Arial" w:hAnsi="Arial" w:cs="Arial" w:eastAsia="Arial" w:hint="default"/>
          <w:spacing w:val="-8"/>
        </w:rPr>
        <w:t> </w:t>
      </w:r>
      <w:r>
        <w:rPr>
          <w:spacing w:val="-4"/>
        </w:rPr>
        <w:t>月，联通运营公司亦根据本公司于</w:t>
      </w:r>
      <w:r>
        <w:rPr>
          <w:spacing w:val="-56"/>
        </w:rPr>
        <w:t> </w:t>
      </w:r>
      <w:r>
        <w:rPr>
          <w:rFonts w:ascii="Arial" w:hAnsi="Arial" w:cs="Arial" w:eastAsia="Arial" w:hint="default"/>
        </w:rPr>
        <w:t>2008</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16</w:t>
      </w:r>
      <w:r>
        <w:rPr>
          <w:rFonts w:ascii="Arial" w:hAnsi="Arial" w:cs="Arial" w:eastAsia="Arial" w:hint="default"/>
          <w:spacing w:val="-8"/>
        </w:rPr>
        <w:t> </w:t>
      </w:r>
      <w:r>
        <w:rPr/>
        <w:t>日与联通集团和网通集团签署的</w:t>
      </w:r>
    </w:p>
    <w:p>
      <w:pPr>
        <w:pStyle w:val="BodyText"/>
        <w:spacing w:line="228" w:lineRule="auto"/>
        <w:ind w:left="525" w:right="211"/>
        <w:jc w:val="both"/>
      </w:pPr>
      <w:r>
        <w:rPr>
          <w:spacing w:val="-3"/>
        </w:rPr>
        <w:t>《关于相关电信业务及资产的转让协议》完成了收购联通集团和网通集团在南方</w:t>
      </w:r>
      <w:r>
        <w:rPr>
          <w:spacing w:val="-50"/>
        </w:rPr>
        <w:t> </w:t>
      </w:r>
      <w:r>
        <w:rPr>
          <w:rFonts w:ascii="Arial" w:hAnsi="Arial" w:cs="Arial" w:eastAsia="Arial" w:hint="default"/>
        </w:rPr>
        <w:t>21</w:t>
      </w:r>
      <w:r>
        <w:rPr>
          <w:rFonts w:ascii="Arial" w:hAnsi="Arial" w:cs="Arial" w:eastAsia="Arial" w:hint="default"/>
          <w:spacing w:val="-6"/>
        </w:rPr>
        <w:t> </w:t>
      </w:r>
      <w:r>
        <w:rPr/>
        <w:t>省地区经营</w:t>
      </w:r>
      <w:r>
        <w:rPr>
          <w:w w:val="99"/>
        </w:rPr>
        <w:t> </w:t>
      </w:r>
      <w:r>
        <w:rPr/>
        <w:t>的固定电信网络通信业务、联通集团在天津市拥有的固网业务及所有相关资产及负债、联通集</w:t>
      </w:r>
      <w:r>
        <w:rPr>
          <w:spacing w:val="-97"/>
        </w:rPr>
        <w:t> </w:t>
      </w:r>
      <w:r>
        <w:rPr>
          <w:spacing w:val="-97"/>
        </w:rPr>
      </w:r>
      <w:r>
        <w:rPr/>
        <w:t>团持有的联通兴业、中讯设计院以及联通信息导航三家电信服务子公司</w:t>
      </w:r>
      <w:r>
        <w:rPr>
          <w:spacing w:val="8"/>
        </w:rPr>
        <w:t> </w:t>
      </w:r>
      <w:r>
        <w:rPr>
          <w:rFonts w:ascii="Arial" w:hAnsi="Arial" w:cs="Arial" w:eastAsia="Arial" w:hint="default"/>
        </w:rPr>
        <w:t>100%</w:t>
      </w:r>
      <w:r>
        <w:rPr/>
        <w:t>的股权以及网通</w:t>
      </w:r>
      <w:r>
        <w:rPr>
          <w:spacing w:val="-108"/>
        </w:rPr>
        <w:t> </w:t>
      </w:r>
      <w:r>
        <w:rPr>
          <w:spacing w:val="-108"/>
        </w:rPr>
      </w:r>
      <w:r>
        <w:rPr/>
        <w:t>集团通过其下属子公司在北方</w:t>
      </w:r>
      <w:r>
        <w:rPr>
          <w:spacing w:val="-53"/>
        </w:rPr>
        <w:t> </w:t>
      </w:r>
      <w:r>
        <w:rPr>
          <w:rFonts w:ascii="Arial" w:hAnsi="Arial" w:cs="Arial" w:eastAsia="Arial" w:hint="default"/>
        </w:rPr>
        <w:t>10</w:t>
      </w:r>
      <w:r>
        <w:rPr>
          <w:rFonts w:ascii="Arial" w:hAnsi="Arial" w:cs="Arial" w:eastAsia="Arial" w:hint="default"/>
          <w:spacing w:val="-4"/>
        </w:rPr>
        <w:t> </w:t>
      </w:r>
      <w:r>
        <w:rPr>
          <w:spacing w:val="-4"/>
        </w:rPr>
        <w:t>省、自治区及直辖市拥有的北方一级干线传输资产等（“相关</w:t>
      </w:r>
      <w:r>
        <w:rPr>
          <w:w w:val="99"/>
        </w:rPr>
        <w:t> </w:t>
      </w:r>
      <w:r>
        <w:rPr/>
        <w:t>电信业务和资产的收购”）。</w:t>
      </w:r>
    </w:p>
    <w:p>
      <w:pPr>
        <w:spacing w:line="240" w:lineRule="auto" w:before="11"/>
        <w:rPr>
          <w:rFonts w:ascii="宋体" w:hAnsi="宋体" w:cs="宋体" w:eastAsia="宋体" w:hint="default"/>
          <w:sz w:val="17"/>
          <w:szCs w:val="17"/>
        </w:rPr>
      </w:pPr>
    </w:p>
    <w:p>
      <w:pPr>
        <w:pStyle w:val="BodyText"/>
        <w:spacing w:line="286" w:lineRule="exact"/>
        <w:ind w:left="525" w:right="0"/>
        <w:jc w:val="left"/>
      </w:pPr>
      <w:r>
        <w:rPr/>
        <w:t>经过上述一系列的企业合并和收购，联通运营公司成为一家全业务电信运营公司，目前的经营</w:t>
      </w:r>
      <w:r>
        <w:rPr>
          <w:spacing w:val="-97"/>
        </w:rPr>
        <w:t> </w:t>
      </w:r>
      <w:r>
        <w:rPr>
          <w:spacing w:val="-97"/>
        </w:rPr>
      </w:r>
      <w:r>
        <w:rPr>
          <w:spacing w:val="-2"/>
        </w:rPr>
        <w:t>范围包括在中国境内提供移动电话、本地固定电话以及全国范围的国内、国际长途通信、数据、</w:t>
      </w:r>
      <w:r>
        <w:rPr>
          <w:spacing w:val="-101"/>
        </w:rPr>
        <w:t> </w:t>
      </w:r>
      <w:r>
        <w:rPr>
          <w:spacing w:val="-101"/>
        </w:rPr>
      </w:r>
      <w:r>
        <w:rPr/>
        <w:t>互联网及宽带等电信通信服务、电信增值服务以及信息系统集成和广告传媒等相关业务。</w:t>
      </w:r>
    </w:p>
    <w:p>
      <w:pPr>
        <w:spacing w:line="240" w:lineRule="auto" w:before="10"/>
        <w:rPr>
          <w:rFonts w:ascii="宋体" w:hAnsi="宋体" w:cs="宋体" w:eastAsia="宋体" w:hint="default"/>
          <w:sz w:val="15"/>
          <w:szCs w:val="15"/>
        </w:rPr>
      </w:pPr>
    </w:p>
    <w:p>
      <w:pPr>
        <w:pStyle w:val="BodyText"/>
        <w:spacing w:line="286" w:lineRule="exact"/>
        <w:ind w:left="525" w:right="212"/>
        <w:jc w:val="both"/>
      </w:pPr>
      <w:r>
        <w:rPr/>
        <w:t>在联通集团获得</w:t>
      </w:r>
      <w:r>
        <w:rPr>
          <w:spacing w:val="-59"/>
        </w:rPr>
        <w:t> </w:t>
      </w:r>
      <w:r>
        <w:rPr>
          <w:rFonts w:ascii="Arial" w:hAnsi="Arial" w:cs="Arial" w:eastAsia="Arial" w:hint="default"/>
        </w:rPr>
        <w:t>3G</w:t>
      </w:r>
      <w:r>
        <w:rPr/>
        <w:t>（</w:t>
      </w:r>
      <w:r>
        <w:rPr>
          <w:rFonts w:ascii="Arial" w:hAnsi="Arial" w:cs="Arial" w:eastAsia="Arial" w:hint="default"/>
        </w:rPr>
        <w:t>WCDMA</w:t>
      </w:r>
      <w:r>
        <w:rPr/>
        <w:t>）运营牌照后，联通运营公司自</w:t>
      </w:r>
      <w:r>
        <w:rPr>
          <w:spacing w:val="-59"/>
        </w:rPr>
        <w:t> </w:t>
      </w:r>
      <w:r>
        <w:rPr>
          <w:rFonts w:ascii="Arial" w:hAnsi="Arial" w:cs="Arial" w:eastAsia="Arial" w:hint="default"/>
        </w:rPr>
        <w:t>2009</w:t>
      </w:r>
      <w:r>
        <w:rPr>
          <w:rFonts w:ascii="Arial" w:hAnsi="Arial" w:cs="Arial" w:eastAsia="Arial" w:hint="default"/>
          <w:spacing w:val="-11"/>
        </w:rPr>
        <w:t> </w:t>
      </w:r>
      <w:r>
        <w:rPr/>
        <w:t>年于</w:t>
      </w:r>
      <w:r>
        <w:rPr>
          <w:spacing w:val="-60"/>
        </w:rPr>
        <w:t> </w:t>
      </w:r>
      <w:r>
        <w:rPr>
          <w:rFonts w:ascii="Arial" w:hAnsi="Arial" w:cs="Arial" w:eastAsia="Arial" w:hint="default"/>
        </w:rPr>
        <w:t>1</w:t>
      </w:r>
      <w:r>
        <w:rPr>
          <w:rFonts w:ascii="Arial" w:hAnsi="Arial" w:cs="Arial" w:eastAsia="Arial" w:hint="default"/>
          <w:spacing w:val="-11"/>
        </w:rPr>
        <w:t> </w:t>
      </w:r>
      <w:r>
        <w:rPr/>
        <w:t>月</w:t>
      </w:r>
      <w:r>
        <w:rPr>
          <w:spacing w:val="-60"/>
        </w:rPr>
        <w:t> </w:t>
      </w:r>
      <w:r>
        <w:rPr>
          <w:rFonts w:ascii="Arial" w:hAnsi="Arial" w:cs="Arial" w:eastAsia="Arial" w:hint="default"/>
        </w:rPr>
        <w:t>7</w:t>
      </w:r>
      <w:r>
        <w:rPr>
          <w:rFonts w:ascii="Arial" w:hAnsi="Arial" w:cs="Arial" w:eastAsia="Arial" w:hint="default"/>
          <w:spacing w:val="-11"/>
        </w:rPr>
        <w:t> </w:t>
      </w:r>
      <w:r>
        <w:rPr/>
        <w:t>日经联通集团</w:t>
      </w:r>
      <w:r>
        <w:rPr>
          <w:w w:val="99"/>
        </w:rPr>
        <w:t> </w:t>
      </w:r>
      <w:r>
        <w:rPr/>
        <w:t>授权在中国境内开始</w:t>
      </w:r>
      <w:r>
        <w:rPr>
          <w:spacing w:val="-57"/>
        </w:rPr>
        <w:t> </w:t>
      </w:r>
      <w:r>
        <w:rPr>
          <w:rFonts w:ascii="Arial" w:hAnsi="Arial" w:cs="Arial" w:eastAsia="Arial" w:hint="default"/>
        </w:rPr>
        <w:t>3G</w:t>
      </w:r>
      <w:r>
        <w:rPr>
          <w:rFonts w:ascii="Arial" w:hAnsi="Arial" w:cs="Arial" w:eastAsia="Arial" w:hint="default"/>
          <w:spacing w:val="-9"/>
        </w:rPr>
        <w:t> </w:t>
      </w:r>
      <w:r>
        <w:rPr/>
        <w:t>网络建设，并于</w:t>
      </w:r>
      <w:r>
        <w:rPr>
          <w:spacing w:val="-57"/>
        </w:rPr>
        <w:t> </w:t>
      </w:r>
      <w:r>
        <w:rPr>
          <w:rFonts w:ascii="Arial" w:hAnsi="Arial" w:cs="Arial" w:eastAsia="Arial" w:hint="default"/>
        </w:rPr>
        <w:t>2009</w:t>
      </w:r>
      <w:r>
        <w:rPr>
          <w:rFonts w:ascii="Arial" w:hAnsi="Arial" w:cs="Arial" w:eastAsia="Arial" w:hint="default"/>
          <w:spacing w:val="-8"/>
        </w:rPr>
        <w:t> </w:t>
      </w:r>
      <w:r>
        <w:rPr/>
        <w:t>年</w:t>
      </w:r>
      <w:r>
        <w:rPr>
          <w:spacing w:val="-57"/>
        </w:rPr>
        <w:t> </w:t>
      </w:r>
      <w:r>
        <w:rPr>
          <w:rFonts w:ascii="Arial" w:hAnsi="Arial" w:cs="Arial" w:eastAsia="Arial" w:hint="default"/>
        </w:rPr>
        <w:t>10</w:t>
      </w:r>
      <w:r>
        <w:rPr>
          <w:rFonts w:ascii="Arial" w:hAnsi="Arial" w:cs="Arial" w:eastAsia="Arial" w:hint="default"/>
          <w:spacing w:val="-8"/>
        </w:rPr>
        <w:t> </w:t>
      </w:r>
      <w:r>
        <w:rPr/>
        <w:t>月正式投入运营。</w:t>
      </w:r>
    </w:p>
    <w:p>
      <w:pPr>
        <w:spacing w:line="240" w:lineRule="auto" w:before="6"/>
        <w:rPr>
          <w:rFonts w:ascii="宋体" w:hAnsi="宋体" w:cs="宋体" w:eastAsia="宋体" w:hint="default"/>
          <w:sz w:val="17"/>
          <w:szCs w:val="17"/>
        </w:rPr>
      </w:pPr>
    </w:p>
    <w:p>
      <w:pPr>
        <w:pStyle w:val="BodyText"/>
        <w:spacing w:line="286" w:lineRule="exact"/>
        <w:ind w:left="525" w:right="210"/>
        <w:jc w:val="both"/>
      </w:pPr>
      <w:r>
        <w:rPr/>
        <w:t>于</w:t>
      </w:r>
      <w:r>
        <w:rPr>
          <w:spacing w:val="-57"/>
        </w:rPr>
        <w:t> </w:t>
      </w:r>
      <w:r>
        <w:rPr>
          <w:rFonts w:ascii="Arial" w:hAnsi="Arial" w:cs="Arial" w:eastAsia="Arial" w:hint="default"/>
        </w:rPr>
        <w:t>2011</w:t>
      </w:r>
      <w:r>
        <w:rPr>
          <w:rFonts w:ascii="Arial" w:hAnsi="Arial" w:cs="Arial" w:eastAsia="Arial" w:hint="default"/>
          <w:spacing w:val="-8"/>
        </w:rPr>
        <w:t> </w:t>
      </w:r>
      <w:r>
        <w:rPr/>
        <w:t>年</w:t>
      </w:r>
      <w:r>
        <w:rPr>
          <w:spacing w:val="-56"/>
        </w:rPr>
        <w:t> </w:t>
      </w:r>
      <w:r>
        <w:rPr>
          <w:rFonts w:ascii="Arial" w:hAnsi="Arial" w:cs="Arial" w:eastAsia="Arial" w:hint="default"/>
        </w:rPr>
        <w:t>4</w:t>
      </w:r>
      <w:r>
        <w:rPr>
          <w:rFonts w:ascii="Arial" w:hAnsi="Arial" w:cs="Arial" w:eastAsia="Arial" w:hint="default"/>
          <w:spacing w:val="-8"/>
        </w:rPr>
        <w:t> </w:t>
      </w:r>
      <w:r>
        <w:rPr/>
        <w:t>月</w:t>
      </w:r>
      <w:r>
        <w:rPr>
          <w:spacing w:val="-57"/>
        </w:rPr>
        <w:t> </w:t>
      </w:r>
      <w:r>
        <w:rPr>
          <w:rFonts w:ascii="Arial" w:hAnsi="Arial" w:cs="Arial" w:eastAsia="Arial" w:hint="default"/>
        </w:rPr>
        <w:t>11</w:t>
      </w:r>
      <w:r>
        <w:rPr>
          <w:rFonts w:ascii="Arial" w:hAnsi="Arial" w:cs="Arial" w:eastAsia="Arial" w:hint="default"/>
          <w:spacing w:val="-8"/>
        </w:rPr>
        <w:t> </w:t>
      </w:r>
      <w:r>
        <w:rPr/>
        <w:t>日，联通运营公司出资设立联通支付并持有其</w:t>
      </w:r>
      <w:r>
        <w:rPr>
          <w:spacing w:val="-57"/>
        </w:rPr>
        <w:t> </w:t>
      </w:r>
      <w:r>
        <w:rPr>
          <w:rFonts w:ascii="Arial" w:hAnsi="Arial" w:cs="Arial" w:eastAsia="Arial" w:hint="default"/>
        </w:rPr>
        <w:t>100%</w:t>
      </w:r>
      <w:r>
        <w:rPr/>
        <w:t>的股权。联通支付的主</w:t>
      </w:r>
      <w:r>
        <w:rPr>
          <w:spacing w:val="1"/>
          <w:w w:val="99"/>
        </w:rPr>
        <w:t> </w:t>
      </w:r>
      <w:r>
        <w:rPr/>
        <w:t>要业务是从事基础软件服务、应用软件服务以及第三方移动支付业务。联通支付的注册资本及</w:t>
      </w:r>
      <w:r>
        <w:rPr>
          <w:spacing w:val="-87"/>
        </w:rPr>
        <w:t> </w:t>
      </w:r>
      <w:r>
        <w:rPr>
          <w:spacing w:val="-87"/>
        </w:rPr>
      </w:r>
      <w:r>
        <w:rPr/>
        <w:t>实收资本为人民币</w:t>
      </w:r>
      <w:r>
        <w:rPr>
          <w:spacing w:val="-57"/>
        </w:rPr>
        <w:t> </w:t>
      </w:r>
      <w:r>
        <w:rPr>
          <w:rFonts w:ascii="Arial" w:hAnsi="Arial" w:cs="Arial" w:eastAsia="Arial" w:hint="default"/>
        </w:rPr>
        <w:t>2.5</w:t>
      </w:r>
      <w:r>
        <w:rPr>
          <w:rFonts w:ascii="Arial" w:hAnsi="Arial" w:cs="Arial" w:eastAsia="Arial" w:hint="default"/>
          <w:spacing w:val="-9"/>
        </w:rPr>
        <w:t> </w:t>
      </w:r>
      <w:r>
        <w:rPr/>
        <w:t>亿元。</w:t>
      </w:r>
    </w:p>
    <w:p>
      <w:pPr>
        <w:spacing w:after="0" w:line="286" w:lineRule="exact"/>
        <w:jc w:val="both"/>
        <w:sectPr>
          <w:headerReference w:type="default" r:id="rId74"/>
          <w:footerReference w:type="default" r:id="rId75"/>
          <w:pgSz w:w="11910" w:h="16840"/>
          <w:pgMar w:header="1189" w:footer="457" w:top="3580" w:bottom="640" w:left="1280" w:right="820"/>
          <w:pgNumType w:start="96"/>
        </w:sectPr>
      </w:pPr>
    </w:p>
    <w:p>
      <w:pPr>
        <w:spacing w:line="240" w:lineRule="auto" w:before="13"/>
        <w:rPr>
          <w:rFonts w:ascii="宋体" w:hAnsi="宋体" w:cs="宋体" w:eastAsia="宋体" w:hint="default"/>
          <w:sz w:val="15"/>
          <w:szCs w:val="15"/>
        </w:rPr>
      </w:pPr>
    </w:p>
    <w:p>
      <w:pPr>
        <w:pStyle w:val="BodyText"/>
        <w:spacing w:line="240" w:lineRule="auto" w:before="31"/>
        <w:ind w:left="525" w:right="0"/>
        <w:jc w:val="both"/>
      </w:pPr>
      <w:r>
        <w:rPr/>
        <w:t>注释（续）：</w:t>
      </w:r>
    </w:p>
    <w:p>
      <w:pPr>
        <w:spacing w:line="240" w:lineRule="auto" w:before="3"/>
        <w:rPr>
          <w:rFonts w:ascii="宋体" w:hAnsi="宋体" w:cs="宋体" w:eastAsia="宋体" w:hint="default"/>
          <w:sz w:val="21"/>
          <w:szCs w:val="21"/>
        </w:rPr>
      </w:pPr>
    </w:p>
    <w:p>
      <w:pPr>
        <w:pStyle w:val="BodyText"/>
        <w:spacing w:line="286" w:lineRule="exact"/>
        <w:ind w:left="525" w:right="213" w:hanging="420"/>
        <w:jc w:val="both"/>
      </w:pPr>
      <w:r>
        <w:rPr>
          <w:rFonts w:ascii="Arial" w:hAnsi="Arial" w:cs="Arial" w:eastAsia="Arial" w:hint="default"/>
        </w:rPr>
        <w:t>(3) </w:t>
      </w:r>
      <w:r>
        <w:rPr/>
        <w:t>系统集成公司和宽带在线是网通运营公司于 </w:t>
      </w:r>
      <w:r>
        <w:rPr>
          <w:rFonts w:ascii="Arial" w:hAnsi="Arial" w:cs="Arial" w:eastAsia="Arial" w:hint="default"/>
        </w:rPr>
        <w:t>2006</w:t>
      </w:r>
      <w:r>
        <w:rPr>
          <w:rFonts w:ascii="Arial" w:hAnsi="Arial" w:cs="Arial" w:eastAsia="Arial" w:hint="default"/>
          <w:spacing w:val="1"/>
        </w:rPr>
        <w:t> </w:t>
      </w:r>
      <w:r>
        <w:rPr/>
        <w:t>年在中国境内设立的两家全资子公司，主要</w:t>
      </w:r>
      <w:r>
        <w:rPr>
          <w:w w:val="99"/>
        </w:rPr>
        <w:t> </w:t>
      </w:r>
      <w:r>
        <w:rPr/>
        <w:t>从事系统集成和互联网方面的业务。</w:t>
      </w:r>
    </w:p>
    <w:p>
      <w:pPr>
        <w:spacing w:line="240" w:lineRule="auto" w:before="2"/>
        <w:rPr>
          <w:rFonts w:ascii="宋体" w:hAnsi="宋体" w:cs="宋体" w:eastAsia="宋体" w:hint="default"/>
          <w:sz w:val="17"/>
          <w:szCs w:val="17"/>
        </w:rPr>
      </w:pPr>
    </w:p>
    <w:p>
      <w:pPr>
        <w:pStyle w:val="BodyText"/>
        <w:spacing w:line="295" w:lineRule="exact"/>
        <w:ind w:left="525" w:right="0"/>
        <w:jc w:val="both"/>
      </w:pPr>
      <w:r>
        <w:rPr/>
        <w:t>规划设计院是北京电信规划设计院进行公司制改制后于</w:t>
      </w:r>
      <w:r>
        <w:rPr>
          <w:spacing w:val="-63"/>
        </w:rPr>
        <w:t> </w:t>
      </w:r>
      <w:r>
        <w:rPr>
          <w:rFonts w:ascii="Arial" w:hAnsi="Arial" w:cs="Arial" w:eastAsia="Arial" w:hint="default"/>
        </w:rPr>
        <w:t>2007</w:t>
      </w:r>
      <w:r>
        <w:rPr>
          <w:rFonts w:ascii="Arial" w:hAnsi="Arial" w:cs="Arial" w:eastAsia="Arial" w:hint="default"/>
          <w:spacing w:val="-14"/>
        </w:rPr>
        <w:t> </w:t>
      </w:r>
      <w:r>
        <w:rPr/>
        <w:t>年</w:t>
      </w:r>
      <w:r>
        <w:rPr>
          <w:spacing w:val="-63"/>
        </w:rPr>
        <w:t> </w:t>
      </w:r>
      <w:r>
        <w:rPr>
          <w:rFonts w:ascii="Arial" w:hAnsi="Arial" w:cs="Arial" w:eastAsia="Arial" w:hint="default"/>
        </w:rPr>
        <w:t>6</w:t>
      </w:r>
      <w:r>
        <w:rPr>
          <w:rFonts w:ascii="Arial" w:hAnsi="Arial" w:cs="Arial" w:eastAsia="Arial" w:hint="default"/>
          <w:spacing w:val="-14"/>
        </w:rPr>
        <w:t> </w:t>
      </w:r>
      <w:r>
        <w:rPr/>
        <w:t>月</w:t>
      </w:r>
      <w:r>
        <w:rPr>
          <w:spacing w:val="-62"/>
        </w:rPr>
        <w:t> </w:t>
      </w:r>
      <w:r>
        <w:rPr>
          <w:rFonts w:ascii="Arial" w:hAnsi="Arial" w:cs="Arial" w:eastAsia="Arial" w:hint="default"/>
        </w:rPr>
        <w:t>1</w:t>
      </w:r>
      <w:r>
        <w:rPr>
          <w:rFonts w:ascii="Arial" w:hAnsi="Arial" w:cs="Arial" w:eastAsia="Arial" w:hint="default"/>
          <w:spacing w:val="-13"/>
        </w:rPr>
        <w:t> </w:t>
      </w:r>
      <w:r>
        <w:rPr/>
        <w:t>日组建的有限责任公司。</w:t>
      </w:r>
    </w:p>
    <w:p>
      <w:pPr>
        <w:pStyle w:val="BodyText"/>
        <w:spacing w:line="285" w:lineRule="exact"/>
        <w:ind w:left="525" w:right="0"/>
        <w:jc w:val="both"/>
      </w:pPr>
      <w:r>
        <w:rPr/>
        <w:t>系统集成公司于</w:t>
      </w:r>
      <w:r>
        <w:rPr>
          <w:spacing w:val="-56"/>
        </w:rPr>
        <w:t> </w:t>
      </w:r>
      <w:r>
        <w:rPr>
          <w:rFonts w:ascii="Arial" w:hAnsi="Arial" w:cs="Arial" w:eastAsia="Arial" w:hint="default"/>
        </w:rPr>
        <w:t>2007</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日以人民币约</w:t>
      </w:r>
      <w:r>
        <w:rPr>
          <w:spacing w:val="-57"/>
        </w:rPr>
        <w:t> </w:t>
      </w:r>
      <w:r>
        <w:rPr>
          <w:rFonts w:ascii="Arial" w:hAnsi="Arial" w:cs="Arial" w:eastAsia="Arial" w:hint="default"/>
        </w:rPr>
        <w:t>3</w:t>
      </w:r>
      <w:r>
        <w:rPr>
          <w:rFonts w:ascii="Arial" w:hAnsi="Arial" w:cs="Arial" w:eastAsia="Arial" w:hint="default"/>
          <w:spacing w:val="-8"/>
        </w:rPr>
        <w:t> </w:t>
      </w:r>
      <w:r>
        <w:rPr/>
        <w:t>亿元的对价完成了向中国网通集团北京市通</w:t>
      </w:r>
    </w:p>
    <w:p>
      <w:pPr>
        <w:pStyle w:val="BodyText"/>
        <w:spacing w:line="286" w:lineRule="exact" w:before="18"/>
        <w:ind w:left="525" w:right="262"/>
        <w:jc w:val="both"/>
      </w:pPr>
      <w:r>
        <w:rPr/>
        <w:t>信公司（网通集团所属子公司）收购其持有的规划设计院的全部股权。于</w:t>
      </w:r>
      <w:r>
        <w:rPr>
          <w:spacing w:val="-59"/>
        </w:rPr>
        <w:t> </w:t>
      </w:r>
      <w:r>
        <w:rPr>
          <w:rFonts w:ascii="Arial" w:hAnsi="Arial" w:cs="Arial" w:eastAsia="Arial" w:hint="default"/>
        </w:rPr>
        <w:t>2010</w:t>
      </w:r>
      <w:r>
        <w:rPr>
          <w:rFonts w:ascii="Arial" w:hAnsi="Arial" w:cs="Arial" w:eastAsia="Arial" w:hint="default"/>
          <w:spacing w:val="-10"/>
        </w:rPr>
        <w:t> </w:t>
      </w:r>
      <w:r>
        <w:rPr/>
        <w:t>年度，系统集</w:t>
      </w:r>
      <w:r>
        <w:rPr>
          <w:w w:val="99"/>
        </w:rPr>
        <w:t> </w:t>
      </w:r>
      <w:r>
        <w:rPr>
          <w:w w:val="95"/>
        </w:rPr>
        <w:t>成公司持有的规划设计院的全部股权被转让给联通运营公司的另一家子公司中讯设计院，规划</w:t>
      </w:r>
      <w:r>
        <w:rPr>
          <w:spacing w:val="18"/>
          <w:w w:val="95"/>
        </w:rPr>
        <w:t> </w:t>
      </w:r>
      <w:r>
        <w:rPr>
          <w:spacing w:val="18"/>
          <w:w w:val="95"/>
        </w:rPr>
      </w:r>
      <w:r>
        <w:rPr/>
        <w:t>设计院成为中讯设计院的全资子公司。</w:t>
      </w:r>
    </w:p>
    <w:p>
      <w:pPr>
        <w:spacing w:line="240" w:lineRule="auto" w:before="3"/>
        <w:rPr>
          <w:rFonts w:ascii="宋体" w:hAnsi="宋体" w:cs="宋体" w:eastAsia="宋体" w:hint="default"/>
          <w:sz w:val="19"/>
          <w:szCs w:val="19"/>
        </w:rPr>
      </w:pPr>
    </w:p>
    <w:p>
      <w:pPr>
        <w:pStyle w:val="BodyText"/>
        <w:spacing w:line="286" w:lineRule="exact"/>
        <w:ind w:left="525" w:right="210"/>
        <w:jc w:val="both"/>
      </w:pPr>
      <w:r>
        <w:rPr/>
        <w:t>中融信息原为网通运营公司的子公司，于</w:t>
      </w:r>
      <w:r>
        <w:rPr>
          <w:spacing w:val="-64"/>
        </w:rPr>
        <w:t> </w:t>
      </w:r>
      <w:r>
        <w:rPr>
          <w:rFonts w:ascii="Arial" w:hAnsi="Arial" w:cs="Arial" w:eastAsia="Arial" w:hint="default"/>
        </w:rPr>
        <w:t>2008</w:t>
      </w:r>
      <w:r>
        <w:rPr>
          <w:rFonts w:ascii="Arial" w:hAnsi="Arial" w:cs="Arial" w:eastAsia="Arial" w:hint="default"/>
          <w:spacing w:val="-15"/>
        </w:rPr>
        <w:t> </w:t>
      </w:r>
      <w:r>
        <w:rPr/>
        <w:t>年</w:t>
      </w:r>
      <w:r>
        <w:rPr>
          <w:spacing w:val="-64"/>
        </w:rPr>
        <w:t> </w:t>
      </w:r>
      <w:r>
        <w:rPr>
          <w:rFonts w:ascii="Arial" w:hAnsi="Arial" w:cs="Arial" w:eastAsia="Arial" w:hint="default"/>
        </w:rPr>
        <w:t>3</w:t>
      </w:r>
      <w:r>
        <w:rPr>
          <w:rFonts w:ascii="Arial" w:hAnsi="Arial" w:cs="Arial" w:eastAsia="Arial" w:hint="default"/>
          <w:spacing w:val="-15"/>
        </w:rPr>
        <w:t> </w:t>
      </w:r>
      <w:r>
        <w:rPr/>
        <w:t>月</w:t>
      </w:r>
      <w:r>
        <w:rPr>
          <w:spacing w:val="-64"/>
        </w:rPr>
        <w:t> </w:t>
      </w:r>
      <w:r>
        <w:rPr>
          <w:rFonts w:ascii="Arial" w:hAnsi="Arial" w:cs="Arial" w:eastAsia="Arial" w:hint="default"/>
        </w:rPr>
        <w:t>31</w:t>
      </w:r>
      <w:r>
        <w:rPr>
          <w:rFonts w:ascii="Arial" w:hAnsi="Arial" w:cs="Arial" w:eastAsia="Arial" w:hint="default"/>
          <w:spacing w:val="-15"/>
        </w:rPr>
        <w:t> </w:t>
      </w:r>
      <w:r>
        <w:rPr/>
        <w:t>日在中国北京注册成立，主要从事信</w:t>
      </w:r>
      <w:r>
        <w:rPr>
          <w:w w:val="99"/>
        </w:rPr>
        <w:t> </w:t>
      </w:r>
      <w:r>
        <w:rPr/>
        <w:t>息咨询和技术开发方面的业务。</w:t>
      </w:r>
    </w:p>
    <w:p>
      <w:pPr>
        <w:spacing w:line="240" w:lineRule="auto" w:before="6"/>
        <w:rPr>
          <w:rFonts w:ascii="宋体" w:hAnsi="宋体" w:cs="宋体" w:eastAsia="宋体" w:hint="default"/>
          <w:sz w:val="19"/>
          <w:szCs w:val="19"/>
        </w:rPr>
      </w:pPr>
    </w:p>
    <w:p>
      <w:pPr>
        <w:pStyle w:val="BodyText"/>
        <w:spacing w:line="284" w:lineRule="exact"/>
        <w:ind w:left="525" w:right="305"/>
        <w:jc w:val="both"/>
      </w:pPr>
      <w:r>
        <w:rPr/>
        <w:t>在联通运营公司于</w:t>
      </w:r>
      <w:r>
        <w:rPr>
          <w:spacing w:val="-56"/>
        </w:rPr>
        <w:t> </w:t>
      </w:r>
      <w:r>
        <w:rPr>
          <w:rFonts w:ascii="Arial" w:hAnsi="Arial" w:cs="Arial" w:eastAsia="Arial" w:hint="default"/>
        </w:rPr>
        <w:t>2009</w:t>
      </w:r>
      <w:r>
        <w:rPr>
          <w:rFonts w:ascii="Arial" w:hAnsi="Arial" w:cs="Arial" w:eastAsia="Arial" w:hint="default"/>
          <w:spacing w:val="-8"/>
        </w:rPr>
        <w:t> </w:t>
      </w:r>
      <w:r>
        <w:rPr/>
        <w:t>年</w:t>
      </w:r>
      <w:r>
        <w:rPr>
          <w:spacing w:val="-57"/>
        </w:rPr>
        <w:t> </w:t>
      </w:r>
      <w:r>
        <w:rPr>
          <w:rFonts w:ascii="Arial" w:hAnsi="Arial" w:cs="Arial" w:eastAsia="Arial" w:hint="default"/>
        </w:rPr>
        <w:t>1</w:t>
      </w:r>
      <w:r>
        <w:rPr>
          <w:rFonts w:ascii="Arial" w:hAnsi="Arial" w:cs="Arial" w:eastAsia="Arial" w:hint="default"/>
          <w:spacing w:val="-8"/>
        </w:rPr>
        <w:t> </w:t>
      </w:r>
      <w:r>
        <w:rPr/>
        <w:t>月完成吸收合并网通运营公司后，系统集成公司、宽带在线、规</w:t>
      </w:r>
      <w:r>
        <w:rPr>
          <w:spacing w:val="1"/>
          <w:w w:val="99"/>
        </w:rPr>
        <w:t> </w:t>
      </w:r>
      <w:r>
        <w:rPr/>
        <w:t>划设计院以及中融信息成为联通运营公司的全资子公司。</w:t>
      </w:r>
    </w:p>
    <w:p>
      <w:pPr>
        <w:spacing w:line="240" w:lineRule="auto" w:before="5"/>
        <w:rPr>
          <w:rFonts w:ascii="宋体" w:hAnsi="宋体" w:cs="宋体" w:eastAsia="宋体" w:hint="default"/>
          <w:sz w:val="19"/>
          <w:szCs w:val="19"/>
        </w:rPr>
      </w:pPr>
    </w:p>
    <w:p>
      <w:pPr>
        <w:pStyle w:val="BodyText"/>
        <w:spacing w:line="286" w:lineRule="exact"/>
        <w:ind w:left="525" w:right="214"/>
        <w:jc w:val="both"/>
      </w:pPr>
      <w:r>
        <w:rPr/>
        <w:t>宽带在线于</w:t>
      </w:r>
      <w:r>
        <w:rPr>
          <w:spacing w:val="-63"/>
        </w:rPr>
        <w:t> </w:t>
      </w:r>
      <w:r>
        <w:rPr>
          <w:rFonts w:ascii="Arial" w:hAnsi="Arial" w:cs="Arial" w:eastAsia="Arial" w:hint="default"/>
        </w:rPr>
        <w:t>2011</w:t>
      </w:r>
      <w:r>
        <w:rPr>
          <w:rFonts w:ascii="Arial" w:hAnsi="Arial" w:cs="Arial" w:eastAsia="Arial" w:hint="default"/>
          <w:spacing w:val="-15"/>
        </w:rPr>
        <w:t> </w:t>
      </w:r>
      <w:r>
        <w:rPr/>
        <w:t>年</w:t>
      </w:r>
      <w:r>
        <w:rPr>
          <w:spacing w:val="-64"/>
        </w:rPr>
        <w:t> </w:t>
      </w:r>
      <w:r>
        <w:rPr>
          <w:rFonts w:ascii="Arial" w:hAnsi="Arial" w:cs="Arial" w:eastAsia="Arial" w:hint="default"/>
        </w:rPr>
        <w:t>12</w:t>
      </w:r>
      <w:r>
        <w:rPr>
          <w:rFonts w:ascii="Arial" w:hAnsi="Arial" w:cs="Arial" w:eastAsia="Arial" w:hint="default"/>
          <w:spacing w:val="-15"/>
        </w:rPr>
        <w:t> </w:t>
      </w:r>
      <w:r>
        <w:rPr/>
        <w:t>月</w:t>
      </w:r>
      <w:r>
        <w:rPr>
          <w:spacing w:val="-64"/>
        </w:rPr>
        <w:t> </w:t>
      </w:r>
      <w:r>
        <w:rPr>
          <w:rFonts w:ascii="Arial" w:hAnsi="Arial" w:cs="Arial" w:eastAsia="Arial" w:hint="default"/>
        </w:rPr>
        <w:t>1</w:t>
      </w:r>
      <w:r>
        <w:rPr>
          <w:rFonts w:ascii="Arial" w:hAnsi="Arial" w:cs="Arial" w:eastAsia="Arial" w:hint="default"/>
          <w:spacing w:val="-15"/>
        </w:rPr>
        <w:t> </w:t>
      </w:r>
      <w:r>
        <w:rPr/>
        <w:t>日收购了联通集团的全资子公司联通新时讯。联通新时讯的经营范</w:t>
      </w:r>
      <w:r>
        <w:rPr>
          <w:w w:val="99"/>
        </w:rPr>
        <w:t> </w:t>
      </w:r>
      <w:r>
        <w:rPr/>
        <w:t>围主要包括开展视讯新干线、定位之星以及音乐排行榜、手机动漫等手机增值业务。联通新时</w:t>
      </w:r>
      <w:r>
        <w:rPr>
          <w:w w:val="99"/>
        </w:rPr>
        <w:t> </w:t>
      </w:r>
      <w:r>
        <w:rPr/>
        <w:t>讯目前下属北京新时讯无限传媒广告有限公司，主要经营广告的设计、制作、代理、发布等。</w:t>
      </w:r>
    </w:p>
    <w:p>
      <w:pPr>
        <w:spacing w:line="240" w:lineRule="auto" w:before="3"/>
        <w:rPr>
          <w:rFonts w:ascii="宋体" w:hAnsi="宋体" w:cs="宋体" w:eastAsia="宋体" w:hint="default"/>
          <w:sz w:val="19"/>
          <w:szCs w:val="19"/>
        </w:rPr>
      </w:pPr>
    </w:p>
    <w:p>
      <w:pPr>
        <w:pStyle w:val="BodyText"/>
        <w:spacing w:line="286" w:lineRule="exact"/>
        <w:ind w:left="525" w:right="0" w:hanging="420"/>
        <w:jc w:val="left"/>
      </w:pPr>
      <w:r>
        <w:rPr>
          <w:rFonts w:ascii="Arial" w:hAnsi="Arial" w:cs="Arial" w:eastAsia="Arial" w:hint="default"/>
        </w:rPr>
        <w:t>(4)</w:t>
      </w:r>
      <w:r>
        <w:rPr>
          <w:rFonts w:ascii="Arial" w:hAnsi="Arial" w:cs="Arial" w:eastAsia="Arial" w:hint="default"/>
          <w:spacing w:val="21"/>
        </w:rPr>
        <w:t> </w:t>
      </w:r>
      <w:r>
        <w:rPr/>
        <w:t>中讯设计院是于</w:t>
      </w:r>
      <w:r>
        <w:rPr>
          <w:spacing w:val="-82"/>
        </w:rPr>
        <w:t> </w:t>
      </w:r>
      <w:r>
        <w:rPr>
          <w:rFonts w:ascii="Arial" w:hAnsi="Arial" w:cs="Arial" w:eastAsia="Arial" w:hint="default"/>
        </w:rPr>
        <w:t>2008</w:t>
      </w:r>
      <w:r>
        <w:rPr>
          <w:rFonts w:ascii="Arial" w:hAnsi="Arial" w:cs="Arial" w:eastAsia="Arial" w:hint="default"/>
          <w:spacing w:val="-32"/>
        </w:rPr>
        <w:t> </w:t>
      </w:r>
      <w:r>
        <w:rPr/>
        <w:t>年</w:t>
      </w:r>
      <w:r>
        <w:rPr>
          <w:spacing w:val="-82"/>
        </w:rPr>
        <w:t> </w:t>
      </w:r>
      <w:r>
        <w:rPr>
          <w:rFonts w:ascii="Arial" w:hAnsi="Arial" w:cs="Arial" w:eastAsia="Arial" w:hint="default"/>
        </w:rPr>
        <w:t>9</w:t>
      </w:r>
      <w:r>
        <w:rPr>
          <w:rFonts w:ascii="Arial" w:hAnsi="Arial" w:cs="Arial" w:eastAsia="Arial" w:hint="default"/>
          <w:spacing w:val="-33"/>
        </w:rPr>
        <w:t> </w:t>
      </w:r>
      <w:r>
        <w:rPr/>
        <w:t>月</w:t>
      </w:r>
      <w:r>
        <w:rPr>
          <w:spacing w:val="-82"/>
        </w:rPr>
        <w:t> </w:t>
      </w:r>
      <w:r>
        <w:rPr>
          <w:rFonts w:ascii="Arial" w:hAnsi="Arial" w:cs="Arial" w:eastAsia="Arial" w:hint="default"/>
        </w:rPr>
        <w:t>27</w:t>
      </w:r>
      <w:r>
        <w:rPr>
          <w:rFonts w:ascii="Arial" w:hAnsi="Arial" w:cs="Arial" w:eastAsia="Arial" w:hint="default"/>
          <w:spacing w:val="-32"/>
        </w:rPr>
        <w:t> </w:t>
      </w:r>
      <w:r>
        <w:rPr/>
        <w:t>日完成公司制改制后在中国北京注册成立为一家有限责任公司，</w:t>
      </w:r>
      <w:r>
        <w:rPr>
          <w:w w:val="99"/>
        </w:rPr>
        <w:t> </w:t>
      </w:r>
      <w:r>
        <w:rPr/>
        <w:t>其主要经营范围包括：通信信息工程和建筑工程的咨询、勘察、设计、监理、工程总承包；信</w:t>
      </w:r>
    </w:p>
    <w:p>
      <w:pPr>
        <w:pStyle w:val="BodyText"/>
        <w:spacing w:line="284" w:lineRule="exact" w:before="1"/>
        <w:ind w:left="525" w:right="219"/>
        <w:jc w:val="both"/>
      </w:pPr>
      <w:r>
        <w:rPr/>
        <w:t>息网络、通信网络的设计、集成、软件开发、技术开发、技术咨询、技术服务、技术转让、技</w:t>
      </w:r>
      <w:r>
        <w:rPr>
          <w:spacing w:val="-95"/>
        </w:rPr>
        <w:t> </w:t>
      </w:r>
      <w:r>
        <w:rPr>
          <w:spacing w:val="-95"/>
        </w:rPr>
      </w:r>
      <w:r>
        <w:rPr/>
        <w:t>术劳务服务等。中讯设计院目前下属有规划设计院、华夏邮电咨询监理有限公司、郑州凯成实</w:t>
      </w:r>
    </w:p>
    <w:p>
      <w:pPr>
        <w:pStyle w:val="BodyText"/>
        <w:spacing w:line="276" w:lineRule="exact"/>
        <w:ind w:left="525" w:right="0"/>
        <w:jc w:val="both"/>
      </w:pPr>
      <w:r>
        <w:rPr/>
        <w:t>业有限公司、郑州中讯邮电设计技术杂志社及《邮电设计技术》杂志社有限公司</w:t>
      </w:r>
      <w:r>
        <w:rPr>
          <w:spacing w:val="-59"/>
        </w:rPr>
        <w:t> </w:t>
      </w:r>
      <w:r>
        <w:rPr>
          <w:rFonts w:ascii="Arial" w:hAnsi="Arial" w:cs="Arial" w:eastAsia="Arial" w:hint="default"/>
        </w:rPr>
        <w:t>5</w:t>
      </w:r>
      <w:r>
        <w:rPr>
          <w:rFonts w:ascii="Arial" w:hAnsi="Arial" w:cs="Arial" w:eastAsia="Arial" w:hint="default"/>
          <w:spacing w:val="-13"/>
        </w:rPr>
        <w:t> </w:t>
      </w:r>
      <w:r>
        <w:rPr/>
        <w:t>家子公司。</w:t>
      </w:r>
    </w:p>
    <w:p>
      <w:pPr>
        <w:spacing w:line="240" w:lineRule="auto" w:before="2"/>
        <w:rPr>
          <w:rFonts w:ascii="宋体" w:hAnsi="宋体" w:cs="宋体" w:eastAsia="宋体" w:hint="default"/>
          <w:sz w:val="20"/>
          <w:szCs w:val="20"/>
        </w:rPr>
      </w:pPr>
    </w:p>
    <w:p>
      <w:pPr>
        <w:pStyle w:val="BodyText"/>
        <w:spacing w:line="286" w:lineRule="exact"/>
        <w:ind w:left="525" w:right="210"/>
        <w:jc w:val="both"/>
      </w:pPr>
      <w:r>
        <w:rPr/>
        <w:t>联通信息导航原为联通集团的子公司，于</w:t>
      </w:r>
      <w:r>
        <w:rPr>
          <w:spacing w:val="-62"/>
        </w:rPr>
        <w:t> </w:t>
      </w:r>
      <w:r>
        <w:rPr>
          <w:rFonts w:ascii="Arial" w:hAnsi="Arial" w:cs="Arial" w:eastAsia="Arial" w:hint="default"/>
        </w:rPr>
        <w:t>1998</w:t>
      </w:r>
      <w:r>
        <w:rPr>
          <w:rFonts w:ascii="Arial" w:hAnsi="Arial" w:cs="Arial" w:eastAsia="Arial" w:hint="default"/>
          <w:spacing w:val="-15"/>
        </w:rPr>
        <w:t> </w:t>
      </w:r>
      <w:r>
        <w:rPr/>
        <w:t>年</w:t>
      </w:r>
      <w:r>
        <w:rPr>
          <w:spacing w:val="-64"/>
        </w:rPr>
        <w:t> </w:t>
      </w:r>
      <w:r>
        <w:rPr>
          <w:rFonts w:ascii="Arial" w:hAnsi="Arial" w:cs="Arial" w:eastAsia="Arial" w:hint="default"/>
        </w:rPr>
        <w:t>9</w:t>
      </w:r>
      <w:r>
        <w:rPr>
          <w:rFonts w:ascii="Arial" w:hAnsi="Arial" w:cs="Arial" w:eastAsia="Arial" w:hint="default"/>
          <w:spacing w:val="-15"/>
        </w:rPr>
        <w:t> </w:t>
      </w:r>
      <w:r>
        <w:rPr/>
        <w:t>月</w:t>
      </w:r>
      <w:r>
        <w:rPr>
          <w:spacing w:val="-64"/>
        </w:rPr>
        <w:t> </w:t>
      </w:r>
      <w:r>
        <w:rPr>
          <w:rFonts w:ascii="Arial" w:hAnsi="Arial" w:cs="Arial" w:eastAsia="Arial" w:hint="default"/>
        </w:rPr>
        <w:t>17</w:t>
      </w:r>
      <w:r>
        <w:rPr>
          <w:rFonts w:ascii="Arial" w:hAnsi="Arial" w:cs="Arial" w:eastAsia="Arial" w:hint="default"/>
          <w:spacing w:val="-15"/>
        </w:rPr>
        <w:t> </w:t>
      </w:r>
      <w:r>
        <w:rPr/>
        <w:t>日在中国北京注册成立，目前主要从</w:t>
      </w:r>
      <w:r>
        <w:rPr>
          <w:w w:val="99"/>
        </w:rPr>
        <w:t> </w:t>
      </w:r>
      <w:r>
        <w:rPr/>
        <w:t>事联通导航等电信增值服务相关业务。</w:t>
      </w:r>
    </w:p>
    <w:p>
      <w:pPr>
        <w:spacing w:line="240" w:lineRule="auto" w:before="3"/>
        <w:rPr>
          <w:rFonts w:ascii="宋体" w:hAnsi="宋体" w:cs="宋体" w:eastAsia="宋体" w:hint="default"/>
          <w:sz w:val="19"/>
          <w:szCs w:val="19"/>
        </w:rPr>
      </w:pPr>
    </w:p>
    <w:p>
      <w:pPr>
        <w:pStyle w:val="BodyText"/>
        <w:spacing w:line="286" w:lineRule="exact"/>
        <w:ind w:left="525" w:right="259"/>
        <w:jc w:val="both"/>
      </w:pPr>
      <w:r>
        <w:rPr/>
        <w:t>联通兴业原为联通集团的子公司，于</w:t>
      </w:r>
      <w:r>
        <w:rPr>
          <w:spacing w:val="-56"/>
        </w:rPr>
        <w:t> </w:t>
      </w:r>
      <w:r>
        <w:rPr>
          <w:rFonts w:ascii="Arial" w:hAnsi="Arial" w:cs="Arial" w:eastAsia="Arial" w:hint="default"/>
        </w:rPr>
        <w:t>2000</w:t>
      </w:r>
      <w:r>
        <w:rPr>
          <w:rFonts w:ascii="Arial" w:hAnsi="Arial" w:cs="Arial" w:eastAsia="Arial" w:hint="default"/>
          <w:spacing w:val="-9"/>
        </w:rPr>
        <w:t> </w:t>
      </w:r>
      <w:r>
        <w:rPr/>
        <w:t>年</w:t>
      </w:r>
      <w:r>
        <w:rPr>
          <w:spacing w:val="-58"/>
        </w:rPr>
        <w:t> </w:t>
      </w:r>
      <w:r>
        <w:rPr>
          <w:rFonts w:ascii="Arial" w:hAnsi="Arial" w:cs="Arial" w:eastAsia="Arial" w:hint="default"/>
        </w:rPr>
        <w:t>10</w:t>
      </w:r>
      <w:r>
        <w:rPr>
          <w:rFonts w:ascii="Arial" w:hAnsi="Arial" w:cs="Arial" w:eastAsia="Arial" w:hint="default"/>
          <w:spacing w:val="-9"/>
        </w:rPr>
        <w:t> </w:t>
      </w:r>
      <w:r>
        <w:rPr/>
        <w:t>月</w:t>
      </w:r>
      <w:r>
        <w:rPr>
          <w:spacing w:val="-58"/>
        </w:rPr>
        <w:t> </w:t>
      </w:r>
      <w:r>
        <w:rPr>
          <w:rFonts w:ascii="Arial" w:hAnsi="Arial" w:cs="Arial" w:eastAsia="Arial" w:hint="default"/>
        </w:rPr>
        <w:t>30</w:t>
      </w:r>
      <w:r>
        <w:rPr>
          <w:rFonts w:ascii="Arial" w:hAnsi="Arial" w:cs="Arial" w:eastAsia="Arial" w:hint="default"/>
          <w:spacing w:val="-9"/>
        </w:rPr>
        <w:t> </w:t>
      </w:r>
      <w:r>
        <w:rPr/>
        <w:t>日在中国北京注册成立，目前的主营业</w:t>
      </w:r>
      <w:r>
        <w:rPr>
          <w:w w:val="99"/>
        </w:rPr>
        <w:t> </w:t>
      </w:r>
      <w:r>
        <w:rPr>
          <w:w w:val="95"/>
        </w:rPr>
        <w:t>务是向联通运营公司提供移动通信业务所需的手机识别卡，同时也从事一些技术开发、通信设</w:t>
      </w:r>
      <w:r>
        <w:rPr>
          <w:spacing w:val="20"/>
          <w:w w:val="95"/>
        </w:rPr>
        <w:t> </w:t>
      </w:r>
      <w:r>
        <w:rPr>
          <w:spacing w:val="20"/>
          <w:w w:val="95"/>
        </w:rPr>
      </w:r>
      <w:r>
        <w:rPr/>
        <w:t>备、电子计算机及配件的销售等业务。</w:t>
      </w:r>
    </w:p>
    <w:p>
      <w:pPr>
        <w:spacing w:line="240" w:lineRule="auto" w:before="3"/>
        <w:rPr>
          <w:rFonts w:ascii="宋体" w:hAnsi="宋体" w:cs="宋体" w:eastAsia="宋体" w:hint="default"/>
          <w:sz w:val="19"/>
          <w:szCs w:val="19"/>
        </w:rPr>
      </w:pPr>
    </w:p>
    <w:p>
      <w:pPr>
        <w:pStyle w:val="BodyText"/>
        <w:spacing w:line="286" w:lineRule="exact"/>
        <w:ind w:left="525" w:right="310"/>
        <w:jc w:val="both"/>
      </w:pPr>
      <w:r>
        <w:rPr/>
        <w:t>在联通运营公司于</w:t>
      </w:r>
      <w:r>
        <w:rPr>
          <w:spacing w:val="-58"/>
        </w:rPr>
        <w:t> </w:t>
      </w:r>
      <w:r>
        <w:rPr>
          <w:rFonts w:ascii="Arial" w:hAnsi="Arial" w:cs="Arial" w:eastAsia="Arial" w:hint="default"/>
        </w:rPr>
        <w:t>2009</w:t>
      </w:r>
      <w:r>
        <w:rPr>
          <w:rFonts w:ascii="Arial" w:hAnsi="Arial" w:cs="Arial" w:eastAsia="Arial" w:hint="default"/>
          <w:spacing w:val="-10"/>
        </w:rPr>
        <w:t> </w:t>
      </w:r>
      <w:r>
        <w:rPr/>
        <w:t>年</w:t>
      </w:r>
      <w:r>
        <w:rPr>
          <w:spacing w:val="-59"/>
        </w:rPr>
        <w:t> </w:t>
      </w:r>
      <w:r>
        <w:rPr>
          <w:rFonts w:ascii="Arial" w:hAnsi="Arial" w:cs="Arial" w:eastAsia="Arial" w:hint="default"/>
        </w:rPr>
        <w:t>1</w:t>
      </w:r>
      <w:r>
        <w:rPr>
          <w:rFonts w:ascii="Arial" w:hAnsi="Arial" w:cs="Arial" w:eastAsia="Arial" w:hint="default"/>
          <w:spacing w:val="-10"/>
        </w:rPr>
        <w:t> </w:t>
      </w:r>
      <w:r>
        <w:rPr/>
        <w:t>月完成相关电信业务和资产的收购后，中讯设计院、联通信息导</w:t>
      </w:r>
      <w:r>
        <w:rPr>
          <w:w w:val="99"/>
        </w:rPr>
        <w:t> </w:t>
      </w:r>
      <w:r>
        <w:rPr/>
        <w:t>航以及联通兴业成为联通运营公司的全资子公司。</w:t>
      </w:r>
    </w:p>
    <w:p>
      <w:pPr>
        <w:spacing w:line="240" w:lineRule="auto" w:before="12"/>
        <w:rPr>
          <w:rFonts w:ascii="宋体" w:hAnsi="宋体" w:cs="宋体" w:eastAsia="宋体" w:hint="default"/>
          <w:sz w:val="17"/>
          <w:szCs w:val="17"/>
        </w:rPr>
      </w:pPr>
    </w:p>
    <w:p>
      <w:pPr>
        <w:pStyle w:val="BodyText"/>
        <w:spacing w:line="230" w:lineRule="auto"/>
        <w:ind w:left="525" w:right="214" w:hanging="420"/>
        <w:jc w:val="both"/>
      </w:pPr>
      <w:r>
        <w:rPr>
          <w:rFonts w:ascii="Arial" w:hAnsi="Arial" w:cs="Arial" w:eastAsia="Arial" w:hint="default"/>
        </w:rPr>
        <w:t>(5)</w:t>
      </w:r>
      <w:r>
        <w:rPr>
          <w:rFonts w:ascii="Arial" w:hAnsi="Arial" w:cs="Arial" w:eastAsia="Arial" w:hint="default"/>
          <w:spacing w:val="25"/>
        </w:rPr>
        <w:t> </w:t>
      </w:r>
      <w:r>
        <w:rPr/>
        <w:t>如附注一</w:t>
      </w:r>
      <w:r>
        <w:rPr>
          <w:rFonts w:ascii="Arial" w:hAnsi="Arial" w:cs="Arial" w:eastAsia="Arial" w:hint="default"/>
        </w:rPr>
        <w:t>(2)</w:t>
      </w:r>
      <w:r>
        <w:rPr/>
        <w:t>所述，于</w:t>
      </w:r>
      <w:r>
        <w:rPr>
          <w:spacing w:val="-50"/>
        </w:rPr>
        <w:t> </w:t>
      </w:r>
      <w:r>
        <w:rPr>
          <w:rFonts w:ascii="Arial" w:hAnsi="Arial" w:cs="Arial" w:eastAsia="Arial" w:hint="default"/>
        </w:rPr>
        <w:t>2012 </w:t>
      </w:r>
      <w:r>
        <w:rPr/>
        <w:t>年</w:t>
      </w:r>
      <w:r>
        <w:rPr>
          <w:spacing w:val="-50"/>
        </w:rPr>
        <w:t> </w:t>
      </w:r>
      <w:r>
        <w:rPr>
          <w:rFonts w:ascii="Arial" w:hAnsi="Arial" w:cs="Arial" w:eastAsia="Arial" w:hint="default"/>
        </w:rPr>
        <w:t>12</w:t>
      </w:r>
      <w:r>
        <w:rPr>
          <w:rFonts w:ascii="Arial" w:hAnsi="Arial" w:cs="Arial" w:eastAsia="Arial" w:hint="default"/>
          <w:spacing w:val="-1"/>
        </w:rPr>
        <w:t> </w:t>
      </w:r>
      <w:r>
        <w:rPr/>
        <w:t>月</w:t>
      </w:r>
      <w:r>
        <w:rPr>
          <w:spacing w:val="-49"/>
        </w:rPr>
        <w:t> </w:t>
      </w:r>
      <w:r>
        <w:rPr>
          <w:rFonts w:ascii="Arial" w:hAnsi="Arial" w:cs="Arial" w:eastAsia="Arial" w:hint="default"/>
        </w:rPr>
        <w:t>26</w:t>
      </w:r>
      <w:r>
        <w:rPr>
          <w:rFonts w:ascii="Arial" w:hAnsi="Arial" w:cs="Arial" w:eastAsia="Arial" w:hint="default"/>
          <w:spacing w:val="-1"/>
        </w:rPr>
        <w:t> </w:t>
      </w:r>
      <w:r>
        <w:rPr/>
        <w:t>日，联通运营公司完成收购联通新时空</w:t>
      </w:r>
      <w:r>
        <w:rPr>
          <w:spacing w:val="-48"/>
        </w:rPr>
        <w:t> </w:t>
      </w:r>
      <w:r>
        <w:rPr>
          <w:rFonts w:ascii="Arial" w:hAnsi="Arial" w:cs="Arial" w:eastAsia="Arial" w:hint="default"/>
        </w:rPr>
        <w:t>100%</w:t>
      </w:r>
      <w:r>
        <w:rPr/>
        <w:t>的股权，</w:t>
      </w:r>
      <w:r>
        <w:rPr>
          <w:w w:val="99"/>
        </w:rPr>
        <w:t> </w:t>
      </w:r>
      <w:r>
        <w:rPr/>
        <w:t>联通新时空成为联通运营公司的全资子公司。联通新时空的主营业务是向联通运营公司出租其</w:t>
      </w:r>
      <w:r>
        <w:rPr>
          <w:w w:val="99"/>
        </w:rPr>
        <w:t> </w:t>
      </w:r>
      <w:r>
        <w:rPr/>
        <w:t>拥有的南方固定电信网络。新时空的注册资本及实收资本为约人民币</w:t>
      </w:r>
      <w:r>
        <w:rPr>
          <w:spacing w:val="-58"/>
        </w:rPr>
        <w:t> </w:t>
      </w:r>
      <w:r>
        <w:rPr>
          <w:rFonts w:ascii="Arial" w:hAnsi="Arial" w:cs="Arial" w:eastAsia="Arial" w:hint="default"/>
        </w:rPr>
        <w:t>402.34</w:t>
      </w:r>
      <w:r>
        <w:rPr>
          <w:rFonts w:ascii="Arial" w:hAnsi="Arial" w:cs="Arial" w:eastAsia="Arial" w:hint="default"/>
          <w:spacing w:val="-13"/>
        </w:rPr>
        <w:t> </w:t>
      </w:r>
      <w:r>
        <w:rPr/>
        <w:t>亿元。</w:t>
      </w:r>
    </w:p>
    <w:p>
      <w:pPr>
        <w:spacing w:after="0" w:line="230" w:lineRule="auto"/>
        <w:jc w:val="both"/>
        <w:sectPr>
          <w:headerReference w:type="default" r:id="rId76"/>
          <w:pgSz w:w="11910" w:h="16840"/>
          <w:pgMar w:header="1189" w:footer="457" w:top="3580" w:bottom="640" w:left="1280" w:right="820"/>
        </w:sectPr>
      </w:pPr>
    </w:p>
    <w:p>
      <w:pPr>
        <w:spacing w:line="240" w:lineRule="auto" w:before="9"/>
        <w:rPr>
          <w:rFonts w:ascii="宋体" w:hAnsi="宋体" w:cs="宋体" w:eastAsia="宋体" w:hint="default"/>
          <w:sz w:val="16"/>
          <w:szCs w:val="16"/>
        </w:rPr>
      </w:pPr>
    </w:p>
    <w:p>
      <w:pPr>
        <w:pStyle w:val="BodyText"/>
        <w:spacing w:line="240" w:lineRule="auto" w:before="31"/>
        <w:ind w:left="133" w:right="89"/>
        <w:jc w:val="left"/>
      </w:pPr>
      <w:r>
        <w:rPr>
          <w:rFonts w:ascii="Arial" w:hAnsi="Arial" w:cs="Arial" w:eastAsia="Arial" w:hint="default"/>
        </w:rPr>
        <w:t>2</w:t>
      </w:r>
      <w:r>
        <w:rPr/>
        <w:t>、</w:t>
      </w:r>
      <w:r>
        <w:rPr>
          <w:spacing w:val="-73"/>
        </w:rPr>
        <w:t> </w:t>
      </w:r>
      <w:r>
        <w:rPr/>
        <w:t>本年新纳入合并范围的主体和本年不再纳入合并范围的主体</w:t>
      </w:r>
    </w:p>
    <w:p>
      <w:pPr>
        <w:spacing w:line="240" w:lineRule="auto" w:before="2"/>
        <w:rPr>
          <w:rFonts w:ascii="宋体" w:hAnsi="宋体" w:cs="宋体" w:eastAsia="宋体" w:hint="default"/>
          <w:sz w:val="19"/>
          <w:szCs w:val="19"/>
        </w:rPr>
      </w:pPr>
    </w:p>
    <w:p>
      <w:pPr>
        <w:pStyle w:val="BodyText"/>
        <w:spacing w:line="225" w:lineRule="auto"/>
        <w:ind w:left="520" w:right="251"/>
        <w:jc w:val="both"/>
      </w:pPr>
      <w:r>
        <w:rPr/>
        <w:t>于</w:t>
      </w:r>
      <w:r>
        <w:rPr>
          <w:spacing w:val="-43"/>
        </w:rPr>
        <w:t> </w:t>
      </w:r>
      <w:r>
        <w:rPr>
          <w:rFonts w:ascii="Arial" w:hAnsi="Arial" w:cs="Arial" w:eastAsia="Arial" w:hint="default"/>
        </w:rPr>
        <w:t>2012</w:t>
      </w:r>
      <w:r>
        <w:rPr>
          <w:rFonts w:ascii="Arial" w:hAnsi="Arial" w:cs="Arial" w:eastAsia="Arial" w:hint="default"/>
          <w:spacing w:val="7"/>
        </w:rPr>
        <w:t> </w:t>
      </w:r>
      <w:r>
        <w:rPr/>
        <w:t>年</w:t>
      </w:r>
      <w:r>
        <w:rPr>
          <w:spacing w:val="-44"/>
        </w:rPr>
        <w:t> </w:t>
      </w:r>
      <w:r>
        <w:rPr>
          <w:rFonts w:ascii="Arial" w:hAnsi="Arial" w:cs="Arial" w:eastAsia="Arial" w:hint="default"/>
        </w:rPr>
        <w:t>12</w:t>
      </w:r>
      <w:r>
        <w:rPr>
          <w:rFonts w:ascii="Arial" w:hAnsi="Arial" w:cs="Arial" w:eastAsia="Arial" w:hint="default"/>
          <w:spacing w:val="6"/>
        </w:rPr>
        <w:t> </w:t>
      </w:r>
      <w:r>
        <w:rPr/>
        <w:t>月</w:t>
      </w:r>
      <w:r>
        <w:rPr>
          <w:spacing w:val="-43"/>
        </w:rPr>
        <w:t> </w:t>
      </w:r>
      <w:r>
        <w:rPr>
          <w:rFonts w:ascii="Arial" w:hAnsi="Arial" w:cs="Arial" w:eastAsia="Arial" w:hint="default"/>
        </w:rPr>
        <w:t>26</w:t>
      </w:r>
      <w:r>
        <w:rPr>
          <w:rFonts w:ascii="Arial" w:hAnsi="Arial" w:cs="Arial" w:eastAsia="Arial" w:hint="default"/>
          <w:spacing w:val="6"/>
        </w:rPr>
        <w:t> </w:t>
      </w:r>
      <w:r>
        <w:rPr/>
        <w:t>日，联通运营公司完成了收购联通新时空</w:t>
      </w:r>
      <w:r>
        <w:rPr>
          <w:spacing w:val="-40"/>
        </w:rPr>
        <w:t> </w:t>
      </w:r>
      <w:r>
        <w:rPr>
          <w:rFonts w:ascii="Arial" w:hAnsi="Arial" w:cs="Arial" w:eastAsia="Arial" w:hint="default"/>
        </w:rPr>
        <w:t>100%</w:t>
      </w:r>
      <w:r>
        <w:rPr/>
        <w:t>的股权，联通新时空成为</w:t>
      </w:r>
      <w:r>
        <w:rPr>
          <w:w w:val="99"/>
        </w:rPr>
        <w:t> </w:t>
      </w:r>
      <w:r>
        <w:rPr>
          <w:spacing w:val="-1"/>
          <w:w w:val="95"/>
        </w:rPr>
        <w:t>联通运营公司的全资子公司。如附注二</w:t>
      </w:r>
      <w:r>
        <w:rPr>
          <w:rFonts w:ascii="Arial" w:hAnsi="Arial" w:cs="Arial" w:eastAsia="Arial" w:hint="default"/>
          <w:spacing w:val="-1"/>
          <w:w w:val="95"/>
        </w:rPr>
        <w:t>(1)(a)</w:t>
      </w:r>
      <w:r>
        <w:rPr>
          <w:spacing w:val="-1"/>
          <w:w w:val="95"/>
        </w:rPr>
        <w:t>所述，因为联通新时空不符合业务的定义，本集团</w:t>
      </w:r>
      <w:r>
        <w:rPr>
          <w:spacing w:val="23"/>
          <w:w w:val="95"/>
        </w:rPr>
        <w:t> </w:t>
      </w:r>
      <w:r>
        <w:rPr>
          <w:spacing w:val="23"/>
          <w:w w:val="95"/>
        </w:rPr>
      </w:r>
      <w:r>
        <w:rPr/>
        <w:t>将收购联通新时空在购买期间视为资产收购进行会计处理。于</w:t>
      </w:r>
      <w:r>
        <w:rPr>
          <w:spacing w:val="-74"/>
        </w:rPr>
        <w:t> </w:t>
      </w:r>
      <w:r>
        <w:rPr>
          <w:rFonts w:ascii="Arial" w:hAnsi="Arial" w:cs="Arial" w:eastAsia="Arial" w:hint="default"/>
        </w:rPr>
        <w:t>2012</w:t>
      </w:r>
      <w:r>
        <w:rPr>
          <w:rFonts w:ascii="Arial" w:hAnsi="Arial" w:cs="Arial" w:eastAsia="Arial" w:hint="default"/>
          <w:spacing w:val="-27"/>
        </w:rPr>
        <w:t> </w:t>
      </w:r>
      <w:r>
        <w:rPr>
          <w:spacing w:val="-6"/>
        </w:rPr>
        <w:t>年度，除联通新时空外，本</w:t>
      </w:r>
      <w:r>
        <w:rPr>
          <w:w w:val="99"/>
        </w:rPr>
        <w:t> </w:t>
      </w:r>
      <w:r>
        <w:rPr/>
        <w:t>集团无新纳入合并范围的主体以及不再纳入合并范围的主体。</w:t>
      </w:r>
    </w:p>
    <w:p>
      <w:pPr>
        <w:spacing w:line="240" w:lineRule="auto" w:before="4"/>
        <w:rPr>
          <w:rFonts w:ascii="宋体" w:hAnsi="宋体" w:cs="宋体" w:eastAsia="宋体" w:hint="default"/>
          <w:sz w:val="19"/>
          <w:szCs w:val="19"/>
        </w:rPr>
      </w:pPr>
    </w:p>
    <w:p>
      <w:pPr>
        <w:pStyle w:val="BodyText"/>
        <w:spacing w:line="240" w:lineRule="auto"/>
        <w:ind w:left="133" w:right="89"/>
        <w:jc w:val="left"/>
      </w:pPr>
      <w:r>
        <w:rPr>
          <w:rFonts w:ascii="Arial" w:hAnsi="Arial" w:cs="Arial" w:eastAsia="Arial" w:hint="default"/>
        </w:rPr>
        <w:t>3</w:t>
      </w:r>
      <w:r>
        <w:rPr/>
        <w:t>、</w:t>
      </w:r>
      <w:r>
        <w:rPr>
          <w:spacing w:val="-7"/>
        </w:rPr>
        <w:t> </w:t>
      </w:r>
      <w:r>
        <w:rPr/>
        <w:t>同一控制下企业合并</w:t>
      </w:r>
    </w:p>
    <w:p>
      <w:pPr>
        <w:spacing w:line="240" w:lineRule="auto" w:before="6"/>
        <w:rPr>
          <w:rFonts w:ascii="宋体" w:hAnsi="宋体" w:cs="宋体" w:eastAsia="宋体" w:hint="default"/>
          <w:sz w:val="24"/>
          <w:szCs w:val="24"/>
        </w:rPr>
      </w:pPr>
    </w:p>
    <w:tbl>
      <w:tblPr>
        <w:tblW w:w="0" w:type="auto"/>
        <w:jc w:val="left"/>
        <w:tblInd w:w="214" w:type="dxa"/>
        <w:tblLayout w:type="fixed"/>
        <w:tblCellMar>
          <w:top w:w="0" w:type="dxa"/>
          <w:left w:w="0" w:type="dxa"/>
          <w:bottom w:w="0" w:type="dxa"/>
          <w:right w:w="0" w:type="dxa"/>
        </w:tblCellMar>
        <w:tblLook w:val="01E0"/>
      </w:tblPr>
      <w:tblGrid>
        <w:gridCol w:w="3052"/>
        <w:gridCol w:w="1952"/>
        <w:gridCol w:w="108"/>
        <w:gridCol w:w="1170"/>
        <w:gridCol w:w="108"/>
        <w:gridCol w:w="954"/>
        <w:gridCol w:w="828"/>
        <w:gridCol w:w="108"/>
        <w:gridCol w:w="1044"/>
      </w:tblGrid>
      <w:tr>
        <w:trPr>
          <w:trHeight w:val="260" w:hRule="exact"/>
        </w:trPr>
        <w:tc>
          <w:tcPr>
            <w:tcW w:w="3052" w:type="dxa"/>
            <w:tcBorders>
              <w:top w:val="nil" w:sz="6" w:space="0" w:color="auto"/>
              <w:left w:val="nil" w:sz="6" w:space="0" w:color="auto"/>
              <w:bottom w:val="nil" w:sz="6" w:space="0" w:color="auto"/>
              <w:right w:val="nil" w:sz="6" w:space="0" w:color="auto"/>
            </w:tcBorders>
          </w:tcPr>
          <w:p>
            <w:pPr>
              <w:pStyle w:val="TableParagraph"/>
              <w:spacing w:line="220" w:lineRule="exact"/>
              <w:ind w:left="200" w:right="0"/>
              <w:jc w:val="left"/>
              <w:rPr>
                <w:rFonts w:ascii="宋体" w:hAnsi="宋体" w:cs="宋体" w:eastAsia="宋体" w:hint="default"/>
                <w:sz w:val="22"/>
                <w:szCs w:val="22"/>
              </w:rPr>
            </w:pPr>
            <w:r>
              <w:rPr>
                <w:rFonts w:ascii="宋体" w:hAnsi="宋体" w:cs="宋体" w:eastAsia="宋体" w:hint="default"/>
                <w:sz w:val="22"/>
                <w:szCs w:val="22"/>
              </w:rPr>
              <w:t>（单位：人民币百万元）</w:t>
            </w:r>
          </w:p>
        </w:tc>
        <w:tc>
          <w:tcPr>
            <w:tcW w:w="1952"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934" w:type="dxa"/>
            <w:gridSpan w:val="4"/>
            <w:tcBorders>
              <w:top w:val="nil" w:sz="6" w:space="0" w:color="auto"/>
              <w:left w:val="nil" w:sz="6" w:space="0" w:color="auto"/>
              <w:bottom w:val="single" w:sz="6" w:space="0" w:color="000000"/>
              <w:right w:val="nil" w:sz="6" w:space="0" w:color="auto"/>
            </w:tcBorders>
          </w:tcPr>
          <w:p>
            <w:pPr>
              <w:pStyle w:val="TableParagraph"/>
              <w:spacing w:line="220" w:lineRule="exact"/>
              <w:ind w:left="364" w:right="0"/>
              <w:jc w:val="left"/>
              <w:rPr>
                <w:rFonts w:ascii="宋体" w:hAnsi="宋体" w:cs="宋体" w:eastAsia="宋体" w:hint="default"/>
                <w:sz w:val="22"/>
                <w:szCs w:val="22"/>
              </w:rPr>
            </w:pPr>
            <w:r>
              <w:rPr>
                <w:rFonts w:ascii="宋体" w:hAnsi="宋体" w:cs="宋体" w:eastAsia="宋体" w:hint="default"/>
                <w:sz w:val="22"/>
                <w:szCs w:val="22"/>
              </w:rPr>
              <w:t>合并当年年初至合并日</w:t>
            </w:r>
          </w:p>
        </w:tc>
      </w:tr>
      <w:tr>
        <w:trPr>
          <w:trHeight w:val="595" w:hRule="exact"/>
        </w:trPr>
        <w:tc>
          <w:tcPr>
            <w:tcW w:w="3052"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single" w:sz="6" w:space="0" w:color="000000"/>
              <w:right w:val="nil" w:sz="6" w:space="0" w:color="auto"/>
            </w:tcBorders>
          </w:tcPr>
          <w:p>
            <w:pPr>
              <w:pStyle w:val="TableParagraph"/>
              <w:spacing w:line="290" w:lineRule="exact" w:before="2"/>
              <w:ind w:left="160" w:right="31"/>
              <w:jc w:val="left"/>
              <w:rPr>
                <w:rFonts w:ascii="宋体" w:hAnsi="宋体" w:cs="宋体" w:eastAsia="宋体" w:hint="default"/>
                <w:sz w:val="22"/>
                <w:szCs w:val="22"/>
              </w:rPr>
            </w:pPr>
            <w:r>
              <w:rPr>
                <w:rFonts w:ascii="宋体" w:hAnsi="宋体" w:cs="宋体" w:eastAsia="宋体" w:hint="default"/>
                <w:w w:val="95"/>
                <w:sz w:val="22"/>
                <w:szCs w:val="22"/>
              </w:rPr>
              <w:t>属于同一控制下企</w:t>
            </w:r>
            <w:r>
              <w:rPr>
                <w:rFonts w:ascii="宋体" w:hAnsi="宋体" w:cs="宋体" w:eastAsia="宋体" w:hint="default"/>
                <w:spacing w:val="-20"/>
                <w:w w:val="95"/>
                <w:sz w:val="22"/>
                <w:szCs w:val="22"/>
              </w:rPr>
              <w:t> </w:t>
            </w:r>
            <w:r>
              <w:rPr>
                <w:rFonts w:ascii="宋体" w:hAnsi="宋体" w:cs="宋体" w:eastAsia="宋体" w:hint="default"/>
                <w:w w:val="95"/>
                <w:sz w:val="22"/>
                <w:szCs w:val="22"/>
              </w:rPr>
              <w:t>业合并的判断依据</w:t>
            </w:r>
            <w:r>
              <w:rPr>
                <w:rFonts w:ascii="宋体" w:hAnsi="宋体" w:cs="宋体" w:eastAsia="宋体" w:hint="default"/>
                <w:sz w:val="22"/>
                <w:szCs w:val="22"/>
              </w:rPr>
            </w:r>
          </w:p>
        </w:tc>
        <w:tc>
          <w:tcPr>
            <w:tcW w:w="108"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single" w:sz="6" w:space="0" w:color="000000"/>
              <w:right w:val="nil" w:sz="6" w:space="0" w:color="auto"/>
            </w:tcBorders>
          </w:tcPr>
          <w:p>
            <w:pPr>
              <w:pStyle w:val="TableParagraph"/>
              <w:spacing w:line="290" w:lineRule="exact" w:before="2"/>
              <w:ind w:left="67" w:right="0"/>
              <w:jc w:val="left"/>
              <w:rPr>
                <w:rFonts w:ascii="宋体" w:hAnsi="宋体" w:cs="宋体" w:eastAsia="宋体" w:hint="default"/>
                <w:sz w:val="22"/>
                <w:szCs w:val="22"/>
              </w:rPr>
            </w:pPr>
            <w:r>
              <w:rPr>
                <w:rFonts w:ascii="宋体" w:hAnsi="宋体" w:cs="宋体" w:eastAsia="宋体" w:hint="default"/>
                <w:sz w:val="22"/>
                <w:szCs w:val="22"/>
              </w:rPr>
              <w:t>同一控制的</w:t>
            </w:r>
            <w:r>
              <w:rPr>
                <w:rFonts w:ascii="宋体" w:hAnsi="宋体" w:cs="宋体" w:eastAsia="宋体" w:hint="default"/>
                <w:w w:val="99"/>
                <w:sz w:val="22"/>
                <w:szCs w:val="22"/>
              </w:rPr>
              <w:t> </w:t>
            </w:r>
            <w:r>
              <w:rPr>
                <w:rFonts w:ascii="宋体" w:hAnsi="宋体" w:cs="宋体" w:eastAsia="宋体" w:hint="default"/>
                <w:sz w:val="22"/>
                <w:szCs w:val="22"/>
              </w:rPr>
              <w:t>实际控制人</w:t>
            </w:r>
          </w:p>
        </w:tc>
        <w:tc>
          <w:tcPr>
            <w:tcW w:w="108" w:type="dxa"/>
            <w:tcBorders>
              <w:top w:val="nil" w:sz="6" w:space="0" w:color="auto"/>
              <w:left w:val="nil" w:sz="6" w:space="0" w:color="auto"/>
              <w:bottom w:val="nil" w:sz="6" w:space="0" w:color="auto"/>
              <w:right w:val="nil" w:sz="6" w:space="0" w:color="auto"/>
            </w:tcBorders>
          </w:tcPr>
          <w:p>
            <w:pPr/>
          </w:p>
        </w:tc>
        <w:tc>
          <w:tcPr>
            <w:tcW w:w="954" w:type="dxa"/>
            <w:tcBorders>
              <w:top w:val="single" w:sz="6" w:space="0" w:color="000000"/>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56"/>
              <w:jc w:val="right"/>
              <w:rPr>
                <w:rFonts w:ascii="宋体" w:hAnsi="宋体" w:cs="宋体" w:eastAsia="宋体" w:hint="default"/>
                <w:sz w:val="22"/>
                <w:szCs w:val="22"/>
              </w:rPr>
            </w:pPr>
            <w:r>
              <w:rPr>
                <w:rFonts w:ascii="宋体" w:hAnsi="宋体" w:cs="宋体" w:eastAsia="宋体" w:hint="default"/>
                <w:w w:val="95"/>
                <w:sz w:val="22"/>
                <w:szCs w:val="22"/>
              </w:rPr>
              <w:t>营业收入</w:t>
            </w:r>
            <w:r>
              <w:rPr>
                <w:rFonts w:ascii="宋体" w:hAnsi="宋体" w:cs="宋体" w:eastAsia="宋体" w:hint="default"/>
                <w:sz w:val="22"/>
                <w:szCs w:val="22"/>
              </w:rPr>
            </w:r>
          </w:p>
        </w:tc>
        <w:tc>
          <w:tcPr>
            <w:tcW w:w="828" w:type="dxa"/>
            <w:tcBorders>
              <w:top w:val="single" w:sz="6" w:space="0" w:color="000000"/>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7"/>
              <w:jc w:val="right"/>
              <w:rPr>
                <w:rFonts w:ascii="宋体" w:hAnsi="宋体" w:cs="宋体" w:eastAsia="宋体" w:hint="default"/>
                <w:sz w:val="22"/>
                <w:szCs w:val="22"/>
              </w:rPr>
            </w:pPr>
            <w:r>
              <w:rPr>
                <w:rFonts w:ascii="宋体" w:hAnsi="宋体" w:cs="宋体" w:eastAsia="宋体" w:hint="default"/>
                <w:w w:val="95"/>
                <w:sz w:val="22"/>
                <w:szCs w:val="22"/>
              </w:rPr>
              <w:t>净利润</w:t>
            </w:r>
            <w:r>
              <w:rPr>
                <w:rFonts w:ascii="宋体" w:hAnsi="宋体" w:cs="宋体" w:eastAsia="宋体" w:hint="default"/>
                <w:sz w:val="22"/>
                <w:szCs w:val="22"/>
              </w:rPr>
            </w:r>
          </w:p>
        </w:tc>
        <w:tc>
          <w:tcPr>
            <w:tcW w:w="108" w:type="dxa"/>
            <w:tcBorders>
              <w:top w:val="single" w:sz="6" w:space="0" w:color="000000"/>
              <w:left w:val="nil" w:sz="6" w:space="0" w:color="auto"/>
              <w:bottom w:val="nil" w:sz="6" w:space="0" w:color="auto"/>
              <w:right w:val="nil" w:sz="6" w:space="0" w:color="auto"/>
            </w:tcBorders>
          </w:tcPr>
          <w:p>
            <w:pPr/>
          </w:p>
        </w:tc>
        <w:tc>
          <w:tcPr>
            <w:tcW w:w="1044" w:type="dxa"/>
            <w:tcBorders>
              <w:top w:val="single" w:sz="6" w:space="0" w:color="000000"/>
              <w:left w:val="nil" w:sz="6" w:space="0" w:color="auto"/>
              <w:bottom w:val="single" w:sz="6" w:space="0" w:color="000000"/>
              <w:right w:val="nil" w:sz="6" w:space="0" w:color="auto"/>
            </w:tcBorders>
          </w:tcPr>
          <w:p>
            <w:pPr>
              <w:pStyle w:val="TableParagraph"/>
              <w:spacing w:line="258" w:lineRule="exact"/>
              <w:ind w:left="110" w:right="0"/>
              <w:jc w:val="left"/>
              <w:rPr>
                <w:rFonts w:ascii="宋体" w:hAnsi="宋体" w:cs="宋体" w:eastAsia="宋体" w:hint="default"/>
                <w:sz w:val="22"/>
                <w:szCs w:val="22"/>
              </w:rPr>
            </w:pPr>
            <w:r>
              <w:rPr>
                <w:rFonts w:ascii="宋体" w:hAnsi="宋体" w:cs="宋体" w:eastAsia="宋体" w:hint="default"/>
                <w:sz w:val="22"/>
                <w:szCs w:val="22"/>
              </w:rPr>
              <w:t>经营活动</w:t>
            </w:r>
          </w:p>
          <w:p>
            <w:pPr>
              <w:pStyle w:val="TableParagraph"/>
              <w:spacing w:line="240" w:lineRule="auto" w:before="2"/>
              <w:ind w:left="110" w:right="0"/>
              <w:jc w:val="left"/>
              <w:rPr>
                <w:rFonts w:ascii="宋体" w:hAnsi="宋体" w:cs="宋体" w:eastAsia="宋体" w:hint="default"/>
                <w:sz w:val="22"/>
                <w:szCs w:val="22"/>
              </w:rPr>
            </w:pPr>
            <w:r>
              <w:rPr>
                <w:rFonts w:ascii="宋体" w:hAnsi="宋体" w:cs="宋体" w:eastAsia="宋体" w:hint="default"/>
                <w:sz w:val="22"/>
                <w:szCs w:val="22"/>
              </w:rPr>
              <w:t>现金流量</w:t>
            </w:r>
          </w:p>
        </w:tc>
      </w:tr>
      <w:tr>
        <w:trPr>
          <w:trHeight w:val="291" w:hRule="exact"/>
        </w:trPr>
        <w:tc>
          <w:tcPr>
            <w:tcW w:w="3052" w:type="dxa"/>
            <w:tcBorders>
              <w:top w:val="nil" w:sz="6" w:space="0" w:color="auto"/>
              <w:left w:val="nil" w:sz="6" w:space="0" w:color="auto"/>
              <w:bottom w:val="nil" w:sz="6" w:space="0" w:color="auto"/>
              <w:right w:val="nil" w:sz="6" w:space="0" w:color="auto"/>
            </w:tcBorders>
          </w:tcPr>
          <w:p>
            <w:pPr>
              <w:pStyle w:val="TableParagraph"/>
              <w:spacing w:line="265" w:lineRule="exact"/>
              <w:ind w:left="251" w:right="0"/>
              <w:jc w:val="left"/>
              <w:rPr>
                <w:rFonts w:ascii="宋体" w:hAnsi="宋体" w:cs="宋体" w:eastAsia="宋体" w:hint="default"/>
                <w:sz w:val="22"/>
                <w:szCs w:val="22"/>
              </w:rPr>
            </w:pPr>
            <w:r>
              <w:rPr>
                <w:rFonts w:ascii="宋体" w:hAnsi="宋体" w:cs="宋体" w:eastAsia="宋体" w:hint="default"/>
                <w:sz w:val="22"/>
                <w:szCs w:val="22"/>
              </w:rPr>
              <w:t>联通新时讯</w:t>
            </w:r>
          </w:p>
        </w:tc>
        <w:tc>
          <w:tcPr>
            <w:tcW w:w="1952" w:type="dxa"/>
            <w:tcBorders>
              <w:top w:val="single" w:sz="6" w:space="0" w:color="000000"/>
              <w:left w:val="nil" w:sz="6" w:space="0" w:color="auto"/>
              <w:bottom w:val="nil" w:sz="6" w:space="0" w:color="auto"/>
              <w:right w:val="nil" w:sz="6" w:space="0" w:color="auto"/>
            </w:tcBorders>
          </w:tcPr>
          <w:p>
            <w:pPr>
              <w:pStyle w:val="TableParagraph"/>
              <w:spacing w:line="273" w:lineRule="exact"/>
              <w:ind w:left="283" w:right="0"/>
              <w:jc w:val="left"/>
              <w:rPr>
                <w:rFonts w:ascii="Arial" w:hAnsi="Arial" w:cs="Arial" w:eastAsia="Arial" w:hint="default"/>
                <w:sz w:val="22"/>
                <w:szCs w:val="22"/>
              </w:rPr>
            </w:pPr>
            <w:r>
              <w:rPr>
                <w:rFonts w:ascii="宋体" w:hAnsi="宋体" w:cs="宋体" w:eastAsia="宋体" w:hint="default"/>
                <w:sz w:val="22"/>
                <w:szCs w:val="22"/>
              </w:rPr>
              <w:t>详见附注二</w:t>
            </w:r>
            <w:r>
              <w:rPr>
                <w:rFonts w:ascii="Arial" w:hAnsi="Arial" w:cs="Arial" w:eastAsia="Arial" w:hint="default"/>
                <w:sz w:val="22"/>
                <w:szCs w:val="22"/>
              </w:rPr>
              <w:t>(1)(b)</w:t>
            </w:r>
          </w:p>
        </w:tc>
        <w:tc>
          <w:tcPr>
            <w:tcW w:w="108" w:type="dxa"/>
            <w:tcBorders>
              <w:top w:val="nil" w:sz="6" w:space="0" w:color="auto"/>
              <w:left w:val="nil" w:sz="6" w:space="0" w:color="auto"/>
              <w:bottom w:val="nil" w:sz="6" w:space="0" w:color="auto"/>
              <w:right w:val="nil" w:sz="6" w:space="0" w:color="auto"/>
            </w:tcBorders>
          </w:tcPr>
          <w:p>
            <w:pPr/>
          </w:p>
        </w:tc>
        <w:tc>
          <w:tcPr>
            <w:tcW w:w="1170" w:type="dxa"/>
            <w:tcBorders>
              <w:top w:val="single" w:sz="6" w:space="0" w:color="000000"/>
              <w:left w:val="nil" w:sz="6" w:space="0" w:color="auto"/>
              <w:bottom w:val="nil" w:sz="6" w:space="0" w:color="auto"/>
              <w:right w:val="nil" w:sz="6" w:space="0" w:color="auto"/>
            </w:tcBorders>
          </w:tcPr>
          <w:p>
            <w:pPr>
              <w:pStyle w:val="TableParagraph"/>
              <w:spacing w:line="258" w:lineRule="exact"/>
              <w:ind w:left="288"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108" w:type="dxa"/>
            <w:tcBorders>
              <w:top w:val="nil" w:sz="6" w:space="0" w:color="auto"/>
              <w:left w:val="nil" w:sz="6" w:space="0" w:color="auto"/>
              <w:bottom w:val="nil" w:sz="6" w:space="0" w:color="auto"/>
              <w:right w:val="nil" w:sz="6" w:space="0" w:color="auto"/>
            </w:tcBorders>
          </w:tcPr>
          <w:p>
            <w:pPr/>
          </w:p>
        </w:tc>
        <w:tc>
          <w:tcPr>
            <w:tcW w:w="954" w:type="dxa"/>
            <w:tcBorders>
              <w:top w:val="single" w:sz="6" w:space="0" w:color="000000"/>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22"/>
                <w:szCs w:val="22"/>
              </w:rPr>
            </w:pPr>
            <w:r>
              <w:rPr>
                <w:rFonts w:ascii="Arial"/>
                <w:w w:val="95"/>
                <w:sz w:val="22"/>
              </w:rPr>
              <w:t>26</w:t>
            </w:r>
            <w:r>
              <w:rPr>
                <w:rFonts w:ascii="Arial"/>
                <w:sz w:val="22"/>
              </w:rPr>
            </w:r>
          </w:p>
        </w:tc>
        <w:tc>
          <w:tcPr>
            <w:tcW w:w="828" w:type="dxa"/>
            <w:tcBorders>
              <w:top w:val="single" w:sz="6" w:space="0" w:color="000000"/>
              <w:left w:val="nil" w:sz="6" w:space="0" w:color="auto"/>
              <w:bottom w:val="nil" w:sz="6" w:space="0" w:color="auto"/>
              <w:right w:val="nil" w:sz="6" w:space="0" w:color="auto"/>
            </w:tcBorders>
          </w:tcPr>
          <w:p>
            <w:pPr>
              <w:pStyle w:val="TableParagraph"/>
              <w:spacing w:line="240" w:lineRule="auto" w:before="36"/>
              <w:ind w:right="46"/>
              <w:jc w:val="right"/>
              <w:rPr>
                <w:rFonts w:ascii="Arial" w:hAnsi="Arial" w:cs="Arial" w:eastAsia="Arial" w:hint="default"/>
                <w:sz w:val="22"/>
                <w:szCs w:val="22"/>
              </w:rPr>
            </w:pPr>
            <w:r>
              <w:rPr>
                <w:rFonts w:ascii="Arial"/>
                <w:w w:val="99"/>
                <w:sz w:val="22"/>
              </w:rPr>
              <w:t>9</w:t>
            </w:r>
            <w:r>
              <w:rPr>
                <w:rFonts w:ascii="Arial"/>
                <w:sz w:val="22"/>
              </w:rPr>
            </w:r>
          </w:p>
        </w:tc>
        <w:tc>
          <w:tcPr>
            <w:tcW w:w="108" w:type="dxa"/>
            <w:tcBorders>
              <w:top w:val="nil" w:sz="6" w:space="0" w:color="auto"/>
              <w:left w:val="nil" w:sz="6" w:space="0" w:color="auto"/>
              <w:bottom w:val="nil" w:sz="6" w:space="0" w:color="auto"/>
              <w:right w:val="nil" w:sz="6" w:space="0" w:color="auto"/>
            </w:tcBorders>
          </w:tcPr>
          <w:p>
            <w:pPr/>
          </w:p>
        </w:tc>
        <w:tc>
          <w:tcPr>
            <w:tcW w:w="1044" w:type="dxa"/>
            <w:tcBorders>
              <w:top w:val="single" w:sz="6" w:space="0" w:color="000000"/>
              <w:left w:val="nil" w:sz="6" w:space="0" w:color="auto"/>
              <w:bottom w:val="nil" w:sz="6" w:space="0" w:color="auto"/>
              <w:right w:val="nil" w:sz="6" w:space="0" w:color="auto"/>
            </w:tcBorders>
          </w:tcPr>
          <w:p>
            <w:pPr>
              <w:pStyle w:val="TableParagraph"/>
              <w:spacing w:line="240" w:lineRule="auto" w:before="36"/>
              <w:ind w:right="52"/>
              <w:jc w:val="right"/>
              <w:rPr>
                <w:rFonts w:ascii="Arial" w:hAnsi="Arial" w:cs="Arial" w:eastAsia="Arial" w:hint="default"/>
                <w:sz w:val="22"/>
                <w:szCs w:val="22"/>
              </w:rPr>
            </w:pPr>
            <w:r>
              <w:rPr>
                <w:rFonts w:ascii="Arial"/>
                <w:w w:val="95"/>
                <w:sz w:val="22"/>
              </w:rPr>
              <w:t>33</w:t>
            </w:r>
            <w:r>
              <w:rPr>
                <w:rFonts w:ascii="Arial"/>
                <w:sz w:val="22"/>
              </w:rPr>
            </w:r>
          </w:p>
        </w:tc>
      </w:tr>
    </w:tbl>
    <w:p>
      <w:pPr>
        <w:spacing w:line="240" w:lineRule="auto" w:before="8"/>
        <w:rPr>
          <w:rFonts w:ascii="宋体" w:hAnsi="宋体" w:cs="宋体" w:eastAsia="宋体" w:hint="default"/>
          <w:sz w:val="14"/>
          <w:szCs w:val="14"/>
        </w:rPr>
      </w:pPr>
    </w:p>
    <w:p>
      <w:pPr>
        <w:pStyle w:val="BodyText"/>
        <w:spacing w:line="230" w:lineRule="auto" w:before="42"/>
        <w:ind w:left="498" w:right="109"/>
        <w:jc w:val="both"/>
      </w:pPr>
      <w:r>
        <w:rPr/>
        <w:t>如附注一</w:t>
      </w:r>
      <w:r>
        <w:rPr>
          <w:rFonts w:ascii="Arial" w:hAnsi="Arial" w:cs="Arial" w:eastAsia="Arial" w:hint="default"/>
        </w:rPr>
        <w:t>(3)</w:t>
      </w:r>
      <w:r>
        <w:rPr/>
        <w:t>所述，于</w:t>
      </w:r>
      <w:r>
        <w:rPr>
          <w:spacing w:val="-45"/>
        </w:rPr>
        <w:t> </w:t>
      </w:r>
      <w:r>
        <w:rPr>
          <w:rFonts w:ascii="Arial" w:hAnsi="Arial" w:cs="Arial" w:eastAsia="Arial" w:hint="default"/>
        </w:rPr>
        <w:t>2011</w:t>
      </w:r>
      <w:r>
        <w:rPr>
          <w:rFonts w:ascii="Arial" w:hAnsi="Arial" w:cs="Arial" w:eastAsia="Arial" w:hint="default"/>
          <w:spacing w:val="5"/>
        </w:rPr>
        <w:t> </w:t>
      </w:r>
      <w:r>
        <w:rPr/>
        <w:t>年</w:t>
      </w:r>
      <w:r>
        <w:rPr>
          <w:spacing w:val="-45"/>
        </w:rPr>
        <w:t> </w:t>
      </w:r>
      <w:r>
        <w:rPr>
          <w:rFonts w:ascii="Arial" w:hAnsi="Arial" w:cs="Arial" w:eastAsia="Arial" w:hint="default"/>
        </w:rPr>
        <w:t>12</w:t>
      </w:r>
      <w:r>
        <w:rPr>
          <w:rFonts w:ascii="Arial" w:hAnsi="Arial" w:cs="Arial" w:eastAsia="Arial" w:hint="default"/>
          <w:spacing w:val="5"/>
        </w:rPr>
        <w:t> </w:t>
      </w:r>
      <w:r>
        <w:rPr/>
        <w:t>月</w:t>
      </w:r>
      <w:r>
        <w:rPr>
          <w:spacing w:val="-44"/>
        </w:rPr>
        <w:t> </w:t>
      </w:r>
      <w:r>
        <w:rPr>
          <w:rFonts w:ascii="Arial" w:hAnsi="Arial" w:cs="Arial" w:eastAsia="Arial" w:hint="default"/>
        </w:rPr>
        <w:t>1</w:t>
      </w:r>
      <w:r>
        <w:rPr>
          <w:rFonts w:ascii="Arial" w:hAnsi="Arial" w:cs="Arial" w:eastAsia="Arial" w:hint="default"/>
          <w:spacing w:val="4"/>
        </w:rPr>
        <w:t> </w:t>
      </w:r>
      <w:r>
        <w:rPr/>
        <w:t>日，本公司所属子公司宽带在线收购联通集团全资子公司</w:t>
      </w:r>
      <w:r>
        <w:rPr>
          <w:w w:val="99"/>
        </w:rPr>
        <w:t> </w:t>
      </w:r>
      <w:r>
        <w:rPr>
          <w:w w:val="95"/>
        </w:rPr>
        <w:t>联通新时讯，宽带在线于当日完全控制了联通新时讯的财务和经营决策，并自该日起享有联通新</w:t>
      </w:r>
      <w:r>
        <w:rPr>
          <w:spacing w:val="25"/>
          <w:w w:val="95"/>
        </w:rPr>
        <w:t> </w:t>
      </w:r>
      <w:r>
        <w:rPr>
          <w:spacing w:val="25"/>
          <w:w w:val="95"/>
        </w:rPr>
      </w:r>
      <w:r>
        <w:rPr/>
        <w:t>时讯的相应收益并承担相应的风险。故本次交易的合并日为</w:t>
      </w:r>
      <w:r>
        <w:rPr>
          <w:spacing w:val="-61"/>
        </w:rPr>
        <w:t> </w:t>
      </w:r>
      <w:r>
        <w:rPr>
          <w:rFonts w:ascii="Arial" w:hAnsi="Arial" w:cs="Arial" w:eastAsia="Arial" w:hint="default"/>
        </w:rPr>
        <w:t>2011</w:t>
      </w:r>
      <w:r>
        <w:rPr>
          <w:rFonts w:ascii="Arial" w:hAnsi="Arial" w:cs="Arial" w:eastAsia="Arial" w:hint="default"/>
          <w:spacing w:val="-15"/>
        </w:rPr>
        <w:t> </w:t>
      </w:r>
      <w:r>
        <w:rPr/>
        <w:t>年</w:t>
      </w:r>
      <w:r>
        <w:rPr>
          <w:spacing w:val="-64"/>
        </w:rPr>
        <w:t> </w:t>
      </w:r>
      <w:r>
        <w:rPr>
          <w:rFonts w:ascii="Arial" w:hAnsi="Arial" w:cs="Arial" w:eastAsia="Arial" w:hint="default"/>
        </w:rPr>
        <w:t>12</w:t>
      </w:r>
      <w:r>
        <w:rPr>
          <w:rFonts w:ascii="Arial" w:hAnsi="Arial" w:cs="Arial" w:eastAsia="Arial" w:hint="default"/>
          <w:spacing w:val="-15"/>
        </w:rPr>
        <w:t> </w:t>
      </w:r>
      <w:r>
        <w:rPr/>
        <w:t>月</w:t>
      </w:r>
      <w:r>
        <w:rPr>
          <w:spacing w:val="-64"/>
        </w:rPr>
        <w:t> </w:t>
      </w:r>
      <w:r>
        <w:rPr>
          <w:rFonts w:ascii="Arial" w:hAnsi="Arial" w:cs="Arial" w:eastAsia="Arial" w:hint="default"/>
        </w:rPr>
        <w:t>1</w:t>
      </w:r>
      <w:r>
        <w:rPr>
          <w:rFonts w:ascii="Arial" w:hAnsi="Arial" w:cs="Arial" w:eastAsia="Arial" w:hint="default"/>
          <w:spacing w:val="-15"/>
        </w:rPr>
        <w:t> </w:t>
      </w:r>
      <w:r>
        <w:rPr>
          <w:spacing w:val="-6"/>
        </w:rPr>
        <w:t>日，即宽带在线实际</w:t>
      </w:r>
      <w:r>
        <w:rPr>
          <w:w w:val="99"/>
        </w:rPr>
        <w:t> </w:t>
      </w:r>
      <w:r>
        <w:rPr/>
        <w:t>取得联通新时讯控制权的日期。</w:t>
      </w:r>
    </w:p>
    <w:p>
      <w:pPr>
        <w:spacing w:line="240" w:lineRule="auto" w:before="4"/>
        <w:rPr>
          <w:rFonts w:ascii="宋体" w:hAnsi="宋体" w:cs="宋体" w:eastAsia="宋体" w:hint="default"/>
          <w:sz w:val="19"/>
          <w:szCs w:val="19"/>
        </w:rPr>
      </w:pPr>
    </w:p>
    <w:p>
      <w:pPr>
        <w:pStyle w:val="BodyText"/>
        <w:spacing w:line="240" w:lineRule="auto"/>
        <w:ind w:left="105" w:right="89"/>
        <w:jc w:val="left"/>
      </w:pPr>
      <w:r>
        <w:rPr>
          <w:rFonts w:ascii="Arial" w:hAnsi="Arial" w:cs="Arial" w:eastAsia="Arial" w:hint="default"/>
        </w:rPr>
        <w:t>(a)</w:t>
      </w:r>
      <w:r>
        <w:rPr>
          <w:rFonts w:ascii="Arial" w:hAnsi="Arial" w:cs="Arial" w:eastAsia="Arial" w:hint="default"/>
          <w:spacing w:val="38"/>
        </w:rPr>
        <w:t> </w:t>
      </w:r>
      <w:r>
        <w:rPr/>
        <w:t>于收购完成日，联通新时讯的净资产账面价值如下：</w:t>
      </w:r>
    </w:p>
    <w:p>
      <w:pPr>
        <w:spacing w:line="240" w:lineRule="auto" w:before="2"/>
        <w:rPr>
          <w:rFonts w:ascii="宋体" w:hAnsi="宋体" w:cs="宋体" w:eastAsia="宋体" w:hint="default"/>
          <w:sz w:val="23"/>
          <w:szCs w:val="23"/>
        </w:rPr>
      </w:pPr>
    </w:p>
    <w:tbl>
      <w:tblPr>
        <w:tblW w:w="0" w:type="auto"/>
        <w:jc w:val="left"/>
        <w:tblInd w:w="299" w:type="dxa"/>
        <w:tblLayout w:type="fixed"/>
        <w:tblCellMar>
          <w:top w:w="0" w:type="dxa"/>
          <w:left w:w="0" w:type="dxa"/>
          <w:bottom w:w="0" w:type="dxa"/>
          <w:right w:w="0" w:type="dxa"/>
        </w:tblCellMar>
        <w:tblLook w:val="01E0"/>
      </w:tblPr>
      <w:tblGrid>
        <w:gridCol w:w="6513"/>
        <w:gridCol w:w="2717"/>
      </w:tblGrid>
      <w:tr>
        <w:trPr>
          <w:trHeight w:val="260" w:hRule="exact"/>
        </w:trPr>
        <w:tc>
          <w:tcPr>
            <w:tcW w:w="6513" w:type="dxa"/>
            <w:tcBorders>
              <w:top w:val="nil" w:sz="6" w:space="0" w:color="auto"/>
              <w:left w:val="nil" w:sz="6" w:space="0" w:color="auto"/>
              <w:bottom w:val="nil" w:sz="6" w:space="0" w:color="auto"/>
              <w:right w:val="nil" w:sz="6" w:space="0" w:color="auto"/>
            </w:tcBorders>
          </w:tcPr>
          <w:p>
            <w:pPr/>
          </w:p>
        </w:tc>
        <w:tc>
          <w:tcPr>
            <w:tcW w:w="2717" w:type="dxa"/>
            <w:tcBorders>
              <w:top w:val="nil" w:sz="6" w:space="0" w:color="auto"/>
              <w:left w:val="nil" w:sz="6" w:space="0" w:color="auto"/>
              <w:bottom w:val="single" w:sz="6" w:space="0" w:color="000000"/>
              <w:right w:val="nil" w:sz="6" w:space="0" w:color="auto"/>
            </w:tcBorders>
          </w:tcPr>
          <w:p>
            <w:pPr>
              <w:pStyle w:val="TableParagraph"/>
              <w:spacing w:line="220" w:lineRule="exact"/>
              <w:ind w:right="0"/>
              <w:jc w:val="right"/>
              <w:rPr>
                <w:rFonts w:ascii="宋体" w:hAnsi="宋体" w:cs="宋体" w:eastAsia="宋体" w:hint="default"/>
                <w:sz w:val="22"/>
                <w:szCs w:val="22"/>
              </w:rPr>
            </w:pPr>
            <w:r>
              <w:rPr>
                <w:rFonts w:ascii="宋体" w:hAnsi="宋体" w:cs="宋体" w:eastAsia="宋体" w:hint="default"/>
                <w:w w:val="95"/>
                <w:sz w:val="22"/>
                <w:szCs w:val="22"/>
              </w:rPr>
              <w:t>（单位：人民币百万元）</w:t>
            </w:r>
            <w:r>
              <w:rPr>
                <w:rFonts w:ascii="宋体" w:hAnsi="宋体" w:cs="宋体" w:eastAsia="宋体" w:hint="default"/>
                <w:sz w:val="22"/>
                <w:szCs w:val="22"/>
              </w:rPr>
            </w:r>
          </w:p>
        </w:tc>
      </w:tr>
      <w:tr>
        <w:trPr>
          <w:trHeight w:val="559" w:hRule="exact"/>
        </w:trPr>
        <w:tc>
          <w:tcPr>
            <w:tcW w:w="65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合并成本－支付的现金</w:t>
            </w:r>
          </w:p>
        </w:tc>
        <w:tc>
          <w:tcPr>
            <w:tcW w:w="2717"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50"/>
              <w:jc w:val="right"/>
              <w:rPr>
                <w:rFonts w:ascii="Arial" w:hAnsi="Arial" w:cs="Arial" w:eastAsia="Arial" w:hint="default"/>
                <w:sz w:val="22"/>
                <w:szCs w:val="22"/>
              </w:rPr>
            </w:pPr>
            <w:r>
              <w:rPr>
                <w:rFonts w:ascii="Arial"/>
                <w:w w:val="95"/>
                <w:sz w:val="22"/>
              </w:rPr>
              <w:t>158</w:t>
            </w:r>
            <w:r>
              <w:rPr>
                <w:rFonts w:ascii="Arial"/>
                <w:sz w:val="22"/>
              </w:rPr>
            </w:r>
          </w:p>
        </w:tc>
      </w:tr>
      <w:tr>
        <w:trPr>
          <w:trHeight w:val="293" w:hRule="exact"/>
        </w:trPr>
        <w:tc>
          <w:tcPr>
            <w:tcW w:w="6513"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减：取得的净资产账面价值</w:t>
            </w:r>
          </w:p>
        </w:tc>
        <w:tc>
          <w:tcPr>
            <w:tcW w:w="2717" w:type="dxa"/>
            <w:tcBorders>
              <w:top w:val="nil" w:sz="6" w:space="0" w:color="auto"/>
              <w:left w:val="nil" w:sz="6" w:space="0" w:color="auto"/>
              <w:bottom w:val="nil" w:sz="6" w:space="0" w:color="auto"/>
              <w:right w:val="nil" w:sz="6" w:space="0" w:color="auto"/>
            </w:tcBorders>
          </w:tcPr>
          <w:p>
            <w:pPr>
              <w:pStyle w:val="TableParagraph"/>
              <w:tabs>
                <w:tab w:pos="2123" w:val="left" w:leader="none"/>
                <w:tab w:pos="2716"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(143)</w:t>
            </w:r>
            <w:r>
              <w:rPr>
                <w:rFonts w:ascii="Arial"/>
                <w:sz w:val="22"/>
                <w:u w:val="single" w:color="000000"/>
              </w:rPr>
              <w:tab/>
            </w:r>
            <w:r>
              <w:rPr>
                <w:rFonts w:ascii="Arial"/>
                <w:sz w:val="22"/>
              </w:rPr>
            </w:r>
          </w:p>
        </w:tc>
      </w:tr>
      <w:tr>
        <w:trPr>
          <w:trHeight w:val="304" w:hRule="exact"/>
        </w:trPr>
        <w:tc>
          <w:tcPr>
            <w:tcW w:w="6513"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2"/>
                <w:szCs w:val="22"/>
              </w:rPr>
            </w:pPr>
            <w:r>
              <w:rPr>
                <w:rFonts w:ascii="宋体" w:hAnsi="宋体" w:cs="宋体" w:eastAsia="宋体" w:hint="default"/>
                <w:sz w:val="22"/>
                <w:szCs w:val="22"/>
              </w:rPr>
              <w:t>调整合并方留存收益的金额（注）</w:t>
            </w:r>
          </w:p>
        </w:tc>
        <w:tc>
          <w:tcPr>
            <w:tcW w:w="2717" w:type="dxa"/>
            <w:tcBorders>
              <w:top w:val="nil" w:sz="6" w:space="0" w:color="auto"/>
              <w:left w:val="nil" w:sz="6" w:space="0" w:color="auto"/>
              <w:bottom w:val="single" w:sz="17" w:space="0" w:color="000000"/>
              <w:right w:val="nil" w:sz="6" w:space="0" w:color="auto"/>
            </w:tcBorders>
          </w:tcPr>
          <w:p>
            <w:pPr>
              <w:pStyle w:val="TableParagraph"/>
              <w:spacing w:line="240" w:lineRule="auto" w:before="25"/>
              <w:ind w:right="150"/>
              <w:jc w:val="right"/>
              <w:rPr>
                <w:rFonts w:ascii="Arial" w:hAnsi="Arial" w:cs="Arial" w:eastAsia="Arial" w:hint="default"/>
                <w:sz w:val="22"/>
                <w:szCs w:val="22"/>
              </w:rPr>
            </w:pPr>
            <w:r>
              <w:rPr>
                <w:rFonts w:ascii="Arial"/>
                <w:w w:val="95"/>
                <w:sz w:val="22"/>
              </w:rPr>
              <w:t>15</w:t>
            </w:r>
            <w:r>
              <w:rPr>
                <w:rFonts w:ascii="Arial"/>
                <w:sz w:val="22"/>
              </w:rPr>
            </w:r>
          </w:p>
        </w:tc>
      </w:tr>
    </w:tbl>
    <w:p>
      <w:pPr>
        <w:spacing w:line="240" w:lineRule="auto" w:before="2"/>
        <w:rPr>
          <w:rFonts w:ascii="宋体" w:hAnsi="宋体" w:cs="宋体" w:eastAsia="宋体" w:hint="default"/>
          <w:sz w:val="14"/>
          <w:szCs w:val="14"/>
        </w:rPr>
      </w:pPr>
    </w:p>
    <w:p>
      <w:pPr>
        <w:pStyle w:val="BodyText"/>
        <w:spacing w:line="286" w:lineRule="exact" w:before="60"/>
        <w:ind w:left="924" w:right="89" w:hanging="455"/>
        <w:jc w:val="left"/>
      </w:pPr>
      <w:r>
        <w:rPr>
          <w:spacing w:val="2"/>
        </w:rPr>
        <w:t>注：由于合并方宽带在线账面无资本公积余额以冲减合并过程中合并对价超过被合并方联通新</w:t>
      </w:r>
      <w:r>
        <w:rPr>
          <w:spacing w:val="-104"/>
        </w:rPr>
        <w:t> </w:t>
      </w:r>
      <w:r>
        <w:rPr>
          <w:spacing w:val="-104"/>
        </w:rPr>
      </w:r>
      <w:r>
        <w:rPr/>
        <w:t>时讯净资产之间的差额，故此直接调整宽带在线账面留存收益。</w:t>
      </w:r>
    </w:p>
    <w:p>
      <w:pPr>
        <w:spacing w:line="240" w:lineRule="auto" w:before="1"/>
        <w:rPr>
          <w:rFonts w:ascii="宋体" w:hAnsi="宋体" w:cs="宋体" w:eastAsia="宋体" w:hint="default"/>
          <w:sz w:val="17"/>
          <w:szCs w:val="17"/>
        </w:rPr>
      </w:pPr>
    </w:p>
    <w:p>
      <w:pPr>
        <w:pStyle w:val="BodyText"/>
        <w:spacing w:line="240" w:lineRule="auto"/>
        <w:ind w:left="105" w:right="89"/>
        <w:jc w:val="left"/>
      </w:pPr>
      <w:r>
        <w:rPr>
          <w:rFonts w:ascii="Arial" w:hAnsi="Arial" w:cs="Arial" w:eastAsia="Arial" w:hint="default"/>
        </w:rPr>
        <w:t>(b) </w:t>
      </w:r>
      <w:r>
        <w:rPr>
          <w:rFonts w:ascii="Arial" w:hAnsi="Arial" w:cs="Arial" w:eastAsia="Arial" w:hint="default"/>
          <w:spacing w:val="21"/>
        </w:rPr>
        <w:t> </w:t>
      </w:r>
      <w:r>
        <w:rPr/>
        <w:t>联通新时讯于合并日（</w:t>
      </w:r>
      <w:r>
        <w:rPr>
          <w:rFonts w:ascii="Arial" w:hAnsi="Arial" w:cs="Arial" w:eastAsia="Arial" w:hint="default"/>
        </w:rPr>
        <w:t>2011</w:t>
      </w:r>
      <w:r>
        <w:rPr>
          <w:rFonts w:ascii="Arial" w:hAnsi="Arial" w:cs="Arial" w:eastAsia="Arial" w:hint="default"/>
          <w:spacing w:val="-7"/>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1</w:t>
      </w:r>
      <w:r>
        <w:rPr>
          <w:rFonts w:ascii="Arial" w:hAnsi="Arial" w:cs="Arial" w:eastAsia="Arial" w:hint="default"/>
          <w:spacing w:val="-8"/>
        </w:rPr>
        <w:t> </w:t>
      </w:r>
      <w:r>
        <w:rPr/>
        <w:t>日）的资产、负债账面价值列示如下：</w:t>
      </w:r>
    </w:p>
    <w:p>
      <w:pPr>
        <w:spacing w:line="240" w:lineRule="auto" w:before="11"/>
        <w:rPr>
          <w:rFonts w:ascii="宋体" w:hAnsi="宋体" w:cs="宋体" w:eastAsia="宋体" w:hint="default"/>
          <w:sz w:val="17"/>
          <w:szCs w:val="17"/>
        </w:rPr>
      </w:pPr>
    </w:p>
    <w:tbl>
      <w:tblPr>
        <w:tblW w:w="0" w:type="auto"/>
        <w:jc w:val="left"/>
        <w:tblInd w:w="427" w:type="dxa"/>
        <w:tblLayout w:type="fixed"/>
        <w:tblCellMar>
          <w:top w:w="0" w:type="dxa"/>
          <w:left w:w="0" w:type="dxa"/>
          <w:bottom w:w="0" w:type="dxa"/>
          <w:right w:w="0" w:type="dxa"/>
        </w:tblCellMar>
        <w:tblLook w:val="01E0"/>
      </w:tblPr>
      <w:tblGrid>
        <w:gridCol w:w="4898"/>
        <w:gridCol w:w="4230"/>
      </w:tblGrid>
      <w:tr>
        <w:trPr>
          <w:trHeight w:val="261" w:hRule="exact"/>
        </w:trPr>
        <w:tc>
          <w:tcPr>
            <w:tcW w:w="4898" w:type="dxa"/>
            <w:tcBorders>
              <w:top w:val="nil" w:sz="6" w:space="0" w:color="auto"/>
              <w:left w:val="nil" w:sz="6" w:space="0" w:color="auto"/>
              <w:bottom w:val="nil" w:sz="6" w:space="0" w:color="auto"/>
              <w:right w:val="nil" w:sz="6" w:space="0" w:color="auto"/>
            </w:tcBorders>
          </w:tcPr>
          <w:p>
            <w:pPr>
              <w:pStyle w:val="TableParagraph"/>
              <w:spacing w:line="220" w:lineRule="exact"/>
              <w:ind w:left="200" w:right="0"/>
              <w:jc w:val="left"/>
              <w:rPr>
                <w:rFonts w:ascii="宋体" w:hAnsi="宋体" w:cs="宋体" w:eastAsia="宋体" w:hint="default"/>
                <w:sz w:val="22"/>
                <w:szCs w:val="22"/>
              </w:rPr>
            </w:pPr>
            <w:r>
              <w:rPr>
                <w:rFonts w:ascii="宋体" w:hAnsi="宋体" w:cs="宋体" w:eastAsia="宋体" w:hint="default"/>
                <w:sz w:val="22"/>
                <w:szCs w:val="22"/>
              </w:rPr>
              <w:t>（单位：人民币百万元）</w:t>
            </w:r>
          </w:p>
        </w:tc>
        <w:tc>
          <w:tcPr>
            <w:tcW w:w="4230" w:type="dxa"/>
            <w:tcBorders>
              <w:top w:val="nil" w:sz="6" w:space="0" w:color="auto"/>
              <w:left w:val="nil" w:sz="6" w:space="0" w:color="auto"/>
              <w:bottom w:val="single" w:sz="6" w:space="0" w:color="000000"/>
              <w:right w:val="nil" w:sz="6" w:space="0" w:color="auto"/>
            </w:tcBorders>
          </w:tcPr>
          <w:p>
            <w:pPr>
              <w:pStyle w:val="TableParagraph"/>
              <w:spacing w:line="235" w:lineRule="exact"/>
              <w:ind w:right="60"/>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418" w:hRule="exact"/>
        </w:trPr>
        <w:tc>
          <w:tcPr>
            <w:tcW w:w="4898" w:type="dxa"/>
            <w:tcBorders>
              <w:top w:val="nil" w:sz="6" w:space="0" w:color="auto"/>
              <w:left w:val="nil" w:sz="6" w:space="0" w:color="auto"/>
              <w:bottom w:val="nil" w:sz="6" w:space="0" w:color="auto"/>
              <w:right w:val="nil" w:sz="6" w:space="0" w:color="auto"/>
            </w:tcBorders>
          </w:tcPr>
          <w:p>
            <w:pPr/>
          </w:p>
        </w:tc>
        <w:tc>
          <w:tcPr>
            <w:tcW w:w="4230" w:type="dxa"/>
            <w:tcBorders>
              <w:top w:val="single" w:sz="6" w:space="0" w:color="000000"/>
              <w:left w:val="nil" w:sz="6" w:space="0" w:color="auto"/>
              <w:bottom w:val="nil" w:sz="6" w:space="0" w:color="auto"/>
              <w:right w:val="nil" w:sz="6" w:space="0" w:color="auto"/>
            </w:tcBorders>
          </w:tcPr>
          <w:p>
            <w:pPr>
              <w:pStyle w:val="TableParagraph"/>
              <w:spacing w:line="252" w:lineRule="exact"/>
              <w:ind w:right="61"/>
              <w:jc w:val="right"/>
              <w:rPr>
                <w:rFonts w:ascii="宋体" w:hAnsi="宋体" w:cs="宋体" w:eastAsia="宋体" w:hint="default"/>
                <w:sz w:val="22"/>
                <w:szCs w:val="22"/>
              </w:rPr>
            </w:pPr>
            <w:r>
              <w:rPr>
                <w:rFonts w:ascii="宋体" w:hAnsi="宋体" w:cs="宋体" w:eastAsia="宋体" w:hint="default"/>
                <w:w w:val="95"/>
                <w:sz w:val="22"/>
                <w:szCs w:val="22"/>
              </w:rPr>
              <w:t>账面价值</w:t>
            </w:r>
            <w:r>
              <w:rPr>
                <w:rFonts w:ascii="宋体" w:hAnsi="宋体" w:cs="宋体" w:eastAsia="宋体" w:hint="default"/>
                <w:sz w:val="22"/>
                <w:szCs w:val="22"/>
              </w:rPr>
            </w:r>
          </w:p>
        </w:tc>
      </w:tr>
      <w:tr>
        <w:trPr>
          <w:trHeight w:val="425" w:hRule="exact"/>
        </w:trPr>
        <w:tc>
          <w:tcPr>
            <w:tcW w:w="489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62"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4230"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15"/>
              <w:jc w:val="right"/>
              <w:rPr>
                <w:rFonts w:ascii="Arial" w:hAnsi="Arial" w:cs="Arial" w:eastAsia="Arial" w:hint="default"/>
                <w:sz w:val="22"/>
                <w:szCs w:val="22"/>
              </w:rPr>
            </w:pPr>
            <w:r>
              <w:rPr>
                <w:rFonts w:ascii="Arial"/>
                <w:w w:val="95"/>
                <w:sz w:val="22"/>
              </w:rPr>
              <w:t>132</w:t>
            </w:r>
            <w:r>
              <w:rPr>
                <w:rFonts w:ascii="Arial"/>
                <w:sz w:val="22"/>
              </w:rPr>
            </w:r>
          </w:p>
        </w:tc>
      </w:tr>
      <w:tr>
        <w:trPr>
          <w:trHeight w:val="286" w:hRule="exact"/>
        </w:trPr>
        <w:tc>
          <w:tcPr>
            <w:tcW w:w="4898" w:type="dxa"/>
            <w:tcBorders>
              <w:top w:val="nil" w:sz="6" w:space="0" w:color="auto"/>
              <w:left w:val="nil" w:sz="6" w:space="0" w:color="auto"/>
              <w:bottom w:val="nil" w:sz="6" w:space="0" w:color="auto"/>
              <w:right w:val="nil" w:sz="6" w:space="0" w:color="auto"/>
            </w:tcBorders>
          </w:tcPr>
          <w:p>
            <w:pPr>
              <w:pStyle w:val="TableParagraph"/>
              <w:spacing w:line="239" w:lineRule="exact"/>
              <w:ind w:left="262" w:right="0"/>
              <w:jc w:val="left"/>
              <w:rPr>
                <w:rFonts w:ascii="宋体" w:hAnsi="宋体" w:cs="宋体" w:eastAsia="宋体" w:hint="default"/>
                <w:sz w:val="22"/>
                <w:szCs w:val="22"/>
              </w:rPr>
            </w:pPr>
            <w:r>
              <w:rPr>
                <w:rFonts w:ascii="宋体" w:hAnsi="宋体" w:cs="宋体" w:eastAsia="宋体" w:hint="default"/>
                <w:sz w:val="22"/>
                <w:szCs w:val="22"/>
              </w:rPr>
              <w:t>应收款项及其他流动资产</w:t>
            </w:r>
          </w:p>
        </w:tc>
        <w:tc>
          <w:tcPr>
            <w:tcW w:w="423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5"/>
              <w:jc w:val="right"/>
              <w:rPr>
                <w:rFonts w:ascii="Arial" w:hAnsi="Arial" w:cs="Arial" w:eastAsia="Arial" w:hint="default"/>
                <w:sz w:val="22"/>
                <w:szCs w:val="22"/>
              </w:rPr>
            </w:pPr>
            <w:r>
              <w:rPr>
                <w:rFonts w:ascii="Arial"/>
                <w:w w:val="95"/>
                <w:sz w:val="22"/>
              </w:rPr>
              <w:t>18</w:t>
            </w:r>
            <w:r>
              <w:rPr>
                <w:rFonts w:ascii="Arial"/>
                <w:sz w:val="22"/>
              </w:rPr>
            </w:r>
          </w:p>
        </w:tc>
      </w:tr>
      <w:tr>
        <w:trPr>
          <w:trHeight w:val="285" w:hRule="exact"/>
        </w:trPr>
        <w:tc>
          <w:tcPr>
            <w:tcW w:w="4898" w:type="dxa"/>
            <w:tcBorders>
              <w:top w:val="nil" w:sz="6" w:space="0" w:color="auto"/>
              <w:left w:val="nil" w:sz="6" w:space="0" w:color="auto"/>
              <w:bottom w:val="nil" w:sz="6" w:space="0" w:color="auto"/>
              <w:right w:val="nil" w:sz="6" w:space="0" w:color="auto"/>
            </w:tcBorders>
          </w:tcPr>
          <w:p>
            <w:pPr>
              <w:pStyle w:val="TableParagraph"/>
              <w:spacing w:line="239" w:lineRule="exact"/>
              <w:ind w:left="253" w:right="0"/>
              <w:jc w:val="left"/>
              <w:rPr>
                <w:rFonts w:ascii="宋体" w:hAnsi="宋体" w:cs="宋体" w:eastAsia="宋体" w:hint="default"/>
                <w:sz w:val="22"/>
                <w:szCs w:val="22"/>
              </w:rPr>
            </w:pPr>
            <w:r>
              <w:rPr>
                <w:rFonts w:ascii="宋体" w:hAnsi="宋体" w:cs="宋体" w:eastAsia="宋体" w:hint="default"/>
                <w:sz w:val="22"/>
                <w:szCs w:val="22"/>
              </w:rPr>
              <w:t>固定资产及其他非流动资产</w:t>
            </w:r>
          </w:p>
        </w:tc>
        <w:tc>
          <w:tcPr>
            <w:tcW w:w="423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5"/>
              <w:jc w:val="right"/>
              <w:rPr>
                <w:rFonts w:ascii="Arial" w:hAnsi="Arial" w:cs="Arial" w:eastAsia="Arial" w:hint="default"/>
                <w:sz w:val="22"/>
                <w:szCs w:val="22"/>
              </w:rPr>
            </w:pPr>
            <w:r>
              <w:rPr>
                <w:rFonts w:ascii="Arial"/>
                <w:w w:val="95"/>
                <w:sz w:val="22"/>
              </w:rPr>
              <w:t>18</w:t>
            </w:r>
            <w:r>
              <w:rPr>
                <w:rFonts w:ascii="Arial"/>
                <w:sz w:val="22"/>
              </w:rPr>
            </w:r>
          </w:p>
        </w:tc>
      </w:tr>
      <w:tr>
        <w:trPr>
          <w:trHeight w:val="285" w:hRule="exact"/>
        </w:trPr>
        <w:tc>
          <w:tcPr>
            <w:tcW w:w="4898" w:type="dxa"/>
            <w:tcBorders>
              <w:top w:val="nil" w:sz="6" w:space="0" w:color="auto"/>
              <w:left w:val="nil" w:sz="6" w:space="0" w:color="auto"/>
              <w:bottom w:val="nil" w:sz="6" w:space="0" w:color="auto"/>
              <w:right w:val="nil" w:sz="6" w:space="0" w:color="auto"/>
            </w:tcBorders>
          </w:tcPr>
          <w:p>
            <w:pPr>
              <w:pStyle w:val="TableParagraph"/>
              <w:spacing w:line="239" w:lineRule="exact"/>
              <w:ind w:left="262" w:right="0"/>
              <w:jc w:val="left"/>
              <w:rPr>
                <w:rFonts w:ascii="宋体" w:hAnsi="宋体" w:cs="宋体" w:eastAsia="宋体" w:hint="default"/>
                <w:sz w:val="22"/>
                <w:szCs w:val="22"/>
              </w:rPr>
            </w:pPr>
            <w:r>
              <w:rPr>
                <w:rFonts w:ascii="宋体" w:hAnsi="宋体" w:cs="宋体" w:eastAsia="宋体" w:hint="default"/>
                <w:sz w:val="22"/>
                <w:szCs w:val="22"/>
              </w:rPr>
              <w:t>减：应付职工薪酬</w:t>
            </w:r>
          </w:p>
        </w:tc>
        <w:tc>
          <w:tcPr>
            <w:tcW w:w="423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2"/>
              <w:jc w:val="right"/>
              <w:rPr>
                <w:rFonts w:ascii="Arial" w:hAnsi="Arial" w:cs="Arial" w:eastAsia="Arial" w:hint="default"/>
                <w:sz w:val="22"/>
                <w:szCs w:val="22"/>
              </w:rPr>
            </w:pPr>
            <w:r>
              <w:rPr>
                <w:rFonts w:ascii="Arial"/>
                <w:w w:val="95"/>
                <w:sz w:val="22"/>
              </w:rPr>
              <w:t>(2)</w:t>
            </w:r>
            <w:r>
              <w:rPr>
                <w:rFonts w:ascii="Arial"/>
                <w:sz w:val="22"/>
              </w:rPr>
            </w:r>
          </w:p>
        </w:tc>
      </w:tr>
      <w:tr>
        <w:trPr>
          <w:trHeight w:val="293" w:hRule="exact"/>
        </w:trPr>
        <w:tc>
          <w:tcPr>
            <w:tcW w:w="4898" w:type="dxa"/>
            <w:tcBorders>
              <w:top w:val="nil" w:sz="6" w:space="0" w:color="auto"/>
              <w:left w:val="nil" w:sz="6" w:space="0" w:color="auto"/>
              <w:bottom w:val="nil" w:sz="6" w:space="0" w:color="auto"/>
              <w:right w:val="nil" w:sz="6" w:space="0" w:color="auto"/>
            </w:tcBorders>
          </w:tcPr>
          <w:p>
            <w:pPr>
              <w:pStyle w:val="TableParagraph"/>
              <w:spacing w:line="239" w:lineRule="exact"/>
              <w:ind w:left="704" w:right="0"/>
              <w:jc w:val="left"/>
              <w:rPr>
                <w:rFonts w:ascii="宋体" w:hAnsi="宋体" w:cs="宋体" w:eastAsia="宋体" w:hint="default"/>
                <w:sz w:val="22"/>
                <w:szCs w:val="22"/>
              </w:rPr>
            </w:pPr>
            <w:r>
              <w:rPr>
                <w:rFonts w:ascii="宋体" w:hAnsi="宋体" w:cs="宋体" w:eastAsia="宋体" w:hint="default"/>
                <w:sz w:val="22"/>
                <w:szCs w:val="22"/>
              </w:rPr>
              <w:t>应付款项及其他负债</w:t>
            </w:r>
          </w:p>
        </w:tc>
        <w:tc>
          <w:tcPr>
            <w:tcW w:w="4230" w:type="dxa"/>
            <w:tcBorders>
              <w:top w:val="nil" w:sz="6" w:space="0" w:color="auto"/>
              <w:left w:val="nil" w:sz="6" w:space="0" w:color="auto"/>
              <w:bottom w:val="nil" w:sz="6" w:space="0" w:color="auto"/>
              <w:right w:val="nil" w:sz="6" w:space="0" w:color="auto"/>
            </w:tcBorders>
          </w:tcPr>
          <w:p>
            <w:pPr>
              <w:pStyle w:val="TableParagraph"/>
              <w:tabs>
                <w:tab w:pos="3794" w:val="left" w:leader="none"/>
              </w:tabs>
              <w:spacing w:line="240" w:lineRule="auto" w:before="17"/>
              <w:ind w:right="42"/>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(23)</w:t>
            </w:r>
            <w:r>
              <w:rPr>
                <w:rFonts w:ascii="Arial"/>
                <w:w w:val="95"/>
                <w:sz w:val="22"/>
              </w:rPr>
            </w:r>
            <w:r>
              <w:rPr>
                <w:rFonts w:ascii="Arial"/>
                <w:sz w:val="22"/>
              </w:rPr>
            </w:r>
          </w:p>
        </w:tc>
      </w:tr>
      <w:tr>
        <w:trPr>
          <w:trHeight w:val="305" w:hRule="exact"/>
        </w:trPr>
        <w:tc>
          <w:tcPr>
            <w:tcW w:w="4898"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2"/>
                <w:szCs w:val="22"/>
              </w:rPr>
            </w:pPr>
            <w:r>
              <w:rPr>
                <w:rFonts w:ascii="宋体" w:hAnsi="宋体" w:cs="宋体" w:eastAsia="宋体" w:hint="default"/>
                <w:sz w:val="22"/>
                <w:szCs w:val="22"/>
              </w:rPr>
              <w:t>取得的净资产</w:t>
            </w:r>
          </w:p>
        </w:tc>
        <w:tc>
          <w:tcPr>
            <w:tcW w:w="4230" w:type="dxa"/>
            <w:tcBorders>
              <w:top w:val="nil" w:sz="6" w:space="0" w:color="auto"/>
              <w:left w:val="nil" w:sz="6" w:space="0" w:color="auto"/>
              <w:bottom w:val="single" w:sz="17" w:space="0" w:color="000000"/>
              <w:right w:val="nil" w:sz="6" w:space="0" w:color="auto"/>
            </w:tcBorders>
          </w:tcPr>
          <w:p>
            <w:pPr>
              <w:pStyle w:val="TableParagraph"/>
              <w:spacing w:line="240" w:lineRule="auto" w:before="25"/>
              <w:ind w:right="115"/>
              <w:jc w:val="right"/>
              <w:rPr>
                <w:rFonts w:ascii="Arial" w:hAnsi="Arial" w:cs="Arial" w:eastAsia="Arial" w:hint="default"/>
                <w:sz w:val="22"/>
                <w:szCs w:val="22"/>
              </w:rPr>
            </w:pPr>
            <w:r>
              <w:rPr>
                <w:rFonts w:ascii="Arial"/>
                <w:w w:val="95"/>
                <w:sz w:val="22"/>
              </w:rPr>
              <w:t>143</w:t>
            </w:r>
            <w:r>
              <w:rPr>
                <w:rFonts w:ascii="Arial"/>
                <w:sz w:val="22"/>
              </w:rPr>
            </w:r>
          </w:p>
        </w:tc>
      </w:tr>
    </w:tbl>
    <w:p>
      <w:pPr>
        <w:spacing w:after="0" w:line="240" w:lineRule="auto"/>
        <w:jc w:val="right"/>
        <w:rPr>
          <w:rFonts w:ascii="Arial" w:hAnsi="Arial" w:cs="Arial" w:eastAsia="Arial" w:hint="default"/>
          <w:sz w:val="22"/>
          <w:szCs w:val="22"/>
        </w:rPr>
        <w:sectPr>
          <w:headerReference w:type="default" r:id="rId77"/>
          <w:pgSz w:w="11910" w:h="16840"/>
          <w:pgMar w:header="1189" w:footer="457" w:top="3020" w:bottom="640" w:left="1280" w:right="780"/>
        </w:sectPr>
      </w:pPr>
    </w:p>
    <w:p>
      <w:pPr>
        <w:spacing w:line="240" w:lineRule="auto" w:before="2"/>
        <w:rPr>
          <w:rFonts w:ascii="宋体" w:hAnsi="宋体" w:cs="宋体" w:eastAsia="宋体" w:hint="default"/>
          <w:sz w:val="19"/>
          <w:szCs w:val="19"/>
        </w:rPr>
      </w:pPr>
    </w:p>
    <w:p>
      <w:pPr>
        <w:pStyle w:val="BodyText"/>
        <w:spacing w:line="240" w:lineRule="auto" w:before="31"/>
        <w:ind w:left="133" w:right="89"/>
        <w:jc w:val="left"/>
      </w:pPr>
      <w:r>
        <w:rPr>
          <w:rFonts w:ascii="Arial" w:hAnsi="Arial" w:cs="Arial" w:eastAsia="Arial" w:hint="default"/>
        </w:rPr>
        <w:t>3</w:t>
      </w:r>
      <w:r>
        <w:rPr/>
        <w:t>、</w:t>
      </w:r>
      <w:r>
        <w:rPr>
          <w:spacing w:val="-8"/>
        </w:rPr>
        <w:t> </w:t>
      </w:r>
      <w:r>
        <w:rPr/>
        <w:t>同一控制下企业合并（续）</w:t>
      </w:r>
    </w:p>
    <w:p>
      <w:pPr>
        <w:spacing w:line="240" w:lineRule="auto" w:before="2"/>
        <w:rPr>
          <w:rFonts w:ascii="宋体" w:hAnsi="宋体" w:cs="宋体" w:eastAsia="宋体" w:hint="default"/>
          <w:sz w:val="20"/>
          <w:szCs w:val="20"/>
        </w:rPr>
      </w:pPr>
    </w:p>
    <w:p>
      <w:pPr>
        <w:pStyle w:val="BodyText"/>
        <w:spacing w:line="286" w:lineRule="exact"/>
        <w:ind w:left="568" w:right="89" w:hanging="448"/>
        <w:jc w:val="left"/>
      </w:pPr>
      <w:r>
        <w:rPr>
          <w:rFonts w:ascii="Arial" w:hAnsi="Arial" w:cs="Arial" w:eastAsia="Arial" w:hint="default"/>
        </w:rPr>
        <w:t>(c)</w:t>
      </w:r>
      <w:r>
        <w:rPr>
          <w:rFonts w:ascii="Arial" w:hAnsi="Arial" w:cs="Arial" w:eastAsia="Arial" w:hint="default"/>
          <w:spacing w:val="5"/>
        </w:rPr>
        <w:t> </w:t>
      </w:r>
      <w:r>
        <w:rPr/>
        <w:t>联通新时讯自</w:t>
      </w:r>
      <w:r>
        <w:rPr>
          <w:spacing w:val="-55"/>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w:t>
      </w:r>
      <w:r>
        <w:rPr>
          <w:rFonts w:ascii="Arial" w:hAnsi="Arial" w:cs="Arial" w:eastAsia="Arial" w:hint="default"/>
          <w:spacing w:val="-7"/>
        </w:rPr>
        <w:t> </w:t>
      </w:r>
      <w:r>
        <w:rPr/>
        <w:t>月</w:t>
      </w:r>
      <w:r>
        <w:rPr>
          <w:spacing w:val="-56"/>
        </w:rPr>
        <w:t> </w:t>
      </w:r>
      <w:r>
        <w:rPr>
          <w:rFonts w:ascii="Arial" w:hAnsi="Arial" w:cs="Arial" w:eastAsia="Arial" w:hint="default"/>
        </w:rPr>
        <w:t>1</w:t>
      </w:r>
      <w:r>
        <w:rPr>
          <w:rFonts w:ascii="Arial" w:hAnsi="Arial" w:cs="Arial" w:eastAsia="Arial" w:hint="default"/>
          <w:spacing w:val="-7"/>
        </w:rPr>
        <w:t> </w:t>
      </w:r>
      <w:r>
        <w:rPr>
          <w:spacing w:val="-3"/>
        </w:rPr>
        <w:t>日至合并日（</w:t>
      </w:r>
      <w:r>
        <w:rPr>
          <w:rFonts w:ascii="Arial" w:hAnsi="Arial" w:cs="Arial" w:eastAsia="Arial" w:hint="default"/>
          <w:spacing w:val="-3"/>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1</w:t>
      </w:r>
      <w:r>
        <w:rPr>
          <w:rFonts w:ascii="Arial" w:hAnsi="Arial" w:cs="Arial" w:eastAsia="Arial" w:hint="default"/>
          <w:spacing w:val="-7"/>
        </w:rPr>
        <w:t> </w:t>
      </w:r>
      <w:r>
        <w:rPr>
          <w:spacing w:val="-3"/>
        </w:rPr>
        <w:t>日）止期间的收入、净利润和现金流</w:t>
      </w:r>
      <w:r>
        <w:rPr>
          <w:w w:val="99"/>
        </w:rPr>
        <w:t> </w:t>
      </w:r>
      <w:r>
        <w:rPr/>
        <w:t>量列示如下：</w:t>
      </w:r>
    </w:p>
    <w:p>
      <w:pPr>
        <w:spacing w:line="240" w:lineRule="auto" w:before="4"/>
        <w:rPr>
          <w:rFonts w:ascii="宋体" w:hAnsi="宋体" w:cs="宋体" w:eastAsia="宋体" w:hint="default"/>
          <w:sz w:val="22"/>
          <w:szCs w:val="22"/>
        </w:rPr>
      </w:pPr>
    </w:p>
    <w:tbl>
      <w:tblPr>
        <w:tblW w:w="0" w:type="auto"/>
        <w:jc w:val="left"/>
        <w:tblInd w:w="427" w:type="dxa"/>
        <w:tblLayout w:type="fixed"/>
        <w:tblCellMar>
          <w:top w:w="0" w:type="dxa"/>
          <w:left w:w="0" w:type="dxa"/>
          <w:bottom w:w="0" w:type="dxa"/>
          <w:right w:w="0" w:type="dxa"/>
        </w:tblCellMar>
        <w:tblLook w:val="01E0"/>
      </w:tblPr>
      <w:tblGrid>
        <w:gridCol w:w="4988"/>
        <w:gridCol w:w="4140"/>
      </w:tblGrid>
      <w:tr>
        <w:trPr>
          <w:trHeight w:val="261" w:hRule="exact"/>
        </w:trPr>
        <w:tc>
          <w:tcPr>
            <w:tcW w:w="4988" w:type="dxa"/>
            <w:tcBorders>
              <w:top w:val="nil" w:sz="6" w:space="0" w:color="auto"/>
              <w:left w:val="nil" w:sz="6" w:space="0" w:color="auto"/>
              <w:bottom w:val="nil" w:sz="6" w:space="0" w:color="auto"/>
              <w:right w:val="nil" w:sz="6" w:space="0" w:color="auto"/>
            </w:tcBorders>
          </w:tcPr>
          <w:p>
            <w:pPr>
              <w:pStyle w:val="TableParagraph"/>
              <w:spacing w:line="220" w:lineRule="exact"/>
              <w:ind w:left="200" w:right="0"/>
              <w:jc w:val="left"/>
              <w:rPr>
                <w:rFonts w:ascii="宋体" w:hAnsi="宋体" w:cs="宋体" w:eastAsia="宋体" w:hint="default"/>
                <w:sz w:val="22"/>
                <w:szCs w:val="22"/>
              </w:rPr>
            </w:pPr>
            <w:r>
              <w:rPr>
                <w:rFonts w:ascii="宋体" w:hAnsi="宋体" w:cs="宋体" w:eastAsia="宋体" w:hint="default"/>
                <w:sz w:val="22"/>
                <w:szCs w:val="22"/>
              </w:rPr>
              <w:t>（单位：人民币百万元）</w:t>
            </w:r>
          </w:p>
        </w:tc>
        <w:tc>
          <w:tcPr>
            <w:tcW w:w="4140" w:type="dxa"/>
            <w:tcBorders>
              <w:top w:val="nil" w:sz="6" w:space="0" w:color="auto"/>
              <w:left w:val="nil" w:sz="6" w:space="0" w:color="auto"/>
              <w:bottom w:val="single" w:sz="6" w:space="0" w:color="000000"/>
              <w:right w:val="nil" w:sz="6" w:space="0" w:color="auto"/>
            </w:tcBorders>
          </w:tcPr>
          <w:p>
            <w:pPr>
              <w:pStyle w:val="TableParagraph"/>
              <w:spacing w:line="235" w:lineRule="exact"/>
              <w:ind w:right="1"/>
              <w:jc w:val="right"/>
              <w:rPr>
                <w:rFonts w:ascii="宋体" w:hAnsi="宋体" w:cs="宋体" w:eastAsia="宋体" w:hint="default"/>
                <w:sz w:val="22"/>
                <w:szCs w:val="22"/>
              </w:rPr>
            </w:pPr>
            <w:r>
              <w:rPr>
                <w:rFonts w:ascii="宋体" w:hAnsi="宋体" w:cs="宋体" w:eastAsia="宋体" w:hint="default"/>
                <w:sz w:val="22"/>
                <w:szCs w:val="22"/>
              </w:rPr>
              <w:t>自</w:t>
            </w:r>
            <w:r>
              <w:rPr>
                <w:rFonts w:ascii="宋体" w:hAnsi="宋体" w:cs="宋体" w:eastAsia="宋体" w:hint="default"/>
                <w:spacing w:val="-56"/>
                <w:sz w:val="22"/>
                <w:szCs w:val="22"/>
              </w:rPr>
              <w:t> </w:t>
            </w: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1</w:t>
            </w:r>
            <w:r>
              <w:rPr>
                <w:rFonts w:ascii="Arial" w:hAnsi="Arial" w:cs="Arial" w:eastAsia="Arial" w:hint="default"/>
                <w:spacing w:val="-7"/>
                <w:sz w:val="22"/>
                <w:szCs w:val="22"/>
              </w:rPr>
              <w:t> </w:t>
            </w:r>
            <w:r>
              <w:rPr>
                <w:rFonts w:ascii="宋体" w:hAnsi="宋体" w:cs="宋体" w:eastAsia="宋体" w:hint="default"/>
                <w:sz w:val="22"/>
                <w:szCs w:val="22"/>
              </w:rPr>
              <w:t>日至合并日止</w:t>
            </w:r>
          </w:p>
        </w:tc>
      </w:tr>
      <w:tr>
        <w:trPr>
          <w:trHeight w:val="558" w:hRule="exact"/>
        </w:trPr>
        <w:tc>
          <w:tcPr>
            <w:tcW w:w="49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4" w:right="0"/>
              <w:jc w:val="left"/>
              <w:rPr>
                <w:rFonts w:ascii="宋体" w:hAnsi="宋体" w:cs="宋体" w:eastAsia="宋体" w:hint="default"/>
                <w:sz w:val="22"/>
                <w:szCs w:val="22"/>
              </w:rPr>
            </w:pPr>
            <w:r>
              <w:rPr>
                <w:rFonts w:ascii="宋体" w:hAnsi="宋体" w:cs="宋体" w:eastAsia="宋体" w:hint="default"/>
                <w:sz w:val="22"/>
                <w:szCs w:val="22"/>
              </w:rPr>
              <w:t>营业收入</w:t>
            </w:r>
          </w:p>
        </w:tc>
        <w:tc>
          <w:tcPr>
            <w:tcW w:w="414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15"/>
              <w:jc w:val="right"/>
              <w:rPr>
                <w:rFonts w:ascii="Arial" w:hAnsi="Arial" w:cs="Arial" w:eastAsia="Arial" w:hint="default"/>
                <w:sz w:val="22"/>
                <w:szCs w:val="22"/>
              </w:rPr>
            </w:pPr>
            <w:r>
              <w:rPr>
                <w:rFonts w:ascii="Arial"/>
                <w:w w:val="95"/>
                <w:sz w:val="22"/>
              </w:rPr>
              <w:t>26</w:t>
            </w:r>
            <w:r>
              <w:rPr>
                <w:rFonts w:ascii="Arial"/>
                <w:sz w:val="22"/>
              </w:rPr>
            </w:r>
          </w:p>
        </w:tc>
      </w:tr>
      <w:tr>
        <w:trPr>
          <w:trHeight w:val="286" w:hRule="exact"/>
        </w:trPr>
        <w:tc>
          <w:tcPr>
            <w:tcW w:w="4988" w:type="dxa"/>
            <w:tcBorders>
              <w:top w:val="nil" w:sz="6" w:space="0" w:color="auto"/>
              <w:left w:val="nil" w:sz="6" w:space="0" w:color="auto"/>
              <w:bottom w:val="nil" w:sz="6" w:space="0" w:color="auto"/>
              <w:right w:val="nil" w:sz="6" w:space="0" w:color="auto"/>
            </w:tcBorders>
          </w:tcPr>
          <w:p>
            <w:pPr>
              <w:pStyle w:val="TableParagraph"/>
              <w:spacing w:line="239" w:lineRule="exact"/>
              <w:ind w:left="214" w:right="0"/>
              <w:jc w:val="left"/>
              <w:rPr>
                <w:rFonts w:ascii="宋体" w:hAnsi="宋体" w:cs="宋体" w:eastAsia="宋体" w:hint="default"/>
                <w:sz w:val="22"/>
                <w:szCs w:val="22"/>
              </w:rPr>
            </w:pPr>
            <w:r>
              <w:rPr>
                <w:rFonts w:ascii="宋体" w:hAnsi="宋体" w:cs="宋体" w:eastAsia="宋体" w:hint="default"/>
                <w:sz w:val="22"/>
                <w:szCs w:val="22"/>
              </w:rPr>
              <w:t>净利润</w:t>
            </w:r>
          </w:p>
        </w:tc>
        <w:tc>
          <w:tcPr>
            <w:tcW w:w="41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5"/>
              <w:jc w:val="right"/>
              <w:rPr>
                <w:rFonts w:ascii="Arial" w:hAnsi="Arial" w:cs="Arial" w:eastAsia="Arial" w:hint="default"/>
                <w:sz w:val="22"/>
                <w:szCs w:val="22"/>
              </w:rPr>
            </w:pPr>
            <w:r>
              <w:rPr>
                <w:rFonts w:ascii="Arial"/>
                <w:w w:val="99"/>
                <w:sz w:val="22"/>
              </w:rPr>
              <w:t>9</w:t>
            </w:r>
            <w:r>
              <w:rPr>
                <w:rFonts w:ascii="Arial"/>
                <w:sz w:val="22"/>
              </w:rPr>
            </w:r>
          </w:p>
        </w:tc>
      </w:tr>
      <w:tr>
        <w:trPr>
          <w:trHeight w:val="285" w:hRule="exact"/>
        </w:trPr>
        <w:tc>
          <w:tcPr>
            <w:tcW w:w="4988" w:type="dxa"/>
            <w:tcBorders>
              <w:top w:val="nil" w:sz="6" w:space="0" w:color="auto"/>
              <w:left w:val="nil" w:sz="6" w:space="0" w:color="auto"/>
              <w:bottom w:val="nil" w:sz="6" w:space="0" w:color="auto"/>
              <w:right w:val="nil" w:sz="6" w:space="0" w:color="auto"/>
            </w:tcBorders>
          </w:tcPr>
          <w:p>
            <w:pPr>
              <w:pStyle w:val="TableParagraph"/>
              <w:spacing w:line="239" w:lineRule="exact"/>
              <w:ind w:left="214" w:right="0"/>
              <w:jc w:val="left"/>
              <w:rPr>
                <w:rFonts w:ascii="宋体" w:hAnsi="宋体" w:cs="宋体" w:eastAsia="宋体" w:hint="default"/>
                <w:sz w:val="22"/>
                <w:szCs w:val="22"/>
              </w:rPr>
            </w:pPr>
            <w:r>
              <w:rPr>
                <w:rFonts w:ascii="宋体" w:hAnsi="宋体" w:cs="宋体" w:eastAsia="宋体" w:hint="default"/>
                <w:sz w:val="22"/>
                <w:szCs w:val="22"/>
              </w:rPr>
              <w:t>经营活动现金流入净额</w:t>
            </w:r>
          </w:p>
        </w:tc>
        <w:tc>
          <w:tcPr>
            <w:tcW w:w="41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5"/>
              <w:jc w:val="right"/>
              <w:rPr>
                <w:rFonts w:ascii="Arial" w:hAnsi="Arial" w:cs="Arial" w:eastAsia="Arial" w:hint="default"/>
                <w:sz w:val="22"/>
                <w:szCs w:val="22"/>
              </w:rPr>
            </w:pPr>
            <w:r>
              <w:rPr>
                <w:rFonts w:ascii="Arial"/>
                <w:w w:val="95"/>
                <w:sz w:val="22"/>
              </w:rPr>
              <w:t>33</w:t>
            </w:r>
            <w:r>
              <w:rPr>
                <w:rFonts w:ascii="Arial"/>
                <w:sz w:val="22"/>
              </w:rPr>
            </w:r>
          </w:p>
        </w:tc>
      </w:tr>
      <w:tr>
        <w:trPr>
          <w:trHeight w:val="265" w:hRule="exact"/>
        </w:trPr>
        <w:tc>
          <w:tcPr>
            <w:tcW w:w="4988" w:type="dxa"/>
            <w:tcBorders>
              <w:top w:val="nil" w:sz="6" w:space="0" w:color="auto"/>
              <w:left w:val="nil" w:sz="6" w:space="0" w:color="auto"/>
              <w:bottom w:val="nil" w:sz="6" w:space="0" w:color="auto"/>
              <w:right w:val="nil" w:sz="6" w:space="0" w:color="auto"/>
            </w:tcBorders>
          </w:tcPr>
          <w:p>
            <w:pPr>
              <w:pStyle w:val="TableParagraph"/>
              <w:spacing w:line="239" w:lineRule="exact"/>
              <w:ind w:left="214" w:right="0"/>
              <w:jc w:val="left"/>
              <w:rPr>
                <w:rFonts w:ascii="宋体" w:hAnsi="宋体" w:cs="宋体" w:eastAsia="宋体" w:hint="default"/>
                <w:sz w:val="22"/>
                <w:szCs w:val="22"/>
              </w:rPr>
            </w:pPr>
            <w:r>
              <w:rPr>
                <w:rFonts w:ascii="宋体" w:hAnsi="宋体" w:cs="宋体" w:eastAsia="宋体" w:hint="default"/>
                <w:sz w:val="22"/>
                <w:szCs w:val="22"/>
              </w:rPr>
              <w:t>现金及现金等价物净增加额</w:t>
            </w:r>
          </w:p>
        </w:tc>
        <w:tc>
          <w:tcPr>
            <w:tcW w:w="41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5"/>
              <w:jc w:val="right"/>
              <w:rPr>
                <w:rFonts w:ascii="Arial" w:hAnsi="Arial" w:cs="Arial" w:eastAsia="Arial" w:hint="default"/>
                <w:sz w:val="22"/>
                <w:szCs w:val="22"/>
              </w:rPr>
            </w:pPr>
            <w:r>
              <w:rPr>
                <w:rFonts w:ascii="Arial"/>
                <w:w w:val="95"/>
                <w:sz w:val="22"/>
              </w:rPr>
              <w:t>30</w:t>
            </w:r>
            <w:r>
              <w:rPr>
                <w:rFonts w:ascii="Arial"/>
                <w:sz w:val="22"/>
              </w:rPr>
            </w:r>
          </w:p>
        </w:tc>
      </w:tr>
    </w:tbl>
    <w:p>
      <w:pPr>
        <w:spacing w:line="240" w:lineRule="auto" w:before="10"/>
        <w:rPr>
          <w:rFonts w:ascii="宋体" w:hAnsi="宋体" w:cs="宋体" w:eastAsia="宋体" w:hint="default"/>
          <w:sz w:val="14"/>
          <w:szCs w:val="14"/>
        </w:rPr>
      </w:pPr>
    </w:p>
    <w:p>
      <w:pPr>
        <w:pStyle w:val="BodyText"/>
        <w:spacing w:line="240" w:lineRule="auto" w:before="31"/>
        <w:ind w:left="133" w:right="89"/>
        <w:jc w:val="left"/>
      </w:pPr>
      <w:r>
        <w:rPr>
          <w:rFonts w:ascii="Arial" w:hAnsi="Arial" w:cs="Arial" w:eastAsia="Arial" w:hint="default"/>
        </w:rPr>
        <w:t>4</w:t>
      </w:r>
      <w:r>
        <w:rPr/>
        <w:t>、</w:t>
      </w:r>
      <w:r>
        <w:rPr>
          <w:spacing w:val="-70"/>
        </w:rPr>
        <w:t> </w:t>
      </w:r>
      <w:r>
        <w:rPr/>
        <w:t>境外经营实体主要报表项目的折算汇率</w:t>
      </w:r>
    </w:p>
    <w:p>
      <w:pPr>
        <w:spacing w:line="240" w:lineRule="auto" w:before="7"/>
        <w:rPr>
          <w:rFonts w:ascii="宋体" w:hAnsi="宋体" w:cs="宋体" w:eastAsia="宋体" w:hint="default"/>
          <w:sz w:val="23"/>
          <w:szCs w:val="23"/>
        </w:rPr>
      </w:pPr>
    </w:p>
    <w:tbl>
      <w:tblPr>
        <w:tblW w:w="0" w:type="auto"/>
        <w:jc w:val="left"/>
        <w:tblInd w:w="365" w:type="dxa"/>
        <w:tblLayout w:type="fixed"/>
        <w:tblCellMar>
          <w:top w:w="0" w:type="dxa"/>
          <w:left w:w="0" w:type="dxa"/>
          <w:bottom w:w="0" w:type="dxa"/>
          <w:right w:w="0" w:type="dxa"/>
        </w:tblCellMar>
        <w:tblLook w:val="01E0"/>
      </w:tblPr>
      <w:tblGrid>
        <w:gridCol w:w="3656"/>
        <w:gridCol w:w="2754"/>
        <w:gridCol w:w="133"/>
        <w:gridCol w:w="2665"/>
      </w:tblGrid>
      <w:tr>
        <w:trPr>
          <w:trHeight w:val="260" w:hRule="exact"/>
        </w:trPr>
        <w:tc>
          <w:tcPr>
            <w:tcW w:w="9209" w:type="dxa"/>
            <w:gridSpan w:val="4"/>
            <w:tcBorders>
              <w:top w:val="nil" w:sz="6" w:space="0" w:color="auto"/>
              <w:left w:val="nil" w:sz="6" w:space="0" w:color="auto"/>
              <w:bottom w:val="nil" w:sz="6" w:space="0" w:color="auto"/>
              <w:right w:val="nil" w:sz="6" w:space="0" w:color="auto"/>
            </w:tcBorders>
          </w:tcPr>
          <w:p>
            <w:pPr>
              <w:pStyle w:val="TableParagraph"/>
              <w:spacing w:line="220" w:lineRule="exact"/>
              <w:ind w:left="5660" w:right="0"/>
              <w:jc w:val="left"/>
              <w:rPr>
                <w:rFonts w:ascii="宋体" w:hAnsi="宋体" w:cs="宋体" w:eastAsia="宋体" w:hint="default"/>
                <w:sz w:val="22"/>
                <w:szCs w:val="22"/>
              </w:rPr>
            </w:pPr>
            <w:r>
              <w:rPr>
                <w:rFonts w:ascii="宋体" w:hAnsi="宋体" w:cs="宋体" w:eastAsia="宋体" w:hint="default"/>
                <w:sz w:val="22"/>
                <w:szCs w:val="22"/>
              </w:rPr>
              <w:t>资产和负债项目</w:t>
            </w:r>
          </w:p>
        </w:tc>
      </w:tr>
      <w:tr>
        <w:trPr>
          <w:trHeight w:val="305" w:hRule="exact"/>
        </w:trPr>
        <w:tc>
          <w:tcPr>
            <w:tcW w:w="3656" w:type="dxa"/>
            <w:tcBorders>
              <w:top w:val="nil" w:sz="6" w:space="0" w:color="auto"/>
              <w:left w:val="nil" w:sz="6" w:space="0" w:color="auto"/>
              <w:bottom w:val="nil" w:sz="6" w:space="0" w:color="auto"/>
              <w:right w:val="nil" w:sz="6" w:space="0" w:color="auto"/>
            </w:tcBorders>
          </w:tcPr>
          <w:p>
            <w:pPr/>
          </w:p>
        </w:tc>
        <w:tc>
          <w:tcPr>
            <w:tcW w:w="2754" w:type="dxa"/>
            <w:tcBorders>
              <w:top w:val="single" w:sz="6" w:space="0" w:color="000000"/>
              <w:left w:val="nil" w:sz="6" w:space="0" w:color="auto"/>
              <w:bottom w:val="single" w:sz="6" w:space="0" w:color="000000"/>
              <w:right w:val="nil" w:sz="6" w:space="0" w:color="auto"/>
            </w:tcBorders>
          </w:tcPr>
          <w:p>
            <w:pPr>
              <w:pStyle w:val="TableParagraph"/>
              <w:spacing w:line="273" w:lineRule="exact"/>
              <w:ind w:right="59"/>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33" w:type="dxa"/>
            <w:tcBorders>
              <w:top w:val="single" w:sz="6" w:space="0" w:color="000000"/>
              <w:left w:val="nil" w:sz="6" w:space="0" w:color="auto"/>
              <w:bottom w:val="nil" w:sz="6" w:space="0" w:color="auto"/>
              <w:right w:val="nil" w:sz="6" w:space="0" w:color="auto"/>
            </w:tcBorders>
          </w:tcPr>
          <w:p>
            <w:pPr/>
          </w:p>
        </w:tc>
        <w:tc>
          <w:tcPr>
            <w:tcW w:w="2665" w:type="dxa"/>
            <w:tcBorders>
              <w:top w:val="single" w:sz="6" w:space="0" w:color="000000"/>
              <w:left w:val="nil" w:sz="6" w:space="0" w:color="auto"/>
              <w:bottom w:val="single" w:sz="6" w:space="0" w:color="000000"/>
              <w:right w:val="nil" w:sz="6" w:space="0" w:color="auto"/>
            </w:tcBorders>
          </w:tcPr>
          <w:p>
            <w:pPr>
              <w:pStyle w:val="TableParagraph"/>
              <w:spacing w:line="273" w:lineRule="exact"/>
              <w:ind w:right="59"/>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471"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00" w:right="0"/>
              <w:jc w:val="left"/>
              <w:rPr>
                <w:rFonts w:ascii="宋体" w:hAnsi="宋体" w:cs="宋体" w:eastAsia="宋体" w:hint="default"/>
                <w:sz w:val="22"/>
                <w:szCs w:val="22"/>
              </w:rPr>
            </w:pPr>
            <w:r>
              <w:rPr>
                <w:rFonts w:ascii="宋体" w:hAnsi="宋体" w:cs="宋体" w:eastAsia="宋体" w:hint="default"/>
                <w:sz w:val="22"/>
                <w:szCs w:val="22"/>
              </w:rPr>
              <w:t>美洲地区子公司及亿迅公司</w:t>
            </w:r>
          </w:p>
        </w:tc>
        <w:tc>
          <w:tcPr>
            <w:tcW w:w="2754" w:type="dxa"/>
            <w:tcBorders>
              <w:top w:val="single" w:sz="6" w:space="0" w:color="000000"/>
              <w:left w:val="nil" w:sz="6" w:space="0" w:color="auto"/>
              <w:bottom w:val="nil" w:sz="6" w:space="0" w:color="auto"/>
              <w:right w:val="nil" w:sz="6" w:space="0" w:color="auto"/>
            </w:tcBorders>
          </w:tcPr>
          <w:p>
            <w:pPr>
              <w:pStyle w:val="TableParagraph"/>
              <w:spacing w:line="240" w:lineRule="auto" w:before="135"/>
              <w:ind w:right="59"/>
              <w:jc w:val="right"/>
              <w:rPr>
                <w:rFonts w:ascii="宋体" w:hAnsi="宋体" w:cs="宋体" w:eastAsia="宋体" w:hint="default"/>
                <w:sz w:val="22"/>
                <w:szCs w:val="22"/>
              </w:rPr>
            </w:pPr>
            <w:r>
              <w:rPr>
                <w:rFonts w:ascii="Arial" w:hAnsi="Arial" w:cs="Arial" w:eastAsia="Arial" w:hint="default"/>
                <w:sz w:val="22"/>
                <w:szCs w:val="22"/>
              </w:rPr>
              <w:t>1 </w:t>
            </w:r>
            <w:r>
              <w:rPr>
                <w:rFonts w:ascii="宋体" w:hAnsi="宋体" w:cs="宋体" w:eastAsia="宋体" w:hint="default"/>
                <w:sz w:val="22"/>
                <w:szCs w:val="22"/>
              </w:rPr>
              <w:t>美元</w:t>
            </w:r>
            <w:r>
              <w:rPr>
                <w:rFonts w:ascii="Arial" w:hAnsi="Arial" w:cs="Arial" w:eastAsia="Arial" w:hint="default"/>
                <w:sz w:val="22"/>
                <w:szCs w:val="22"/>
              </w:rPr>
              <w:t>=6.2855</w:t>
            </w:r>
            <w:r>
              <w:rPr>
                <w:rFonts w:ascii="Arial" w:hAnsi="Arial" w:cs="Arial" w:eastAsia="Arial" w:hint="default"/>
                <w:spacing w:val="-16"/>
                <w:sz w:val="22"/>
                <w:szCs w:val="22"/>
              </w:rPr>
              <w:t> </w:t>
            </w:r>
            <w:r>
              <w:rPr>
                <w:rFonts w:ascii="宋体" w:hAnsi="宋体" w:cs="宋体" w:eastAsia="宋体" w:hint="default"/>
                <w:sz w:val="22"/>
                <w:szCs w:val="22"/>
              </w:rPr>
              <w:t>人民币</w:t>
            </w:r>
          </w:p>
        </w:tc>
        <w:tc>
          <w:tcPr>
            <w:tcW w:w="133" w:type="dxa"/>
            <w:tcBorders>
              <w:top w:val="nil" w:sz="6" w:space="0" w:color="auto"/>
              <w:left w:val="nil" w:sz="6" w:space="0" w:color="auto"/>
              <w:bottom w:val="nil" w:sz="6" w:space="0" w:color="auto"/>
              <w:right w:val="nil" w:sz="6" w:space="0" w:color="auto"/>
            </w:tcBorders>
          </w:tcPr>
          <w:p>
            <w:pPr/>
          </w:p>
        </w:tc>
        <w:tc>
          <w:tcPr>
            <w:tcW w:w="2665" w:type="dxa"/>
            <w:tcBorders>
              <w:top w:val="single" w:sz="6" w:space="0" w:color="000000"/>
              <w:left w:val="nil" w:sz="6" w:space="0" w:color="auto"/>
              <w:bottom w:val="nil" w:sz="6" w:space="0" w:color="auto"/>
              <w:right w:val="nil" w:sz="6" w:space="0" w:color="auto"/>
            </w:tcBorders>
          </w:tcPr>
          <w:p>
            <w:pPr>
              <w:pStyle w:val="TableParagraph"/>
              <w:spacing w:line="240" w:lineRule="auto" w:before="135"/>
              <w:ind w:right="59"/>
              <w:jc w:val="right"/>
              <w:rPr>
                <w:rFonts w:ascii="宋体" w:hAnsi="宋体" w:cs="宋体" w:eastAsia="宋体" w:hint="default"/>
                <w:sz w:val="22"/>
                <w:szCs w:val="22"/>
              </w:rPr>
            </w:pPr>
            <w:r>
              <w:rPr>
                <w:rFonts w:ascii="Arial" w:hAnsi="Arial" w:cs="Arial" w:eastAsia="Arial" w:hint="default"/>
                <w:sz w:val="22"/>
                <w:szCs w:val="22"/>
              </w:rPr>
              <w:t>1 </w:t>
            </w:r>
            <w:r>
              <w:rPr>
                <w:rFonts w:ascii="宋体" w:hAnsi="宋体" w:cs="宋体" w:eastAsia="宋体" w:hint="default"/>
                <w:sz w:val="22"/>
                <w:szCs w:val="22"/>
              </w:rPr>
              <w:t>美元</w:t>
            </w:r>
            <w:r>
              <w:rPr>
                <w:rFonts w:ascii="Arial" w:hAnsi="Arial" w:cs="Arial" w:eastAsia="Arial" w:hint="default"/>
                <w:sz w:val="22"/>
                <w:szCs w:val="22"/>
              </w:rPr>
              <w:t>=6.3009</w:t>
            </w:r>
            <w:r>
              <w:rPr>
                <w:rFonts w:ascii="Arial" w:hAnsi="Arial" w:cs="Arial" w:eastAsia="Arial" w:hint="default"/>
                <w:spacing w:val="-16"/>
                <w:sz w:val="22"/>
                <w:szCs w:val="22"/>
              </w:rPr>
              <w:t> </w:t>
            </w:r>
            <w:r>
              <w:rPr>
                <w:rFonts w:ascii="宋体" w:hAnsi="宋体" w:cs="宋体" w:eastAsia="宋体" w:hint="default"/>
                <w:sz w:val="22"/>
                <w:szCs w:val="22"/>
              </w:rPr>
              <w:t>人民币</w:t>
            </w:r>
          </w:p>
        </w:tc>
      </w:tr>
      <w:tr>
        <w:trPr>
          <w:trHeight w:val="290"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250" w:lineRule="exact"/>
              <w:ind w:left="200" w:right="0"/>
              <w:jc w:val="left"/>
              <w:rPr>
                <w:rFonts w:ascii="宋体" w:hAnsi="宋体" w:cs="宋体" w:eastAsia="宋体" w:hint="default"/>
                <w:sz w:val="22"/>
                <w:szCs w:val="22"/>
              </w:rPr>
            </w:pPr>
            <w:r>
              <w:rPr>
                <w:rFonts w:ascii="宋体" w:hAnsi="宋体" w:cs="宋体" w:eastAsia="宋体" w:hint="default"/>
                <w:sz w:val="22"/>
                <w:szCs w:val="22"/>
              </w:rPr>
              <w:t>香港地区子公司（除亿迅公司外）</w:t>
            </w:r>
          </w:p>
        </w:tc>
        <w:tc>
          <w:tcPr>
            <w:tcW w:w="2754" w:type="dxa"/>
            <w:tcBorders>
              <w:top w:val="nil" w:sz="6" w:space="0" w:color="auto"/>
              <w:left w:val="nil" w:sz="6" w:space="0" w:color="auto"/>
              <w:bottom w:val="nil" w:sz="6" w:space="0" w:color="auto"/>
              <w:right w:val="nil" w:sz="6" w:space="0" w:color="auto"/>
            </w:tcBorders>
          </w:tcPr>
          <w:p>
            <w:pPr>
              <w:pStyle w:val="TableParagraph"/>
              <w:spacing w:line="265" w:lineRule="exact"/>
              <w:ind w:right="59"/>
              <w:jc w:val="right"/>
              <w:rPr>
                <w:rFonts w:ascii="宋体" w:hAnsi="宋体" w:cs="宋体" w:eastAsia="宋体" w:hint="default"/>
                <w:sz w:val="22"/>
                <w:szCs w:val="22"/>
              </w:rPr>
            </w:pPr>
            <w:r>
              <w:rPr>
                <w:rFonts w:ascii="Arial" w:hAnsi="Arial" w:cs="Arial" w:eastAsia="Arial" w:hint="default"/>
                <w:sz w:val="22"/>
                <w:szCs w:val="22"/>
              </w:rPr>
              <w:t>1 </w:t>
            </w:r>
            <w:r>
              <w:rPr>
                <w:rFonts w:ascii="宋体" w:hAnsi="宋体" w:cs="宋体" w:eastAsia="宋体" w:hint="default"/>
                <w:sz w:val="22"/>
                <w:szCs w:val="22"/>
              </w:rPr>
              <w:t>港币</w:t>
            </w:r>
            <w:r>
              <w:rPr>
                <w:rFonts w:ascii="Arial" w:hAnsi="Arial" w:cs="Arial" w:eastAsia="Arial" w:hint="default"/>
                <w:sz w:val="22"/>
                <w:szCs w:val="22"/>
              </w:rPr>
              <w:t>=0.8109</w:t>
            </w:r>
            <w:r>
              <w:rPr>
                <w:rFonts w:ascii="Arial" w:hAnsi="Arial" w:cs="Arial" w:eastAsia="Arial" w:hint="default"/>
                <w:spacing w:val="-15"/>
                <w:sz w:val="22"/>
                <w:szCs w:val="22"/>
              </w:rPr>
              <w:t> </w:t>
            </w:r>
            <w:r>
              <w:rPr>
                <w:rFonts w:ascii="宋体" w:hAnsi="宋体" w:cs="宋体" w:eastAsia="宋体" w:hint="default"/>
                <w:sz w:val="22"/>
                <w:szCs w:val="22"/>
              </w:rPr>
              <w:t>人民币</w:t>
            </w:r>
          </w:p>
        </w:tc>
        <w:tc>
          <w:tcPr>
            <w:tcW w:w="133" w:type="dxa"/>
            <w:tcBorders>
              <w:top w:val="nil" w:sz="6" w:space="0" w:color="auto"/>
              <w:left w:val="nil" w:sz="6" w:space="0" w:color="auto"/>
              <w:bottom w:val="nil" w:sz="6" w:space="0" w:color="auto"/>
              <w:right w:val="nil" w:sz="6" w:space="0" w:color="auto"/>
            </w:tcBorders>
          </w:tcPr>
          <w:p>
            <w:pPr/>
          </w:p>
        </w:tc>
        <w:tc>
          <w:tcPr>
            <w:tcW w:w="2665" w:type="dxa"/>
            <w:tcBorders>
              <w:top w:val="nil" w:sz="6" w:space="0" w:color="auto"/>
              <w:left w:val="nil" w:sz="6" w:space="0" w:color="auto"/>
              <w:bottom w:val="nil" w:sz="6" w:space="0" w:color="auto"/>
              <w:right w:val="nil" w:sz="6" w:space="0" w:color="auto"/>
            </w:tcBorders>
          </w:tcPr>
          <w:p>
            <w:pPr>
              <w:pStyle w:val="TableParagraph"/>
              <w:spacing w:line="265" w:lineRule="exact"/>
              <w:ind w:right="59"/>
              <w:jc w:val="right"/>
              <w:rPr>
                <w:rFonts w:ascii="宋体" w:hAnsi="宋体" w:cs="宋体" w:eastAsia="宋体" w:hint="default"/>
                <w:sz w:val="22"/>
                <w:szCs w:val="22"/>
              </w:rPr>
            </w:pPr>
            <w:r>
              <w:rPr>
                <w:rFonts w:ascii="Arial" w:hAnsi="Arial" w:cs="Arial" w:eastAsia="Arial" w:hint="default"/>
                <w:sz w:val="22"/>
                <w:szCs w:val="22"/>
              </w:rPr>
              <w:t>1 </w:t>
            </w:r>
            <w:r>
              <w:rPr>
                <w:rFonts w:ascii="宋体" w:hAnsi="宋体" w:cs="宋体" w:eastAsia="宋体" w:hint="default"/>
                <w:sz w:val="22"/>
                <w:szCs w:val="22"/>
              </w:rPr>
              <w:t>港币</w:t>
            </w:r>
            <w:r>
              <w:rPr>
                <w:rFonts w:ascii="Arial" w:hAnsi="Arial" w:cs="Arial" w:eastAsia="Arial" w:hint="default"/>
                <w:sz w:val="22"/>
                <w:szCs w:val="22"/>
              </w:rPr>
              <w:t>=0.8107</w:t>
            </w:r>
            <w:r>
              <w:rPr>
                <w:rFonts w:ascii="Arial" w:hAnsi="Arial" w:cs="Arial" w:eastAsia="Arial" w:hint="default"/>
                <w:spacing w:val="-16"/>
                <w:sz w:val="22"/>
                <w:szCs w:val="22"/>
              </w:rPr>
              <w:t> </w:t>
            </w:r>
            <w:r>
              <w:rPr>
                <w:rFonts w:ascii="宋体" w:hAnsi="宋体" w:cs="宋体" w:eastAsia="宋体" w:hint="default"/>
                <w:sz w:val="22"/>
                <w:szCs w:val="22"/>
              </w:rPr>
              <w:t>人民币</w:t>
            </w:r>
          </w:p>
        </w:tc>
      </w:tr>
      <w:tr>
        <w:trPr>
          <w:trHeight w:val="290"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250" w:lineRule="exact"/>
              <w:ind w:left="200" w:right="0"/>
              <w:jc w:val="left"/>
              <w:rPr>
                <w:rFonts w:ascii="宋体" w:hAnsi="宋体" w:cs="宋体" w:eastAsia="宋体" w:hint="default"/>
                <w:sz w:val="22"/>
                <w:szCs w:val="22"/>
              </w:rPr>
            </w:pPr>
            <w:r>
              <w:rPr>
                <w:rFonts w:ascii="宋体" w:hAnsi="宋体" w:cs="宋体" w:eastAsia="宋体" w:hint="default"/>
                <w:sz w:val="22"/>
                <w:szCs w:val="22"/>
              </w:rPr>
              <w:t>日本地区子公司</w:t>
            </w:r>
          </w:p>
        </w:tc>
        <w:tc>
          <w:tcPr>
            <w:tcW w:w="2754" w:type="dxa"/>
            <w:tcBorders>
              <w:top w:val="nil" w:sz="6" w:space="0" w:color="auto"/>
              <w:left w:val="nil" w:sz="6" w:space="0" w:color="auto"/>
              <w:bottom w:val="nil" w:sz="6" w:space="0" w:color="auto"/>
              <w:right w:val="nil" w:sz="6" w:space="0" w:color="auto"/>
            </w:tcBorders>
          </w:tcPr>
          <w:p>
            <w:pPr>
              <w:pStyle w:val="TableParagraph"/>
              <w:spacing w:line="265" w:lineRule="exact"/>
              <w:ind w:right="59"/>
              <w:jc w:val="right"/>
              <w:rPr>
                <w:rFonts w:ascii="宋体" w:hAnsi="宋体" w:cs="宋体" w:eastAsia="宋体" w:hint="default"/>
                <w:sz w:val="22"/>
                <w:szCs w:val="22"/>
              </w:rPr>
            </w:pPr>
            <w:r>
              <w:rPr>
                <w:rFonts w:ascii="Arial" w:hAnsi="Arial" w:cs="Arial" w:eastAsia="Arial" w:hint="default"/>
                <w:sz w:val="22"/>
                <w:szCs w:val="22"/>
              </w:rPr>
              <w:t>1 </w:t>
            </w:r>
            <w:r>
              <w:rPr>
                <w:rFonts w:ascii="宋体" w:hAnsi="宋体" w:cs="宋体" w:eastAsia="宋体" w:hint="default"/>
                <w:sz w:val="22"/>
                <w:szCs w:val="22"/>
              </w:rPr>
              <w:t>日元</w:t>
            </w:r>
            <w:r>
              <w:rPr>
                <w:rFonts w:ascii="Arial" w:hAnsi="Arial" w:cs="Arial" w:eastAsia="Arial" w:hint="default"/>
                <w:sz w:val="22"/>
                <w:szCs w:val="22"/>
              </w:rPr>
              <w:t>=0.0730</w:t>
            </w:r>
            <w:r>
              <w:rPr>
                <w:rFonts w:ascii="Arial" w:hAnsi="Arial" w:cs="Arial" w:eastAsia="Arial" w:hint="default"/>
                <w:spacing w:val="-15"/>
                <w:sz w:val="22"/>
                <w:szCs w:val="22"/>
              </w:rPr>
              <w:t> </w:t>
            </w:r>
            <w:r>
              <w:rPr>
                <w:rFonts w:ascii="宋体" w:hAnsi="宋体" w:cs="宋体" w:eastAsia="宋体" w:hint="default"/>
                <w:sz w:val="22"/>
                <w:szCs w:val="22"/>
              </w:rPr>
              <w:t>人民币</w:t>
            </w:r>
          </w:p>
        </w:tc>
        <w:tc>
          <w:tcPr>
            <w:tcW w:w="133" w:type="dxa"/>
            <w:tcBorders>
              <w:top w:val="nil" w:sz="6" w:space="0" w:color="auto"/>
              <w:left w:val="nil" w:sz="6" w:space="0" w:color="auto"/>
              <w:bottom w:val="nil" w:sz="6" w:space="0" w:color="auto"/>
              <w:right w:val="nil" w:sz="6" w:space="0" w:color="auto"/>
            </w:tcBorders>
          </w:tcPr>
          <w:p>
            <w:pPr/>
          </w:p>
        </w:tc>
        <w:tc>
          <w:tcPr>
            <w:tcW w:w="2665" w:type="dxa"/>
            <w:tcBorders>
              <w:top w:val="nil" w:sz="6" w:space="0" w:color="auto"/>
              <w:left w:val="nil" w:sz="6" w:space="0" w:color="auto"/>
              <w:bottom w:val="nil" w:sz="6" w:space="0" w:color="auto"/>
              <w:right w:val="nil" w:sz="6" w:space="0" w:color="auto"/>
            </w:tcBorders>
          </w:tcPr>
          <w:p>
            <w:pPr>
              <w:pStyle w:val="TableParagraph"/>
              <w:spacing w:line="265" w:lineRule="exact"/>
              <w:ind w:right="59"/>
              <w:jc w:val="right"/>
              <w:rPr>
                <w:rFonts w:ascii="宋体" w:hAnsi="宋体" w:cs="宋体" w:eastAsia="宋体" w:hint="default"/>
                <w:sz w:val="22"/>
                <w:szCs w:val="22"/>
              </w:rPr>
            </w:pPr>
            <w:r>
              <w:rPr>
                <w:rFonts w:ascii="Arial" w:hAnsi="Arial" w:cs="Arial" w:eastAsia="Arial" w:hint="default"/>
                <w:sz w:val="22"/>
                <w:szCs w:val="22"/>
              </w:rPr>
              <w:t>1 </w:t>
            </w:r>
            <w:r>
              <w:rPr>
                <w:rFonts w:ascii="宋体" w:hAnsi="宋体" w:cs="宋体" w:eastAsia="宋体" w:hint="default"/>
                <w:sz w:val="22"/>
                <w:szCs w:val="22"/>
              </w:rPr>
              <w:t>日元</w:t>
            </w:r>
            <w:r>
              <w:rPr>
                <w:rFonts w:ascii="Arial" w:hAnsi="Arial" w:cs="Arial" w:eastAsia="Arial" w:hint="default"/>
                <w:sz w:val="22"/>
                <w:szCs w:val="22"/>
              </w:rPr>
              <w:t>=0.0811</w:t>
            </w:r>
            <w:r>
              <w:rPr>
                <w:rFonts w:ascii="Arial" w:hAnsi="Arial" w:cs="Arial" w:eastAsia="Arial" w:hint="default"/>
                <w:spacing w:val="-16"/>
                <w:sz w:val="22"/>
                <w:szCs w:val="22"/>
              </w:rPr>
              <w:t> </w:t>
            </w:r>
            <w:r>
              <w:rPr>
                <w:rFonts w:ascii="宋体" w:hAnsi="宋体" w:cs="宋体" w:eastAsia="宋体" w:hint="default"/>
                <w:sz w:val="22"/>
                <w:szCs w:val="22"/>
              </w:rPr>
              <w:t>人民币</w:t>
            </w:r>
          </w:p>
        </w:tc>
      </w:tr>
      <w:tr>
        <w:trPr>
          <w:trHeight w:val="290"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249" w:lineRule="exact"/>
              <w:ind w:left="200" w:right="0"/>
              <w:jc w:val="left"/>
              <w:rPr>
                <w:rFonts w:ascii="宋体" w:hAnsi="宋体" w:cs="宋体" w:eastAsia="宋体" w:hint="default"/>
                <w:sz w:val="22"/>
                <w:szCs w:val="22"/>
              </w:rPr>
            </w:pPr>
            <w:r>
              <w:rPr>
                <w:rFonts w:ascii="宋体" w:hAnsi="宋体" w:cs="宋体" w:eastAsia="宋体" w:hint="default"/>
                <w:sz w:val="22"/>
                <w:szCs w:val="22"/>
              </w:rPr>
              <w:t>欧洲地区子公司</w:t>
            </w:r>
          </w:p>
        </w:tc>
        <w:tc>
          <w:tcPr>
            <w:tcW w:w="2754" w:type="dxa"/>
            <w:tcBorders>
              <w:top w:val="nil" w:sz="6" w:space="0" w:color="auto"/>
              <w:left w:val="nil" w:sz="6" w:space="0" w:color="auto"/>
              <w:bottom w:val="nil" w:sz="6" w:space="0" w:color="auto"/>
              <w:right w:val="nil" w:sz="6" w:space="0" w:color="auto"/>
            </w:tcBorders>
          </w:tcPr>
          <w:p>
            <w:pPr>
              <w:pStyle w:val="TableParagraph"/>
              <w:spacing w:line="265" w:lineRule="exact"/>
              <w:ind w:right="59"/>
              <w:jc w:val="right"/>
              <w:rPr>
                <w:rFonts w:ascii="宋体" w:hAnsi="宋体" w:cs="宋体" w:eastAsia="宋体" w:hint="default"/>
                <w:sz w:val="22"/>
                <w:szCs w:val="22"/>
              </w:rPr>
            </w:pPr>
            <w:r>
              <w:rPr>
                <w:rFonts w:ascii="Arial" w:hAnsi="Arial" w:cs="Arial" w:eastAsia="Arial" w:hint="default"/>
                <w:sz w:val="22"/>
                <w:szCs w:val="22"/>
              </w:rPr>
              <w:t>1 </w:t>
            </w:r>
            <w:r>
              <w:rPr>
                <w:rFonts w:ascii="宋体" w:hAnsi="宋体" w:cs="宋体" w:eastAsia="宋体" w:hint="default"/>
                <w:sz w:val="22"/>
                <w:szCs w:val="22"/>
              </w:rPr>
              <w:t>英镑</w:t>
            </w:r>
            <w:r>
              <w:rPr>
                <w:rFonts w:ascii="Arial" w:hAnsi="Arial" w:cs="Arial" w:eastAsia="Arial" w:hint="default"/>
                <w:sz w:val="22"/>
                <w:szCs w:val="22"/>
              </w:rPr>
              <w:t>=10.1611</w:t>
            </w:r>
            <w:r>
              <w:rPr>
                <w:rFonts w:ascii="Arial" w:hAnsi="Arial" w:cs="Arial" w:eastAsia="Arial" w:hint="default"/>
                <w:spacing w:val="-17"/>
                <w:sz w:val="22"/>
                <w:szCs w:val="22"/>
              </w:rPr>
              <w:t> </w:t>
            </w:r>
            <w:r>
              <w:rPr>
                <w:rFonts w:ascii="宋体" w:hAnsi="宋体" w:cs="宋体" w:eastAsia="宋体" w:hint="default"/>
                <w:sz w:val="22"/>
                <w:szCs w:val="22"/>
              </w:rPr>
              <w:t>人民币</w:t>
            </w:r>
          </w:p>
        </w:tc>
        <w:tc>
          <w:tcPr>
            <w:tcW w:w="133" w:type="dxa"/>
            <w:tcBorders>
              <w:top w:val="nil" w:sz="6" w:space="0" w:color="auto"/>
              <w:left w:val="nil" w:sz="6" w:space="0" w:color="auto"/>
              <w:bottom w:val="nil" w:sz="6" w:space="0" w:color="auto"/>
              <w:right w:val="nil" w:sz="6" w:space="0" w:color="auto"/>
            </w:tcBorders>
          </w:tcPr>
          <w:p>
            <w:pPr/>
          </w:p>
        </w:tc>
        <w:tc>
          <w:tcPr>
            <w:tcW w:w="2665" w:type="dxa"/>
            <w:tcBorders>
              <w:top w:val="nil" w:sz="6" w:space="0" w:color="auto"/>
              <w:left w:val="nil" w:sz="6" w:space="0" w:color="auto"/>
              <w:bottom w:val="nil" w:sz="6" w:space="0" w:color="auto"/>
              <w:right w:val="nil" w:sz="6" w:space="0" w:color="auto"/>
            </w:tcBorders>
          </w:tcPr>
          <w:p>
            <w:pPr>
              <w:pStyle w:val="TableParagraph"/>
              <w:spacing w:line="265" w:lineRule="exact"/>
              <w:ind w:right="59"/>
              <w:jc w:val="right"/>
              <w:rPr>
                <w:rFonts w:ascii="宋体" w:hAnsi="宋体" w:cs="宋体" w:eastAsia="宋体" w:hint="default"/>
                <w:sz w:val="22"/>
                <w:szCs w:val="22"/>
              </w:rPr>
            </w:pPr>
            <w:r>
              <w:rPr>
                <w:rFonts w:ascii="Arial" w:hAnsi="Arial" w:cs="Arial" w:eastAsia="Arial" w:hint="default"/>
                <w:sz w:val="22"/>
                <w:szCs w:val="22"/>
              </w:rPr>
              <w:t>1 </w:t>
            </w:r>
            <w:r>
              <w:rPr>
                <w:rFonts w:ascii="宋体" w:hAnsi="宋体" w:cs="宋体" w:eastAsia="宋体" w:hint="default"/>
                <w:sz w:val="22"/>
                <w:szCs w:val="22"/>
              </w:rPr>
              <w:t>英镑</w:t>
            </w:r>
            <w:r>
              <w:rPr>
                <w:rFonts w:ascii="Arial" w:hAnsi="Arial" w:cs="Arial" w:eastAsia="Arial" w:hint="default"/>
                <w:sz w:val="22"/>
                <w:szCs w:val="22"/>
              </w:rPr>
              <w:t>=9.7116</w:t>
            </w:r>
            <w:r>
              <w:rPr>
                <w:rFonts w:ascii="Arial" w:hAnsi="Arial" w:cs="Arial" w:eastAsia="Arial" w:hint="default"/>
                <w:spacing w:val="-16"/>
                <w:sz w:val="22"/>
                <w:szCs w:val="22"/>
              </w:rPr>
              <w:t> </w:t>
            </w:r>
            <w:r>
              <w:rPr>
                <w:rFonts w:ascii="宋体" w:hAnsi="宋体" w:cs="宋体" w:eastAsia="宋体" w:hint="default"/>
                <w:sz w:val="22"/>
                <w:szCs w:val="22"/>
              </w:rPr>
              <w:t>人民币</w:t>
            </w:r>
          </w:p>
        </w:tc>
      </w:tr>
      <w:tr>
        <w:trPr>
          <w:trHeight w:val="260"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250" w:lineRule="exact"/>
              <w:ind w:left="200" w:right="0"/>
              <w:jc w:val="left"/>
              <w:rPr>
                <w:rFonts w:ascii="宋体" w:hAnsi="宋体" w:cs="宋体" w:eastAsia="宋体" w:hint="default"/>
                <w:sz w:val="22"/>
                <w:szCs w:val="22"/>
              </w:rPr>
            </w:pPr>
            <w:r>
              <w:rPr>
                <w:rFonts w:ascii="宋体" w:hAnsi="宋体" w:cs="宋体" w:eastAsia="宋体" w:hint="default"/>
                <w:sz w:val="22"/>
                <w:szCs w:val="22"/>
              </w:rPr>
              <w:t>新加坡地区子公司</w:t>
            </w:r>
          </w:p>
        </w:tc>
        <w:tc>
          <w:tcPr>
            <w:tcW w:w="2754" w:type="dxa"/>
            <w:tcBorders>
              <w:top w:val="nil" w:sz="6" w:space="0" w:color="auto"/>
              <w:left w:val="nil" w:sz="6" w:space="0" w:color="auto"/>
              <w:bottom w:val="nil" w:sz="6" w:space="0" w:color="auto"/>
              <w:right w:val="nil" w:sz="6" w:space="0" w:color="auto"/>
            </w:tcBorders>
          </w:tcPr>
          <w:p>
            <w:pPr>
              <w:pStyle w:val="TableParagraph"/>
              <w:spacing w:line="265" w:lineRule="exact"/>
              <w:ind w:right="59"/>
              <w:jc w:val="right"/>
              <w:rPr>
                <w:rFonts w:ascii="宋体" w:hAnsi="宋体" w:cs="宋体" w:eastAsia="宋体" w:hint="default"/>
                <w:sz w:val="22"/>
                <w:szCs w:val="22"/>
              </w:rPr>
            </w:pPr>
            <w:r>
              <w:rPr>
                <w:rFonts w:ascii="Arial" w:hAnsi="Arial" w:cs="Arial" w:eastAsia="Arial" w:hint="default"/>
                <w:sz w:val="22"/>
                <w:szCs w:val="22"/>
              </w:rPr>
              <w:t>1 </w:t>
            </w:r>
            <w:r>
              <w:rPr>
                <w:rFonts w:ascii="宋体" w:hAnsi="宋体" w:cs="宋体" w:eastAsia="宋体" w:hint="default"/>
                <w:sz w:val="22"/>
                <w:szCs w:val="22"/>
              </w:rPr>
              <w:t>新加坡元</w:t>
            </w:r>
            <w:r>
              <w:rPr>
                <w:rFonts w:ascii="Arial" w:hAnsi="Arial" w:cs="Arial" w:eastAsia="Arial" w:hint="default"/>
                <w:sz w:val="22"/>
                <w:szCs w:val="22"/>
              </w:rPr>
              <w:t>=5.0881</w:t>
            </w:r>
            <w:r>
              <w:rPr>
                <w:rFonts w:ascii="Arial" w:hAnsi="Arial" w:cs="Arial" w:eastAsia="Arial" w:hint="default"/>
                <w:spacing w:val="-16"/>
                <w:sz w:val="22"/>
                <w:szCs w:val="22"/>
              </w:rPr>
              <w:t> </w:t>
            </w:r>
            <w:r>
              <w:rPr>
                <w:rFonts w:ascii="宋体" w:hAnsi="宋体" w:cs="宋体" w:eastAsia="宋体" w:hint="default"/>
                <w:sz w:val="22"/>
                <w:szCs w:val="22"/>
              </w:rPr>
              <w:t>人民币</w:t>
            </w:r>
          </w:p>
        </w:tc>
        <w:tc>
          <w:tcPr>
            <w:tcW w:w="133" w:type="dxa"/>
            <w:tcBorders>
              <w:top w:val="nil" w:sz="6" w:space="0" w:color="auto"/>
              <w:left w:val="nil" w:sz="6" w:space="0" w:color="auto"/>
              <w:bottom w:val="nil" w:sz="6" w:space="0" w:color="auto"/>
              <w:right w:val="nil" w:sz="6" w:space="0" w:color="auto"/>
            </w:tcBorders>
          </w:tcPr>
          <w:p>
            <w:pPr/>
          </w:p>
        </w:tc>
        <w:tc>
          <w:tcPr>
            <w:tcW w:w="2665" w:type="dxa"/>
            <w:tcBorders>
              <w:top w:val="nil" w:sz="6" w:space="0" w:color="auto"/>
              <w:left w:val="nil" w:sz="6" w:space="0" w:color="auto"/>
              <w:bottom w:val="nil" w:sz="6" w:space="0" w:color="auto"/>
              <w:right w:val="nil" w:sz="6" w:space="0" w:color="auto"/>
            </w:tcBorders>
          </w:tcPr>
          <w:p>
            <w:pPr>
              <w:pStyle w:val="TableParagraph"/>
              <w:spacing w:line="265" w:lineRule="exact"/>
              <w:ind w:right="59"/>
              <w:jc w:val="right"/>
              <w:rPr>
                <w:rFonts w:ascii="宋体" w:hAnsi="宋体" w:cs="宋体" w:eastAsia="宋体" w:hint="default"/>
                <w:sz w:val="22"/>
                <w:szCs w:val="22"/>
              </w:rPr>
            </w:pPr>
            <w:r>
              <w:rPr>
                <w:rFonts w:ascii="Arial" w:hAnsi="Arial" w:cs="Arial" w:eastAsia="Arial" w:hint="default"/>
                <w:sz w:val="22"/>
                <w:szCs w:val="22"/>
              </w:rPr>
              <w:t>1 </w:t>
            </w:r>
            <w:r>
              <w:rPr>
                <w:rFonts w:ascii="宋体" w:hAnsi="宋体" w:cs="宋体" w:eastAsia="宋体" w:hint="default"/>
                <w:sz w:val="22"/>
                <w:szCs w:val="22"/>
              </w:rPr>
              <w:t>新加坡元</w:t>
            </w:r>
            <w:r>
              <w:rPr>
                <w:rFonts w:ascii="Arial" w:hAnsi="Arial" w:cs="Arial" w:eastAsia="Arial" w:hint="default"/>
                <w:sz w:val="22"/>
                <w:szCs w:val="22"/>
              </w:rPr>
              <w:t>=4.8679</w:t>
            </w:r>
            <w:r>
              <w:rPr>
                <w:rFonts w:ascii="Arial" w:hAnsi="Arial" w:cs="Arial" w:eastAsia="Arial" w:hint="default"/>
                <w:spacing w:val="-15"/>
                <w:sz w:val="22"/>
                <w:szCs w:val="22"/>
              </w:rPr>
              <w:t> </w:t>
            </w:r>
            <w:r>
              <w:rPr>
                <w:rFonts w:ascii="宋体" w:hAnsi="宋体" w:cs="宋体" w:eastAsia="宋体" w:hint="default"/>
                <w:sz w:val="22"/>
                <w:szCs w:val="22"/>
              </w:rPr>
              <w:t>人民币</w:t>
            </w:r>
          </w:p>
        </w:tc>
      </w:tr>
    </w:tbl>
    <w:p>
      <w:pPr>
        <w:spacing w:line="240" w:lineRule="auto" w:before="11"/>
        <w:rPr>
          <w:rFonts w:ascii="宋体" w:hAnsi="宋体" w:cs="宋体" w:eastAsia="宋体" w:hint="default"/>
          <w:sz w:val="15"/>
          <w:szCs w:val="15"/>
        </w:rPr>
      </w:pPr>
    </w:p>
    <w:p>
      <w:pPr>
        <w:pStyle w:val="BodyText"/>
        <w:spacing w:line="286" w:lineRule="exact" w:before="60"/>
        <w:ind w:left="988" w:right="89" w:hanging="441"/>
        <w:jc w:val="left"/>
      </w:pPr>
      <w:r>
        <w:rPr/>
        <w:t>注：除未分配利润外的其他股东权益项目、收入、费用及现金流量项目采用交易发生日的即期</w:t>
      </w:r>
      <w:r>
        <w:rPr>
          <w:w w:val="99"/>
        </w:rPr>
        <w:t> </w:t>
      </w:r>
      <w:r>
        <w:rPr/>
        <w:t>汇率之近似汇率折算。</w:t>
      </w:r>
    </w:p>
    <w:p>
      <w:pPr>
        <w:spacing w:after="0" w:line="286" w:lineRule="exact"/>
        <w:jc w:val="left"/>
        <w:sectPr>
          <w:headerReference w:type="default" r:id="rId78"/>
          <w:pgSz w:w="11910" w:h="16840"/>
          <w:pgMar w:header="1189" w:footer="457" w:top="3020" w:bottom="640" w:left="1280" w:right="780"/>
        </w:sectPr>
      </w:pPr>
    </w:p>
    <w:p>
      <w:pPr>
        <w:spacing w:line="240" w:lineRule="auto" w:before="0"/>
        <w:rPr>
          <w:rFonts w:ascii="宋体" w:hAnsi="宋体" w:cs="宋体" w:eastAsia="宋体" w:hint="default"/>
          <w:sz w:val="15"/>
          <w:szCs w:val="15"/>
        </w:rPr>
      </w:pPr>
    </w:p>
    <w:p>
      <w:pPr>
        <w:pStyle w:val="BodyText"/>
        <w:spacing w:line="240" w:lineRule="auto" w:before="31"/>
        <w:ind w:left="105"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83"/>
        </w:rPr>
        <w:t> </w:t>
      </w:r>
      <w:r>
        <w:rPr>
          <w:rFonts w:ascii="黑体" w:hAnsi="黑体" w:cs="黑体" w:eastAsia="黑体" w:hint="default"/>
        </w:rPr>
        <w:t>合并财务报表项目附注</w:t>
      </w:r>
    </w:p>
    <w:p>
      <w:pPr>
        <w:pStyle w:val="BodyText"/>
        <w:spacing w:line="240" w:lineRule="auto" w:before="181"/>
        <w:ind w:left="105" w:right="0"/>
        <w:jc w:val="left"/>
      </w:pPr>
      <w:r>
        <w:rPr>
          <w:rFonts w:ascii="Arial" w:hAnsi="Arial" w:cs="Arial" w:eastAsia="Arial" w:hint="default"/>
        </w:rPr>
        <w:t>1</w:t>
      </w:r>
      <w:r>
        <w:rPr/>
        <w:t>、</w:t>
      </w:r>
      <w:r>
        <w:rPr>
          <w:spacing w:val="-38"/>
        </w:rPr>
        <w:t> </w:t>
      </w:r>
      <w:r>
        <w:rPr/>
        <w:t>货币资金</w:t>
      </w:r>
    </w:p>
    <w:p>
      <w:pPr>
        <w:spacing w:line="240" w:lineRule="auto" w:before="5"/>
        <w:rPr>
          <w:rFonts w:ascii="宋体" w:hAnsi="宋体" w:cs="宋体" w:eastAsia="宋体" w:hint="default"/>
          <w:sz w:val="17"/>
          <w:szCs w:val="17"/>
        </w:rPr>
      </w:pPr>
    </w:p>
    <w:tbl>
      <w:tblPr>
        <w:tblW w:w="0" w:type="auto"/>
        <w:jc w:val="left"/>
        <w:tblInd w:w="367" w:type="dxa"/>
        <w:tblLayout w:type="fixed"/>
        <w:tblCellMar>
          <w:top w:w="0" w:type="dxa"/>
          <w:left w:w="0" w:type="dxa"/>
          <w:bottom w:w="0" w:type="dxa"/>
          <w:right w:w="0" w:type="dxa"/>
        </w:tblCellMar>
        <w:tblLook w:val="01E0"/>
      </w:tblPr>
      <w:tblGrid>
        <w:gridCol w:w="2196"/>
        <w:gridCol w:w="1335"/>
        <w:gridCol w:w="685"/>
        <w:gridCol w:w="1407"/>
        <w:gridCol w:w="1486"/>
        <w:gridCol w:w="704"/>
        <w:gridCol w:w="1416"/>
      </w:tblGrid>
      <w:tr>
        <w:trPr>
          <w:trHeight w:val="215" w:hRule="exact"/>
        </w:trPr>
        <w:tc>
          <w:tcPr>
            <w:tcW w:w="5622" w:type="dxa"/>
            <w:gridSpan w:val="4"/>
            <w:tcBorders>
              <w:top w:val="nil" w:sz="6" w:space="0" w:color="auto"/>
              <w:left w:val="nil" w:sz="6" w:space="0" w:color="auto"/>
              <w:bottom w:val="nil" w:sz="6" w:space="0" w:color="auto"/>
              <w:right w:val="nil" w:sz="6" w:space="0" w:color="auto"/>
            </w:tcBorders>
          </w:tcPr>
          <w:p>
            <w:pPr>
              <w:pStyle w:val="TableParagraph"/>
              <w:spacing w:line="193" w:lineRule="exact"/>
              <w:ind w:left="3124"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606" w:type="dxa"/>
            <w:gridSpan w:val="3"/>
            <w:tcBorders>
              <w:top w:val="nil" w:sz="6" w:space="0" w:color="auto"/>
              <w:left w:val="nil" w:sz="6" w:space="0" w:color="auto"/>
              <w:bottom w:val="single" w:sz="6" w:space="0" w:color="000000"/>
              <w:right w:val="nil" w:sz="6" w:space="0" w:color="auto"/>
            </w:tcBorders>
          </w:tcPr>
          <w:p>
            <w:pPr>
              <w:pStyle w:val="TableParagraph"/>
              <w:spacing w:line="193" w:lineRule="exact"/>
              <w:ind w:left="1047"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248" w:hRule="exact"/>
        </w:trPr>
        <w:tc>
          <w:tcPr>
            <w:tcW w:w="2196" w:type="dxa"/>
            <w:tcBorders>
              <w:top w:val="nil" w:sz="6" w:space="0" w:color="auto"/>
              <w:left w:val="nil" w:sz="6" w:space="0" w:color="auto"/>
              <w:bottom w:val="nil" w:sz="6" w:space="0" w:color="auto"/>
              <w:right w:val="nil" w:sz="6" w:space="0" w:color="auto"/>
            </w:tcBorders>
          </w:tcPr>
          <w:p>
            <w:pPr/>
          </w:p>
        </w:tc>
        <w:tc>
          <w:tcPr>
            <w:tcW w:w="1335" w:type="dxa"/>
            <w:tcBorders>
              <w:top w:val="single" w:sz="6" w:space="0" w:color="000000"/>
              <w:left w:val="nil" w:sz="6" w:space="0" w:color="auto"/>
              <w:bottom w:val="single" w:sz="6" w:space="0" w:color="000000"/>
              <w:right w:val="nil" w:sz="6" w:space="0" w:color="auto"/>
            </w:tcBorders>
          </w:tcPr>
          <w:p>
            <w:pPr>
              <w:pStyle w:val="TableParagraph"/>
              <w:spacing w:line="207" w:lineRule="exact"/>
              <w:ind w:right="135"/>
              <w:jc w:val="right"/>
              <w:rPr>
                <w:rFonts w:ascii="宋体" w:hAnsi="宋体" w:cs="宋体" w:eastAsia="宋体" w:hint="default"/>
                <w:sz w:val="18"/>
                <w:szCs w:val="18"/>
              </w:rPr>
            </w:pPr>
            <w:r>
              <w:rPr>
                <w:rFonts w:ascii="宋体" w:hAnsi="宋体" w:cs="宋体" w:eastAsia="宋体" w:hint="default"/>
                <w:sz w:val="18"/>
                <w:szCs w:val="18"/>
              </w:rPr>
              <w:t>外币金额</w:t>
            </w:r>
          </w:p>
        </w:tc>
        <w:tc>
          <w:tcPr>
            <w:tcW w:w="685" w:type="dxa"/>
            <w:tcBorders>
              <w:top w:val="single" w:sz="6" w:space="0" w:color="000000"/>
              <w:left w:val="nil" w:sz="6" w:space="0" w:color="auto"/>
              <w:bottom w:val="single" w:sz="6" w:space="0" w:color="000000"/>
              <w:right w:val="nil" w:sz="6" w:space="0" w:color="auto"/>
            </w:tcBorders>
          </w:tcPr>
          <w:p>
            <w:pPr>
              <w:pStyle w:val="TableParagraph"/>
              <w:spacing w:line="207" w:lineRule="exact"/>
              <w:ind w:right="49"/>
              <w:jc w:val="right"/>
              <w:rPr>
                <w:rFonts w:ascii="宋体" w:hAnsi="宋体" w:cs="宋体" w:eastAsia="宋体" w:hint="default"/>
                <w:sz w:val="18"/>
                <w:szCs w:val="18"/>
              </w:rPr>
            </w:pPr>
            <w:r>
              <w:rPr>
                <w:rFonts w:ascii="宋体" w:hAnsi="宋体" w:cs="宋体" w:eastAsia="宋体" w:hint="default"/>
                <w:sz w:val="18"/>
                <w:szCs w:val="18"/>
              </w:rPr>
              <w:t>汇率</w:t>
            </w:r>
          </w:p>
        </w:tc>
        <w:tc>
          <w:tcPr>
            <w:tcW w:w="1407" w:type="dxa"/>
            <w:tcBorders>
              <w:top w:val="single" w:sz="6" w:space="0" w:color="000000"/>
              <w:left w:val="nil" w:sz="6" w:space="0" w:color="auto"/>
              <w:bottom w:val="single" w:sz="6" w:space="0" w:color="000000"/>
              <w:right w:val="nil" w:sz="6" w:space="0" w:color="auto"/>
            </w:tcBorders>
          </w:tcPr>
          <w:p>
            <w:pPr>
              <w:pStyle w:val="TableParagraph"/>
              <w:spacing w:line="207" w:lineRule="exact"/>
              <w:ind w:left="259"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486" w:type="dxa"/>
            <w:tcBorders>
              <w:top w:val="single" w:sz="6" w:space="0" w:color="000000"/>
              <w:left w:val="nil" w:sz="6" w:space="0" w:color="auto"/>
              <w:bottom w:val="single" w:sz="6" w:space="0" w:color="000000"/>
              <w:right w:val="nil" w:sz="6" w:space="0" w:color="auto"/>
            </w:tcBorders>
          </w:tcPr>
          <w:p>
            <w:pPr>
              <w:pStyle w:val="TableParagraph"/>
              <w:spacing w:line="207" w:lineRule="exact"/>
              <w:ind w:left="454"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704" w:type="dxa"/>
            <w:tcBorders>
              <w:top w:val="single" w:sz="6" w:space="0" w:color="000000"/>
              <w:left w:val="nil" w:sz="6" w:space="0" w:color="auto"/>
              <w:bottom w:val="single" w:sz="6" w:space="0" w:color="000000"/>
              <w:right w:val="nil" w:sz="6" w:space="0" w:color="auto"/>
            </w:tcBorders>
          </w:tcPr>
          <w:p>
            <w:pPr>
              <w:pStyle w:val="TableParagraph"/>
              <w:spacing w:line="207" w:lineRule="exact"/>
              <w:ind w:right="110"/>
              <w:jc w:val="right"/>
              <w:rPr>
                <w:rFonts w:ascii="宋体" w:hAnsi="宋体" w:cs="宋体" w:eastAsia="宋体" w:hint="default"/>
                <w:sz w:val="18"/>
                <w:szCs w:val="18"/>
              </w:rPr>
            </w:pPr>
            <w:r>
              <w:rPr>
                <w:rFonts w:ascii="宋体" w:hAnsi="宋体" w:cs="宋体" w:eastAsia="宋体" w:hint="default"/>
                <w:sz w:val="18"/>
                <w:szCs w:val="18"/>
              </w:rPr>
              <w:t>汇率</w:t>
            </w:r>
          </w:p>
        </w:tc>
        <w:tc>
          <w:tcPr>
            <w:tcW w:w="1416" w:type="dxa"/>
            <w:tcBorders>
              <w:top w:val="single" w:sz="6" w:space="0" w:color="000000"/>
              <w:left w:val="nil" w:sz="6" w:space="0" w:color="auto"/>
              <w:bottom w:val="single" w:sz="6" w:space="0" w:color="000000"/>
              <w:right w:val="nil" w:sz="6" w:space="0" w:color="auto"/>
            </w:tcBorders>
          </w:tcPr>
          <w:p>
            <w:pPr>
              <w:pStyle w:val="TableParagraph"/>
              <w:spacing w:line="207" w:lineRule="exact"/>
              <w:ind w:left="264"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57"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1335" w:type="dxa"/>
            <w:tcBorders>
              <w:top w:val="single" w:sz="6" w:space="0" w:color="000000"/>
              <w:left w:val="nil" w:sz="6" w:space="0" w:color="auto"/>
              <w:bottom w:val="nil" w:sz="6" w:space="0" w:color="auto"/>
              <w:right w:val="nil" w:sz="6" w:space="0" w:color="auto"/>
            </w:tcBorders>
          </w:tcPr>
          <w:p>
            <w:pPr/>
          </w:p>
        </w:tc>
        <w:tc>
          <w:tcPr>
            <w:tcW w:w="685" w:type="dxa"/>
            <w:tcBorders>
              <w:top w:val="single" w:sz="6" w:space="0" w:color="000000"/>
              <w:left w:val="nil" w:sz="6" w:space="0" w:color="auto"/>
              <w:bottom w:val="nil" w:sz="6" w:space="0" w:color="auto"/>
              <w:right w:val="nil" w:sz="6" w:space="0" w:color="auto"/>
            </w:tcBorders>
          </w:tcPr>
          <w:p>
            <w:pPr/>
          </w:p>
        </w:tc>
        <w:tc>
          <w:tcPr>
            <w:tcW w:w="1407" w:type="dxa"/>
            <w:tcBorders>
              <w:top w:val="single" w:sz="6" w:space="0" w:color="000000"/>
              <w:left w:val="nil" w:sz="6" w:space="0" w:color="auto"/>
              <w:bottom w:val="nil" w:sz="6" w:space="0" w:color="auto"/>
              <w:right w:val="nil" w:sz="6" w:space="0" w:color="auto"/>
            </w:tcBorders>
          </w:tcPr>
          <w:p>
            <w:pPr/>
          </w:p>
        </w:tc>
        <w:tc>
          <w:tcPr>
            <w:tcW w:w="1486" w:type="dxa"/>
            <w:tcBorders>
              <w:top w:val="single" w:sz="6" w:space="0" w:color="000000"/>
              <w:left w:val="nil" w:sz="6" w:space="0" w:color="auto"/>
              <w:bottom w:val="nil" w:sz="6" w:space="0" w:color="auto"/>
              <w:right w:val="nil" w:sz="6" w:space="0" w:color="auto"/>
            </w:tcBorders>
          </w:tcPr>
          <w:p>
            <w:pPr/>
          </w:p>
        </w:tc>
        <w:tc>
          <w:tcPr>
            <w:tcW w:w="704" w:type="dxa"/>
            <w:tcBorders>
              <w:top w:val="single" w:sz="6" w:space="0" w:color="000000"/>
              <w:left w:val="nil" w:sz="6" w:space="0" w:color="auto"/>
              <w:bottom w:val="nil" w:sz="6" w:space="0" w:color="auto"/>
              <w:right w:val="nil" w:sz="6" w:space="0" w:color="auto"/>
            </w:tcBorders>
          </w:tcPr>
          <w:p>
            <w:pPr/>
          </w:p>
        </w:tc>
        <w:tc>
          <w:tcPr>
            <w:tcW w:w="1416" w:type="dxa"/>
            <w:tcBorders>
              <w:top w:val="single" w:sz="6" w:space="0" w:color="000000"/>
              <w:left w:val="nil" w:sz="6" w:space="0" w:color="auto"/>
              <w:bottom w:val="nil" w:sz="6" w:space="0" w:color="auto"/>
              <w:right w:val="nil" w:sz="6" w:space="0" w:color="auto"/>
            </w:tcBorders>
          </w:tcPr>
          <w:p>
            <w:pPr/>
          </w:p>
        </w:tc>
      </w:tr>
      <w:tr>
        <w:trPr>
          <w:trHeight w:val="245"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19" w:lineRule="exact"/>
              <w:ind w:left="521"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w:t>
            </w:r>
          </w:p>
        </w:tc>
        <w:tc>
          <w:tcPr>
            <w:tcW w:w="1335" w:type="dxa"/>
            <w:tcBorders>
              <w:top w:val="nil" w:sz="6" w:space="0" w:color="auto"/>
              <w:left w:val="nil" w:sz="6" w:space="0" w:color="auto"/>
              <w:bottom w:val="nil" w:sz="6" w:space="0" w:color="auto"/>
              <w:right w:val="nil" w:sz="6" w:space="0" w:color="auto"/>
            </w:tcBorders>
          </w:tcPr>
          <w:p>
            <w:pPr/>
          </w:p>
        </w:tc>
        <w:tc>
          <w:tcPr>
            <w:tcW w:w="685"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8"/>
              <w:jc w:val="right"/>
              <w:rPr>
                <w:rFonts w:ascii="Arial" w:hAnsi="Arial" w:cs="Arial" w:eastAsia="Arial" w:hint="default"/>
                <w:sz w:val="18"/>
                <w:szCs w:val="18"/>
              </w:rPr>
            </w:pPr>
            <w:r>
              <w:rPr>
                <w:rFonts w:ascii="Arial"/>
                <w:spacing w:val="-1"/>
                <w:sz w:val="18"/>
              </w:rPr>
              <w:t>5,216,511</w:t>
            </w:r>
          </w:p>
        </w:tc>
        <w:tc>
          <w:tcPr>
            <w:tcW w:w="1486"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1"/>
              <w:jc w:val="right"/>
              <w:rPr>
                <w:rFonts w:ascii="Arial" w:hAnsi="Arial" w:cs="Arial" w:eastAsia="Arial" w:hint="default"/>
                <w:sz w:val="18"/>
                <w:szCs w:val="18"/>
              </w:rPr>
            </w:pPr>
            <w:r>
              <w:rPr>
                <w:rFonts w:ascii="Arial"/>
                <w:spacing w:val="-1"/>
                <w:sz w:val="18"/>
              </w:rPr>
              <w:t>5,919,073</w:t>
            </w:r>
          </w:p>
        </w:tc>
      </w:tr>
      <w:tr>
        <w:trPr>
          <w:trHeight w:val="233"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08" w:lineRule="exact"/>
              <w:ind w:left="521"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美元</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5"/>
              <w:jc w:val="right"/>
              <w:rPr>
                <w:rFonts w:ascii="Arial" w:hAnsi="Arial" w:cs="Arial" w:eastAsia="Arial" w:hint="default"/>
                <w:sz w:val="18"/>
                <w:szCs w:val="18"/>
              </w:rPr>
            </w:pPr>
            <w:r>
              <w:rPr>
                <w:rFonts w:ascii="Arial"/>
                <w:spacing w:val="-1"/>
                <w:sz w:val="18"/>
              </w:rPr>
              <w:t>5,563</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5"/>
              <w:jc w:val="right"/>
              <w:rPr>
                <w:rFonts w:ascii="Arial" w:hAnsi="Arial" w:cs="Arial" w:eastAsia="Arial" w:hint="default"/>
                <w:sz w:val="18"/>
                <w:szCs w:val="18"/>
              </w:rPr>
            </w:pPr>
            <w:r>
              <w:rPr>
                <w:rFonts w:ascii="Arial"/>
                <w:spacing w:val="-1"/>
                <w:sz w:val="18"/>
              </w:rPr>
              <w:t>6.29</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8"/>
              <w:jc w:val="right"/>
              <w:rPr>
                <w:rFonts w:ascii="Arial" w:hAnsi="Arial" w:cs="Arial" w:eastAsia="Arial" w:hint="default"/>
                <w:sz w:val="18"/>
                <w:szCs w:val="18"/>
              </w:rPr>
            </w:pPr>
            <w:r>
              <w:rPr>
                <w:rFonts w:ascii="Arial"/>
                <w:spacing w:val="-1"/>
                <w:sz w:val="18"/>
              </w:rPr>
              <w:t>34,966</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29"/>
              <w:jc w:val="right"/>
              <w:rPr>
                <w:rFonts w:ascii="Arial" w:hAnsi="Arial" w:cs="Arial" w:eastAsia="Arial" w:hint="default"/>
                <w:sz w:val="18"/>
                <w:szCs w:val="18"/>
              </w:rPr>
            </w:pPr>
            <w:r>
              <w:rPr>
                <w:rFonts w:ascii="Arial"/>
                <w:spacing w:val="-1"/>
                <w:sz w:val="18"/>
              </w:rPr>
              <w:t>5,918</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4"/>
              <w:jc w:val="right"/>
              <w:rPr>
                <w:rFonts w:ascii="Arial" w:hAnsi="Arial" w:cs="Arial" w:eastAsia="Arial" w:hint="default"/>
                <w:sz w:val="18"/>
                <w:szCs w:val="18"/>
              </w:rPr>
            </w:pPr>
            <w:r>
              <w:rPr>
                <w:rFonts w:ascii="Arial"/>
                <w:spacing w:val="-1"/>
                <w:sz w:val="18"/>
              </w:rPr>
              <w:t>6.30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2"/>
              <w:jc w:val="right"/>
              <w:rPr>
                <w:rFonts w:ascii="Arial" w:hAnsi="Arial" w:cs="Arial" w:eastAsia="Arial" w:hint="default"/>
                <w:sz w:val="18"/>
                <w:szCs w:val="18"/>
              </w:rPr>
            </w:pPr>
            <w:r>
              <w:rPr>
                <w:rFonts w:ascii="Arial"/>
                <w:spacing w:val="-1"/>
                <w:sz w:val="18"/>
              </w:rPr>
              <w:t>37,286</w:t>
            </w:r>
          </w:p>
        </w:tc>
      </w:tr>
      <w:tr>
        <w:trPr>
          <w:trHeight w:val="233"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09" w:lineRule="exact"/>
              <w:ind w:left="521"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港币</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5"/>
              <w:jc w:val="right"/>
              <w:rPr>
                <w:rFonts w:ascii="Arial" w:hAnsi="Arial" w:cs="Arial" w:eastAsia="Arial" w:hint="default"/>
                <w:sz w:val="18"/>
                <w:szCs w:val="18"/>
              </w:rPr>
            </w:pPr>
            <w:r>
              <w:rPr>
                <w:rFonts w:ascii="Arial"/>
                <w:spacing w:val="-1"/>
                <w:sz w:val="18"/>
              </w:rPr>
              <w:t>7,082</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5"/>
              <w:jc w:val="right"/>
              <w:rPr>
                <w:rFonts w:ascii="Arial" w:hAnsi="Arial" w:cs="Arial" w:eastAsia="Arial" w:hint="default"/>
                <w:sz w:val="18"/>
                <w:szCs w:val="18"/>
              </w:rPr>
            </w:pPr>
            <w:r>
              <w:rPr>
                <w:rFonts w:ascii="Arial"/>
                <w:spacing w:val="-1"/>
                <w:sz w:val="18"/>
              </w:rPr>
              <w:t>0.81</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8"/>
              <w:jc w:val="right"/>
              <w:rPr>
                <w:rFonts w:ascii="Arial" w:hAnsi="Arial" w:cs="Arial" w:eastAsia="Arial" w:hint="default"/>
                <w:sz w:val="18"/>
                <w:szCs w:val="18"/>
              </w:rPr>
            </w:pPr>
            <w:r>
              <w:rPr>
                <w:rFonts w:ascii="Arial"/>
                <w:spacing w:val="-1"/>
                <w:sz w:val="18"/>
              </w:rPr>
              <w:t>5,743</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0"/>
              <w:jc w:val="right"/>
              <w:rPr>
                <w:rFonts w:ascii="Arial" w:hAnsi="Arial" w:cs="Arial" w:eastAsia="Arial" w:hint="default"/>
                <w:sz w:val="18"/>
                <w:szCs w:val="18"/>
              </w:rPr>
            </w:pPr>
            <w:r>
              <w:rPr>
                <w:rFonts w:ascii="Arial"/>
                <w:spacing w:val="-1"/>
                <w:sz w:val="18"/>
              </w:rPr>
              <w:t>39,931</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4"/>
              <w:jc w:val="right"/>
              <w:rPr>
                <w:rFonts w:ascii="Arial" w:hAnsi="Arial" w:cs="Arial" w:eastAsia="Arial" w:hint="default"/>
                <w:sz w:val="18"/>
                <w:szCs w:val="18"/>
              </w:rPr>
            </w:pPr>
            <w:r>
              <w:rPr>
                <w:rFonts w:ascii="Arial"/>
                <w:spacing w:val="-1"/>
                <w:sz w:val="18"/>
              </w:rPr>
              <w:t>0.81</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2"/>
              <w:jc w:val="right"/>
              <w:rPr>
                <w:rFonts w:ascii="Arial" w:hAnsi="Arial" w:cs="Arial" w:eastAsia="Arial" w:hint="default"/>
                <w:sz w:val="18"/>
                <w:szCs w:val="18"/>
              </w:rPr>
            </w:pPr>
            <w:r>
              <w:rPr>
                <w:rFonts w:ascii="Arial"/>
                <w:spacing w:val="-1"/>
                <w:sz w:val="18"/>
              </w:rPr>
              <w:t>32,372</w:t>
            </w:r>
          </w:p>
        </w:tc>
      </w:tr>
      <w:tr>
        <w:trPr>
          <w:trHeight w:val="344"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08" w:lineRule="exact"/>
              <w:ind w:left="521"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新加坡币</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6"/>
              <w:jc w:val="right"/>
              <w:rPr>
                <w:rFonts w:ascii="Arial" w:hAnsi="Arial" w:cs="Arial" w:eastAsia="Arial" w:hint="default"/>
                <w:sz w:val="18"/>
                <w:szCs w:val="18"/>
              </w:rPr>
            </w:pPr>
            <w:r>
              <w:rPr>
                <w:rFonts w:ascii="Arial"/>
                <w:spacing w:val="-1"/>
                <w:w w:val="95"/>
                <w:sz w:val="18"/>
              </w:rPr>
              <w:t>579</w:t>
            </w:r>
            <w:r>
              <w:rPr>
                <w:rFonts w:ascii="Arial"/>
                <w:sz w:val="18"/>
              </w:rPr>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5"/>
              <w:jc w:val="right"/>
              <w:rPr>
                <w:rFonts w:ascii="Arial" w:hAnsi="Arial" w:cs="Arial" w:eastAsia="Arial" w:hint="default"/>
                <w:sz w:val="18"/>
                <w:szCs w:val="18"/>
              </w:rPr>
            </w:pPr>
            <w:r>
              <w:rPr>
                <w:rFonts w:ascii="Arial"/>
                <w:spacing w:val="-1"/>
                <w:sz w:val="18"/>
              </w:rPr>
              <w:t>5.09</w:t>
            </w:r>
          </w:p>
        </w:tc>
        <w:tc>
          <w:tcPr>
            <w:tcW w:w="1407" w:type="dxa"/>
            <w:tcBorders>
              <w:top w:val="nil" w:sz="6" w:space="0" w:color="auto"/>
              <w:left w:val="nil" w:sz="6" w:space="0" w:color="auto"/>
              <w:bottom w:val="nil" w:sz="6" w:space="0" w:color="auto"/>
              <w:right w:val="nil" w:sz="6" w:space="0" w:color="auto"/>
            </w:tcBorders>
          </w:tcPr>
          <w:p>
            <w:pPr>
              <w:pStyle w:val="TableParagraph"/>
              <w:tabs>
                <w:tab w:pos="842" w:val="left" w:leader="none"/>
                <w:tab w:pos="1392" w:val="left" w:leader="none"/>
              </w:tabs>
              <w:spacing w:line="240" w:lineRule="auto" w:before="1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2,945</w:t>
              <w:tab/>
            </w:r>
            <w:r>
              <w:rPr>
                <w:rFonts w:ascii="Arial"/>
                <w:spacing w:val="-1"/>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0"/>
              <w:jc w:val="right"/>
              <w:rPr>
                <w:rFonts w:ascii="Arial" w:hAnsi="Arial" w:cs="Arial" w:eastAsia="Arial" w:hint="default"/>
                <w:sz w:val="18"/>
                <w:szCs w:val="18"/>
              </w:rPr>
            </w:pPr>
            <w:r>
              <w:rPr>
                <w:rFonts w:ascii="Arial"/>
                <w:spacing w:val="-1"/>
                <w:w w:val="95"/>
                <w:sz w:val="18"/>
              </w:rPr>
              <w:t>581</w:t>
            </w:r>
            <w:r>
              <w:rPr>
                <w:rFonts w:ascii="Arial"/>
                <w:sz w:val="18"/>
              </w:rPr>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4"/>
              <w:jc w:val="right"/>
              <w:rPr>
                <w:rFonts w:ascii="Arial" w:hAnsi="Arial" w:cs="Arial" w:eastAsia="Arial" w:hint="default"/>
                <w:sz w:val="18"/>
                <w:szCs w:val="18"/>
              </w:rPr>
            </w:pPr>
            <w:r>
              <w:rPr>
                <w:rFonts w:ascii="Arial"/>
                <w:spacing w:val="-1"/>
                <w:sz w:val="18"/>
              </w:rPr>
              <w:t>4.87</w:t>
            </w:r>
          </w:p>
        </w:tc>
        <w:tc>
          <w:tcPr>
            <w:tcW w:w="1416" w:type="dxa"/>
            <w:tcBorders>
              <w:top w:val="nil" w:sz="6" w:space="0" w:color="auto"/>
              <w:left w:val="nil" w:sz="6" w:space="0" w:color="auto"/>
              <w:bottom w:val="nil" w:sz="6" w:space="0" w:color="auto"/>
              <w:right w:val="nil" w:sz="6" w:space="0" w:color="auto"/>
            </w:tcBorders>
          </w:tcPr>
          <w:p>
            <w:pPr>
              <w:pStyle w:val="TableParagraph"/>
              <w:tabs>
                <w:tab w:pos="848" w:val="left" w:leader="none"/>
                <w:tab w:pos="1401" w:val="left" w:leader="none"/>
              </w:tabs>
              <w:spacing w:line="240" w:lineRule="auto" w:before="1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2,829</w:t>
              <w:tab/>
            </w:r>
            <w:r>
              <w:rPr>
                <w:rFonts w:ascii="Arial"/>
                <w:spacing w:val="-1"/>
                <w:sz w:val="18"/>
              </w:rPr>
            </w:r>
          </w:p>
        </w:tc>
      </w:tr>
      <w:tr>
        <w:trPr>
          <w:trHeight w:val="455"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00" w:right="0"/>
              <w:jc w:val="left"/>
              <w:rPr>
                <w:rFonts w:ascii="宋体" w:hAnsi="宋体" w:cs="宋体" w:eastAsia="宋体" w:hint="default"/>
                <w:sz w:val="18"/>
                <w:szCs w:val="18"/>
              </w:rPr>
            </w:pPr>
            <w:r>
              <w:rPr>
                <w:rFonts w:ascii="宋体" w:hAnsi="宋体" w:cs="宋体" w:eastAsia="宋体" w:hint="default"/>
                <w:sz w:val="18"/>
                <w:szCs w:val="18"/>
              </w:rPr>
              <w:t>库存现金小计</w:t>
            </w:r>
          </w:p>
        </w:tc>
        <w:tc>
          <w:tcPr>
            <w:tcW w:w="1335" w:type="dxa"/>
            <w:tcBorders>
              <w:top w:val="nil" w:sz="6" w:space="0" w:color="auto"/>
              <w:left w:val="nil" w:sz="6" w:space="0" w:color="auto"/>
              <w:bottom w:val="nil" w:sz="6" w:space="0" w:color="auto"/>
              <w:right w:val="nil" w:sz="6" w:space="0" w:color="auto"/>
            </w:tcBorders>
          </w:tcPr>
          <w:p>
            <w:pPr/>
          </w:p>
        </w:tc>
        <w:tc>
          <w:tcPr>
            <w:tcW w:w="2091" w:type="dxa"/>
            <w:gridSpan w:val="2"/>
            <w:tcBorders>
              <w:top w:val="nil" w:sz="6" w:space="0" w:color="auto"/>
              <w:left w:val="nil" w:sz="6" w:space="0" w:color="auto"/>
              <w:bottom w:val="nil" w:sz="6" w:space="0" w:color="auto"/>
              <w:right w:val="nil" w:sz="6" w:space="0" w:color="auto"/>
            </w:tcBorders>
          </w:tcPr>
          <w:p>
            <w:pPr>
              <w:pStyle w:val="TableParagraph"/>
              <w:tabs>
                <w:tab w:pos="1190" w:val="left" w:leader="none"/>
                <w:tab w:pos="2091" w:val="left" w:leader="none"/>
              </w:tabs>
              <w:spacing w:line="240" w:lineRule="auto" w:before="126"/>
              <w:ind w:left="698"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5,260,165</w:t>
              <w:tab/>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
        </w:tc>
        <w:tc>
          <w:tcPr>
            <w:tcW w:w="2120" w:type="dxa"/>
            <w:gridSpan w:val="2"/>
            <w:tcBorders>
              <w:top w:val="nil" w:sz="6" w:space="0" w:color="auto"/>
              <w:left w:val="nil" w:sz="6" w:space="0" w:color="auto"/>
              <w:bottom w:val="nil" w:sz="6" w:space="0" w:color="auto"/>
              <w:right w:val="nil" w:sz="6" w:space="0" w:color="auto"/>
            </w:tcBorders>
          </w:tcPr>
          <w:p>
            <w:pPr>
              <w:pStyle w:val="TableParagraph"/>
              <w:tabs>
                <w:tab w:pos="1216" w:val="left" w:leader="none"/>
                <w:tab w:pos="2120" w:val="left" w:leader="none"/>
              </w:tabs>
              <w:spacing w:line="240" w:lineRule="auto" w:before="126"/>
              <w:ind w:left="718"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5,991,560</w:t>
              <w:tab/>
            </w:r>
            <w:r>
              <w:rPr>
                <w:rFonts w:ascii="Arial"/>
                <w:sz w:val="18"/>
              </w:rPr>
            </w:r>
          </w:p>
        </w:tc>
      </w:tr>
      <w:tr>
        <w:trPr>
          <w:trHeight w:val="338"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00"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个月以下银行存款</w:t>
            </w:r>
          </w:p>
        </w:tc>
        <w:tc>
          <w:tcPr>
            <w:tcW w:w="1335" w:type="dxa"/>
            <w:tcBorders>
              <w:top w:val="nil" w:sz="6" w:space="0" w:color="auto"/>
              <w:left w:val="nil" w:sz="6" w:space="0" w:color="auto"/>
              <w:bottom w:val="nil" w:sz="6" w:space="0" w:color="auto"/>
              <w:right w:val="nil" w:sz="6" w:space="0" w:color="auto"/>
            </w:tcBorders>
          </w:tcPr>
          <w:p>
            <w:pPr/>
          </w:p>
        </w:tc>
        <w:tc>
          <w:tcPr>
            <w:tcW w:w="685"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240"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15" w:lineRule="exact"/>
              <w:ind w:left="521"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w:t>
            </w:r>
          </w:p>
        </w:tc>
        <w:tc>
          <w:tcPr>
            <w:tcW w:w="1335" w:type="dxa"/>
            <w:tcBorders>
              <w:top w:val="nil" w:sz="6" w:space="0" w:color="auto"/>
              <w:left w:val="nil" w:sz="6" w:space="0" w:color="auto"/>
              <w:bottom w:val="nil" w:sz="6" w:space="0" w:color="auto"/>
              <w:right w:val="nil" w:sz="6" w:space="0" w:color="auto"/>
            </w:tcBorders>
          </w:tcPr>
          <w:p>
            <w:pPr/>
          </w:p>
        </w:tc>
        <w:tc>
          <w:tcPr>
            <w:tcW w:w="685"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6" w:right="0"/>
              <w:jc w:val="left"/>
              <w:rPr>
                <w:rFonts w:ascii="Arial" w:hAnsi="Arial" w:cs="Arial" w:eastAsia="Arial" w:hint="default"/>
                <w:sz w:val="18"/>
                <w:szCs w:val="18"/>
              </w:rPr>
            </w:pPr>
            <w:r>
              <w:rPr>
                <w:rFonts w:ascii="Arial"/>
                <w:sz w:val="18"/>
              </w:rPr>
              <w:t>16,807,286,630</w:t>
            </w:r>
          </w:p>
        </w:tc>
        <w:tc>
          <w:tcPr>
            <w:tcW w:w="1486"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62" w:right="0"/>
              <w:jc w:val="left"/>
              <w:rPr>
                <w:rFonts w:ascii="Arial" w:hAnsi="Arial" w:cs="Arial" w:eastAsia="Arial" w:hint="default"/>
                <w:sz w:val="18"/>
                <w:szCs w:val="18"/>
              </w:rPr>
            </w:pPr>
            <w:r>
              <w:rPr>
                <w:rFonts w:ascii="Arial"/>
                <w:sz w:val="18"/>
              </w:rPr>
              <w:t>13,957,871,917</w:t>
            </w:r>
          </w:p>
        </w:tc>
      </w:tr>
      <w:tr>
        <w:trPr>
          <w:trHeight w:val="233"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08" w:lineRule="exact"/>
              <w:ind w:left="521"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美元</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6"/>
              <w:jc w:val="right"/>
              <w:rPr>
                <w:rFonts w:ascii="Arial" w:hAnsi="Arial" w:cs="Arial" w:eastAsia="Arial" w:hint="default"/>
                <w:sz w:val="18"/>
                <w:szCs w:val="18"/>
              </w:rPr>
            </w:pPr>
            <w:r>
              <w:rPr>
                <w:rFonts w:ascii="Arial"/>
                <w:spacing w:val="-1"/>
                <w:sz w:val="18"/>
              </w:rPr>
              <w:t>84,768,605</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5"/>
              <w:jc w:val="right"/>
              <w:rPr>
                <w:rFonts w:ascii="Arial" w:hAnsi="Arial" w:cs="Arial" w:eastAsia="Arial" w:hint="default"/>
                <w:sz w:val="18"/>
                <w:szCs w:val="18"/>
              </w:rPr>
            </w:pPr>
            <w:r>
              <w:rPr>
                <w:rFonts w:ascii="Arial"/>
                <w:spacing w:val="-1"/>
                <w:sz w:val="18"/>
              </w:rPr>
              <w:t>6.29</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06" w:right="0"/>
              <w:jc w:val="left"/>
              <w:rPr>
                <w:rFonts w:ascii="Arial" w:hAnsi="Arial" w:cs="Arial" w:eastAsia="Arial" w:hint="default"/>
                <w:sz w:val="18"/>
                <w:szCs w:val="18"/>
              </w:rPr>
            </w:pPr>
            <w:r>
              <w:rPr>
                <w:rFonts w:ascii="Arial"/>
                <w:sz w:val="18"/>
              </w:rPr>
              <w:t>532,813,065</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0"/>
              <w:jc w:val="right"/>
              <w:rPr>
                <w:rFonts w:ascii="Arial" w:hAnsi="Arial" w:cs="Arial" w:eastAsia="Arial" w:hint="default"/>
                <w:sz w:val="18"/>
                <w:szCs w:val="18"/>
              </w:rPr>
            </w:pPr>
            <w:r>
              <w:rPr>
                <w:rFonts w:ascii="Arial"/>
                <w:spacing w:val="-1"/>
                <w:sz w:val="18"/>
              </w:rPr>
              <w:t>44,714,496</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4"/>
              <w:jc w:val="right"/>
              <w:rPr>
                <w:rFonts w:ascii="Arial" w:hAnsi="Arial" w:cs="Arial" w:eastAsia="Arial" w:hint="default"/>
                <w:sz w:val="18"/>
                <w:szCs w:val="18"/>
              </w:rPr>
            </w:pPr>
            <w:r>
              <w:rPr>
                <w:rFonts w:ascii="Arial"/>
                <w:spacing w:val="-1"/>
                <w:sz w:val="18"/>
              </w:rPr>
              <w:t>6.30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12" w:right="0"/>
              <w:jc w:val="left"/>
              <w:rPr>
                <w:rFonts w:ascii="Arial" w:hAnsi="Arial" w:cs="Arial" w:eastAsia="Arial" w:hint="default"/>
                <w:sz w:val="18"/>
                <w:szCs w:val="18"/>
              </w:rPr>
            </w:pPr>
            <w:r>
              <w:rPr>
                <w:rFonts w:ascii="Arial"/>
                <w:sz w:val="18"/>
              </w:rPr>
              <w:t>281,741,570</w:t>
            </w:r>
          </w:p>
        </w:tc>
      </w:tr>
      <w:tr>
        <w:trPr>
          <w:trHeight w:val="233"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09" w:lineRule="exact"/>
              <w:ind w:left="521"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港币</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5"/>
              <w:jc w:val="right"/>
              <w:rPr>
                <w:rFonts w:ascii="Arial" w:hAnsi="Arial" w:cs="Arial" w:eastAsia="Arial" w:hint="default"/>
                <w:sz w:val="18"/>
                <w:szCs w:val="18"/>
              </w:rPr>
            </w:pPr>
            <w:r>
              <w:rPr>
                <w:rFonts w:ascii="Arial"/>
                <w:spacing w:val="-1"/>
                <w:sz w:val="18"/>
              </w:rPr>
              <w:t>244,797,092</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5"/>
              <w:jc w:val="right"/>
              <w:rPr>
                <w:rFonts w:ascii="Arial" w:hAnsi="Arial" w:cs="Arial" w:eastAsia="Arial" w:hint="default"/>
                <w:sz w:val="18"/>
                <w:szCs w:val="18"/>
              </w:rPr>
            </w:pPr>
            <w:r>
              <w:rPr>
                <w:rFonts w:ascii="Arial"/>
                <w:spacing w:val="-1"/>
                <w:sz w:val="18"/>
              </w:rPr>
              <w:t>0.81</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06" w:right="0"/>
              <w:jc w:val="left"/>
              <w:rPr>
                <w:rFonts w:ascii="Arial" w:hAnsi="Arial" w:cs="Arial" w:eastAsia="Arial" w:hint="default"/>
                <w:sz w:val="18"/>
                <w:szCs w:val="18"/>
              </w:rPr>
            </w:pPr>
            <w:r>
              <w:rPr>
                <w:rFonts w:ascii="Arial"/>
                <w:sz w:val="18"/>
              </w:rPr>
              <w:t>198,505,962</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0"/>
              <w:jc w:val="right"/>
              <w:rPr>
                <w:rFonts w:ascii="Arial" w:hAnsi="Arial" w:cs="Arial" w:eastAsia="Arial" w:hint="default"/>
                <w:sz w:val="18"/>
                <w:szCs w:val="18"/>
              </w:rPr>
            </w:pPr>
            <w:r>
              <w:rPr>
                <w:rFonts w:ascii="Arial"/>
                <w:spacing w:val="-1"/>
                <w:sz w:val="18"/>
              </w:rPr>
              <w:t>411,521,111</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4"/>
              <w:jc w:val="right"/>
              <w:rPr>
                <w:rFonts w:ascii="Arial" w:hAnsi="Arial" w:cs="Arial" w:eastAsia="Arial" w:hint="default"/>
                <w:sz w:val="18"/>
                <w:szCs w:val="18"/>
              </w:rPr>
            </w:pPr>
            <w:r>
              <w:rPr>
                <w:rFonts w:ascii="Arial"/>
                <w:spacing w:val="-1"/>
                <w:sz w:val="18"/>
              </w:rPr>
              <w:t>0.81</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12" w:right="0"/>
              <w:jc w:val="left"/>
              <w:rPr>
                <w:rFonts w:ascii="Arial" w:hAnsi="Arial" w:cs="Arial" w:eastAsia="Arial" w:hint="default"/>
                <w:sz w:val="18"/>
                <w:szCs w:val="18"/>
              </w:rPr>
            </w:pPr>
            <w:r>
              <w:rPr>
                <w:rFonts w:ascii="Arial"/>
                <w:sz w:val="18"/>
              </w:rPr>
              <w:t>333,620,165</w:t>
            </w:r>
          </w:p>
        </w:tc>
      </w:tr>
      <w:tr>
        <w:trPr>
          <w:trHeight w:val="233"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08" w:lineRule="exact"/>
              <w:ind w:left="521"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英镑</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5"/>
              <w:jc w:val="right"/>
              <w:rPr>
                <w:rFonts w:ascii="Arial" w:hAnsi="Arial" w:cs="Arial" w:eastAsia="Arial" w:hint="default"/>
                <w:sz w:val="18"/>
                <w:szCs w:val="18"/>
              </w:rPr>
            </w:pPr>
            <w:r>
              <w:rPr>
                <w:rFonts w:ascii="Arial"/>
                <w:spacing w:val="-1"/>
                <w:sz w:val="18"/>
              </w:rPr>
              <w:t>1,561,761</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5"/>
              <w:jc w:val="right"/>
              <w:rPr>
                <w:rFonts w:ascii="Arial" w:hAnsi="Arial" w:cs="Arial" w:eastAsia="Arial" w:hint="default"/>
                <w:sz w:val="18"/>
                <w:szCs w:val="18"/>
              </w:rPr>
            </w:pPr>
            <w:r>
              <w:rPr>
                <w:rFonts w:ascii="Arial"/>
                <w:spacing w:val="-1"/>
                <w:sz w:val="18"/>
              </w:rPr>
              <w:t>10.16</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9"/>
              <w:jc w:val="right"/>
              <w:rPr>
                <w:rFonts w:ascii="Arial" w:hAnsi="Arial" w:cs="Arial" w:eastAsia="Arial" w:hint="default"/>
                <w:sz w:val="18"/>
                <w:szCs w:val="18"/>
              </w:rPr>
            </w:pPr>
            <w:r>
              <w:rPr>
                <w:rFonts w:ascii="Arial"/>
                <w:spacing w:val="-1"/>
                <w:sz w:val="18"/>
              </w:rPr>
              <w:t>15,869,205</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29"/>
              <w:jc w:val="right"/>
              <w:rPr>
                <w:rFonts w:ascii="Arial" w:hAnsi="Arial" w:cs="Arial" w:eastAsia="Arial" w:hint="default"/>
                <w:sz w:val="18"/>
                <w:szCs w:val="18"/>
              </w:rPr>
            </w:pPr>
            <w:r>
              <w:rPr>
                <w:rFonts w:ascii="Arial"/>
                <w:spacing w:val="-1"/>
                <w:sz w:val="18"/>
              </w:rPr>
              <w:t>463,349</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4"/>
              <w:jc w:val="right"/>
              <w:rPr>
                <w:rFonts w:ascii="Arial" w:hAnsi="Arial" w:cs="Arial" w:eastAsia="Arial" w:hint="default"/>
                <w:sz w:val="18"/>
                <w:szCs w:val="18"/>
              </w:rPr>
            </w:pPr>
            <w:r>
              <w:rPr>
                <w:rFonts w:ascii="Arial"/>
                <w:spacing w:val="-1"/>
                <w:sz w:val="18"/>
              </w:rPr>
              <w:t>9.71</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1"/>
              <w:jc w:val="right"/>
              <w:rPr>
                <w:rFonts w:ascii="Arial" w:hAnsi="Arial" w:cs="Arial" w:eastAsia="Arial" w:hint="default"/>
                <w:sz w:val="18"/>
                <w:szCs w:val="18"/>
              </w:rPr>
            </w:pPr>
            <w:r>
              <w:rPr>
                <w:rFonts w:ascii="Arial"/>
                <w:spacing w:val="-1"/>
                <w:sz w:val="18"/>
              </w:rPr>
              <w:t>4,499,856</w:t>
            </w:r>
          </w:p>
        </w:tc>
      </w:tr>
      <w:tr>
        <w:trPr>
          <w:trHeight w:val="233"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09" w:lineRule="exact"/>
              <w:ind w:left="521"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欧元</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5"/>
              <w:jc w:val="right"/>
              <w:rPr>
                <w:rFonts w:ascii="Arial" w:hAnsi="Arial" w:cs="Arial" w:eastAsia="Arial" w:hint="default"/>
                <w:sz w:val="18"/>
                <w:szCs w:val="18"/>
              </w:rPr>
            </w:pPr>
            <w:r>
              <w:rPr>
                <w:rFonts w:ascii="Arial"/>
                <w:spacing w:val="-1"/>
                <w:sz w:val="18"/>
              </w:rPr>
              <w:t>1,366,168</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5"/>
              <w:jc w:val="right"/>
              <w:rPr>
                <w:rFonts w:ascii="Arial" w:hAnsi="Arial" w:cs="Arial" w:eastAsia="Arial" w:hint="default"/>
                <w:sz w:val="18"/>
                <w:szCs w:val="18"/>
              </w:rPr>
            </w:pPr>
            <w:r>
              <w:rPr>
                <w:rFonts w:ascii="Arial"/>
                <w:spacing w:val="-1"/>
                <w:sz w:val="18"/>
              </w:rPr>
              <w:t>8.32</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9"/>
              <w:jc w:val="right"/>
              <w:rPr>
                <w:rFonts w:ascii="Arial" w:hAnsi="Arial" w:cs="Arial" w:eastAsia="Arial" w:hint="default"/>
                <w:sz w:val="18"/>
                <w:szCs w:val="18"/>
              </w:rPr>
            </w:pPr>
            <w:r>
              <w:rPr>
                <w:rFonts w:ascii="Arial"/>
                <w:spacing w:val="-1"/>
                <w:sz w:val="18"/>
              </w:rPr>
              <w:t>11,363,240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0"/>
              <w:jc w:val="right"/>
              <w:rPr>
                <w:rFonts w:ascii="Arial" w:hAnsi="Arial" w:cs="Arial" w:eastAsia="Arial" w:hint="default"/>
                <w:sz w:val="18"/>
                <w:szCs w:val="18"/>
              </w:rPr>
            </w:pPr>
            <w:r>
              <w:rPr>
                <w:rFonts w:ascii="Arial"/>
                <w:spacing w:val="-1"/>
                <w:sz w:val="18"/>
              </w:rPr>
              <w:t>13,989,200</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4"/>
              <w:jc w:val="right"/>
              <w:rPr>
                <w:rFonts w:ascii="Arial" w:hAnsi="Arial" w:cs="Arial" w:eastAsia="Arial" w:hint="default"/>
                <w:sz w:val="18"/>
                <w:szCs w:val="18"/>
              </w:rPr>
            </w:pPr>
            <w:r>
              <w:rPr>
                <w:rFonts w:ascii="Arial"/>
                <w:spacing w:val="-1"/>
                <w:sz w:val="18"/>
              </w:rPr>
              <w:t>8.16</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12" w:right="0"/>
              <w:jc w:val="left"/>
              <w:rPr>
                <w:rFonts w:ascii="Arial" w:hAnsi="Arial" w:cs="Arial" w:eastAsia="Arial" w:hint="default"/>
                <w:sz w:val="18"/>
                <w:szCs w:val="18"/>
              </w:rPr>
            </w:pPr>
            <w:r>
              <w:rPr>
                <w:rFonts w:ascii="Arial"/>
                <w:sz w:val="18"/>
              </w:rPr>
              <w:t>114,186,849</w:t>
            </w:r>
          </w:p>
        </w:tc>
      </w:tr>
      <w:tr>
        <w:trPr>
          <w:trHeight w:val="233"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08" w:lineRule="exact"/>
              <w:ind w:left="521"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日元</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6"/>
              <w:jc w:val="right"/>
              <w:rPr>
                <w:rFonts w:ascii="Arial" w:hAnsi="Arial" w:cs="Arial" w:eastAsia="Arial" w:hint="default"/>
                <w:sz w:val="18"/>
                <w:szCs w:val="18"/>
              </w:rPr>
            </w:pPr>
            <w:r>
              <w:rPr>
                <w:rFonts w:ascii="Arial"/>
                <w:spacing w:val="-1"/>
                <w:sz w:val="18"/>
              </w:rPr>
              <w:t>24,754,699</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5"/>
              <w:jc w:val="right"/>
              <w:rPr>
                <w:rFonts w:ascii="Arial" w:hAnsi="Arial" w:cs="Arial" w:eastAsia="Arial" w:hint="default"/>
                <w:sz w:val="18"/>
                <w:szCs w:val="18"/>
              </w:rPr>
            </w:pPr>
            <w:r>
              <w:rPr>
                <w:rFonts w:ascii="Arial"/>
                <w:spacing w:val="-1"/>
                <w:sz w:val="18"/>
              </w:rPr>
              <w:t>0.07</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8"/>
              <w:jc w:val="right"/>
              <w:rPr>
                <w:rFonts w:ascii="Arial" w:hAnsi="Arial" w:cs="Arial" w:eastAsia="Arial" w:hint="default"/>
                <w:sz w:val="18"/>
                <w:szCs w:val="18"/>
              </w:rPr>
            </w:pPr>
            <w:r>
              <w:rPr>
                <w:rFonts w:ascii="Arial"/>
                <w:spacing w:val="-1"/>
                <w:sz w:val="18"/>
              </w:rPr>
              <w:t>1,807,093</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0"/>
              <w:jc w:val="right"/>
              <w:rPr>
                <w:rFonts w:ascii="Arial" w:hAnsi="Arial" w:cs="Arial" w:eastAsia="Arial" w:hint="default"/>
                <w:sz w:val="18"/>
                <w:szCs w:val="18"/>
              </w:rPr>
            </w:pPr>
            <w:r>
              <w:rPr>
                <w:rFonts w:ascii="Arial"/>
                <w:spacing w:val="-1"/>
                <w:sz w:val="18"/>
              </w:rPr>
              <w:t>10,919,420</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4"/>
              <w:jc w:val="right"/>
              <w:rPr>
                <w:rFonts w:ascii="Arial" w:hAnsi="Arial" w:cs="Arial" w:eastAsia="Arial" w:hint="default"/>
                <w:sz w:val="18"/>
                <w:szCs w:val="18"/>
              </w:rPr>
            </w:pPr>
            <w:r>
              <w:rPr>
                <w:rFonts w:ascii="Arial"/>
                <w:spacing w:val="-1"/>
                <w:sz w:val="18"/>
              </w:rPr>
              <w:t>0.08</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1"/>
              <w:jc w:val="right"/>
              <w:rPr>
                <w:rFonts w:ascii="Arial" w:hAnsi="Arial" w:cs="Arial" w:eastAsia="Arial" w:hint="default"/>
                <w:sz w:val="18"/>
                <w:szCs w:val="18"/>
              </w:rPr>
            </w:pPr>
            <w:r>
              <w:rPr>
                <w:rFonts w:ascii="Arial"/>
                <w:spacing w:val="-1"/>
                <w:sz w:val="18"/>
              </w:rPr>
              <w:t>885,565</w:t>
            </w:r>
          </w:p>
        </w:tc>
      </w:tr>
      <w:tr>
        <w:trPr>
          <w:trHeight w:val="344"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09" w:lineRule="exact"/>
              <w:ind w:left="521"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新加坡币</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5"/>
              <w:jc w:val="right"/>
              <w:rPr>
                <w:rFonts w:ascii="Arial" w:hAnsi="Arial" w:cs="Arial" w:eastAsia="Arial" w:hint="default"/>
                <w:sz w:val="18"/>
                <w:szCs w:val="18"/>
              </w:rPr>
            </w:pPr>
            <w:r>
              <w:rPr>
                <w:rFonts w:ascii="Arial"/>
                <w:spacing w:val="-1"/>
                <w:sz w:val="18"/>
              </w:rPr>
              <w:t>303,252</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5"/>
              <w:jc w:val="right"/>
              <w:rPr>
                <w:rFonts w:ascii="Arial" w:hAnsi="Arial" w:cs="Arial" w:eastAsia="Arial" w:hint="default"/>
                <w:sz w:val="18"/>
                <w:szCs w:val="18"/>
              </w:rPr>
            </w:pPr>
            <w:r>
              <w:rPr>
                <w:rFonts w:ascii="Arial"/>
                <w:spacing w:val="-1"/>
                <w:sz w:val="18"/>
              </w:rPr>
              <w:t>5.09</w:t>
            </w:r>
          </w:p>
        </w:tc>
        <w:tc>
          <w:tcPr>
            <w:tcW w:w="1407" w:type="dxa"/>
            <w:tcBorders>
              <w:top w:val="nil" w:sz="6" w:space="0" w:color="auto"/>
              <w:left w:val="nil" w:sz="6" w:space="0" w:color="auto"/>
              <w:bottom w:val="nil" w:sz="6" w:space="0" w:color="auto"/>
              <w:right w:val="nil" w:sz="6" w:space="0" w:color="auto"/>
            </w:tcBorders>
          </w:tcPr>
          <w:p>
            <w:pPr>
              <w:pStyle w:val="TableParagraph"/>
              <w:tabs>
                <w:tab w:pos="491" w:val="left" w:leader="none"/>
                <w:tab w:pos="1392" w:val="left" w:leader="none"/>
              </w:tabs>
              <w:spacing w:line="240" w:lineRule="auto" w:before="1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1,542,978</w:t>
              <w:tab/>
            </w:r>
            <w:r>
              <w:rPr>
                <w:rFonts w:ascii="Arial"/>
                <w:spacing w:val="-1"/>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29"/>
              <w:jc w:val="right"/>
              <w:rPr>
                <w:rFonts w:ascii="Arial" w:hAnsi="Arial" w:cs="Arial" w:eastAsia="Arial" w:hint="default"/>
                <w:sz w:val="18"/>
                <w:szCs w:val="18"/>
              </w:rPr>
            </w:pPr>
            <w:r>
              <w:rPr>
                <w:rFonts w:ascii="Arial"/>
                <w:spacing w:val="-1"/>
                <w:sz w:val="18"/>
              </w:rPr>
              <w:t>110,005</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4"/>
              <w:jc w:val="right"/>
              <w:rPr>
                <w:rFonts w:ascii="Arial" w:hAnsi="Arial" w:cs="Arial" w:eastAsia="Arial" w:hint="default"/>
                <w:sz w:val="18"/>
                <w:szCs w:val="18"/>
              </w:rPr>
            </w:pPr>
            <w:r>
              <w:rPr>
                <w:rFonts w:ascii="Arial"/>
                <w:spacing w:val="-1"/>
                <w:sz w:val="18"/>
              </w:rPr>
              <w:t>4.87</w:t>
            </w:r>
          </w:p>
        </w:tc>
        <w:tc>
          <w:tcPr>
            <w:tcW w:w="1416" w:type="dxa"/>
            <w:tcBorders>
              <w:top w:val="nil" w:sz="6" w:space="0" w:color="auto"/>
              <w:left w:val="nil" w:sz="6" w:space="0" w:color="auto"/>
              <w:bottom w:val="nil" w:sz="6" w:space="0" w:color="auto"/>
              <w:right w:val="nil" w:sz="6" w:space="0" w:color="auto"/>
            </w:tcBorders>
          </w:tcPr>
          <w:p>
            <w:pPr>
              <w:pStyle w:val="TableParagraph"/>
              <w:tabs>
                <w:tab w:pos="647" w:val="left" w:leader="none"/>
                <w:tab w:pos="1401" w:val="left" w:leader="none"/>
              </w:tabs>
              <w:spacing w:line="240" w:lineRule="auto" w:before="1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535,492</w:t>
              <w:tab/>
            </w:r>
            <w:r>
              <w:rPr>
                <w:rFonts w:ascii="Arial"/>
                <w:spacing w:val="-1"/>
                <w:sz w:val="18"/>
              </w:rPr>
            </w:r>
          </w:p>
        </w:tc>
      </w:tr>
      <w:tr>
        <w:trPr>
          <w:trHeight w:val="455"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00"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23"/>
                <w:sz w:val="18"/>
                <w:szCs w:val="18"/>
              </w:rPr>
              <w:t> </w:t>
            </w:r>
            <w:r>
              <w:rPr>
                <w:rFonts w:ascii="宋体" w:hAnsi="宋体" w:cs="宋体" w:eastAsia="宋体" w:hint="default"/>
                <w:sz w:val="18"/>
                <w:szCs w:val="18"/>
              </w:rPr>
              <w:t>个月以下银行存款小计</w:t>
            </w:r>
          </w:p>
        </w:tc>
        <w:tc>
          <w:tcPr>
            <w:tcW w:w="1335" w:type="dxa"/>
            <w:tcBorders>
              <w:top w:val="nil" w:sz="6" w:space="0" w:color="auto"/>
              <w:left w:val="nil" w:sz="6" w:space="0" w:color="auto"/>
              <w:bottom w:val="nil" w:sz="6" w:space="0" w:color="auto"/>
              <w:right w:val="nil" w:sz="6" w:space="0" w:color="auto"/>
            </w:tcBorders>
          </w:tcPr>
          <w:p>
            <w:pPr/>
          </w:p>
        </w:tc>
        <w:tc>
          <w:tcPr>
            <w:tcW w:w="685"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tabs>
                <w:tab w:pos="1392" w:val="left" w:leader="none"/>
              </w:tabs>
              <w:spacing w:line="240" w:lineRule="auto" w:before="125"/>
              <w:ind w:right="0"/>
              <w:jc w:val="right"/>
              <w:rPr>
                <w:rFonts w:ascii="Arial" w:hAnsi="Arial" w:cs="Arial" w:eastAsia="Arial" w:hint="default"/>
                <w:sz w:val="18"/>
                <w:szCs w:val="18"/>
              </w:rPr>
            </w:pPr>
            <w:r>
              <w:rPr>
                <w:rFonts w:ascii="Arial"/>
                <w:w w:val="100"/>
                <w:sz w:val="18"/>
              </w:rPr>
            </w:r>
            <w:r>
              <w:rPr>
                <w:rFonts w:ascii="Arial"/>
                <w:spacing w:val="-9"/>
                <w:w w:val="100"/>
                <w:sz w:val="18"/>
                <w:u w:val="single" w:color="000000"/>
              </w:rPr>
              <w:t> </w:t>
            </w:r>
            <w:r>
              <w:rPr>
                <w:rFonts w:ascii="Arial"/>
                <w:spacing w:val="-1"/>
                <w:sz w:val="18"/>
                <w:u w:val="single" w:color="000000"/>
              </w:rPr>
              <w:t>17,569,188,173</w:t>
              <w:tab/>
            </w:r>
            <w:r>
              <w:rPr>
                <w:rFonts w:ascii="Arial"/>
                <w:spacing w:val="-1"/>
                <w:sz w:val="18"/>
              </w:rPr>
            </w:r>
          </w:p>
        </w:tc>
        <w:tc>
          <w:tcPr>
            <w:tcW w:w="1486"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tabs>
                <w:tab w:pos="1401" w:val="left" w:leader="none"/>
              </w:tabs>
              <w:spacing w:line="240" w:lineRule="auto" w:before="125"/>
              <w:ind w:right="0"/>
              <w:jc w:val="right"/>
              <w:rPr>
                <w:rFonts w:ascii="Arial" w:hAnsi="Arial" w:cs="Arial" w:eastAsia="Arial" w:hint="default"/>
                <w:sz w:val="18"/>
                <w:szCs w:val="18"/>
              </w:rPr>
            </w:pPr>
            <w:r>
              <w:rPr>
                <w:rFonts w:ascii="Arial"/>
                <w:w w:val="100"/>
                <w:sz w:val="18"/>
              </w:rPr>
            </w:r>
            <w:r>
              <w:rPr>
                <w:rFonts w:ascii="Arial"/>
                <w:spacing w:val="-3"/>
                <w:w w:val="100"/>
                <w:sz w:val="18"/>
                <w:u w:val="single" w:color="000000"/>
              </w:rPr>
              <w:t> </w:t>
            </w:r>
            <w:r>
              <w:rPr>
                <w:rFonts w:ascii="Arial"/>
                <w:spacing w:val="-1"/>
                <w:sz w:val="18"/>
                <w:u w:val="single" w:color="000000"/>
              </w:rPr>
              <w:t>14,693,341,414</w:t>
              <w:tab/>
            </w:r>
            <w:r>
              <w:rPr>
                <w:rFonts w:ascii="Arial"/>
                <w:spacing w:val="-1"/>
                <w:sz w:val="18"/>
              </w:rPr>
            </w:r>
          </w:p>
        </w:tc>
      </w:tr>
      <w:tr>
        <w:trPr>
          <w:trHeight w:val="455"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5" w:type="dxa"/>
            <w:tcBorders>
              <w:top w:val="nil" w:sz="6" w:space="0" w:color="auto"/>
              <w:left w:val="nil" w:sz="6" w:space="0" w:color="auto"/>
              <w:bottom w:val="nil" w:sz="6" w:space="0" w:color="auto"/>
              <w:right w:val="nil" w:sz="6" w:space="0" w:color="auto"/>
            </w:tcBorders>
          </w:tcPr>
          <w:p>
            <w:pPr/>
          </w:p>
        </w:tc>
        <w:tc>
          <w:tcPr>
            <w:tcW w:w="2091" w:type="dxa"/>
            <w:gridSpan w:val="2"/>
            <w:tcBorders>
              <w:top w:val="nil" w:sz="6" w:space="0" w:color="auto"/>
              <w:left w:val="nil" w:sz="6" w:space="0" w:color="auto"/>
              <w:bottom w:val="nil" w:sz="6" w:space="0" w:color="auto"/>
              <w:right w:val="nil" w:sz="6" w:space="0" w:color="auto"/>
            </w:tcBorders>
          </w:tcPr>
          <w:p>
            <w:pPr>
              <w:pStyle w:val="TableParagraph"/>
              <w:tabs>
                <w:tab w:pos="990" w:val="left" w:leader="none"/>
                <w:tab w:pos="2091" w:val="left" w:leader="none"/>
              </w:tabs>
              <w:spacing w:line="240" w:lineRule="auto" w:before="126"/>
              <w:ind w:left="698"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713,543,031</w:t>
              <w:tab/>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
        </w:tc>
        <w:tc>
          <w:tcPr>
            <w:tcW w:w="2120" w:type="dxa"/>
            <w:gridSpan w:val="2"/>
            <w:tcBorders>
              <w:top w:val="nil" w:sz="6" w:space="0" w:color="auto"/>
              <w:left w:val="nil" w:sz="6" w:space="0" w:color="auto"/>
              <w:bottom w:val="nil" w:sz="6" w:space="0" w:color="auto"/>
              <w:right w:val="nil" w:sz="6" w:space="0" w:color="auto"/>
            </w:tcBorders>
          </w:tcPr>
          <w:p>
            <w:pPr>
              <w:pStyle w:val="TableParagraph"/>
              <w:tabs>
                <w:tab w:pos="1016" w:val="left" w:leader="none"/>
                <w:tab w:pos="2120" w:val="left" w:leader="none"/>
              </w:tabs>
              <w:spacing w:line="240" w:lineRule="auto" w:before="126"/>
              <w:ind w:left="718"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435,638,569</w:t>
              <w:tab/>
            </w:r>
            <w:r>
              <w:rPr>
                <w:rFonts w:ascii="Arial"/>
                <w:sz w:val="18"/>
              </w:rPr>
            </w:r>
          </w:p>
        </w:tc>
      </w:tr>
      <w:tr>
        <w:trPr>
          <w:trHeight w:val="455"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00" w:right="0"/>
              <w:jc w:val="left"/>
              <w:rPr>
                <w:rFonts w:ascii="宋体" w:hAnsi="宋体" w:cs="宋体" w:eastAsia="宋体" w:hint="default"/>
                <w:sz w:val="18"/>
                <w:szCs w:val="18"/>
              </w:rPr>
            </w:pPr>
            <w:r>
              <w:rPr>
                <w:rFonts w:ascii="宋体" w:hAnsi="宋体" w:cs="宋体" w:eastAsia="宋体" w:hint="default"/>
                <w:sz w:val="18"/>
                <w:szCs w:val="18"/>
              </w:rPr>
              <w:t>现金及现金等价物小计</w:t>
            </w:r>
          </w:p>
        </w:tc>
        <w:tc>
          <w:tcPr>
            <w:tcW w:w="1335" w:type="dxa"/>
            <w:tcBorders>
              <w:top w:val="nil" w:sz="6" w:space="0" w:color="auto"/>
              <w:left w:val="nil" w:sz="6" w:space="0" w:color="auto"/>
              <w:bottom w:val="nil" w:sz="6" w:space="0" w:color="auto"/>
              <w:right w:val="nil" w:sz="6" w:space="0" w:color="auto"/>
            </w:tcBorders>
          </w:tcPr>
          <w:p>
            <w:pPr/>
          </w:p>
        </w:tc>
        <w:tc>
          <w:tcPr>
            <w:tcW w:w="685"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tabs>
                <w:tab w:pos="1392" w:val="left" w:leader="none"/>
              </w:tabs>
              <w:spacing w:line="240" w:lineRule="auto" w:before="125"/>
              <w:ind w:right="0"/>
              <w:jc w:val="right"/>
              <w:rPr>
                <w:rFonts w:ascii="Arial" w:hAnsi="Arial" w:cs="Arial" w:eastAsia="Arial" w:hint="default"/>
                <w:sz w:val="18"/>
                <w:szCs w:val="18"/>
              </w:rPr>
            </w:pPr>
            <w:r>
              <w:rPr>
                <w:rFonts w:ascii="Arial"/>
                <w:w w:val="100"/>
                <w:sz w:val="18"/>
              </w:rPr>
            </w:r>
            <w:r>
              <w:rPr>
                <w:rFonts w:ascii="Arial"/>
                <w:spacing w:val="-9"/>
                <w:w w:val="100"/>
                <w:sz w:val="18"/>
                <w:u w:val="single" w:color="000000"/>
              </w:rPr>
              <w:t> </w:t>
            </w:r>
            <w:r>
              <w:rPr>
                <w:rFonts w:ascii="Arial"/>
                <w:spacing w:val="-1"/>
                <w:sz w:val="18"/>
                <w:u w:val="single" w:color="000000"/>
              </w:rPr>
              <w:t>18,287,991,369</w:t>
              <w:tab/>
            </w:r>
            <w:r>
              <w:rPr>
                <w:rFonts w:ascii="Arial"/>
                <w:spacing w:val="-1"/>
                <w:sz w:val="18"/>
              </w:rPr>
            </w:r>
          </w:p>
        </w:tc>
        <w:tc>
          <w:tcPr>
            <w:tcW w:w="1486"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tabs>
                <w:tab w:pos="1401" w:val="left" w:leader="none"/>
              </w:tabs>
              <w:spacing w:line="240" w:lineRule="auto" w:before="125"/>
              <w:ind w:right="0"/>
              <w:jc w:val="right"/>
              <w:rPr>
                <w:rFonts w:ascii="Arial" w:hAnsi="Arial" w:cs="Arial" w:eastAsia="Arial" w:hint="default"/>
                <w:sz w:val="18"/>
                <w:szCs w:val="18"/>
              </w:rPr>
            </w:pPr>
            <w:r>
              <w:rPr>
                <w:rFonts w:ascii="Arial"/>
                <w:w w:val="100"/>
                <w:sz w:val="18"/>
              </w:rPr>
            </w:r>
            <w:r>
              <w:rPr>
                <w:rFonts w:ascii="Arial"/>
                <w:spacing w:val="-3"/>
                <w:w w:val="100"/>
                <w:sz w:val="18"/>
                <w:u w:val="single" w:color="000000"/>
              </w:rPr>
              <w:t> </w:t>
            </w:r>
            <w:r>
              <w:rPr>
                <w:rFonts w:ascii="Arial"/>
                <w:spacing w:val="-1"/>
                <w:sz w:val="18"/>
                <w:u w:val="single" w:color="000000"/>
              </w:rPr>
              <w:t>15,134,971,543</w:t>
              <w:tab/>
            </w:r>
            <w:r>
              <w:rPr>
                <w:rFonts w:ascii="Arial"/>
                <w:spacing w:val="-1"/>
                <w:sz w:val="18"/>
              </w:rPr>
            </w:r>
          </w:p>
        </w:tc>
      </w:tr>
      <w:tr>
        <w:trPr>
          <w:trHeight w:val="338"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00"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个月以上定期存款</w:t>
            </w:r>
          </w:p>
        </w:tc>
        <w:tc>
          <w:tcPr>
            <w:tcW w:w="1335" w:type="dxa"/>
            <w:tcBorders>
              <w:top w:val="nil" w:sz="6" w:space="0" w:color="auto"/>
              <w:left w:val="nil" w:sz="6" w:space="0" w:color="auto"/>
              <w:bottom w:val="nil" w:sz="6" w:space="0" w:color="auto"/>
              <w:right w:val="nil" w:sz="6" w:space="0" w:color="auto"/>
            </w:tcBorders>
          </w:tcPr>
          <w:p>
            <w:pPr/>
          </w:p>
        </w:tc>
        <w:tc>
          <w:tcPr>
            <w:tcW w:w="685"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240"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15" w:lineRule="exact"/>
              <w:ind w:left="521"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w:t>
            </w:r>
          </w:p>
        </w:tc>
        <w:tc>
          <w:tcPr>
            <w:tcW w:w="1335" w:type="dxa"/>
            <w:tcBorders>
              <w:top w:val="nil" w:sz="6" w:space="0" w:color="auto"/>
              <w:left w:val="nil" w:sz="6" w:space="0" w:color="auto"/>
              <w:bottom w:val="nil" w:sz="6" w:space="0" w:color="auto"/>
              <w:right w:val="nil" w:sz="6" w:space="0" w:color="auto"/>
            </w:tcBorders>
          </w:tcPr>
          <w:p>
            <w:pPr/>
          </w:p>
        </w:tc>
        <w:tc>
          <w:tcPr>
            <w:tcW w:w="685"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8"/>
              <w:jc w:val="right"/>
              <w:rPr>
                <w:rFonts w:ascii="Arial" w:hAnsi="Arial" w:cs="Arial" w:eastAsia="Arial" w:hint="default"/>
                <w:sz w:val="18"/>
                <w:szCs w:val="18"/>
              </w:rPr>
            </w:pPr>
            <w:r>
              <w:rPr>
                <w:rFonts w:ascii="Arial"/>
                <w:spacing w:val="-1"/>
                <w:sz w:val="18"/>
              </w:rPr>
              <w:t>4,100,000</w:t>
            </w:r>
          </w:p>
        </w:tc>
        <w:tc>
          <w:tcPr>
            <w:tcW w:w="1486"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2"/>
              <w:jc w:val="right"/>
              <w:rPr>
                <w:rFonts w:ascii="Arial" w:hAnsi="Arial" w:cs="Arial" w:eastAsia="Arial" w:hint="default"/>
                <w:sz w:val="18"/>
                <w:szCs w:val="18"/>
              </w:rPr>
            </w:pPr>
            <w:r>
              <w:rPr>
                <w:rFonts w:ascii="Arial"/>
                <w:spacing w:val="-1"/>
                <w:sz w:val="18"/>
              </w:rPr>
              <w:t>48,156,985</w:t>
            </w:r>
          </w:p>
        </w:tc>
      </w:tr>
      <w:tr>
        <w:trPr>
          <w:trHeight w:val="233"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09" w:lineRule="exact"/>
              <w:ind w:left="521"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美元</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5"/>
              <w:jc w:val="right"/>
              <w:rPr>
                <w:rFonts w:ascii="Arial" w:hAnsi="Arial" w:cs="Arial" w:eastAsia="Arial" w:hint="default"/>
                <w:sz w:val="18"/>
                <w:szCs w:val="18"/>
              </w:rPr>
            </w:pPr>
            <w:r>
              <w:rPr>
                <w:rFonts w:ascii="Arial"/>
                <w:w w:val="99"/>
                <w:sz w:val="18"/>
              </w:rPr>
              <w:t>-</w:t>
            </w:r>
            <w:r>
              <w:rPr>
                <w:rFonts w:ascii="Arial"/>
                <w:sz w:val="18"/>
              </w:rPr>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5"/>
              <w:jc w:val="right"/>
              <w:rPr>
                <w:rFonts w:ascii="Arial" w:hAnsi="Arial" w:cs="Arial" w:eastAsia="Arial" w:hint="default"/>
                <w:sz w:val="18"/>
                <w:szCs w:val="18"/>
              </w:rPr>
            </w:pPr>
            <w:r>
              <w:rPr>
                <w:rFonts w:ascii="Arial"/>
                <w:spacing w:val="-1"/>
                <w:sz w:val="18"/>
              </w:rPr>
              <w:t>6.29</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7"/>
              <w:jc w:val="right"/>
              <w:rPr>
                <w:rFonts w:ascii="Arial" w:hAnsi="Arial" w:cs="Arial" w:eastAsia="Arial" w:hint="default"/>
                <w:sz w:val="18"/>
                <w:szCs w:val="18"/>
              </w:rPr>
            </w:pPr>
            <w:r>
              <w:rPr>
                <w:rFonts w:ascii="Arial"/>
                <w:w w:val="99"/>
                <w:sz w:val="18"/>
              </w:rPr>
              <w:t>-</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0"/>
              <w:jc w:val="right"/>
              <w:rPr>
                <w:rFonts w:ascii="Arial" w:hAnsi="Arial" w:cs="Arial" w:eastAsia="Arial" w:hint="default"/>
                <w:sz w:val="18"/>
                <w:szCs w:val="18"/>
              </w:rPr>
            </w:pPr>
            <w:r>
              <w:rPr>
                <w:rFonts w:ascii="Arial"/>
                <w:spacing w:val="-1"/>
                <w:sz w:val="18"/>
              </w:rPr>
              <w:t>29,507,840</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4"/>
              <w:jc w:val="right"/>
              <w:rPr>
                <w:rFonts w:ascii="Arial" w:hAnsi="Arial" w:cs="Arial" w:eastAsia="Arial" w:hint="default"/>
                <w:sz w:val="18"/>
                <w:szCs w:val="18"/>
              </w:rPr>
            </w:pPr>
            <w:r>
              <w:rPr>
                <w:rFonts w:ascii="Arial"/>
                <w:spacing w:val="-1"/>
                <w:sz w:val="18"/>
              </w:rPr>
              <w:t>6.30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12" w:right="0"/>
              <w:jc w:val="left"/>
              <w:rPr>
                <w:rFonts w:ascii="Arial" w:hAnsi="Arial" w:cs="Arial" w:eastAsia="Arial" w:hint="default"/>
                <w:sz w:val="18"/>
                <w:szCs w:val="18"/>
              </w:rPr>
            </w:pPr>
            <w:r>
              <w:rPr>
                <w:rFonts w:ascii="Arial"/>
                <w:sz w:val="18"/>
              </w:rPr>
              <w:t>185,925,949</w:t>
            </w:r>
          </w:p>
        </w:tc>
      </w:tr>
      <w:tr>
        <w:trPr>
          <w:trHeight w:val="345"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08" w:lineRule="exact"/>
              <w:ind w:left="521"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港币</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5"/>
              <w:jc w:val="right"/>
              <w:rPr>
                <w:rFonts w:ascii="Arial" w:hAnsi="Arial" w:cs="Arial" w:eastAsia="Arial" w:hint="default"/>
                <w:sz w:val="18"/>
                <w:szCs w:val="18"/>
              </w:rPr>
            </w:pPr>
            <w:r>
              <w:rPr>
                <w:rFonts w:ascii="Arial"/>
                <w:w w:val="99"/>
                <w:sz w:val="18"/>
              </w:rPr>
              <w:t>-</w:t>
            </w:r>
            <w:r>
              <w:rPr>
                <w:rFonts w:ascii="Arial"/>
                <w:sz w:val="18"/>
              </w:rPr>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5"/>
              <w:jc w:val="right"/>
              <w:rPr>
                <w:rFonts w:ascii="Arial" w:hAnsi="Arial" w:cs="Arial" w:eastAsia="Arial" w:hint="default"/>
                <w:sz w:val="18"/>
                <w:szCs w:val="18"/>
              </w:rPr>
            </w:pPr>
            <w:r>
              <w:rPr>
                <w:rFonts w:ascii="Arial"/>
                <w:spacing w:val="-1"/>
                <w:sz w:val="18"/>
              </w:rPr>
              <w:t>0.81</w:t>
            </w:r>
          </w:p>
        </w:tc>
        <w:tc>
          <w:tcPr>
            <w:tcW w:w="1407" w:type="dxa"/>
            <w:tcBorders>
              <w:top w:val="nil" w:sz="6" w:space="0" w:color="auto"/>
              <w:left w:val="nil" w:sz="6" w:space="0" w:color="auto"/>
              <w:bottom w:val="nil" w:sz="6" w:space="0" w:color="auto"/>
              <w:right w:val="nil" w:sz="6" w:space="0" w:color="auto"/>
            </w:tcBorders>
          </w:tcPr>
          <w:p>
            <w:pPr>
              <w:pStyle w:val="TableParagraph"/>
              <w:tabs>
                <w:tab w:pos="1232" w:val="left" w:leader="none"/>
              </w:tabs>
              <w:spacing w:line="240" w:lineRule="auto" w:before="1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0"/>
              <w:jc w:val="right"/>
              <w:rPr>
                <w:rFonts w:ascii="Arial" w:hAnsi="Arial" w:cs="Arial" w:eastAsia="Arial" w:hint="default"/>
                <w:sz w:val="18"/>
                <w:szCs w:val="18"/>
              </w:rPr>
            </w:pPr>
            <w:r>
              <w:rPr>
                <w:rFonts w:ascii="Arial"/>
                <w:spacing w:val="-1"/>
                <w:sz w:val="18"/>
              </w:rPr>
              <w:t>65,378,060</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4"/>
              <w:jc w:val="right"/>
              <w:rPr>
                <w:rFonts w:ascii="Arial" w:hAnsi="Arial" w:cs="Arial" w:eastAsia="Arial" w:hint="default"/>
                <w:sz w:val="18"/>
                <w:szCs w:val="18"/>
              </w:rPr>
            </w:pPr>
            <w:r>
              <w:rPr>
                <w:rFonts w:ascii="Arial"/>
                <w:spacing w:val="-1"/>
                <w:sz w:val="18"/>
              </w:rPr>
              <w:t>0.81</w:t>
            </w:r>
          </w:p>
        </w:tc>
        <w:tc>
          <w:tcPr>
            <w:tcW w:w="1416" w:type="dxa"/>
            <w:tcBorders>
              <w:top w:val="nil" w:sz="6" w:space="0" w:color="auto"/>
              <w:left w:val="nil" w:sz="6" w:space="0" w:color="auto"/>
              <w:bottom w:val="nil" w:sz="6" w:space="0" w:color="auto"/>
              <w:right w:val="nil" w:sz="6" w:space="0" w:color="auto"/>
            </w:tcBorders>
          </w:tcPr>
          <w:p>
            <w:pPr>
              <w:pStyle w:val="TableParagraph"/>
              <w:tabs>
                <w:tab w:pos="397" w:val="left" w:leader="none"/>
                <w:tab w:pos="1401" w:val="left" w:leader="none"/>
              </w:tabs>
              <w:spacing w:line="240" w:lineRule="auto" w:before="1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53,001,993</w:t>
              <w:tab/>
            </w:r>
            <w:r>
              <w:rPr>
                <w:rFonts w:ascii="Arial"/>
                <w:spacing w:val="-1"/>
                <w:sz w:val="18"/>
              </w:rPr>
            </w:r>
          </w:p>
        </w:tc>
      </w:tr>
      <w:tr>
        <w:trPr>
          <w:trHeight w:val="456"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00"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23"/>
                <w:sz w:val="18"/>
                <w:szCs w:val="18"/>
              </w:rPr>
              <w:t> </w:t>
            </w:r>
            <w:r>
              <w:rPr>
                <w:rFonts w:ascii="宋体" w:hAnsi="宋体" w:cs="宋体" w:eastAsia="宋体" w:hint="default"/>
                <w:sz w:val="18"/>
                <w:szCs w:val="18"/>
              </w:rPr>
              <w:t>个月以上银行存款小计</w:t>
            </w:r>
          </w:p>
        </w:tc>
        <w:tc>
          <w:tcPr>
            <w:tcW w:w="1335" w:type="dxa"/>
            <w:tcBorders>
              <w:top w:val="nil" w:sz="6" w:space="0" w:color="auto"/>
              <w:left w:val="nil" w:sz="6" w:space="0" w:color="auto"/>
              <w:bottom w:val="nil" w:sz="6" w:space="0" w:color="auto"/>
              <w:right w:val="nil" w:sz="6" w:space="0" w:color="auto"/>
            </w:tcBorders>
          </w:tcPr>
          <w:p>
            <w:pPr/>
          </w:p>
        </w:tc>
        <w:tc>
          <w:tcPr>
            <w:tcW w:w="685"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tabs>
                <w:tab w:pos="491" w:val="left" w:leader="none"/>
                <w:tab w:pos="1392" w:val="left" w:leader="none"/>
              </w:tabs>
              <w:spacing w:line="240" w:lineRule="auto" w:before="12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4,100,000</w:t>
              <w:tab/>
            </w:r>
            <w:r>
              <w:rPr>
                <w:rFonts w:ascii="Arial"/>
                <w:spacing w:val="-1"/>
                <w:sz w:val="18"/>
              </w:rPr>
            </w:r>
          </w:p>
        </w:tc>
        <w:tc>
          <w:tcPr>
            <w:tcW w:w="1486"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tabs>
                <w:tab w:pos="297" w:val="left" w:leader="none"/>
                <w:tab w:pos="1401" w:val="left" w:leader="none"/>
              </w:tabs>
              <w:spacing w:line="240" w:lineRule="auto" w:before="12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287,084,927</w:t>
              <w:tab/>
            </w:r>
            <w:r>
              <w:rPr>
                <w:rFonts w:ascii="Arial"/>
                <w:spacing w:val="-1"/>
                <w:sz w:val="18"/>
              </w:rPr>
            </w:r>
          </w:p>
        </w:tc>
      </w:tr>
      <w:tr>
        <w:trPr>
          <w:trHeight w:val="483"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00" w:right="0"/>
              <w:jc w:val="left"/>
              <w:rPr>
                <w:rFonts w:ascii="宋体" w:hAnsi="宋体" w:cs="宋体" w:eastAsia="宋体" w:hint="default"/>
                <w:sz w:val="18"/>
                <w:szCs w:val="18"/>
              </w:rPr>
            </w:pPr>
            <w:r>
              <w:rPr>
                <w:rFonts w:ascii="宋体" w:hAnsi="宋体" w:cs="宋体" w:eastAsia="宋体" w:hint="default"/>
                <w:sz w:val="18"/>
                <w:szCs w:val="18"/>
              </w:rPr>
              <w:t>受到限制的银行存款</w:t>
            </w:r>
          </w:p>
        </w:tc>
        <w:tc>
          <w:tcPr>
            <w:tcW w:w="1335" w:type="dxa"/>
            <w:tcBorders>
              <w:top w:val="nil" w:sz="6" w:space="0" w:color="auto"/>
              <w:left w:val="nil" w:sz="6" w:space="0" w:color="auto"/>
              <w:bottom w:val="nil" w:sz="6" w:space="0" w:color="auto"/>
              <w:right w:val="nil" w:sz="6" w:space="0" w:color="auto"/>
            </w:tcBorders>
          </w:tcPr>
          <w:p>
            <w:pPr/>
          </w:p>
        </w:tc>
        <w:tc>
          <w:tcPr>
            <w:tcW w:w="685"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tabs>
                <w:tab w:pos="391" w:val="left" w:leader="none"/>
                <w:tab w:pos="1392" w:val="left" w:leader="none"/>
              </w:tabs>
              <w:spacing w:line="240" w:lineRule="auto" w:before="12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27,984,013</w:t>
              <w:tab/>
            </w:r>
            <w:r>
              <w:rPr>
                <w:rFonts w:ascii="Arial"/>
                <w:spacing w:val="-1"/>
                <w:sz w:val="18"/>
              </w:rPr>
            </w:r>
          </w:p>
        </w:tc>
        <w:tc>
          <w:tcPr>
            <w:tcW w:w="1486"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tabs>
                <w:tab w:pos="397" w:val="left" w:leader="none"/>
                <w:tab w:pos="1401" w:val="left" w:leader="none"/>
              </w:tabs>
              <w:spacing w:line="240" w:lineRule="auto" w:before="12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16,959,815</w:t>
              <w:tab/>
            </w:r>
            <w:r>
              <w:rPr>
                <w:rFonts w:ascii="Arial"/>
                <w:spacing w:val="-1"/>
                <w:sz w:val="18"/>
              </w:rPr>
            </w:r>
          </w:p>
        </w:tc>
      </w:tr>
      <w:tr>
        <w:trPr>
          <w:trHeight w:val="385"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00" w:right="0"/>
              <w:jc w:val="left"/>
              <w:rPr>
                <w:rFonts w:ascii="宋体" w:hAnsi="宋体" w:cs="宋体" w:eastAsia="宋体" w:hint="default"/>
                <w:sz w:val="18"/>
                <w:szCs w:val="18"/>
              </w:rPr>
            </w:pPr>
            <w:r>
              <w:rPr>
                <w:rFonts w:ascii="宋体" w:hAnsi="宋体" w:cs="宋体" w:eastAsia="宋体" w:hint="default"/>
                <w:sz w:val="18"/>
                <w:szCs w:val="18"/>
              </w:rPr>
              <w:t>货币资金合计</w:t>
            </w:r>
          </w:p>
        </w:tc>
        <w:tc>
          <w:tcPr>
            <w:tcW w:w="1335" w:type="dxa"/>
            <w:tcBorders>
              <w:top w:val="nil" w:sz="6" w:space="0" w:color="auto"/>
              <w:left w:val="nil" w:sz="6" w:space="0" w:color="auto"/>
              <w:bottom w:val="nil" w:sz="6" w:space="0" w:color="auto"/>
              <w:right w:val="nil" w:sz="6" w:space="0" w:color="auto"/>
            </w:tcBorders>
          </w:tcPr>
          <w:p>
            <w:pPr/>
          </w:p>
        </w:tc>
        <w:tc>
          <w:tcPr>
            <w:tcW w:w="685"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single" w:sz="17" w:space="0" w:color="000000"/>
              <w:right w:val="nil" w:sz="6" w:space="0" w:color="auto"/>
            </w:tcBorders>
          </w:tcPr>
          <w:p>
            <w:pPr>
              <w:pStyle w:val="TableParagraph"/>
              <w:spacing w:line="240" w:lineRule="auto" w:before="153"/>
              <w:ind w:left="56" w:right="0"/>
              <w:jc w:val="left"/>
              <w:rPr>
                <w:rFonts w:ascii="Arial" w:hAnsi="Arial" w:cs="Arial" w:eastAsia="Arial" w:hint="default"/>
                <w:sz w:val="18"/>
                <w:szCs w:val="18"/>
              </w:rPr>
            </w:pPr>
            <w:r>
              <w:rPr>
                <w:rFonts w:ascii="Arial"/>
                <w:sz w:val="18"/>
              </w:rPr>
              <w:t>18,320,075,382</w:t>
            </w:r>
          </w:p>
        </w:tc>
        <w:tc>
          <w:tcPr>
            <w:tcW w:w="1486"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17" w:space="0" w:color="000000"/>
              <w:right w:val="nil" w:sz="6" w:space="0" w:color="auto"/>
            </w:tcBorders>
          </w:tcPr>
          <w:p>
            <w:pPr>
              <w:pStyle w:val="TableParagraph"/>
              <w:spacing w:line="240" w:lineRule="auto" w:before="153"/>
              <w:ind w:left="62" w:right="0"/>
              <w:jc w:val="left"/>
              <w:rPr>
                <w:rFonts w:ascii="Arial" w:hAnsi="Arial" w:cs="Arial" w:eastAsia="Arial" w:hint="default"/>
                <w:sz w:val="18"/>
                <w:szCs w:val="18"/>
              </w:rPr>
            </w:pPr>
            <w:r>
              <w:rPr>
                <w:rFonts w:ascii="Arial"/>
                <w:sz w:val="18"/>
              </w:rPr>
              <w:t>15,439,016,285</w:t>
            </w:r>
          </w:p>
        </w:tc>
      </w:tr>
    </w:tbl>
    <w:p>
      <w:pPr>
        <w:spacing w:line="240" w:lineRule="auto" w:before="11"/>
        <w:rPr>
          <w:rFonts w:ascii="宋体" w:hAnsi="宋体" w:cs="宋体" w:eastAsia="宋体" w:hint="default"/>
          <w:sz w:val="8"/>
          <w:szCs w:val="8"/>
        </w:rPr>
      </w:pPr>
    </w:p>
    <w:p>
      <w:pPr>
        <w:pStyle w:val="BodyText"/>
        <w:spacing w:line="295" w:lineRule="exact" w:before="31"/>
        <w:ind w:left="553" w:right="0"/>
        <w:jc w:val="left"/>
      </w:pPr>
      <w:r>
        <w:rPr/>
        <w:t>于</w:t>
      </w:r>
      <w:r>
        <w:rPr>
          <w:spacing w:val="-57"/>
        </w:rPr>
        <w:t> </w:t>
      </w:r>
      <w:r>
        <w:rPr>
          <w:rFonts w:ascii="Arial" w:hAnsi="Arial" w:cs="Arial" w:eastAsia="Arial" w:hint="default"/>
        </w:rPr>
        <w:t>2012</w:t>
      </w:r>
      <w:r>
        <w:rPr>
          <w:rFonts w:ascii="Arial" w:hAnsi="Arial" w:cs="Arial" w:eastAsia="Arial" w:hint="default"/>
          <w:spacing w:val="-6"/>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7"/>
        </w:rPr>
        <w:t> </w:t>
      </w:r>
      <w:r>
        <w:rPr/>
        <w:t>日，本集团受限制的银行存款约人民币</w:t>
      </w:r>
      <w:r>
        <w:rPr>
          <w:spacing w:val="-55"/>
        </w:rPr>
        <w:t> </w:t>
      </w:r>
      <w:r>
        <w:rPr>
          <w:rFonts w:ascii="Arial" w:hAnsi="Arial" w:cs="Arial" w:eastAsia="Arial" w:hint="default"/>
        </w:rPr>
        <w:t>2,798</w:t>
      </w:r>
      <w:r>
        <w:rPr>
          <w:rFonts w:ascii="Arial" w:hAnsi="Arial" w:cs="Arial" w:eastAsia="Arial" w:hint="default"/>
          <w:spacing w:val="-8"/>
        </w:rPr>
        <w:t> </w:t>
      </w:r>
      <w:r>
        <w:rPr/>
        <w:t>万元是用作物业保证金及工</w:t>
      </w:r>
    </w:p>
    <w:p>
      <w:pPr>
        <w:pStyle w:val="BodyText"/>
        <w:spacing w:line="295" w:lineRule="exact"/>
        <w:ind w:left="553" w:right="0"/>
        <w:jc w:val="left"/>
      </w:pPr>
      <w:r>
        <w:rPr/>
        <w:t>程保证金而受限使用的银行存款（</w:t>
      </w:r>
      <w:r>
        <w:rPr>
          <w:rFonts w:ascii="Arial" w:hAnsi="Arial" w:cs="Arial" w:eastAsia="Arial" w:hint="default"/>
        </w:rPr>
        <w:t>2011</w:t>
      </w:r>
      <w:r>
        <w:rPr>
          <w:rFonts w:ascii="Arial" w:hAnsi="Arial" w:cs="Arial" w:eastAsia="Arial" w:hint="default"/>
          <w:spacing w:val="-7"/>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日：约人民币</w:t>
      </w:r>
      <w:r>
        <w:rPr>
          <w:spacing w:val="-57"/>
        </w:rPr>
        <w:t> </w:t>
      </w:r>
      <w:r>
        <w:rPr>
          <w:rFonts w:ascii="Arial" w:hAnsi="Arial" w:cs="Arial" w:eastAsia="Arial" w:hint="default"/>
        </w:rPr>
        <w:t>1,696</w:t>
      </w:r>
      <w:r>
        <w:rPr>
          <w:rFonts w:ascii="Arial" w:hAnsi="Arial" w:cs="Arial" w:eastAsia="Arial" w:hint="default"/>
          <w:spacing w:val="-7"/>
        </w:rPr>
        <w:t> </w:t>
      </w:r>
      <w:r>
        <w:rPr/>
        <w:t>万元）。</w:t>
      </w:r>
    </w:p>
    <w:p>
      <w:pPr>
        <w:pStyle w:val="BodyText"/>
        <w:spacing w:line="240" w:lineRule="auto" w:before="165"/>
        <w:ind w:left="162" w:right="0"/>
        <w:jc w:val="left"/>
      </w:pPr>
      <w:r>
        <w:rPr>
          <w:rFonts w:ascii="Arial" w:hAnsi="Arial" w:cs="Arial" w:eastAsia="Arial" w:hint="default"/>
        </w:rPr>
        <w:t>2</w:t>
      </w:r>
      <w:r>
        <w:rPr/>
        <w:t>、</w:t>
      </w:r>
      <w:r>
        <w:rPr>
          <w:spacing w:val="-44"/>
        </w:rPr>
        <w:t> </w:t>
      </w:r>
      <w:r>
        <w:rPr/>
        <w:t>应收票据</w:t>
      </w:r>
    </w:p>
    <w:p>
      <w:pPr>
        <w:spacing w:line="240" w:lineRule="auto" w:before="2"/>
        <w:rPr>
          <w:rFonts w:ascii="宋体" w:hAnsi="宋体" w:cs="宋体" w:eastAsia="宋体" w:hint="default"/>
          <w:sz w:val="16"/>
          <w:szCs w:val="16"/>
        </w:rPr>
      </w:pPr>
    </w:p>
    <w:tbl>
      <w:tblPr>
        <w:tblW w:w="0" w:type="auto"/>
        <w:jc w:val="left"/>
        <w:tblInd w:w="365" w:type="dxa"/>
        <w:tblLayout w:type="fixed"/>
        <w:tblCellMar>
          <w:top w:w="0" w:type="dxa"/>
          <w:left w:w="0" w:type="dxa"/>
          <w:bottom w:w="0" w:type="dxa"/>
          <w:right w:w="0" w:type="dxa"/>
        </w:tblCellMar>
        <w:tblLook w:val="01E0"/>
      </w:tblPr>
      <w:tblGrid>
        <w:gridCol w:w="4373"/>
        <w:gridCol w:w="2372"/>
        <w:gridCol w:w="102"/>
        <w:gridCol w:w="2390"/>
      </w:tblGrid>
      <w:tr>
        <w:trPr>
          <w:trHeight w:val="260" w:hRule="exact"/>
        </w:trPr>
        <w:tc>
          <w:tcPr>
            <w:tcW w:w="4373"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single" w:sz="6" w:space="0" w:color="000000"/>
              <w:right w:val="nil" w:sz="6" w:space="0" w:color="auto"/>
            </w:tcBorders>
          </w:tcPr>
          <w:p>
            <w:pPr>
              <w:pStyle w:val="TableParagraph"/>
              <w:spacing w:line="235" w:lineRule="exact"/>
              <w:ind w:right="37"/>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02" w:type="dxa"/>
            <w:tcBorders>
              <w:top w:val="nil" w:sz="6" w:space="0" w:color="auto"/>
              <w:left w:val="nil" w:sz="6" w:space="0" w:color="auto"/>
              <w:bottom w:val="nil" w:sz="6" w:space="0" w:color="auto"/>
              <w:right w:val="nil" w:sz="6" w:space="0" w:color="auto"/>
            </w:tcBorders>
          </w:tcPr>
          <w:p>
            <w:pPr/>
          </w:p>
        </w:tc>
        <w:tc>
          <w:tcPr>
            <w:tcW w:w="2390" w:type="dxa"/>
            <w:tcBorders>
              <w:top w:val="nil" w:sz="6" w:space="0" w:color="auto"/>
              <w:left w:val="nil" w:sz="6" w:space="0" w:color="auto"/>
              <w:bottom w:val="single" w:sz="6" w:space="0" w:color="000000"/>
              <w:right w:val="nil" w:sz="6" w:space="0" w:color="auto"/>
            </w:tcBorders>
          </w:tcPr>
          <w:p>
            <w:pPr>
              <w:pStyle w:val="TableParagraph"/>
              <w:spacing w:line="235" w:lineRule="exact"/>
              <w:ind w:left="436"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34" w:hRule="exact"/>
        </w:trPr>
        <w:tc>
          <w:tcPr>
            <w:tcW w:w="4373" w:type="dxa"/>
            <w:tcBorders>
              <w:top w:val="nil" w:sz="6" w:space="0" w:color="auto"/>
              <w:left w:val="nil" w:sz="6" w:space="0" w:color="auto"/>
              <w:bottom w:val="nil" w:sz="6" w:space="0" w:color="auto"/>
              <w:right w:val="nil" w:sz="6" w:space="0" w:color="auto"/>
            </w:tcBorders>
          </w:tcPr>
          <w:p>
            <w:pPr>
              <w:pStyle w:val="TableParagraph"/>
              <w:spacing w:line="240" w:lineRule="auto" w:before="189"/>
              <w:ind w:left="200" w:right="0"/>
              <w:jc w:val="left"/>
              <w:rPr>
                <w:rFonts w:ascii="宋体" w:hAnsi="宋体" w:cs="宋体" w:eastAsia="宋体" w:hint="default"/>
                <w:sz w:val="22"/>
                <w:szCs w:val="22"/>
              </w:rPr>
            </w:pPr>
            <w:r>
              <w:rPr>
                <w:rFonts w:ascii="宋体" w:hAnsi="宋体" w:cs="宋体" w:eastAsia="宋体" w:hint="default"/>
                <w:sz w:val="22"/>
                <w:szCs w:val="22"/>
              </w:rPr>
              <w:t>银行承兑汇票</w:t>
            </w:r>
          </w:p>
        </w:tc>
        <w:tc>
          <w:tcPr>
            <w:tcW w:w="2372" w:type="dxa"/>
            <w:tcBorders>
              <w:top w:val="single" w:sz="6" w:space="0" w:color="000000"/>
              <w:left w:val="nil" w:sz="6" w:space="0" w:color="auto"/>
              <w:bottom w:val="single" w:sz="17"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7"/>
              <w:jc w:val="right"/>
              <w:rPr>
                <w:rFonts w:ascii="Arial" w:hAnsi="Arial" w:cs="Arial" w:eastAsia="Arial" w:hint="default"/>
                <w:sz w:val="22"/>
                <w:szCs w:val="22"/>
              </w:rPr>
            </w:pPr>
            <w:r>
              <w:rPr>
                <w:rFonts w:ascii="Arial"/>
                <w:w w:val="95"/>
                <w:sz w:val="22"/>
              </w:rPr>
              <w:t>73,892,565</w:t>
            </w:r>
            <w:r>
              <w:rPr>
                <w:rFonts w:ascii="Arial"/>
                <w:sz w:val="22"/>
              </w:rPr>
            </w:r>
          </w:p>
        </w:tc>
        <w:tc>
          <w:tcPr>
            <w:tcW w:w="102" w:type="dxa"/>
            <w:tcBorders>
              <w:top w:val="nil" w:sz="6" w:space="0" w:color="auto"/>
              <w:left w:val="nil" w:sz="6" w:space="0" w:color="auto"/>
              <w:bottom w:val="nil" w:sz="6" w:space="0" w:color="auto"/>
              <w:right w:val="nil" w:sz="6" w:space="0" w:color="auto"/>
            </w:tcBorders>
          </w:tcPr>
          <w:p>
            <w:pPr/>
          </w:p>
        </w:tc>
        <w:tc>
          <w:tcPr>
            <w:tcW w:w="2390" w:type="dxa"/>
            <w:tcBorders>
              <w:top w:val="single" w:sz="6" w:space="0" w:color="000000"/>
              <w:left w:val="nil" w:sz="6" w:space="0" w:color="auto"/>
              <w:bottom w:val="single" w:sz="17"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40" w:right="0"/>
              <w:jc w:val="left"/>
              <w:rPr>
                <w:rFonts w:ascii="Arial" w:hAnsi="Arial" w:cs="Arial" w:eastAsia="Arial" w:hint="default"/>
                <w:sz w:val="22"/>
                <w:szCs w:val="22"/>
              </w:rPr>
            </w:pPr>
            <w:r>
              <w:rPr>
                <w:rFonts w:ascii="Arial"/>
                <w:sz w:val="22"/>
              </w:rPr>
              <w:t>31,490,161</w:t>
            </w:r>
          </w:p>
        </w:tc>
      </w:tr>
    </w:tbl>
    <w:p>
      <w:pPr>
        <w:spacing w:line="240" w:lineRule="auto" w:before="12"/>
        <w:rPr>
          <w:rFonts w:ascii="宋体" w:hAnsi="宋体" w:cs="宋体" w:eastAsia="宋体" w:hint="default"/>
          <w:sz w:val="8"/>
          <w:szCs w:val="8"/>
        </w:rPr>
      </w:pPr>
    </w:p>
    <w:p>
      <w:pPr>
        <w:pStyle w:val="BodyText"/>
        <w:spacing w:line="240" w:lineRule="auto" w:before="31"/>
        <w:ind w:left="553" w:right="0"/>
        <w:jc w:val="left"/>
      </w:pPr>
      <w:r>
        <w:rPr/>
        <w:t>于</w:t>
      </w:r>
      <w:r>
        <w:rPr>
          <w:spacing w:val="-57"/>
        </w:rPr>
        <w:t> </w:t>
      </w:r>
      <w:r>
        <w:rPr>
          <w:rFonts w:ascii="Arial" w:hAnsi="Arial" w:cs="Arial" w:eastAsia="Arial" w:hint="default"/>
        </w:rPr>
        <w:t>2012</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日，本集团无用于质押或贴现的应收票据。</w:t>
      </w:r>
    </w:p>
    <w:p>
      <w:pPr>
        <w:spacing w:after="0" w:line="240" w:lineRule="auto"/>
        <w:jc w:val="left"/>
        <w:sectPr>
          <w:headerReference w:type="default" r:id="rId79"/>
          <w:footerReference w:type="default" r:id="rId80"/>
          <w:pgSz w:w="11910" w:h="16840"/>
          <w:pgMar w:header="1189" w:footer="457" w:top="2500" w:bottom="640" w:left="1280" w:right="920"/>
        </w:sectPr>
      </w:pPr>
    </w:p>
    <w:p>
      <w:pPr>
        <w:spacing w:line="240" w:lineRule="auto" w:before="9"/>
        <w:rPr>
          <w:rFonts w:ascii="宋体" w:hAnsi="宋体" w:cs="宋体" w:eastAsia="宋体" w:hint="default"/>
          <w:sz w:val="16"/>
          <w:szCs w:val="16"/>
        </w:rPr>
      </w:pPr>
    </w:p>
    <w:p>
      <w:pPr>
        <w:pStyle w:val="BodyText"/>
        <w:spacing w:line="240" w:lineRule="auto" w:before="31"/>
        <w:ind w:left="142" w:right="110"/>
        <w:jc w:val="left"/>
      </w:pPr>
      <w:r>
        <w:rPr>
          <w:rFonts w:ascii="Arial" w:hAnsi="Arial" w:cs="Arial" w:eastAsia="Arial" w:hint="default"/>
        </w:rPr>
        <w:t>3</w:t>
      </w:r>
      <w:r>
        <w:rPr/>
        <w:t>、</w:t>
      </w:r>
      <w:r>
        <w:rPr>
          <w:spacing w:val="-38"/>
        </w:rPr>
        <w:t> </w:t>
      </w:r>
      <w:r>
        <w:rPr/>
        <w:t>应收账款</w:t>
      </w:r>
    </w:p>
    <w:p>
      <w:pPr>
        <w:spacing w:line="240" w:lineRule="auto" w:before="3"/>
        <w:rPr>
          <w:rFonts w:ascii="宋体" w:hAnsi="宋体" w:cs="宋体" w:eastAsia="宋体" w:hint="default"/>
          <w:sz w:val="23"/>
          <w:szCs w:val="23"/>
        </w:rPr>
      </w:pPr>
    </w:p>
    <w:tbl>
      <w:tblPr>
        <w:tblW w:w="0" w:type="auto"/>
        <w:jc w:val="left"/>
        <w:tblInd w:w="375" w:type="dxa"/>
        <w:tblLayout w:type="fixed"/>
        <w:tblCellMar>
          <w:top w:w="0" w:type="dxa"/>
          <w:left w:w="0" w:type="dxa"/>
          <w:bottom w:w="0" w:type="dxa"/>
          <w:right w:w="0" w:type="dxa"/>
        </w:tblCellMar>
        <w:tblLook w:val="01E0"/>
      </w:tblPr>
      <w:tblGrid>
        <w:gridCol w:w="4582"/>
        <w:gridCol w:w="2372"/>
        <w:gridCol w:w="102"/>
        <w:gridCol w:w="2378"/>
      </w:tblGrid>
      <w:tr>
        <w:trPr>
          <w:trHeight w:val="261" w:hRule="exact"/>
        </w:trPr>
        <w:tc>
          <w:tcPr>
            <w:tcW w:w="4582"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single" w:sz="6" w:space="0" w:color="000000"/>
              <w:right w:val="nil" w:sz="6" w:space="0" w:color="auto"/>
            </w:tcBorders>
          </w:tcPr>
          <w:p>
            <w:pPr>
              <w:pStyle w:val="TableParagraph"/>
              <w:spacing w:line="235" w:lineRule="exact"/>
              <w:ind w:right="107"/>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02" w:type="dxa"/>
            <w:tcBorders>
              <w:top w:val="nil" w:sz="6" w:space="0" w:color="auto"/>
              <w:left w:val="nil" w:sz="6" w:space="0" w:color="auto"/>
              <w:bottom w:val="nil" w:sz="6" w:space="0" w:color="auto"/>
              <w:right w:val="nil" w:sz="6" w:space="0" w:color="auto"/>
            </w:tcBorders>
          </w:tcPr>
          <w:p>
            <w:pPr/>
          </w:p>
        </w:tc>
        <w:tc>
          <w:tcPr>
            <w:tcW w:w="2378" w:type="dxa"/>
            <w:tcBorders>
              <w:top w:val="nil" w:sz="6" w:space="0" w:color="auto"/>
              <w:left w:val="nil" w:sz="6" w:space="0" w:color="auto"/>
              <w:bottom w:val="single" w:sz="6" w:space="0" w:color="000000"/>
              <w:right w:val="nil" w:sz="6" w:space="0" w:color="auto"/>
            </w:tcBorders>
          </w:tcPr>
          <w:p>
            <w:pPr>
              <w:pStyle w:val="TableParagraph"/>
              <w:spacing w:line="235" w:lineRule="exact"/>
              <w:ind w:right="36"/>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70" w:hRule="exact"/>
        </w:trPr>
        <w:tc>
          <w:tcPr>
            <w:tcW w:w="458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2372"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24"/>
              <w:jc w:val="right"/>
              <w:rPr>
                <w:rFonts w:ascii="Arial" w:hAnsi="Arial" w:cs="Arial" w:eastAsia="Arial" w:hint="default"/>
                <w:sz w:val="22"/>
                <w:szCs w:val="22"/>
              </w:rPr>
            </w:pPr>
            <w:r>
              <w:rPr>
                <w:rFonts w:ascii="Arial"/>
                <w:spacing w:val="-1"/>
                <w:sz w:val="22"/>
              </w:rPr>
              <w:t>18,378,575,452</w:t>
            </w:r>
          </w:p>
        </w:tc>
        <w:tc>
          <w:tcPr>
            <w:tcW w:w="102" w:type="dxa"/>
            <w:tcBorders>
              <w:top w:val="nil" w:sz="6" w:space="0" w:color="auto"/>
              <w:left w:val="nil" w:sz="6" w:space="0" w:color="auto"/>
              <w:bottom w:val="nil" w:sz="6" w:space="0" w:color="auto"/>
              <w:right w:val="nil" w:sz="6" w:space="0" w:color="auto"/>
            </w:tcBorders>
          </w:tcPr>
          <w:p>
            <w:pPr/>
          </w:p>
        </w:tc>
        <w:tc>
          <w:tcPr>
            <w:tcW w:w="2378"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22"/>
              <w:jc w:val="right"/>
              <w:rPr>
                <w:rFonts w:ascii="Arial" w:hAnsi="Arial" w:cs="Arial" w:eastAsia="Arial" w:hint="default"/>
                <w:sz w:val="22"/>
                <w:szCs w:val="22"/>
              </w:rPr>
            </w:pPr>
            <w:r>
              <w:rPr>
                <w:rFonts w:ascii="Arial"/>
                <w:spacing w:val="-1"/>
                <w:sz w:val="22"/>
              </w:rPr>
              <w:t>15,994,125,110</w:t>
            </w:r>
          </w:p>
        </w:tc>
      </w:tr>
      <w:tr>
        <w:trPr>
          <w:trHeight w:val="426" w:hRule="exact"/>
        </w:trPr>
        <w:tc>
          <w:tcPr>
            <w:tcW w:w="4582"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减：坏账准备</w:t>
            </w:r>
          </w:p>
        </w:tc>
        <w:tc>
          <w:tcPr>
            <w:tcW w:w="2372" w:type="dxa"/>
            <w:tcBorders>
              <w:top w:val="nil" w:sz="6" w:space="0" w:color="auto"/>
              <w:left w:val="nil" w:sz="6" w:space="0" w:color="auto"/>
              <w:bottom w:val="nil" w:sz="6" w:space="0" w:color="auto"/>
              <w:right w:val="nil" w:sz="6" w:space="0" w:color="auto"/>
            </w:tcBorders>
          </w:tcPr>
          <w:p>
            <w:pPr>
              <w:pStyle w:val="TableParagraph"/>
              <w:tabs>
                <w:tab w:pos="764" w:val="left" w:leader="none"/>
              </w:tabs>
              <w:spacing w:line="240" w:lineRule="auto" w:before="17"/>
              <w:ind w:right="52"/>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(4,078,738,757)</w:t>
            </w:r>
            <w:r>
              <w:rPr>
                <w:rFonts w:ascii="Arial"/>
                <w:w w:val="95"/>
                <w:sz w:val="22"/>
              </w:rPr>
            </w:r>
            <w:r>
              <w:rPr>
                <w:rFonts w:ascii="Arial"/>
                <w:sz w:val="22"/>
              </w:rPr>
            </w:r>
          </w:p>
        </w:tc>
        <w:tc>
          <w:tcPr>
            <w:tcW w:w="102" w:type="dxa"/>
            <w:tcBorders>
              <w:top w:val="nil" w:sz="6" w:space="0" w:color="auto"/>
              <w:left w:val="nil" w:sz="6" w:space="0" w:color="auto"/>
              <w:bottom w:val="nil" w:sz="6" w:space="0" w:color="auto"/>
              <w:right w:val="nil" w:sz="6" w:space="0" w:color="auto"/>
            </w:tcBorders>
          </w:tcPr>
          <w:p>
            <w:pPr/>
          </w:p>
        </w:tc>
        <w:tc>
          <w:tcPr>
            <w:tcW w:w="2378" w:type="dxa"/>
            <w:tcBorders>
              <w:top w:val="nil" w:sz="6" w:space="0" w:color="auto"/>
              <w:left w:val="nil" w:sz="6" w:space="0" w:color="auto"/>
              <w:bottom w:val="nil" w:sz="6" w:space="0" w:color="auto"/>
              <w:right w:val="nil" w:sz="6" w:space="0" w:color="auto"/>
            </w:tcBorders>
          </w:tcPr>
          <w:p>
            <w:pPr>
              <w:pStyle w:val="TableParagraph"/>
              <w:tabs>
                <w:tab w:pos="772" w:val="left" w:leader="none"/>
              </w:tabs>
              <w:spacing w:line="240" w:lineRule="auto" w:before="17"/>
              <w:ind w:right="51"/>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(3,554,880,841)</w:t>
            </w:r>
            <w:r>
              <w:rPr>
                <w:rFonts w:ascii="Arial"/>
                <w:w w:val="95"/>
                <w:sz w:val="22"/>
              </w:rPr>
            </w:r>
            <w:r>
              <w:rPr>
                <w:rFonts w:ascii="Arial"/>
                <w:sz w:val="22"/>
              </w:rPr>
            </w:r>
          </w:p>
        </w:tc>
      </w:tr>
      <w:tr>
        <w:trPr>
          <w:trHeight w:val="437" w:hRule="exact"/>
        </w:trPr>
        <w:tc>
          <w:tcPr>
            <w:tcW w:w="458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00" w:right="0"/>
              <w:jc w:val="left"/>
              <w:rPr>
                <w:rFonts w:ascii="宋体" w:hAnsi="宋体" w:cs="宋体" w:eastAsia="宋体" w:hint="default"/>
                <w:sz w:val="22"/>
                <w:szCs w:val="22"/>
              </w:rPr>
            </w:pPr>
            <w:r>
              <w:rPr>
                <w:rFonts w:ascii="宋体" w:hAnsi="宋体" w:cs="宋体" w:eastAsia="宋体" w:hint="default"/>
                <w:sz w:val="22"/>
                <w:szCs w:val="22"/>
              </w:rPr>
              <w:t>应收账款净额合计</w:t>
            </w:r>
          </w:p>
        </w:tc>
        <w:tc>
          <w:tcPr>
            <w:tcW w:w="2372" w:type="dxa"/>
            <w:tcBorders>
              <w:top w:val="nil" w:sz="6" w:space="0" w:color="auto"/>
              <w:left w:val="nil" w:sz="6" w:space="0" w:color="auto"/>
              <w:bottom w:val="single" w:sz="17" w:space="0" w:color="000000"/>
              <w:right w:val="nil" w:sz="6" w:space="0" w:color="auto"/>
            </w:tcBorders>
          </w:tcPr>
          <w:p>
            <w:pPr>
              <w:pStyle w:val="TableParagraph"/>
              <w:spacing w:line="240" w:lineRule="auto" w:before="158"/>
              <w:ind w:right="124"/>
              <w:jc w:val="right"/>
              <w:rPr>
                <w:rFonts w:ascii="Arial" w:hAnsi="Arial" w:cs="Arial" w:eastAsia="Arial" w:hint="default"/>
                <w:sz w:val="22"/>
                <w:szCs w:val="22"/>
              </w:rPr>
            </w:pPr>
            <w:r>
              <w:rPr>
                <w:rFonts w:ascii="Arial"/>
                <w:spacing w:val="-1"/>
                <w:sz w:val="22"/>
              </w:rPr>
              <w:t>14,299,836,695</w:t>
            </w:r>
          </w:p>
        </w:tc>
        <w:tc>
          <w:tcPr>
            <w:tcW w:w="102" w:type="dxa"/>
            <w:tcBorders>
              <w:top w:val="nil" w:sz="6" w:space="0" w:color="auto"/>
              <w:left w:val="nil" w:sz="6" w:space="0" w:color="auto"/>
              <w:bottom w:val="nil" w:sz="6" w:space="0" w:color="auto"/>
              <w:right w:val="nil" w:sz="6" w:space="0" w:color="auto"/>
            </w:tcBorders>
          </w:tcPr>
          <w:p>
            <w:pPr/>
          </w:p>
        </w:tc>
        <w:tc>
          <w:tcPr>
            <w:tcW w:w="2378" w:type="dxa"/>
            <w:tcBorders>
              <w:top w:val="nil" w:sz="6" w:space="0" w:color="auto"/>
              <w:left w:val="nil" w:sz="6" w:space="0" w:color="auto"/>
              <w:bottom w:val="single" w:sz="17" w:space="0" w:color="000000"/>
              <w:right w:val="nil" w:sz="6" w:space="0" w:color="auto"/>
            </w:tcBorders>
          </w:tcPr>
          <w:p>
            <w:pPr>
              <w:pStyle w:val="TableParagraph"/>
              <w:spacing w:line="240" w:lineRule="auto" w:before="158"/>
              <w:ind w:right="122"/>
              <w:jc w:val="right"/>
              <w:rPr>
                <w:rFonts w:ascii="Arial" w:hAnsi="Arial" w:cs="Arial" w:eastAsia="Arial" w:hint="default"/>
                <w:sz w:val="22"/>
                <w:szCs w:val="22"/>
              </w:rPr>
            </w:pPr>
            <w:r>
              <w:rPr>
                <w:rFonts w:ascii="Arial"/>
                <w:spacing w:val="-1"/>
                <w:sz w:val="22"/>
              </w:rPr>
              <w:t>12,439,244,269</w:t>
            </w:r>
          </w:p>
        </w:tc>
      </w:tr>
    </w:tbl>
    <w:p>
      <w:pPr>
        <w:spacing w:line="240" w:lineRule="auto" w:before="2"/>
        <w:rPr>
          <w:rFonts w:ascii="宋体" w:hAnsi="宋体" w:cs="宋体" w:eastAsia="宋体" w:hint="default"/>
          <w:sz w:val="14"/>
          <w:szCs w:val="14"/>
        </w:rPr>
      </w:pPr>
    </w:p>
    <w:p>
      <w:pPr>
        <w:pStyle w:val="BodyText"/>
        <w:spacing w:line="240" w:lineRule="auto" w:before="31"/>
        <w:ind w:left="114" w:right="110"/>
        <w:jc w:val="left"/>
      </w:pPr>
      <w:r>
        <w:rPr>
          <w:rFonts w:ascii="Arial" w:hAnsi="Arial" w:cs="Arial" w:eastAsia="Arial" w:hint="default"/>
        </w:rPr>
        <w:t>(a) </w:t>
      </w:r>
      <w:r>
        <w:rPr>
          <w:rFonts w:ascii="Arial" w:hAnsi="Arial" w:cs="Arial" w:eastAsia="Arial" w:hint="default"/>
          <w:spacing w:val="47"/>
        </w:rPr>
        <w:t> </w:t>
      </w:r>
      <w:r>
        <w:rPr/>
        <w:t>本集团应收账款账龄分析如下：</w:t>
      </w:r>
    </w:p>
    <w:p>
      <w:pPr>
        <w:spacing w:line="240" w:lineRule="auto" w:before="2"/>
        <w:rPr>
          <w:rFonts w:ascii="宋体" w:hAnsi="宋体" w:cs="宋体" w:eastAsia="宋体" w:hint="default"/>
          <w:sz w:val="23"/>
          <w:szCs w:val="23"/>
        </w:rPr>
      </w:pPr>
    </w:p>
    <w:tbl>
      <w:tblPr>
        <w:tblW w:w="0" w:type="auto"/>
        <w:jc w:val="left"/>
        <w:tblInd w:w="375" w:type="dxa"/>
        <w:tblLayout w:type="fixed"/>
        <w:tblCellMar>
          <w:top w:w="0" w:type="dxa"/>
          <w:left w:w="0" w:type="dxa"/>
          <w:bottom w:w="0" w:type="dxa"/>
          <w:right w:w="0" w:type="dxa"/>
        </w:tblCellMar>
        <w:tblLook w:val="01E0"/>
      </w:tblPr>
      <w:tblGrid>
        <w:gridCol w:w="4582"/>
        <w:gridCol w:w="2372"/>
        <w:gridCol w:w="102"/>
        <w:gridCol w:w="2396"/>
      </w:tblGrid>
      <w:tr>
        <w:trPr>
          <w:trHeight w:val="260" w:hRule="exact"/>
        </w:trPr>
        <w:tc>
          <w:tcPr>
            <w:tcW w:w="4582"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single" w:sz="6" w:space="0" w:color="000000"/>
              <w:right w:val="nil" w:sz="6" w:space="0" w:color="auto"/>
            </w:tcBorders>
          </w:tcPr>
          <w:p>
            <w:pPr>
              <w:pStyle w:val="TableParagraph"/>
              <w:spacing w:line="235" w:lineRule="exact"/>
              <w:ind w:right="37"/>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02"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single" w:sz="6" w:space="0" w:color="000000"/>
              <w:right w:val="nil" w:sz="6" w:space="0" w:color="auto"/>
            </w:tcBorders>
          </w:tcPr>
          <w:p>
            <w:pPr>
              <w:pStyle w:val="TableParagraph"/>
              <w:spacing w:line="235" w:lineRule="exact"/>
              <w:ind w:right="36"/>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9" w:hRule="exact"/>
        </w:trPr>
        <w:tc>
          <w:tcPr>
            <w:tcW w:w="45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小于</w:t>
            </w:r>
            <w:r>
              <w:rPr>
                <w:rFonts w:ascii="宋体" w:hAnsi="宋体" w:cs="宋体" w:eastAsia="宋体" w:hint="default"/>
                <w:spacing w:val="-56"/>
                <w:sz w:val="22"/>
                <w:szCs w:val="22"/>
              </w:rPr>
              <w:t> </w:t>
            </w:r>
            <w:r>
              <w:rPr>
                <w:rFonts w:ascii="Arial" w:hAnsi="Arial" w:cs="Arial" w:eastAsia="Arial" w:hint="default"/>
                <w:sz w:val="22"/>
                <w:szCs w:val="22"/>
              </w:rPr>
              <w:t>1</w:t>
            </w:r>
            <w:r>
              <w:rPr>
                <w:rFonts w:ascii="Arial" w:hAnsi="Arial" w:cs="Arial" w:eastAsia="Arial" w:hint="default"/>
                <w:spacing w:val="-7"/>
                <w:sz w:val="22"/>
                <w:szCs w:val="22"/>
              </w:rPr>
              <w:t> </w:t>
            </w:r>
            <w:r>
              <w:rPr>
                <w:rFonts w:ascii="宋体" w:hAnsi="宋体" w:cs="宋体" w:eastAsia="宋体" w:hint="default"/>
                <w:sz w:val="22"/>
                <w:szCs w:val="22"/>
              </w:rPr>
              <w:t>个月</w:t>
            </w:r>
          </w:p>
        </w:tc>
        <w:tc>
          <w:tcPr>
            <w:tcW w:w="2372"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76" w:right="0"/>
              <w:jc w:val="left"/>
              <w:rPr>
                <w:rFonts w:ascii="Arial" w:hAnsi="Arial" w:cs="Arial" w:eastAsia="Arial" w:hint="default"/>
                <w:sz w:val="22"/>
                <w:szCs w:val="22"/>
              </w:rPr>
            </w:pPr>
            <w:r>
              <w:rPr>
                <w:rFonts w:ascii="Arial"/>
                <w:sz w:val="22"/>
              </w:rPr>
              <w:t>10,555,653,417</w:t>
            </w:r>
          </w:p>
        </w:tc>
        <w:tc>
          <w:tcPr>
            <w:tcW w:w="102" w:type="dxa"/>
            <w:tcBorders>
              <w:top w:val="nil" w:sz="6" w:space="0" w:color="auto"/>
              <w:left w:val="nil" w:sz="6" w:space="0" w:color="auto"/>
              <w:bottom w:val="nil" w:sz="6" w:space="0" w:color="auto"/>
              <w:right w:val="nil" w:sz="6" w:space="0" w:color="auto"/>
            </w:tcBorders>
          </w:tcPr>
          <w:p>
            <w:pPr/>
          </w:p>
        </w:tc>
        <w:tc>
          <w:tcPr>
            <w:tcW w:w="2396"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31"/>
              <w:jc w:val="right"/>
              <w:rPr>
                <w:rFonts w:ascii="Arial" w:hAnsi="Arial" w:cs="Arial" w:eastAsia="Arial" w:hint="default"/>
                <w:sz w:val="22"/>
                <w:szCs w:val="22"/>
              </w:rPr>
            </w:pPr>
            <w:r>
              <w:rPr>
                <w:rFonts w:ascii="Arial"/>
                <w:spacing w:val="-1"/>
                <w:sz w:val="22"/>
              </w:rPr>
              <w:t>9,172,452,753</w:t>
            </w:r>
          </w:p>
        </w:tc>
      </w:tr>
      <w:tr>
        <w:trPr>
          <w:trHeight w:val="285" w:hRule="exact"/>
        </w:trPr>
        <w:tc>
          <w:tcPr>
            <w:tcW w:w="4582"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1-3</w:t>
            </w:r>
            <w:r>
              <w:rPr>
                <w:rFonts w:ascii="Arial" w:hAnsi="Arial" w:cs="Arial" w:eastAsia="Arial" w:hint="default"/>
                <w:spacing w:val="-8"/>
                <w:sz w:val="22"/>
                <w:szCs w:val="22"/>
              </w:rPr>
              <w:t> </w:t>
            </w:r>
            <w:r>
              <w:rPr>
                <w:rFonts w:ascii="宋体" w:hAnsi="宋体" w:cs="宋体" w:eastAsia="宋体" w:hint="default"/>
                <w:sz w:val="22"/>
                <w:szCs w:val="22"/>
              </w:rPr>
              <w:t>个月</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99" w:right="0"/>
              <w:jc w:val="left"/>
              <w:rPr>
                <w:rFonts w:ascii="Arial" w:hAnsi="Arial" w:cs="Arial" w:eastAsia="Arial" w:hint="default"/>
                <w:sz w:val="22"/>
                <w:szCs w:val="22"/>
              </w:rPr>
            </w:pPr>
            <w:r>
              <w:rPr>
                <w:rFonts w:ascii="Arial"/>
                <w:sz w:val="22"/>
              </w:rPr>
              <w:t>1,181,930,638</w:t>
            </w:r>
          </w:p>
        </w:tc>
        <w:tc>
          <w:tcPr>
            <w:tcW w:w="102"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1"/>
              <w:jc w:val="right"/>
              <w:rPr>
                <w:rFonts w:ascii="Arial" w:hAnsi="Arial" w:cs="Arial" w:eastAsia="Arial" w:hint="default"/>
                <w:sz w:val="22"/>
                <w:szCs w:val="22"/>
              </w:rPr>
            </w:pPr>
            <w:r>
              <w:rPr>
                <w:rFonts w:ascii="Arial"/>
                <w:spacing w:val="-1"/>
                <w:sz w:val="22"/>
              </w:rPr>
              <w:t>1,081,761,445</w:t>
            </w:r>
          </w:p>
        </w:tc>
      </w:tr>
      <w:tr>
        <w:trPr>
          <w:trHeight w:val="286" w:hRule="exact"/>
        </w:trPr>
        <w:tc>
          <w:tcPr>
            <w:tcW w:w="4582"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3-12</w:t>
            </w:r>
            <w:r>
              <w:rPr>
                <w:rFonts w:ascii="Arial" w:hAnsi="Arial" w:cs="Arial" w:eastAsia="Arial" w:hint="default"/>
                <w:spacing w:val="-8"/>
                <w:sz w:val="22"/>
                <w:szCs w:val="22"/>
              </w:rPr>
              <w:t> </w:t>
            </w:r>
            <w:r>
              <w:rPr>
                <w:rFonts w:ascii="宋体" w:hAnsi="宋体" w:cs="宋体" w:eastAsia="宋体" w:hint="default"/>
                <w:sz w:val="22"/>
                <w:szCs w:val="22"/>
              </w:rPr>
              <w:t>个月</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99" w:right="0"/>
              <w:jc w:val="left"/>
              <w:rPr>
                <w:rFonts w:ascii="Arial" w:hAnsi="Arial" w:cs="Arial" w:eastAsia="Arial" w:hint="default"/>
                <w:sz w:val="22"/>
                <w:szCs w:val="22"/>
              </w:rPr>
            </w:pPr>
            <w:r>
              <w:rPr>
                <w:rFonts w:ascii="Arial"/>
                <w:sz w:val="22"/>
              </w:rPr>
              <w:t>3,973,941,404</w:t>
            </w:r>
          </w:p>
        </w:tc>
        <w:tc>
          <w:tcPr>
            <w:tcW w:w="102"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1"/>
              <w:jc w:val="right"/>
              <w:rPr>
                <w:rFonts w:ascii="Arial" w:hAnsi="Arial" w:cs="Arial" w:eastAsia="Arial" w:hint="default"/>
                <w:sz w:val="22"/>
                <w:szCs w:val="22"/>
              </w:rPr>
            </w:pPr>
            <w:r>
              <w:rPr>
                <w:rFonts w:ascii="Arial"/>
                <w:spacing w:val="-1"/>
                <w:sz w:val="22"/>
              </w:rPr>
              <w:t>3,418,275,878</w:t>
            </w:r>
          </w:p>
        </w:tc>
      </w:tr>
      <w:tr>
        <w:trPr>
          <w:trHeight w:val="286" w:hRule="exact"/>
        </w:trPr>
        <w:tc>
          <w:tcPr>
            <w:tcW w:w="4582"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99" w:right="0"/>
              <w:jc w:val="left"/>
              <w:rPr>
                <w:rFonts w:ascii="Arial" w:hAnsi="Arial" w:cs="Arial" w:eastAsia="Arial" w:hint="default"/>
                <w:sz w:val="22"/>
                <w:szCs w:val="22"/>
              </w:rPr>
            </w:pPr>
            <w:r>
              <w:rPr>
                <w:rFonts w:ascii="Arial"/>
                <w:sz w:val="22"/>
              </w:rPr>
              <w:t>1,094,029,075</w:t>
            </w:r>
          </w:p>
        </w:tc>
        <w:tc>
          <w:tcPr>
            <w:tcW w:w="102"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9"/>
              <w:jc w:val="right"/>
              <w:rPr>
                <w:rFonts w:ascii="Arial" w:hAnsi="Arial" w:cs="Arial" w:eastAsia="Arial" w:hint="default"/>
                <w:sz w:val="22"/>
                <w:szCs w:val="22"/>
              </w:rPr>
            </w:pPr>
            <w:r>
              <w:rPr>
                <w:rFonts w:ascii="Arial"/>
                <w:w w:val="95"/>
                <w:sz w:val="22"/>
              </w:rPr>
              <w:t>996,109,971</w:t>
            </w:r>
            <w:r>
              <w:rPr>
                <w:rFonts w:ascii="Arial"/>
                <w:sz w:val="22"/>
              </w:rPr>
            </w:r>
          </w:p>
        </w:tc>
      </w:tr>
      <w:tr>
        <w:trPr>
          <w:trHeight w:val="285" w:hRule="exact"/>
        </w:trPr>
        <w:tc>
          <w:tcPr>
            <w:tcW w:w="4582"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2-3</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83" w:right="0"/>
              <w:jc w:val="left"/>
              <w:rPr>
                <w:rFonts w:ascii="Arial" w:hAnsi="Arial" w:cs="Arial" w:eastAsia="Arial" w:hint="default"/>
                <w:sz w:val="22"/>
                <w:szCs w:val="22"/>
              </w:rPr>
            </w:pPr>
            <w:r>
              <w:rPr>
                <w:rFonts w:ascii="Arial"/>
                <w:sz w:val="22"/>
              </w:rPr>
              <w:t>612,775,499</w:t>
            </w:r>
          </w:p>
        </w:tc>
        <w:tc>
          <w:tcPr>
            <w:tcW w:w="102"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9"/>
              <w:jc w:val="right"/>
              <w:rPr>
                <w:rFonts w:ascii="Arial" w:hAnsi="Arial" w:cs="Arial" w:eastAsia="Arial" w:hint="default"/>
                <w:sz w:val="22"/>
                <w:szCs w:val="22"/>
              </w:rPr>
            </w:pPr>
            <w:r>
              <w:rPr>
                <w:rFonts w:ascii="Arial"/>
                <w:w w:val="95"/>
                <w:sz w:val="22"/>
              </w:rPr>
              <w:t>519,697,156</w:t>
            </w:r>
            <w:r>
              <w:rPr>
                <w:rFonts w:ascii="Arial"/>
                <w:sz w:val="22"/>
              </w:rPr>
            </w:r>
          </w:p>
        </w:tc>
      </w:tr>
      <w:tr>
        <w:trPr>
          <w:trHeight w:val="285" w:hRule="exact"/>
        </w:trPr>
        <w:tc>
          <w:tcPr>
            <w:tcW w:w="4582"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3-4</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83" w:right="0"/>
              <w:jc w:val="left"/>
              <w:rPr>
                <w:rFonts w:ascii="Arial" w:hAnsi="Arial" w:cs="Arial" w:eastAsia="Arial" w:hint="default"/>
                <w:sz w:val="22"/>
                <w:szCs w:val="22"/>
              </w:rPr>
            </w:pPr>
            <w:r>
              <w:rPr>
                <w:rFonts w:ascii="Arial"/>
                <w:sz w:val="22"/>
              </w:rPr>
              <w:t>465,091,246</w:t>
            </w:r>
          </w:p>
        </w:tc>
        <w:tc>
          <w:tcPr>
            <w:tcW w:w="102"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9"/>
              <w:jc w:val="right"/>
              <w:rPr>
                <w:rFonts w:ascii="Arial" w:hAnsi="Arial" w:cs="Arial" w:eastAsia="Arial" w:hint="default"/>
                <w:sz w:val="22"/>
                <w:szCs w:val="22"/>
              </w:rPr>
            </w:pPr>
            <w:r>
              <w:rPr>
                <w:rFonts w:ascii="Arial"/>
                <w:w w:val="95"/>
                <w:sz w:val="22"/>
              </w:rPr>
              <w:t>403,852,398</w:t>
            </w:r>
            <w:r>
              <w:rPr>
                <w:rFonts w:ascii="Arial"/>
                <w:sz w:val="22"/>
              </w:rPr>
            </w:r>
          </w:p>
        </w:tc>
      </w:tr>
      <w:tr>
        <w:trPr>
          <w:trHeight w:val="286" w:hRule="exact"/>
        </w:trPr>
        <w:tc>
          <w:tcPr>
            <w:tcW w:w="4582"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4-5</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83" w:right="0"/>
              <w:jc w:val="left"/>
              <w:rPr>
                <w:rFonts w:ascii="Arial" w:hAnsi="Arial" w:cs="Arial" w:eastAsia="Arial" w:hint="default"/>
                <w:sz w:val="22"/>
                <w:szCs w:val="22"/>
              </w:rPr>
            </w:pPr>
            <w:r>
              <w:rPr>
                <w:rFonts w:ascii="Arial"/>
                <w:sz w:val="22"/>
              </w:rPr>
              <w:t>199,440,458</w:t>
            </w:r>
          </w:p>
        </w:tc>
        <w:tc>
          <w:tcPr>
            <w:tcW w:w="102"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9"/>
              <w:jc w:val="right"/>
              <w:rPr>
                <w:rFonts w:ascii="Arial" w:hAnsi="Arial" w:cs="Arial" w:eastAsia="Arial" w:hint="default"/>
                <w:sz w:val="22"/>
                <w:szCs w:val="22"/>
              </w:rPr>
            </w:pPr>
            <w:r>
              <w:rPr>
                <w:rFonts w:ascii="Arial"/>
                <w:w w:val="95"/>
                <w:sz w:val="22"/>
              </w:rPr>
              <w:t>158,350,147</w:t>
            </w:r>
            <w:r>
              <w:rPr>
                <w:rFonts w:ascii="Arial"/>
                <w:sz w:val="22"/>
              </w:rPr>
            </w:r>
          </w:p>
        </w:tc>
      </w:tr>
      <w:tr>
        <w:trPr>
          <w:trHeight w:val="419" w:hRule="exact"/>
        </w:trPr>
        <w:tc>
          <w:tcPr>
            <w:tcW w:w="4582"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5</w:t>
            </w:r>
            <w:r>
              <w:rPr>
                <w:rFonts w:ascii="Arial" w:hAnsi="Arial" w:cs="Arial" w:eastAsia="Arial" w:hint="default"/>
                <w:spacing w:val="-8"/>
                <w:sz w:val="22"/>
                <w:szCs w:val="22"/>
              </w:rPr>
              <w:t> </w:t>
            </w:r>
            <w:r>
              <w:rPr>
                <w:rFonts w:ascii="宋体" w:hAnsi="宋体" w:cs="宋体" w:eastAsia="宋体" w:hint="default"/>
                <w:sz w:val="22"/>
                <w:szCs w:val="22"/>
              </w:rPr>
              <w:t>年以上</w:t>
            </w:r>
          </w:p>
        </w:tc>
        <w:tc>
          <w:tcPr>
            <w:tcW w:w="2372" w:type="dxa"/>
            <w:tcBorders>
              <w:top w:val="nil" w:sz="6" w:space="0" w:color="auto"/>
              <w:left w:val="nil" w:sz="6" w:space="0" w:color="auto"/>
              <w:bottom w:val="nil" w:sz="6" w:space="0" w:color="auto"/>
              <w:right w:val="nil" w:sz="6" w:space="0" w:color="auto"/>
            </w:tcBorders>
          </w:tcPr>
          <w:p>
            <w:pPr>
              <w:pStyle w:val="TableParagraph"/>
              <w:tabs>
                <w:tab w:pos="983" w:val="left" w:leader="none"/>
                <w:tab w:pos="2371"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295,713,715</w:t>
            </w:r>
            <w:r>
              <w:rPr>
                <w:rFonts w:ascii="Arial"/>
                <w:sz w:val="22"/>
                <w:u w:val="single" w:color="000000"/>
              </w:rPr>
              <w:tab/>
            </w:r>
            <w:r>
              <w:rPr>
                <w:rFonts w:ascii="Arial"/>
                <w:sz w:val="22"/>
              </w:rPr>
            </w:r>
          </w:p>
        </w:tc>
        <w:tc>
          <w:tcPr>
            <w:tcW w:w="102"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tabs>
                <w:tab w:pos="1040" w:val="left" w:leader="none"/>
                <w:tab w:pos="2396"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243,625,362</w:t>
            </w:r>
            <w:r>
              <w:rPr>
                <w:rFonts w:ascii="Arial"/>
                <w:sz w:val="22"/>
                <w:u w:val="single" w:color="000000"/>
              </w:rPr>
              <w:tab/>
            </w:r>
            <w:r>
              <w:rPr>
                <w:rFonts w:ascii="Arial"/>
                <w:sz w:val="22"/>
              </w:rPr>
            </w:r>
          </w:p>
        </w:tc>
      </w:tr>
      <w:tr>
        <w:trPr>
          <w:trHeight w:val="430" w:hRule="exact"/>
        </w:trPr>
        <w:tc>
          <w:tcPr>
            <w:tcW w:w="458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72"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676" w:right="0"/>
              <w:jc w:val="left"/>
              <w:rPr>
                <w:rFonts w:ascii="Arial" w:hAnsi="Arial" w:cs="Arial" w:eastAsia="Arial" w:hint="default"/>
                <w:sz w:val="22"/>
                <w:szCs w:val="22"/>
              </w:rPr>
            </w:pPr>
            <w:r>
              <w:rPr>
                <w:rFonts w:ascii="Arial"/>
                <w:sz w:val="22"/>
              </w:rPr>
              <w:t>18,378,575,452</w:t>
            </w:r>
          </w:p>
        </w:tc>
        <w:tc>
          <w:tcPr>
            <w:tcW w:w="102"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31"/>
              <w:jc w:val="right"/>
              <w:rPr>
                <w:rFonts w:ascii="Arial" w:hAnsi="Arial" w:cs="Arial" w:eastAsia="Arial" w:hint="default"/>
                <w:sz w:val="22"/>
                <w:szCs w:val="22"/>
              </w:rPr>
            </w:pPr>
            <w:r>
              <w:rPr>
                <w:rFonts w:ascii="Arial"/>
                <w:spacing w:val="-1"/>
                <w:sz w:val="22"/>
              </w:rPr>
              <w:t>15,994,125,110</w:t>
            </w:r>
          </w:p>
        </w:tc>
      </w:tr>
    </w:tbl>
    <w:p>
      <w:pPr>
        <w:spacing w:line="240" w:lineRule="auto" w:before="2"/>
        <w:rPr>
          <w:rFonts w:ascii="宋体" w:hAnsi="宋体" w:cs="宋体" w:eastAsia="宋体" w:hint="default"/>
          <w:sz w:val="14"/>
          <w:szCs w:val="14"/>
        </w:rPr>
      </w:pPr>
    </w:p>
    <w:p>
      <w:pPr>
        <w:pStyle w:val="BodyText"/>
        <w:spacing w:line="240" w:lineRule="auto" w:before="31"/>
        <w:ind w:left="114" w:right="110"/>
        <w:jc w:val="left"/>
      </w:pPr>
      <w:r>
        <w:rPr>
          <w:rFonts w:ascii="Arial" w:hAnsi="Arial" w:cs="Arial" w:eastAsia="Arial" w:hint="default"/>
        </w:rPr>
        <w:t>(b) </w:t>
      </w:r>
      <w:r>
        <w:rPr>
          <w:rFonts w:ascii="Arial" w:hAnsi="Arial" w:cs="Arial" w:eastAsia="Arial" w:hint="default"/>
          <w:spacing w:val="47"/>
        </w:rPr>
        <w:t> </w:t>
      </w:r>
      <w:r>
        <w:rPr/>
        <w:t>本集团应收账款按类别分析如下：</w:t>
      </w:r>
    </w:p>
    <w:p>
      <w:pPr>
        <w:spacing w:line="240" w:lineRule="auto" w:before="6"/>
        <w:rPr>
          <w:rFonts w:ascii="宋体" w:hAnsi="宋体" w:cs="宋体" w:eastAsia="宋体" w:hint="default"/>
          <w:sz w:val="22"/>
          <w:szCs w:val="22"/>
        </w:rPr>
      </w:pPr>
    </w:p>
    <w:tbl>
      <w:tblPr>
        <w:tblW w:w="0" w:type="auto"/>
        <w:jc w:val="left"/>
        <w:tblInd w:w="393" w:type="dxa"/>
        <w:tblLayout w:type="fixed"/>
        <w:tblCellMar>
          <w:top w:w="0" w:type="dxa"/>
          <w:left w:w="0" w:type="dxa"/>
          <w:bottom w:w="0" w:type="dxa"/>
          <w:right w:w="0" w:type="dxa"/>
        </w:tblCellMar>
        <w:tblLook w:val="01E0"/>
      </w:tblPr>
      <w:tblGrid>
        <w:gridCol w:w="1775"/>
        <w:gridCol w:w="1265"/>
        <w:gridCol w:w="587"/>
        <w:gridCol w:w="1326"/>
        <w:gridCol w:w="520"/>
        <w:gridCol w:w="1415"/>
        <w:gridCol w:w="606"/>
        <w:gridCol w:w="1250"/>
        <w:gridCol w:w="684"/>
      </w:tblGrid>
      <w:tr>
        <w:trPr>
          <w:trHeight w:val="192" w:hRule="exact"/>
        </w:trPr>
        <w:tc>
          <w:tcPr>
            <w:tcW w:w="4954" w:type="dxa"/>
            <w:gridSpan w:val="4"/>
            <w:tcBorders>
              <w:top w:val="nil" w:sz="6" w:space="0" w:color="auto"/>
              <w:left w:val="nil" w:sz="6" w:space="0" w:color="auto"/>
              <w:bottom w:val="nil" w:sz="6" w:space="0" w:color="auto"/>
              <w:right w:val="nil" w:sz="6" w:space="0" w:color="auto"/>
            </w:tcBorders>
          </w:tcPr>
          <w:p>
            <w:pPr>
              <w:pStyle w:val="TableParagraph"/>
              <w:spacing w:line="171" w:lineRule="exact"/>
              <w:ind w:left="2928" w:right="0"/>
              <w:jc w:val="left"/>
              <w:rPr>
                <w:rFonts w:ascii="宋体" w:hAnsi="宋体" w:cs="宋体" w:eastAsia="宋体" w:hint="default"/>
                <w:sz w:val="16"/>
                <w:szCs w:val="16"/>
              </w:rPr>
            </w:pPr>
            <w:r>
              <w:rPr>
                <w:rFonts w:ascii="Arial" w:hAnsi="Arial" w:cs="Arial" w:eastAsia="Arial" w:hint="default"/>
                <w:sz w:val="16"/>
                <w:szCs w:val="16"/>
              </w:rPr>
              <w:t>2012</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520" w:type="dxa"/>
            <w:tcBorders>
              <w:top w:val="nil" w:sz="6" w:space="0" w:color="auto"/>
              <w:left w:val="nil" w:sz="6" w:space="0" w:color="auto"/>
              <w:bottom w:val="single" w:sz="6" w:space="0" w:color="000000"/>
              <w:right w:val="nil" w:sz="6" w:space="0" w:color="auto"/>
            </w:tcBorders>
          </w:tcPr>
          <w:p>
            <w:pPr/>
          </w:p>
        </w:tc>
        <w:tc>
          <w:tcPr>
            <w:tcW w:w="3271" w:type="dxa"/>
            <w:gridSpan w:val="3"/>
            <w:tcBorders>
              <w:top w:val="nil" w:sz="6" w:space="0" w:color="auto"/>
              <w:left w:val="nil" w:sz="6" w:space="0" w:color="auto"/>
              <w:bottom w:val="single" w:sz="6" w:space="0" w:color="000000"/>
              <w:right w:val="nil" w:sz="6" w:space="0" w:color="auto"/>
            </w:tcBorders>
          </w:tcPr>
          <w:p>
            <w:pPr>
              <w:pStyle w:val="TableParagraph"/>
              <w:spacing w:line="171" w:lineRule="exact"/>
              <w:ind w:left="1327" w:right="0"/>
              <w:jc w:val="left"/>
              <w:rPr>
                <w:rFonts w:ascii="宋体" w:hAnsi="宋体" w:cs="宋体" w:eastAsia="宋体" w:hint="default"/>
                <w:sz w:val="16"/>
                <w:szCs w:val="16"/>
              </w:rPr>
            </w:pPr>
            <w:r>
              <w:rPr>
                <w:rFonts w:ascii="Arial" w:hAnsi="Arial" w:cs="Arial" w:eastAsia="Arial" w:hint="default"/>
                <w:sz w:val="16"/>
                <w:szCs w:val="16"/>
              </w:rPr>
              <w:t>2011</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684" w:type="dxa"/>
            <w:tcBorders>
              <w:top w:val="nil" w:sz="6" w:space="0" w:color="auto"/>
              <w:left w:val="nil" w:sz="6" w:space="0" w:color="auto"/>
              <w:bottom w:val="single" w:sz="6" w:space="0" w:color="000000"/>
              <w:right w:val="nil" w:sz="6" w:space="0" w:color="auto"/>
            </w:tcBorders>
          </w:tcPr>
          <w:p>
            <w:pPr/>
          </w:p>
        </w:tc>
      </w:tr>
      <w:tr>
        <w:trPr>
          <w:trHeight w:val="222" w:hRule="exact"/>
        </w:trPr>
        <w:tc>
          <w:tcPr>
            <w:tcW w:w="1775" w:type="dxa"/>
            <w:tcBorders>
              <w:top w:val="nil" w:sz="6" w:space="0" w:color="auto"/>
              <w:left w:val="nil" w:sz="6" w:space="0" w:color="auto"/>
              <w:bottom w:val="nil" w:sz="6" w:space="0" w:color="auto"/>
              <w:right w:val="nil" w:sz="6" w:space="0" w:color="auto"/>
            </w:tcBorders>
          </w:tcPr>
          <w:p>
            <w:pPr/>
          </w:p>
        </w:tc>
        <w:tc>
          <w:tcPr>
            <w:tcW w:w="1265" w:type="dxa"/>
            <w:tcBorders>
              <w:top w:val="single" w:sz="6" w:space="0" w:color="000000"/>
              <w:left w:val="nil" w:sz="6" w:space="0" w:color="auto"/>
              <w:bottom w:val="single" w:sz="6" w:space="0" w:color="000000"/>
              <w:right w:val="nil" w:sz="6" w:space="0" w:color="auto"/>
            </w:tcBorders>
          </w:tcPr>
          <w:p>
            <w:pPr>
              <w:pStyle w:val="TableParagraph"/>
              <w:spacing w:line="182" w:lineRule="exact"/>
              <w:ind w:right="16"/>
              <w:jc w:val="right"/>
              <w:rPr>
                <w:rFonts w:ascii="宋体" w:hAnsi="宋体" w:cs="宋体" w:eastAsia="宋体" w:hint="default"/>
                <w:sz w:val="16"/>
                <w:szCs w:val="16"/>
              </w:rPr>
            </w:pPr>
            <w:r>
              <w:rPr>
                <w:rFonts w:ascii="宋体" w:hAnsi="宋体" w:cs="宋体" w:eastAsia="宋体" w:hint="default"/>
                <w:w w:val="95"/>
                <w:sz w:val="16"/>
                <w:szCs w:val="16"/>
              </w:rPr>
              <w:t>账面余额</w:t>
            </w:r>
            <w:r>
              <w:rPr>
                <w:rFonts w:ascii="宋体" w:hAnsi="宋体" w:cs="宋体" w:eastAsia="宋体" w:hint="default"/>
                <w:sz w:val="16"/>
                <w:szCs w:val="16"/>
              </w:rPr>
            </w:r>
          </w:p>
        </w:tc>
        <w:tc>
          <w:tcPr>
            <w:tcW w:w="587" w:type="dxa"/>
            <w:tcBorders>
              <w:top w:val="single" w:sz="6" w:space="0" w:color="000000"/>
              <w:left w:val="nil" w:sz="6" w:space="0" w:color="auto"/>
              <w:bottom w:val="single" w:sz="6" w:space="0" w:color="000000"/>
              <w:right w:val="nil" w:sz="6" w:space="0" w:color="auto"/>
            </w:tcBorders>
          </w:tcPr>
          <w:p>
            <w:pPr/>
          </w:p>
        </w:tc>
        <w:tc>
          <w:tcPr>
            <w:tcW w:w="1326" w:type="dxa"/>
            <w:tcBorders>
              <w:top w:val="single" w:sz="6" w:space="0" w:color="000000"/>
              <w:left w:val="nil" w:sz="6" w:space="0" w:color="auto"/>
              <w:bottom w:val="single" w:sz="6" w:space="0" w:color="000000"/>
              <w:right w:val="nil" w:sz="6" w:space="0" w:color="auto"/>
            </w:tcBorders>
          </w:tcPr>
          <w:p>
            <w:pPr>
              <w:pStyle w:val="TableParagraph"/>
              <w:spacing w:line="182" w:lineRule="exact"/>
              <w:ind w:right="41"/>
              <w:jc w:val="right"/>
              <w:rPr>
                <w:rFonts w:ascii="宋体" w:hAnsi="宋体" w:cs="宋体" w:eastAsia="宋体" w:hint="default"/>
                <w:sz w:val="16"/>
                <w:szCs w:val="16"/>
              </w:rPr>
            </w:pPr>
            <w:r>
              <w:rPr>
                <w:rFonts w:ascii="宋体" w:hAnsi="宋体" w:cs="宋体" w:eastAsia="宋体" w:hint="default"/>
                <w:w w:val="95"/>
                <w:sz w:val="16"/>
                <w:szCs w:val="16"/>
              </w:rPr>
              <w:t>坏账准备</w:t>
            </w:r>
            <w:r>
              <w:rPr>
                <w:rFonts w:ascii="宋体" w:hAnsi="宋体" w:cs="宋体" w:eastAsia="宋体" w:hint="default"/>
                <w:sz w:val="16"/>
                <w:szCs w:val="16"/>
              </w:rPr>
            </w:r>
          </w:p>
        </w:tc>
        <w:tc>
          <w:tcPr>
            <w:tcW w:w="520" w:type="dxa"/>
            <w:tcBorders>
              <w:top w:val="single" w:sz="6" w:space="0" w:color="000000"/>
              <w:left w:val="nil" w:sz="6" w:space="0" w:color="auto"/>
              <w:bottom w:val="single" w:sz="6" w:space="0" w:color="000000"/>
              <w:right w:val="nil" w:sz="6" w:space="0" w:color="auto"/>
            </w:tcBorders>
          </w:tcPr>
          <w:p>
            <w:pPr/>
          </w:p>
        </w:tc>
        <w:tc>
          <w:tcPr>
            <w:tcW w:w="1415" w:type="dxa"/>
            <w:tcBorders>
              <w:top w:val="single" w:sz="6" w:space="0" w:color="000000"/>
              <w:left w:val="nil" w:sz="6" w:space="0" w:color="auto"/>
              <w:bottom w:val="single" w:sz="6" w:space="0" w:color="000000"/>
              <w:right w:val="nil" w:sz="6" w:space="0" w:color="auto"/>
            </w:tcBorders>
          </w:tcPr>
          <w:p>
            <w:pPr>
              <w:pStyle w:val="TableParagraph"/>
              <w:spacing w:line="182" w:lineRule="exact"/>
              <w:ind w:right="34"/>
              <w:jc w:val="right"/>
              <w:rPr>
                <w:rFonts w:ascii="宋体" w:hAnsi="宋体" w:cs="宋体" w:eastAsia="宋体" w:hint="default"/>
                <w:sz w:val="16"/>
                <w:szCs w:val="16"/>
              </w:rPr>
            </w:pPr>
            <w:r>
              <w:rPr>
                <w:rFonts w:ascii="宋体" w:hAnsi="宋体" w:cs="宋体" w:eastAsia="宋体" w:hint="default"/>
                <w:w w:val="95"/>
                <w:sz w:val="16"/>
                <w:szCs w:val="16"/>
              </w:rPr>
              <w:t>账面余额</w:t>
            </w:r>
            <w:r>
              <w:rPr>
                <w:rFonts w:ascii="宋体" w:hAnsi="宋体" w:cs="宋体" w:eastAsia="宋体" w:hint="default"/>
                <w:sz w:val="16"/>
                <w:szCs w:val="16"/>
              </w:rPr>
            </w:r>
          </w:p>
        </w:tc>
        <w:tc>
          <w:tcPr>
            <w:tcW w:w="606" w:type="dxa"/>
            <w:tcBorders>
              <w:top w:val="single" w:sz="6" w:space="0" w:color="000000"/>
              <w:left w:val="nil" w:sz="6" w:space="0" w:color="auto"/>
              <w:bottom w:val="single" w:sz="6" w:space="0" w:color="000000"/>
              <w:right w:val="nil" w:sz="6" w:space="0" w:color="auto"/>
            </w:tcBorders>
          </w:tcPr>
          <w:p>
            <w:pPr/>
          </w:p>
        </w:tc>
        <w:tc>
          <w:tcPr>
            <w:tcW w:w="1250" w:type="dxa"/>
            <w:tcBorders>
              <w:top w:val="single" w:sz="6" w:space="0" w:color="000000"/>
              <w:left w:val="nil" w:sz="6" w:space="0" w:color="auto"/>
              <w:bottom w:val="single" w:sz="6" w:space="0" w:color="000000"/>
              <w:right w:val="nil" w:sz="6" w:space="0" w:color="auto"/>
            </w:tcBorders>
          </w:tcPr>
          <w:p>
            <w:pPr>
              <w:pStyle w:val="TableParagraph"/>
              <w:spacing w:line="182" w:lineRule="exact"/>
              <w:ind w:right="104"/>
              <w:jc w:val="right"/>
              <w:rPr>
                <w:rFonts w:ascii="宋体" w:hAnsi="宋体" w:cs="宋体" w:eastAsia="宋体" w:hint="default"/>
                <w:sz w:val="16"/>
                <w:szCs w:val="16"/>
              </w:rPr>
            </w:pPr>
            <w:r>
              <w:rPr>
                <w:rFonts w:ascii="宋体" w:hAnsi="宋体" w:cs="宋体" w:eastAsia="宋体" w:hint="default"/>
                <w:w w:val="95"/>
                <w:sz w:val="16"/>
                <w:szCs w:val="16"/>
              </w:rPr>
              <w:t>坏账准</w:t>
            </w:r>
            <w:r>
              <w:rPr>
                <w:rFonts w:ascii="宋体" w:hAnsi="宋体" w:cs="宋体" w:eastAsia="宋体" w:hint="default"/>
                <w:sz w:val="16"/>
                <w:szCs w:val="16"/>
              </w:rPr>
            </w:r>
          </w:p>
        </w:tc>
        <w:tc>
          <w:tcPr>
            <w:tcW w:w="684" w:type="dxa"/>
            <w:tcBorders>
              <w:top w:val="single" w:sz="6" w:space="0" w:color="000000"/>
              <w:left w:val="nil" w:sz="6" w:space="0" w:color="auto"/>
              <w:bottom w:val="single" w:sz="6" w:space="0" w:color="000000"/>
              <w:right w:val="nil" w:sz="6" w:space="0" w:color="auto"/>
            </w:tcBorders>
          </w:tcPr>
          <w:p>
            <w:pPr>
              <w:pStyle w:val="TableParagraph"/>
              <w:spacing w:line="182" w:lineRule="exact"/>
              <w:ind w:left="-107" w:right="0"/>
              <w:jc w:val="left"/>
              <w:rPr>
                <w:rFonts w:ascii="宋体" w:hAnsi="宋体" w:cs="宋体" w:eastAsia="宋体" w:hint="default"/>
                <w:sz w:val="16"/>
                <w:szCs w:val="16"/>
              </w:rPr>
            </w:pPr>
            <w:r>
              <w:rPr>
                <w:rFonts w:ascii="宋体" w:hAnsi="宋体" w:cs="宋体" w:eastAsia="宋体" w:hint="default"/>
                <w:w w:val="99"/>
                <w:sz w:val="16"/>
                <w:szCs w:val="16"/>
              </w:rPr>
              <w:t>备</w:t>
            </w:r>
            <w:r>
              <w:rPr>
                <w:rFonts w:ascii="宋体" w:hAnsi="宋体" w:cs="宋体" w:eastAsia="宋体" w:hint="default"/>
                <w:sz w:val="16"/>
                <w:szCs w:val="16"/>
              </w:rPr>
            </w:r>
          </w:p>
        </w:tc>
      </w:tr>
      <w:tr>
        <w:trPr>
          <w:trHeight w:val="614" w:hRule="exact"/>
        </w:trPr>
        <w:tc>
          <w:tcPr>
            <w:tcW w:w="1775" w:type="dxa"/>
            <w:tcBorders>
              <w:top w:val="nil" w:sz="6" w:space="0" w:color="auto"/>
              <w:left w:val="nil" w:sz="6" w:space="0" w:color="auto"/>
              <w:bottom w:val="nil" w:sz="6" w:space="0" w:color="auto"/>
              <w:right w:val="nil" w:sz="6" w:space="0" w:color="auto"/>
            </w:tcBorders>
          </w:tcPr>
          <w:p>
            <w:pPr/>
          </w:p>
        </w:tc>
        <w:tc>
          <w:tcPr>
            <w:tcW w:w="1265"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87"/>
              <w:jc w:val="center"/>
              <w:rPr>
                <w:rFonts w:ascii="宋体" w:hAnsi="宋体" w:cs="宋体" w:eastAsia="宋体" w:hint="default"/>
                <w:sz w:val="16"/>
                <w:szCs w:val="16"/>
              </w:rPr>
            </w:pPr>
            <w:r>
              <w:rPr>
                <w:rFonts w:ascii="宋体" w:hAnsi="宋体" w:cs="宋体" w:eastAsia="宋体" w:hint="default"/>
                <w:sz w:val="16"/>
                <w:szCs w:val="16"/>
              </w:rPr>
              <w:t>金额</w:t>
            </w:r>
          </w:p>
        </w:tc>
        <w:tc>
          <w:tcPr>
            <w:tcW w:w="587"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6" w:right="0"/>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40" w:lineRule="auto" w:before="23"/>
              <w:ind w:left="142" w:right="0"/>
              <w:jc w:val="left"/>
              <w:rPr>
                <w:rFonts w:ascii="Arial" w:hAnsi="Arial" w:cs="Arial" w:eastAsia="Arial" w:hint="default"/>
                <w:sz w:val="16"/>
                <w:szCs w:val="16"/>
              </w:rPr>
            </w:pPr>
            <w:r>
              <w:rPr>
                <w:rFonts w:ascii="Arial"/>
                <w:sz w:val="16"/>
              </w:rPr>
              <w:t>(%)</w:t>
            </w:r>
          </w:p>
        </w:tc>
        <w:tc>
          <w:tcPr>
            <w:tcW w:w="1326"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3"/>
              <w:jc w:val="center"/>
              <w:rPr>
                <w:rFonts w:ascii="宋体" w:hAnsi="宋体" w:cs="宋体" w:eastAsia="宋体" w:hint="default"/>
                <w:sz w:val="16"/>
                <w:szCs w:val="16"/>
              </w:rPr>
            </w:pPr>
            <w:r>
              <w:rPr>
                <w:rFonts w:ascii="宋体" w:hAnsi="宋体" w:cs="宋体" w:eastAsia="宋体" w:hint="default"/>
                <w:sz w:val="16"/>
                <w:szCs w:val="16"/>
              </w:rPr>
              <w:t>金额</w:t>
            </w:r>
          </w:p>
        </w:tc>
        <w:tc>
          <w:tcPr>
            <w:tcW w:w="520" w:type="dxa"/>
            <w:tcBorders>
              <w:top w:val="single" w:sz="6" w:space="0" w:color="000000"/>
              <w:left w:val="nil" w:sz="6" w:space="0" w:color="auto"/>
              <w:bottom w:val="single" w:sz="6" w:space="0" w:color="000000"/>
              <w:right w:val="nil" w:sz="6" w:space="0" w:color="auto"/>
            </w:tcBorders>
          </w:tcPr>
          <w:p>
            <w:pPr>
              <w:pStyle w:val="TableParagraph"/>
              <w:spacing w:line="181" w:lineRule="exact"/>
              <w:ind w:left="115" w:right="0"/>
              <w:jc w:val="left"/>
              <w:rPr>
                <w:rFonts w:ascii="宋体" w:hAnsi="宋体" w:cs="宋体" w:eastAsia="宋体" w:hint="default"/>
                <w:sz w:val="16"/>
                <w:szCs w:val="16"/>
              </w:rPr>
            </w:pPr>
            <w:r>
              <w:rPr>
                <w:rFonts w:ascii="宋体" w:hAnsi="宋体" w:cs="宋体" w:eastAsia="宋体" w:hint="default"/>
                <w:sz w:val="16"/>
                <w:szCs w:val="16"/>
              </w:rPr>
              <w:t>计提</w:t>
            </w:r>
          </w:p>
          <w:p>
            <w:pPr>
              <w:pStyle w:val="TableParagraph"/>
              <w:spacing w:line="208" w:lineRule="exact"/>
              <w:ind w:left="115" w:right="0"/>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40" w:lineRule="auto" w:before="23"/>
              <w:ind w:left="151" w:right="0"/>
              <w:jc w:val="left"/>
              <w:rPr>
                <w:rFonts w:ascii="Arial" w:hAnsi="Arial" w:cs="Arial" w:eastAsia="Arial" w:hint="default"/>
                <w:sz w:val="16"/>
                <w:szCs w:val="16"/>
              </w:rPr>
            </w:pPr>
            <w:r>
              <w:rPr>
                <w:rFonts w:ascii="Arial"/>
                <w:sz w:val="16"/>
              </w:rPr>
              <w:t>(%)</w:t>
            </w:r>
          </w:p>
        </w:tc>
        <w:tc>
          <w:tcPr>
            <w:tcW w:w="1415"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6"/>
              <w:jc w:val="center"/>
              <w:rPr>
                <w:rFonts w:ascii="宋体" w:hAnsi="宋体" w:cs="宋体" w:eastAsia="宋体" w:hint="default"/>
                <w:sz w:val="16"/>
                <w:szCs w:val="16"/>
              </w:rPr>
            </w:pPr>
            <w:r>
              <w:rPr>
                <w:rFonts w:ascii="宋体" w:hAnsi="宋体" w:cs="宋体" w:eastAsia="宋体" w:hint="default"/>
                <w:sz w:val="16"/>
                <w:szCs w:val="16"/>
              </w:rPr>
              <w:t>金额</w:t>
            </w:r>
          </w:p>
        </w:tc>
        <w:tc>
          <w:tcPr>
            <w:tcW w:w="60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40" w:lineRule="auto" w:before="23"/>
              <w:ind w:left="158" w:right="0"/>
              <w:jc w:val="left"/>
              <w:rPr>
                <w:rFonts w:ascii="Arial" w:hAnsi="Arial" w:cs="Arial" w:eastAsia="Arial" w:hint="default"/>
                <w:sz w:val="16"/>
                <w:szCs w:val="16"/>
              </w:rPr>
            </w:pPr>
            <w:r>
              <w:rPr>
                <w:rFonts w:ascii="Arial"/>
                <w:sz w:val="16"/>
              </w:rPr>
              <w:t>(%)</w:t>
            </w:r>
          </w:p>
        </w:tc>
        <w:tc>
          <w:tcPr>
            <w:tcW w:w="1250"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6"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684" w:type="dxa"/>
            <w:tcBorders>
              <w:top w:val="single" w:sz="6" w:space="0" w:color="000000"/>
              <w:left w:val="nil" w:sz="6" w:space="0" w:color="auto"/>
              <w:bottom w:val="single" w:sz="6" w:space="0" w:color="000000"/>
              <w:right w:val="nil" w:sz="6" w:space="0" w:color="auto"/>
            </w:tcBorders>
          </w:tcPr>
          <w:p>
            <w:pPr>
              <w:pStyle w:val="TableParagraph"/>
              <w:spacing w:line="181" w:lineRule="exact"/>
              <w:ind w:left="252" w:right="0"/>
              <w:jc w:val="left"/>
              <w:rPr>
                <w:rFonts w:ascii="宋体" w:hAnsi="宋体" w:cs="宋体" w:eastAsia="宋体" w:hint="default"/>
                <w:sz w:val="16"/>
                <w:szCs w:val="16"/>
              </w:rPr>
            </w:pPr>
            <w:r>
              <w:rPr>
                <w:rFonts w:ascii="宋体" w:hAnsi="宋体" w:cs="宋体" w:eastAsia="宋体" w:hint="default"/>
                <w:sz w:val="16"/>
                <w:szCs w:val="16"/>
              </w:rPr>
              <w:t>计提</w:t>
            </w:r>
          </w:p>
          <w:p>
            <w:pPr>
              <w:pStyle w:val="TableParagraph"/>
              <w:spacing w:line="208" w:lineRule="exact"/>
              <w:ind w:left="252" w:right="0"/>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40" w:lineRule="auto" w:before="23"/>
              <w:ind w:left="288" w:right="0"/>
              <w:jc w:val="left"/>
              <w:rPr>
                <w:rFonts w:ascii="Arial" w:hAnsi="Arial" w:cs="Arial" w:eastAsia="Arial" w:hint="default"/>
                <w:sz w:val="16"/>
                <w:szCs w:val="16"/>
              </w:rPr>
            </w:pPr>
            <w:r>
              <w:rPr>
                <w:rFonts w:ascii="Arial"/>
                <w:sz w:val="16"/>
              </w:rPr>
              <w:t>(%)</w:t>
            </w:r>
          </w:p>
        </w:tc>
      </w:tr>
      <w:tr>
        <w:trPr>
          <w:trHeight w:val="614"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60" w:right="133" w:hanging="161"/>
              <w:jc w:val="left"/>
              <w:rPr>
                <w:rFonts w:ascii="宋体" w:hAnsi="宋体" w:cs="宋体" w:eastAsia="宋体" w:hint="default"/>
                <w:sz w:val="16"/>
                <w:szCs w:val="16"/>
              </w:rPr>
            </w:pPr>
            <w:r>
              <w:rPr>
                <w:rFonts w:ascii="宋体" w:hAnsi="宋体" w:cs="宋体" w:eastAsia="宋体" w:hint="default"/>
                <w:sz w:val="16"/>
                <w:szCs w:val="16"/>
              </w:rPr>
              <w:t>单项金额重大并单独</w:t>
            </w:r>
            <w:r>
              <w:rPr>
                <w:rFonts w:ascii="宋体" w:hAnsi="宋体" w:cs="宋体" w:eastAsia="宋体" w:hint="default"/>
                <w:w w:val="99"/>
                <w:sz w:val="16"/>
                <w:szCs w:val="16"/>
              </w:rPr>
              <w:t> </w:t>
            </w:r>
            <w:r>
              <w:rPr>
                <w:rFonts w:ascii="宋体" w:hAnsi="宋体" w:cs="宋体" w:eastAsia="宋体" w:hint="default"/>
                <w:sz w:val="16"/>
                <w:szCs w:val="16"/>
              </w:rPr>
              <w:t>计提坏账准备</w:t>
            </w:r>
          </w:p>
        </w:tc>
        <w:tc>
          <w:tcPr>
            <w:tcW w:w="1265"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47"/>
              <w:jc w:val="right"/>
              <w:rPr>
                <w:rFonts w:ascii="Arial" w:hAnsi="Arial" w:cs="Arial" w:eastAsia="Arial" w:hint="default"/>
                <w:sz w:val="16"/>
                <w:szCs w:val="16"/>
              </w:rPr>
            </w:pPr>
            <w:r>
              <w:rPr>
                <w:rFonts w:ascii="Arial"/>
                <w:w w:val="99"/>
                <w:sz w:val="16"/>
              </w:rPr>
              <w:t>-</w:t>
            </w:r>
            <w:r>
              <w:rPr>
                <w:rFonts w:ascii="Arial"/>
                <w:sz w:val="16"/>
              </w:rPr>
            </w:r>
          </w:p>
        </w:tc>
        <w:tc>
          <w:tcPr>
            <w:tcW w:w="587"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3"/>
              <w:jc w:val="center"/>
              <w:rPr>
                <w:rFonts w:ascii="Arial" w:hAnsi="Arial" w:cs="Arial" w:eastAsia="Arial" w:hint="default"/>
                <w:sz w:val="16"/>
                <w:szCs w:val="16"/>
              </w:rPr>
            </w:pPr>
            <w:r>
              <w:rPr>
                <w:rFonts w:ascii="Arial"/>
                <w:w w:val="99"/>
                <w:sz w:val="16"/>
              </w:rPr>
              <w:t>-</w:t>
            </w:r>
            <w:r>
              <w:rPr>
                <w:rFonts w:ascii="Arial"/>
                <w:sz w:val="16"/>
              </w:rPr>
            </w:r>
          </w:p>
        </w:tc>
        <w:tc>
          <w:tcPr>
            <w:tcW w:w="132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62"/>
              <w:jc w:val="right"/>
              <w:rPr>
                <w:rFonts w:ascii="Arial" w:hAnsi="Arial" w:cs="Arial" w:eastAsia="Arial" w:hint="default"/>
                <w:sz w:val="16"/>
                <w:szCs w:val="16"/>
              </w:rPr>
            </w:pPr>
            <w:r>
              <w:rPr>
                <w:rFonts w:ascii="Arial"/>
                <w:w w:val="99"/>
                <w:sz w:val="16"/>
              </w:rPr>
              <w:t>-</w:t>
            </w:r>
            <w:r>
              <w:rPr>
                <w:rFonts w:ascii="Arial"/>
                <w:sz w:val="16"/>
              </w:rPr>
            </w:r>
          </w:p>
        </w:tc>
        <w:tc>
          <w:tcPr>
            <w:tcW w:w="520"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0"/>
              <w:jc w:val="right"/>
              <w:rPr>
                <w:rFonts w:ascii="Arial" w:hAnsi="Arial" w:cs="Arial" w:eastAsia="Arial" w:hint="default"/>
                <w:sz w:val="16"/>
                <w:szCs w:val="16"/>
              </w:rPr>
            </w:pPr>
            <w:r>
              <w:rPr>
                <w:rFonts w:ascii="Arial"/>
                <w:w w:val="99"/>
                <w:sz w:val="16"/>
              </w:rPr>
              <w:t>-</w:t>
            </w:r>
            <w:r>
              <w:rPr>
                <w:rFonts w:ascii="Arial"/>
                <w:sz w:val="16"/>
              </w:rPr>
            </w:r>
          </w:p>
        </w:tc>
        <w:tc>
          <w:tcPr>
            <w:tcW w:w="1415"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33"/>
              <w:jc w:val="right"/>
              <w:rPr>
                <w:rFonts w:ascii="Arial" w:hAnsi="Arial" w:cs="Arial" w:eastAsia="Arial" w:hint="default"/>
                <w:sz w:val="16"/>
                <w:szCs w:val="16"/>
              </w:rPr>
            </w:pPr>
            <w:r>
              <w:rPr>
                <w:rFonts w:ascii="Arial"/>
                <w:w w:val="99"/>
                <w:sz w:val="16"/>
              </w:rPr>
              <w:t>-</w:t>
            </w:r>
            <w:r>
              <w:rPr>
                <w:rFonts w:ascii="Arial"/>
                <w:sz w:val="16"/>
              </w:rPr>
            </w:r>
          </w:p>
        </w:tc>
        <w:tc>
          <w:tcPr>
            <w:tcW w:w="60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40"/>
              <w:jc w:val="center"/>
              <w:rPr>
                <w:rFonts w:ascii="Arial" w:hAnsi="Arial" w:cs="Arial" w:eastAsia="Arial" w:hint="default"/>
                <w:sz w:val="16"/>
                <w:szCs w:val="16"/>
              </w:rPr>
            </w:pPr>
            <w:r>
              <w:rPr>
                <w:rFonts w:ascii="Arial"/>
                <w:w w:val="99"/>
                <w:sz w:val="16"/>
              </w:rPr>
              <w:t>-</w:t>
            </w:r>
            <w:r>
              <w:rPr>
                <w:rFonts w:ascii="Arial"/>
                <w:sz w:val="16"/>
              </w:rPr>
            </w:r>
          </w:p>
        </w:tc>
        <w:tc>
          <w:tcPr>
            <w:tcW w:w="1250"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1"/>
              <w:jc w:val="right"/>
              <w:rPr>
                <w:rFonts w:ascii="Arial" w:hAnsi="Arial" w:cs="Arial" w:eastAsia="Arial" w:hint="default"/>
                <w:sz w:val="16"/>
                <w:szCs w:val="16"/>
              </w:rPr>
            </w:pPr>
            <w:r>
              <w:rPr>
                <w:rFonts w:ascii="Arial"/>
                <w:w w:val="99"/>
                <w:sz w:val="16"/>
              </w:rPr>
              <w:t>-</w:t>
            </w:r>
            <w:r>
              <w:rPr>
                <w:rFonts w:ascii="Arial"/>
                <w:sz w:val="16"/>
              </w:rPr>
            </w:r>
          </w:p>
        </w:tc>
        <w:tc>
          <w:tcPr>
            <w:tcW w:w="684"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6"/>
                <w:szCs w:val="16"/>
              </w:rPr>
            </w:pPr>
            <w:r>
              <w:rPr>
                <w:rFonts w:ascii="Arial"/>
                <w:w w:val="99"/>
                <w:sz w:val="16"/>
              </w:rPr>
              <w:t>-</w:t>
            </w:r>
            <w:r>
              <w:rPr>
                <w:rFonts w:ascii="Arial"/>
                <w:sz w:val="16"/>
              </w:rPr>
            </w:r>
          </w:p>
        </w:tc>
      </w:tr>
      <w:tr>
        <w:trPr>
          <w:trHeight w:val="208"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174" w:lineRule="exact"/>
              <w:ind w:left="200" w:right="0"/>
              <w:jc w:val="left"/>
              <w:rPr>
                <w:rFonts w:ascii="宋体" w:hAnsi="宋体" w:cs="宋体" w:eastAsia="宋体" w:hint="default"/>
                <w:sz w:val="16"/>
                <w:szCs w:val="16"/>
              </w:rPr>
            </w:pPr>
            <w:r>
              <w:rPr>
                <w:rFonts w:ascii="宋体" w:hAnsi="宋体" w:cs="宋体" w:eastAsia="宋体" w:hint="default"/>
                <w:sz w:val="16"/>
                <w:szCs w:val="16"/>
              </w:rPr>
              <w:t>按组合计提坏账准备</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7" w:right="0"/>
              <w:jc w:val="left"/>
              <w:rPr>
                <w:rFonts w:ascii="Arial" w:hAnsi="Arial" w:cs="Arial" w:eastAsia="Arial" w:hint="default"/>
                <w:sz w:val="16"/>
                <w:szCs w:val="16"/>
              </w:rPr>
            </w:pPr>
            <w:r>
              <w:rPr>
                <w:rFonts w:ascii="Arial"/>
                <w:sz w:val="16"/>
              </w:rPr>
              <w:t>18,378,575,452</w:t>
            </w:r>
          </w:p>
        </w:tc>
        <w:tc>
          <w:tcPr>
            <w:tcW w:w="58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9"/>
              <w:jc w:val="center"/>
              <w:rPr>
                <w:rFonts w:ascii="Arial" w:hAnsi="Arial" w:cs="Arial" w:eastAsia="Arial" w:hint="default"/>
                <w:sz w:val="16"/>
                <w:szCs w:val="16"/>
              </w:rPr>
            </w:pPr>
            <w:r>
              <w:rPr>
                <w:rFonts w:ascii="Arial"/>
                <w:sz w:val="16"/>
              </w:rPr>
              <w:t>100.00</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2"/>
              <w:jc w:val="right"/>
              <w:rPr>
                <w:rFonts w:ascii="Arial" w:hAnsi="Arial" w:cs="Arial" w:eastAsia="Arial" w:hint="default"/>
                <w:sz w:val="16"/>
                <w:szCs w:val="16"/>
              </w:rPr>
            </w:pPr>
            <w:r>
              <w:rPr>
                <w:rFonts w:ascii="Arial"/>
                <w:w w:val="95"/>
                <w:sz w:val="16"/>
              </w:rPr>
              <w:t>(4,078,738,757)</w:t>
            </w:r>
            <w:r>
              <w:rPr>
                <w:rFonts w:ascii="Arial"/>
                <w:sz w:val="16"/>
              </w:rPr>
            </w: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Arial" w:hAnsi="Arial" w:cs="Arial" w:eastAsia="Arial" w:hint="default"/>
                <w:sz w:val="16"/>
                <w:szCs w:val="16"/>
              </w:rPr>
            </w:pPr>
            <w:r>
              <w:rPr>
                <w:rFonts w:ascii="Arial"/>
                <w:w w:val="95"/>
                <w:sz w:val="16"/>
              </w:rPr>
              <w:t>0~100</w:t>
            </w:r>
            <w:r>
              <w:rPr>
                <w:rFonts w:ascii="Arial"/>
                <w:sz w:val="16"/>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66" w:right="0"/>
              <w:jc w:val="left"/>
              <w:rPr>
                <w:rFonts w:ascii="Arial" w:hAnsi="Arial" w:cs="Arial" w:eastAsia="Arial" w:hint="default"/>
                <w:sz w:val="16"/>
                <w:szCs w:val="16"/>
              </w:rPr>
            </w:pPr>
            <w:r>
              <w:rPr>
                <w:rFonts w:ascii="Arial"/>
                <w:sz w:val="16"/>
              </w:rPr>
              <w:t>15,994,125,110</w:t>
            </w: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2"/>
              <w:jc w:val="center"/>
              <w:rPr>
                <w:rFonts w:ascii="Arial" w:hAnsi="Arial" w:cs="Arial" w:eastAsia="Arial" w:hint="default"/>
                <w:sz w:val="16"/>
                <w:szCs w:val="16"/>
              </w:rPr>
            </w:pPr>
            <w:r>
              <w:rPr>
                <w:rFonts w:ascii="Arial"/>
                <w:sz w:val="16"/>
              </w:rPr>
              <w:t>100.00</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8"/>
              <w:jc w:val="right"/>
              <w:rPr>
                <w:rFonts w:ascii="Arial" w:hAnsi="Arial" w:cs="Arial" w:eastAsia="Arial" w:hint="default"/>
                <w:sz w:val="16"/>
                <w:szCs w:val="16"/>
              </w:rPr>
            </w:pPr>
            <w:r>
              <w:rPr>
                <w:rFonts w:ascii="Arial"/>
                <w:w w:val="95"/>
                <w:sz w:val="16"/>
              </w:rPr>
              <w:t>(3,554,880,841)</w:t>
            </w:r>
            <w:r>
              <w:rPr>
                <w:rFonts w:ascii="Arial"/>
                <w:sz w:val="16"/>
              </w:rPr>
            </w:r>
          </w:p>
        </w:tc>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5"/>
              <w:jc w:val="right"/>
              <w:rPr>
                <w:rFonts w:ascii="Arial" w:hAnsi="Arial" w:cs="Arial" w:eastAsia="Arial" w:hint="default"/>
                <w:sz w:val="16"/>
                <w:szCs w:val="16"/>
              </w:rPr>
            </w:pPr>
            <w:r>
              <w:rPr>
                <w:rFonts w:ascii="Arial"/>
                <w:w w:val="95"/>
                <w:sz w:val="16"/>
              </w:rPr>
              <w:t>0~100</w:t>
            </w:r>
            <w:r>
              <w:rPr>
                <w:rFonts w:ascii="Arial"/>
                <w:sz w:val="16"/>
              </w:rPr>
            </w:r>
          </w:p>
        </w:tc>
      </w:tr>
      <w:tr>
        <w:trPr>
          <w:trHeight w:val="515"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173" w:lineRule="exact"/>
              <w:ind w:left="377" w:right="0" w:hanging="178"/>
              <w:jc w:val="left"/>
              <w:rPr>
                <w:rFonts w:ascii="宋体" w:hAnsi="宋体" w:cs="宋体" w:eastAsia="宋体" w:hint="default"/>
                <w:sz w:val="16"/>
                <w:szCs w:val="16"/>
              </w:rPr>
            </w:pPr>
            <w:r>
              <w:rPr>
                <w:rFonts w:ascii="宋体" w:hAnsi="宋体" w:cs="宋体" w:eastAsia="宋体" w:hint="default"/>
                <w:sz w:val="16"/>
                <w:szCs w:val="16"/>
              </w:rPr>
              <w:t>单项金额虽不重大但</w:t>
            </w:r>
          </w:p>
          <w:p>
            <w:pPr>
              <w:pStyle w:val="TableParagraph"/>
              <w:spacing w:line="208" w:lineRule="exact"/>
              <w:ind w:left="377" w:right="0"/>
              <w:jc w:val="left"/>
              <w:rPr>
                <w:rFonts w:ascii="宋体" w:hAnsi="宋体" w:cs="宋体" w:eastAsia="宋体" w:hint="default"/>
                <w:sz w:val="16"/>
                <w:szCs w:val="16"/>
              </w:rPr>
            </w:pPr>
            <w:r>
              <w:rPr>
                <w:rFonts w:ascii="宋体" w:hAnsi="宋体" w:cs="宋体" w:eastAsia="宋体" w:hint="default"/>
                <w:sz w:val="16"/>
                <w:szCs w:val="16"/>
              </w:rPr>
              <w:t>单独计提坏账准备</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tabs>
                <w:tab w:pos="1071" w:val="left" w:leader="none"/>
              </w:tabs>
              <w:spacing w:line="240" w:lineRule="auto"/>
              <w:ind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w:t>
              <w:tab/>
            </w:r>
            <w:r>
              <w:rPr>
                <w:rFonts w:ascii="Arial"/>
                <w:sz w:val="16"/>
              </w:rPr>
            </w:r>
          </w:p>
        </w:tc>
        <w:tc>
          <w:tcPr>
            <w:tcW w:w="5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tabs>
                <w:tab w:pos="239" w:val="left" w:leader="none"/>
                <w:tab w:pos="542" w:val="left" w:leader="none"/>
              </w:tabs>
              <w:spacing w:line="240" w:lineRule="auto"/>
              <w:ind w:left="-12" w:right="42"/>
              <w:jc w:val="center"/>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w:t>
              <w:tab/>
            </w:r>
            <w:r>
              <w:rPr>
                <w:rFonts w:ascii="Arial"/>
                <w:sz w:val="16"/>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tabs>
                <w:tab w:pos="1077" w:val="left" w:leader="none"/>
              </w:tabs>
              <w:spacing w:line="240" w:lineRule="auto"/>
              <w:ind w:right="94"/>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sz w:val="16"/>
                <w:u w:val="single" w:color="000000"/>
              </w:rPr>
              <w:tab/>
            </w:r>
            <w:r>
              <w:rPr>
                <w:rFonts w:ascii="Arial"/>
                <w:sz w:val="16"/>
              </w:rPr>
            </w: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tabs>
                <w:tab w:pos="414" w:val="left" w:leader="none"/>
              </w:tabs>
              <w:spacing w:line="240" w:lineRule="auto"/>
              <w:ind w:left="-21"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sz w:val="16"/>
                <w:u w:val="single" w:color="000000"/>
              </w:rPr>
              <w:tab/>
            </w:r>
            <w:r>
              <w:rPr>
                <w:rFonts w:ascii="Arial"/>
                <w:sz w:val="16"/>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tabs>
                <w:tab w:pos="1136" w:val="left" w:leader="none"/>
                <w:tab w:pos="1251" w:val="left" w:leader="none"/>
              </w:tabs>
              <w:spacing w:line="240" w:lineRule="auto"/>
              <w:ind w:right="71"/>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sz w:val="16"/>
                <w:u w:val="single" w:color="000000"/>
              </w:rPr>
              <w:tab/>
            </w:r>
            <w:r>
              <w:rPr>
                <w:rFonts w:ascii="Arial"/>
                <w:sz w:val="16"/>
              </w:rPr>
            </w: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tabs>
                <w:tab w:pos="253" w:val="left" w:leader="none"/>
                <w:tab w:pos="562" w:val="left" w:leader="none"/>
              </w:tabs>
              <w:spacing w:line="240" w:lineRule="auto"/>
              <w:ind w:right="37"/>
              <w:jc w:val="center"/>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w:t>
              <w:tab/>
            </w:r>
            <w:r>
              <w:rPr>
                <w:rFonts w:ascii="Arial"/>
                <w:sz w:val="16"/>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tabs>
                <w:tab w:pos="1051" w:val="left" w:leader="none"/>
                <w:tab w:pos="1215" w:val="left" w:leader="none"/>
              </w:tabs>
              <w:spacing w:line="240" w:lineRule="auto"/>
              <w:ind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sz w:val="16"/>
                <w:u w:val="single" w:color="000000"/>
              </w:rPr>
              <w:tab/>
            </w:r>
            <w:r>
              <w:rPr>
                <w:rFonts w:ascii="Arial"/>
                <w:sz w:val="16"/>
              </w:rPr>
            </w:r>
          </w:p>
        </w:tc>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tabs>
                <w:tab w:pos="434" w:val="left" w:leader="none"/>
              </w:tabs>
              <w:spacing w:line="240" w:lineRule="auto"/>
              <w:ind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sz w:val="16"/>
                <w:u w:val="single" w:color="000000"/>
              </w:rPr>
              <w:tab/>
            </w:r>
            <w:r>
              <w:rPr>
                <w:rFonts w:ascii="Arial"/>
                <w:sz w:val="16"/>
              </w:rPr>
            </w:r>
          </w:p>
        </w:tc>
      </w:tr>
      <w:tr>
        <w:trPr>
          <w:trHeight w:val="322"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00"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265"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left="27" w:right="0"/>
              <w:jc w:val="left"/>
              <w:rPr>
                <w:rFonts w:ascii="Arial" w:hAnsi="Arial" w:cs="Arial" w:eastAsia="Arial" w:hint="default"/>
                <w:sz w:val="16"/>
                <w:szCs w:val="16"/>
              </w:rPr>
            </w:pPr>
            <w:r>
              <w:rPr>
                <w:rFonts w:ascii="Arial"/>
                <w:sz w:val="16"/>
              </w:rPr>
              <w:t>18,378,575,452</w:t>
            </w:r>
          </w:p>
        </w:tc>
        <w:tc>
          <w:tcPr>
            <w:tcW w:w="587"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right="45"/>
              <w:jc w:val="center"/>
              <w:rPr>
                <w:rFonts w:ascii="Arial" w:hAnsi="Arial" w:cs="Arial" w:eastAsia="Arial" w:hint="default"/>
                <w:sz w:val="16"/>
                <w:szCs w:val="16"/>
              </w:rPr>
            </w:pPr>
            <w:r>
              <w:rPr>
                <w:rFonts w:ascii="Arial"/>
                <w:sz w:val="16"/>
              </w:rPr>
              <w:t>100.00</w:t>
            </w:r>
          </w:p>
        </w:tc>
        <w:tc>
          <w:tcPr>
            <w:tcW w:w="1326"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right="122"/>
              <w:jc w:val="right"/>
              <w:rPr>
                <w:rFonts w:ascii="Arial" w:hAnsi="Arial" w:cs="Arial" w:eastAsia="Arial" w:hint="default"/>
                <w:sz w:val="16"/>
                <w:szCs w:val="16"/>
              </w:rPr>
            </w:pPr>
            <w:r>
              <w:rPr>
                <w:rFonts w:ascii="Arial"/>
                <w:w w:val="95"/>
                <w:sz w:val="16"/>
              </w:rPr>
              <w:t>(4,078,738,757)</w:t>
            </w:r>
            <w:r>
              <w:rPr>
                <w:rFonts w:ascii="Arial"/>
                <w:sz w:val="16"/>
              </w:rPr>
            </w:r>
          </w:p>
        </w:tc>
        <w:tc>
          <w:tcPr>
            <w:tcW w:w="520"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right="26"/>
              <w:jc w:val="right"/>
              <w:rPr>
                <w:rFonts w:ascii="Arial" w:hAnsi="Arial" w:cs="Arial" w:eastAsia="Arial" w:hint="default"/>
                <w:sz w:val="16"/>
                <w:szCs w:val="16"/>
              </w:rPr>
            </w:pPr>
            <w:r>
              <w:rPr>
                <w:rFonts w:ascii="Arial"/>
                <w:w w:val="95"/>
                <w:sz w:val="16"/>
              </w:rPr>
              <w:t>0~100</w:t>
            </w:r>
            <w:r>
              <w:rPr>
                <w:rFonts w:ascii="Arial"/>
                <w:sz w:val="16"/>
              </w:rPr>
            </w:r>
          </w:p>
        </w:tc>
        <w:tc>
          <w:tcPr>
            <w:tcW w:w="1415"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left="166" w:right="0"/>
              <w:jc w:val="left"/>
              <w:rPr>
                <w:rFonts w:ascii="Arial" w:hAnsi="Arial" w:cs="Arial" w:eastAsia="Arial" w:hint="default"/>
                <w:sz w:val="16"/>
                <w:szCs w:val="16"/>
              </w:rPr>
            </w:pPr>
            <w:r>
              <w:rPr>
                <w:rFonts w:ascii="Arial"/>
                <w:sz w:val="16"/>
              </w:rPr>
              <w:t>15,994,125,110</w:t>
            </w:r>
          </w:p>
        </w:tc>
        <w:tc>
          <w:tcPr>
            <w:tcW w:w="606"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right="42"/>
              <w:jc w:val="center"/>
              <w:rPr>
                <w:rFonts w:ascii="Arial" w:hAnsi="Arial" w:cs="Arial" w:eastAsia="Arial" w:hint="default"/>
                <w:sz w:val="16"/>
                <w:szCs w:val="16"/>
              </w:rPr>
            </w:pPr>
            <w:r>
              <w:rPr>
                <w:rFonts w:ascii="Arial"/>
                <w:sz w:val="16"/>
              </w:rPr>
              <w:t>100.00</w:t>
            </w:r>
          </w:p>
        </w:tc>
        <w:tc>
          <w:tcPr>
            <w:tcW w:w="1250"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right="38"/>
              <w:jc w:val="right"/>
              <w:rPr>
                <w:rFonts w:ascii="Arial" w:hAnsi="Arial" w:cs="Arial" w:eastAsia="Arial" w:hint="default"/>
                <w:sz w:val="16"/>
                <w:szCs w:val="16"/>
              </w:rPr>
            </w:pPr>
            <w:r>
              <w:rPr>
                <w:rFonts w:ascii="Arial"/>
                <w:w w:val="95"/>
                <w:sz w:val="16"/>
              </w:rPr>
              <w:t>(3,554,880,841)</w:t>
            </w:r>
            <w:r>
              <w:rPr>
                <w:rFonts w:ascii="Arial"/>
                <w:sz w:val="16"/>
              </w:rPr>
            </w:r>
          </w:p>
        </w:tc>
        <w:tc>
          <w:tcPr>
            <w:tcW w:w="684"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right="25"/>
              <w:jc w:val="right"/>
              <w:rPr>
                <w:rFonts w:ascii="Arial" w:hAnsi="Arial" w:cs="Arial" w:eastAsia="Arial" w:hint="default"/>
                <w:sz w:val="16"/>
                <w:szCs w:val="16"/>
              </w:rPr>
            </w:pPr>
            <w:r>
              <w:rPr>
                <w:rFonts w:ascii="Arial"/>
                <w:w w:val="95"/>
                <w:sz w:val="16"/>
              </w:rPr>
              <w:t>0~100</w:t>
            </w:r>
            <w:r>
              <w:rPr>
                <w:rFonts w:ascii="Arial"/>
                <w:sz w:val="16"/>
              </w:rPr>
            </w:r>
          </w:p>
        </w:tc>
      </w:tr>
    </w:tbl>
    <w:p>
      <w:pPr>
        <w:spacing w:line="240" w:lineRule="auto" w:before="2"/>
        <w:rPr>
          <w:rFonts w:ascii="宋体" w:hAnsi="宋体" w:cs="宋体" w:eastAsia="宋体" w:hint="default"/>
          <w:sz w:val="14"/>
          <w:szCs w:val="14"/>
        </w:rPr>
      </w:pPr>
    </w:p>
    <w:p>
      <w:pPr>
        <w:pStyle w:val="BodyText"/>
        <w:tabs>
          <w:tab w:pos="592" w:val="left" w:leader="none"/>
        </w:tabs>
        <w:spacing w:line="286" w:lineRule="exact" w:before="60"/>
        <w:ind w:left="592" w:right="110" w:hanging="478"/>
        <w:jc w:val="left"/>
      </w:pPr>
      <w:r>
        <w:rPr>
          <w:rFonts w:ascii="Arial" w:hAnsi="Arial" w:cs="Arial" w:eastAsia="Arial" w:hint="default"/>
          <w:w w:val="95"/>
        </w:rPr>
        <w:t>(c)</w:t>
        <w:tab/>
      </w:r>
      <w:r>
        <w:rPr/>
        <w:t>于</w:t>
      </w:r>
      <w:r>
        <w:rPr>
          <w:spacing w:val="-59"/>
        </w:rPr>
        <w:t> </w:t>
      </w:r>
      <w:r>
        <w:rPr>
          <w:rFonts w:ascii="Arial" w:hAnsi="Arial" w:cs="Arial" w:eastAsia="Arial" w:hint="default"/>
        </w:rPr>
        <w:t>2012</w:t>
      </w:r>
      <w:r>
        <w:rPr>
          <w:rFonts w:ascii="Arial" w:hAnsi="Arial" w:cs="Arial" w:eastAsia="Arial" w:hint="default"/>
          <w:spacing w:val="-10"/>
        </w:rPr>
        <w:t> </w:t>
      </w:r>
      <w:r>
        <w:rPr/>
        <w:t>年</w:t>
      </w:r>
      <w:r>
        <w:rPr>
          <w:spacing w:val="-59"/>
        </w:rPr>
        <w:t> </w:t>
      </w:r>
      <w:r>
        <w:rPr>
          <w:rFonts w:ascii="Arial" w:hAnsi="Arial" w:cs="Arial" w:eastAsia="Arial" w:hint="default"/>
        </w:rPr>
        <w:t>12</w:t>
      </w:r>
      <w:r>
        <w:rPr>
          <w:rFonts w:ascii="Arial" w:hAnsi="Arial" w:cs="Arial" w:eastAsia="Arial" w:hint="default"/>
          <w:spacing w:val="-10"/>
        </w:rPr>
        <w:t> </w:t>
      </w:r>
      <w:r>
        <w:rPr/>
        <w:t>月</w:t>
      </w:r>
      <w:r>
        <w:rPr>
          <w:spacing w:val="-59"/>
        </w:rPr>
        <w:t> </w:t>
      </w:r>
      <w:r>
        <w:rPr>
          <w:rFonts w:ascii="Arial" w:hAnsi="Arial" w:cs="Arial" w:eastAsia="Arial" w:hint="default"/>
        </w:rPr>
        <w:t>31</w:t>
      </w:r>
      <w:r>
        <w:rPr>
          <w:rFonts w:ascii="Arial" w:hAnsi="Arial" w:cs="Arial" w:eastAsia="Arial" w:hint="default"/>
          <w:spacing w:val="-10"/>
        </w:rPr>
        <w:t> </w:t>
      </w:r>
      <w:r>
        <w:rPr/>
        <w:t>日，无单项金额重大并单独计提坏账准备的应收账款、或虽不重大但单独计</w:t>
      </w:r>
      <w:r>
        <w:rPr>
          <w:w w:val="99"/>
        </w:rPr>
        <w:t> </w:t>
      </w:r>
      <w:r>
        <w:rPr/>
        <w:t>提坏账准备的应收账款。</w:t>
      </w:r>
    </w:p>
    <w:p>
      <w:pPr>
        <w:spacing w:after="0" w:line="286" w:lineRule="exact"/>
        <w:jc w:val="left"/>
        <w:sectPr>
          <w:headerReference w:type="default" r:id="rId81"/>
          <w:footerReference w:type="default" r:id="rId82"/>
          <w:pgSz w:w="11910" w:h="16840"/>
          <w:pgMar w:header="1189" w:footer="457" w:top="3040" w:bottom="640" w:left="1240" w:right="740"/>
          <w:pgNumType w:start="101"/>
        </w:sectPr>
      </w:pPr>
    </w:p>
    <w:p>
      <w:pPr>
        <w:spacing w:line="240" w:lineRule="auto" w:before="11"/>
        <w:rPr>
          <w:rFonts w:ascii="宋体" w:hAnsi="宋体" w:cs="宋体" w:eastAsia="宋体" w:hint="default"/>
          <w:sz w:val="22"/>
          <w:szCs w:val="22"/>
        </w:rPr>
      </w:pPr>
    </w:p>
    <w:tbl>
      <w:tblPr>
        <w:tblW w:w="0" w:type="auto"/>
        <w:jc w:val="left"/>
        <w:tblInd w:w="405" w:type="dxa"/>
        <w:tblLayout w:type="fixed"/>
        <w:tblCellMar>
          <w:top w:w="0" w:type="dxa"/>
          <w:left w:w="0" w:type="dxa"/>
          <w:bottom w:w="0" w:type="dxa"/>
          <w:right w:w="0" w:type="dxa"/>
        </w:tblCellMar>
        <w:tblLook w:val="01E0"/>
      </w:tblPr>
      <w:tblGrid>
        <w:gridCol w:w="1025"/>
        <w:gridCol w:w="1321"/>
        <w:gridCol w:w="625"/>
        <w:gridCol w:w="1415"/>
        <w:gridCol w:w="737"/>
        <w:gridCol w:w="1364"/>
        <w:gridCol w:w="689"/>
        <w:gridCol w:w="1291"/>
        <w:gridCol w:w="810"/>
      </w:tblGrid>
      <w:tr>
        <w:trPr>
          <w:trHeight w:val="191" w:hRule="exact"/>
        </w:trPr>
        <w:tc>
          <w:tcPr>
            <w:tcW w:w="4387" w:type="dxa"/>
            <w:gridSpan w:val="4"/>
            <w:tcBorders>
              <w:top w:val="nil" w:sz="6" w:space="0" w:color="auto"/>
              <w:left w:val="nil" w:sz="6" w:space="0" w:color="auto"/>
              <w:bottom w:val="nil" w:sz="6" w:space="0" w:color="auto"/>
              <w:right w:val="nil" w:sz="6" w:space="0" w:color="auto"/>
            </w:tcBorders>
          </w:tcPr>
          <w:p>
            <w:pPr>
              <w:pStyle w:val="TableParagraph"/>
              <w:spacing w:line="171" w:lineRule="exact"/>
              <w:ind w:left="2359" w:right="0"/>
              <w:jc w:val="left"/>
              <w:rPr>
                <w:rFonts w:ascii="宋体" w:hAnsi="宋体" w:cs="宋体" w:eastAsia="宋体" w:hint="default"/>
                <w:sz w:val="16"/>
                <w:szCs w:val="16"/>
              </w:rPr>
            </w:pPr>
            <w:r>
              <w:rPr>
                <w:rFonts w:ascii="Arial" w:hAnsi="Arial" w:cs="Arial" w:eastAsia="Arial" w:hint="default"/>
                <w:sz w:val="16"/>
                <w:szCs w:val="16"/>
              </w:rPr>
              <w:t>2012</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737" w:type="dxa"/>
            <w:tcBorders>
              <w:top w:val="nil" w:sz="6" w:space="0" w:color="auto"/>
              <w:left w:val="nil" w:sz="6" w:space="0" w:color="auto"/>
              <w:bottom w:val="single" w:sz="6" w:space="0" w:color="000000"/>
              <w:right w:val="nil" w:sz="6" w:space="0" w:color="auto"/>
            </w:tcBorders>
          </w:tcPr>
          <w:p>
            <w:pPr/>
          </w:p>
        </w:tc>
        <w:tc>
          <w:tcPr>
            <w:tcW w:w="1364" w:type="dxa"/>
            <w:tcBorders>
              <w:top w:val="nil" w:sz="6" w:space="0" w:color="auto"/>
              <w:left w:val="nil" w:sz="6" w:space="0" w:color="auto"/>
              <w:bottom w:val="single" w:sz="6" w:space="0" w:color="000000"/>
              <w:right w:val="nil" w:sz="6" w:space="0" w:color="auto"/>
            </w:tcBorders>
          </w:tcPr>
          <w:p>
            <w:pPr/>
          </w:p>
        </w:tc>
        <w:tc>
          <w:tcPr>
            <w:tcW w:w="1980" w:type="dxa"/>
            <w:gridSpan w:val="2"/>
            <w:tcBorders>
              <w:top w:val="nil" w:sz="6" w:space="0" w:color="auto"/>
              <w:left w:val="nil" w:sz="6" w:space="0" w:color="auto"/>
              <w:bottom w:val="single" w:sz="6" w:space="0" w:color="000000"/>
              <w:right w:val="nil" w:sz="6" w:space="0" w:color="auto"/>
            </w:tcBorders>
          </w:tcPr>
          <w:p>
            <w:pPr>
              <w:pStyle w:val="TableParagraph"/>
              <w:spacing w:line="171" w:lineRule="exact"/>
              <w:ind w:left="35" w:right="0"/>
              <w:jc w:val="left"/>
              <w:rPr>
                <w:rFonts w:ascii="宋体" w:hAnsi="宋体" w:cs="宋体" w:eastAsia="宋体" w:hint="default"/>
                <w:sz w:val="16"/>
                <w:szCs w:val="16"/>
              </w:rPr>
            </w:pPr>
            <w:r>
              <w:rPr>
                <w:rFonts w:ascii="Arial" w:hAnsi="Arial" w:cs="Arial" w:eastAsia="Arial" w:hint="default"/>
                <w:sz w:val="16"/>
                <w:szCs w:val="16"/>
              </w:rPr>
              <w:t>2011</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810" w:type="dxa"/>
            <w:tcBorders>
              <w:top w:val="nil" w:sz="6" w:space="0" w:color="auto"/>
              <w:left w:val="nil" w:sz="6" w:space="0" w:color="auto"/>
              <w:bottom w:val="single" w:sz="6" w:space="0" w:color="000000"/>
              <w:right w:val="nil" w:sz="6" w:space="0" w:color="auto"/>
            </w:tcBorders>
          </w:tcPr>
          <w:p>
            <w:pPr/>
          </w:p>
        </w:tc>
      </w:tr>
      <w:tr>
        <w:trPr>
          <w:trHeight w:val="223" w:hRule="exact"/>
        </w:trPr>
        <w:tc>
          <w:tcPr>
            <w:tcW w:w="1025" w:type="dxa"/>
            <w:tcBorders>
              <w:top w:val="nil" w:sz="6" w:space="0" w:color="auto"/>
              <w:left w:val="nil" w:sz="6" w:space="0" w:color="auto"/>
              <w:bottom w:val="nil" w:sz="6" w:space="0" w:color="auto"/>
              <w:right w:val="nil" w:sz="6" w:space="0" w:color="auto"/>
            </w:tcBorders>
          </w:tcPr>
          <w:p>
            <w:pPr/>
          </w:p>
        </w:tc>
        <w:tc>
          <w:tcPr>
            <w:tcW w:w="1321" w:type="dxa"/>
            <w:tcBorders>
              <w:top w:val="single" w:sz="6" w:space="0" w:color="000000"/>
              <w:left w:val="nil" w:sz="6" w:space="0" w:color="auto"/>
              <w:bottom w:val="single" w:sz="6" w:space="0" w:color="000000"/>
              <w:right w:val="nil" w:sz="6" w:space="0" w:color="auto"/>
            </w:tcBorders>
          </w:tcPr>
          <w:p>
            <w:pPr>
              <w:pStyle w:val="TableParagraph"/>
              <w:spacing w:line="183" w:lineRule="exact"/>
              <w:ind w:left="653"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625" w:type="dxa"/>
            <w:tcBorders>
              <w:top w:val="single" w:sz="6" w:space="0" w:color="000000"/>
              <w:left w:val="nil" w:sz="6" w:space="0" w:color="auto"/>
              <w:bottom w:val="single" w:sz="6" w:space="0" w:color="000000"/>
              <w:right w:val="nil" w:sz="6" w:space="0" w:color="auto"/>
            </w:tcBorders>
          </w:tcPr>
          <w:p>
            <w:pPr/>
          </w:p>
        </w:tc>
        <w:tc>
          <w:tcPr>
            <w:tcW w:w="1415" w:type="dxa"/>
            <w:tcBorders>
              <w:top w:val="single" w:sz="6" w:space="0" w:color="000000"/>
              <w:left w:val="nil" w:sz="6" w:space="0" w:color="auto"/>
              <w:bottom w:val="single" w:sz="6" w:space="0" w:color="000000"/>
              <w:right w:val="nil" w:sz="6" w:space="0" w:color="auto"/>
            </w:tcBorders>
          </w:tcPr>
          <w:p>
            <w:pPr>
              <w:pStyle w:val="TableParagraph"/>
              <w:spacing w:line="183" w:lineRule="exact"/>
              <w:ind w:left="779" w:right="-4"/>
              <w:jc w:val="left"/>
              <w:rPr>
                <w:rFonts w:ascii="宋体" w:hAnsi="宋体" w:cs="宋体" w:eastAsia="宋体" w:hint="default"/>
                <w:sz w:val="16"/>
                <w:szCs w:val="16"/>
              </w:rPr>
            </w:pPr>
            <w:r>
              <w:rPr>
                <w:rFonts w:ascii="宋体" w:hAnsi="宋体" w:cs="宋体" w:eastAsia="宋体" w:hint="default"/>
                <w:w w:val="95"/>
                <w:sz w:val="16"/>
                <w:szCs w:val="16"/>
              </w:rPr>
              <w:t>坏账准备</w:t>
            </w:r>
            <w:r>
              <w:rPr>
                <w:rFonts w:ascii="宋体" w:hAnsi="宋体" w:cs="宋体" w:eastAsia="宋体" w:hint="default"/>
                <w:sz w:val="16"/>
                <w:szCs w:val="16"/>
              </w:rPr>
            </w:r>
          </w:p>
        </w:tc>
        <w:tc>
          <w:tcPr>
            <w:tcW w:w="737" w:type="dxa"/>
            <w:tcBorders>
              <w:top w:val="single" w:sz="6" w:space="0" w:color="000000"/>
              <w:left w:val="nil" w:sz="6" w:space="0" w:color="auto"/>
              <w:bottom w:val="single" w:sz="6" w:space="0" w:color="000000"/>
              <w:right w:val="nil" w:sz="6" w:space="0" w:color="auto"/>
            </w:tcBorders>
          </w:tcPr>
          <w:p>
            <w:pPr/>
          </w:p>
        </w:tc>
        <w:tc>
          <w:tcPr>
            <w:tcW w:w="1364" w:type="dxa"/>
            <w:tcBorders>
              <w:top w:val="single" w:sz="6" w:space="0" w:color="000000"/>
              <w:left w:val="nil" w:sz="6" w:space="0" w:color="auto"/>
              <w:bottom w:val="single" w:sz="6" w:space="0" w:color="000000"/>
              <w:right w:val="nil" w:sz="6" w:space="0" w:color="auto"/>
            </w:tcBorders>
          </w:tcPr>
          <w:p>
            <w:pPr>
              <w:pStyle w:val="TableParagraph"/>
              <w:spacing w:line="183" w:lineRule="exact"/>
              <w:ind w:left="695"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689" w:type="dxa"/>
            <w:tcBorders>
              <w:top w:val="single" w:sz="6" w:space="0" w:color="000000"/>
              <w:left w:val="nil" w:sz="6" w:space="0" w:color="auto"/>
              <w:bottom w:val="single" w:sz="6" w:space="0" w:color="000000"/>
              <w:right w:val="nil" w:sz="6" w:space="0" w:color="auto"/>
            </w:tcBorders>
          </w:tcPr>
          <w:p>
            <w:pPr/>
          </w:p>
        </w:tc>
        <w:tc>
          <w:tcPr>
            <w:tcW w:w="2101" w:type="dxa"/>
            <w:gridSpan w:val="2"/>
            <w:tcBorders>
              <w:top w:val="single" w:sz="6" w:space="0" w:color="000000"/>
              <w:left w:val="nil" w:sz="6" w:space="0" w:color="auto"/>
              <w:bottom w:val="single" w:sz="6" w:space="0" w:color="000000"/>
              <w:right w:val="nil" w:sz="6" w:space="0" w:color="auto"/>
            </w:tcBorders>
          </w:tcPr>
          <w:p>
            <w:pPr>
              <w:pStyle w:val="TableParagraph"/>
              <w:spacing w:line="183" w:lineRule="exact"/>
              <w:ind w:left="15" w:right="0"/>
              <w:jc w:val="center"/>
              <w:rPr>
                <w:rFonts w:ascii="宋体" w:hAnsi="宋体" w:cs="宋体" w:eastAsia="宋体" w:hint="default"/>
                <w:sz w:val="16"/>
                <w:szCs w:val="16"/>
              </w:rPr>
            </w:pPr>
            <w:r>
              <w:rPr>
                <w:rFonts w:ascii="宋体" w:hAnsi="宋体" w:cs="宋体" w:eastAsia="宋体" w:hint="default"/>
                <w:sz w:val="16"/>
                <w:szCs w:val="16"/>
              </w:rPr>
              <w:t>坏账准备</w:t>
            </w:r>
          </w:p>
        </w:tc>
      </w:tr>
      <w:tr>
        <w:trPr>
          <w:trHeight w:val="407" w:hRule="exact"/>
        </w:trPr>
        <w:tc>
          <w:tcPr>
            <w:tcW w:w="1025" w:type="dxa"/>
            <w:tcBorders>
              <w:top w:val="nil" w:sz="6" w:space="0" w:color="auto"/>
              <w:left w:val="nil" w:sz="6" w:space="0" w:color="auto"/>
              <w:bottom w:val="nil" w:sz="6" w:space="0" w:color="auto"/>
              <w:right w:val="nil" w:sz="6" w:space="0" w:color="auto"/>
            </w:tcBorders>
          </w:tcPr>
          <w:p>
            <w:pPr/>
          </w:p>
        </w:tc>
        <w:tc>
          <w:tcPr>
            <w:tcW w:w="1321" w:type="dxa"/>
            <w:tcBorders>
              <w:top w:val="single" w:sz="6" w:space="0" w:color="000000"/>
              <w:left w:val="nil" w:sz="6" w:space="0" w:color="auto"/>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428" w:right="0"/>
              <w:jc w:val="left"/>
              <w:rPr>
                <w:rFonts w:ascii="宋体" w:hAnsi="宋体" w:cs="宋体" w:eastAsia="宋体" w:hint="default"/>
                <w:sz w:val="16"/>
                <w:szCs w:val="16"/>
              </w:rPr>
            </w:pPr>
            <w:r>
              <w:rPr>
                <w:rFonts w:ascii="宋体" w:hAnsi="宋体" w:cs="宋体" w:eastAsia="宋体" w:hint="default"/>
                <w:sz w:val="16"/>
                <w:szCs w:val="16"/>
              </w:rPr>
              <w:t>金额</w:t>
            </w:r>
          </w:p>
        </w:tc>
        <w:tc>
          <w:tcPr>
            <w:tcW w:w="625" w:type="dxa"/>
            <w:tcBorders>
              <w:top w:val="single" w:sz="6" w:space="0" w:color="000000"/>
              <w:left w:val="nil" w:sz="6" w:space="0" w:color="auto"/>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6"/>
              <w:jc w:val="right"/>
              <w:rPr>
                <w:rFonts w:ascii="Arial" w:hAnsi="Arial" w:cs="Arial" w:eastAsia="Arial" w:hint="default"/>
                <w:sz w:val="16"/>
                <w:szCs w:val="16"/>
              </w:rPr>
            </w:pPr>
            <w:r>
              <w:rPr>
                <w:rFonts w:ascii="宋体" w:hAnsi="宋体" w:cs="宋体" w:eastAsia="宋体" w:hint="default"/>
                <w:w w:val="95"/>
                <w:sz w:val="16"/>
                <w:szCs w:val="16"/>
              </w:rPr>
              <w:t>比例</w:t>
            </w:r>
            <w:r>
              <w:rPr>
                <w:rFonts w:ascii="Arial" w:hAnsi="Arial" w:cs="Arial" w:eastAsia="Arial" w:hint="default"/>
                <w:w w:val="95"/>
                <w:sz w:val="16"/>
                <w:szCs w:val="16"/>
              </w:rPr>
              <w:t>(%)</w:t>
            </w:r>
            <w:r>
              <w:rPr>
                <w:rFonts w:ascii="Arial" w:hAnsi="Arial" w:cs="Arial" w:eastAsia="Arial" w:hint="default"/>
                <w:sz w:val="16"/>
                <w:szCs w:val="16"/>
              </w:rPr>
            </w:r>
          </w:p>
        </w:tc>
        <w:tc>
          <w:tcPr>
            <w:tcW w:w="1415" w:type="dxa"/>
            <w:tcBorders>
              <w:top w:val="single" w:sz="6" w:space="0" w:color="000000"/>
              <w:left w:val="nil" w:sz="6" w:space="0" w:color="auto"/>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55"/>
              <w:jc w:val="center"/>
              <w:rPr>
                <w:rFonts w:ascii="宋体" w:hAnsi="宋体" w:cs="宋体" w:eastAsia="宋体" w:hint="default"/>
                <w:sz w:val="16"/>
                <w:szCs w:val="16"/>
              </w:rPr>
            </w:pPr>
            <w:r>
              <w:rPr>
                <w:rFonts w:ascii="宋体" w:hAnsi="宋体" w:cs="宋体" w:eastAsia="宋体" w:hint="default"/>
                <w:sz w:val="16"/>
                <w:szCs w:val="16"/>
              </w:rPr>
              <w:t>金额</w:t>
            </w:r>
          </w:p>
        </w:tc>
        <w:tc>
          <w:tcPr>
            <w:tcW w:w="737" w:type="dxa"/>
            <w:tcBorders>
              <w:top w:val="single" w:sz="6" w:space="0" w:color="000000"/>
              <w:left w:val="nil" w:sz="6" w:space="0" w:color="auto"/>
              <w:bottom w:val="single" w:sz="6" w:space="0" w:color="000000"/>
              <w:right w:val="nil" w:sz="6" w:space="0" w:color="auto"/>
            </w:tcBorders>
          </w:tcPr>
          <w:p>
            <w:pPr>
              <w:pStyle w:val="TableParagraph"/>
              <w:spacing w:line="182" w:lineRule="exact"/>
              <w:ind w:left="-4" w:right="101"/>
              <w:jc w:val="center"/>
              <w:rPr>
                <w:rFonts w:ascii="宋体" w:hAnsi="宋体" w:cs="宋体" w:eastAsia="宋体" w:hint="default"/>
                <w:sz w:val="16"/>
                <w:szCs w:val="16"/>
              </w:rPr>
            </w:pPr>
            <w:r>
              <w:rPr>
                <w:rFonts w:ascii="宋体" w:hAnsi="宋体" w:cs="宋体" w:eastAsia="宋体" w:hint="default"/>
                <w:w w:val="95"/>
                <w:sz w:val="16"/>
                <w:szCs w:val="16"/>
              </w:rPr>
              <w:t>计提比例</w:t>
            </w:r>
            <w:r>
              <w:rPr>
                <w:rFonts w:ascii="宋体" w:hAnsi="宋体" w:cs="宋体" w:eastAsia="宋体" w:hint="default"/>
                <w:sz w:val="16"/>
                <w:szCs w:val="16"/>
              </w:rPr>
            </w:r>
          </w:p>
          <w:p>
            <w:pPr>
              <w:pStyle w:val="TableParagraph"/>
              <w:spacing w:line="240" w:lineRule="auto" w:before="23"/>
              <w:ind w:right="103"/>
              <w:jc w:val="center"/>
              <w:rPr>
                <w:rFonts w:ascii="Arial" w:hAnsi="Arial" w:cs="Arial" w:eastAsia="Arial" w:hint="default"/>
                <w:sz w:val="16"/>
                <w:szCs w:val="16"/>
              </w:rPr>
            </w:pPr>
            <w:r>
              <w:rPr>
                <w:rFonts w:ascii="Arial"/>
                <w:sz w:val="16"/>
              </w:rPr>
              <w:t>(%)</w:t>
            </w:r>
          </w:p>
        </w:tc>
        <w:tc>
          <w:tcPr>
            <w:tcW w:w="1364" w:type="dxa"/>
            <w:tcBorders>
              <w:top w:val="single" w:sz="6" w:space="0" w:color="000000"/>
              <w:left w:val="nil" w:sz="6" w:space="0" w:color="auto"/>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117"/>
              <w:jc w:val="center"/>
              <w:rPr>
                <w:rFonts w:ascii="宋体" w:hAnsi="宋体" w:cs="宋体" w:eastAsia="宋体" w:hint="default"/>
                <w:sz w:val="16"/>
                <w:szCs w:val="16"/>
              </w:rPr>
            </w:pPr>
            <w:r>
              <w:rPr>
                <w:rFonts w:ascii="宋体" w:hAnsi="宋体" w:cs="宋体" w:eastAsia="宋体" w:hint="default"/>
                <w:sz w:val="16"/>
                <w:szCs w:val="16"/>
              </w:rPr>
              <w:t>金额</w:t>
            </w:r>
          </w:p>
        </w:tc>
        <w:tc>
          <w:tcPr>
            <w:tcW w:w="689" w:type="dxa"/>
            <w:tcBorders>
              <w:top w:val="single" w:sz="6" w:space="0" w:color="000000"/>
              <w:left w:val="nil" w:sz="6" w:space="0" w:color="auto"/>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29" w:right="0"/>
              <w:jc w:val="left"/>
              <w:rPr>
                <w:rFonts w:ascii="Arial" w:hAnsi="Arial" w:cs="Arial" w:eastAsia="Arial" w:hint="default"/>
                <w:sz w:val="16"/>
                <w:szCs w:val="16"/>
              </w:rPr>
            </w:pPr>
            <w:r>
              <w:rPr>
                <w:rFonts w:ascii="宋体" w:hAnsi="宋体" w:cs="宋体" w:eastAsia="宋体" w:hint="default"/>
                <w:sz w:val="16"/>
                <w:szCs w:val="16"/>
              </w:rPr>
              <w:t>比例</w:t>
            </w:r>
            <w:r>
              <w:rPr>
                <w:rFonts w:ascii="Arial" w:hAnsi="Arial" w:cs="Arial" w:eastAsia="Arial" w:hint="default"/>
                <w:sz w:val="16"/>
                <w:szCs w:val="16"/>
              </w:rPr>
              <w:t>(%)</w:t>
            </w:r>
          </w:p>
        </w:tc>
        <w:tc>
          <w:tcPr>
            <w:tcW w:w="1291" w:type="dxa"/>
            <w:tcBorders>
              <w:top w:val="single" w:sz="6" w:space="0" w:color="000000"/>
              <w:left w:val="nil" w:sz="6" w:space="0" w:color="auto"/>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14"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810" w:type="dxa"/>
            <w:tcBorders>
              <w:top w:val="single" w:sz="6" w:space="0" w:color="000000"/>
              <w:left w:val="nil" w:sz="6" w:space="0" w:color="auto"/>
              <w:bottom w:val="single" w:sz="6" w:space="0" w:color="000000"/>
              <w:right w:val="nil" w:sz="6" w:space="0" w:color="auto"/>
            </w:tcBorders>
          </w:tcPr>
          <w:p>
            <w:pPr>
              <w:pStyle w:val="TableParagraph"/>
              <w:spacing w:line="182" w:lineRule="exact"/>
              <w:ind w:left="90" w:right="0"/>
              <w:jc w:val="center"/>
              <w:rPr>
                <w:rFonts w:ascii="宋体" w:hAnsi="宋体" w:cs="宋体" w:eastAsia="宋体" w:hint="default"/>
                <w:sz w:val="16"/>
                <w:szCs w:val="16"/>
              </w:rPr>
            </w:pPr>
            <w:r>
              <w:rPr>
                <w:rFonts w:ascii="宋体" w:hAnsi="宋体" w:cs="宋体" w:eastAsia="宋体" w:hint="default"/>
                <w:sz w:val="16"/>
                <w:szCs w:val="16"/>
              </w:rPr>
              <w:t>计提比例</w:t>
            </w:r>
          </w:p>
          <w:p>
            <w:pPr>
              <w:pStyle w:val="TableParagraph"/>
              <w:spacing w:line="240" w:lineRule="auto" w:before="23"/>
              <w:ind w:left="89" w:right="0"/>
              <w:jc w:val="center"/>
              <w:rPr>
                <w:rFonts w:ascii="Arial" w:hAnsi="Arial" w:cs="Arial" w:eastAsia="Arial" w:hint="default"/>
                <w:sz w:val="16"/>
                <w:szCs w:val="16"/>
              </w:rPr>
            </w:pPr>
            <w:r>
              <w:rPr>
                <w:rFonts w:ascii="Arial"/>
                <w:sz w:val="16"/>
              </w:rPr>
              <w:t>(%)</w:t>
            </w:r>
          </w:p>
        </w:tc>
      </w:tr>
      <w:tr>
        <w:trPr>
          <w:trHeight w:val="407" w:hRule="exact"/>
        </w:trPr>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00" w:right="0"/>
              <w:jc w:val="left"/>
              <w:rPr>
                <w:rFonts w:ascii="宋体" w:hAnsi="宋体" w:cs="宋体" w:eastAsia="宋体" w:hint="default"/>
                <w:sz w:val="16"/>
                <w:szCs w:val="16"/>
              </w:rPr>
            </w:pPr>
            <w:r>
              <w:rPr>
                <w:rFonts w:ascii="宋体" w:hAnsi="宋体" w:cs="宋体" w:eastAsia="宋体" w:hint="default"/>
                <w:sz w:val="16"/>
                <w:szCs w:val="16"/>
              </w:rPr>
              <w:t>小于</w:t>
            </w:r>
            <w:r>
              <w:rPr>
                <w:rFonts w:ascii="宋体" w:hAnsi="宋体" w:cs="宋体" w:eastAsia="宋体" w:hint="default"/>
                <w:spacing w:val="-47"/>
                <w:sz w:val="16"/>
                <w:szCs w:val="16"/>
              </w:rPr>
              <w:t> </w:t>
            </w:r>
            <w:r>
              <w:rPr>
                <w:rFonts w:ascii="Arial" w:hAnsi="Arial" w:cs="Arial" w:eastAsia="Arial" w:hint="default"/>
                <w:sz w:val="16"/>
                <w:szCs w:val="16"/>
              </w:rPr>
              <w:t>1</w:t>
            </w:r>
            <w:r>
              <w:rPr>
                <w:rFonts w:ascii="Arial" w:hAnsi="Arial" w:cs="Arial" w:eastAsia="Arial" w:hint="default"/>
                <w:spacing w:val="-11"/>
                <w:sz w:val="16"/>
                <w:szCs w:val="16"/>
              </w:rPr>
              <w:t> </w:t>
            </w:r>
            <w:r>
              <w:rPr>
                <w:rFonts w:ascii="宋体" w:hAnsi="宋体" w:cs="宋体" w:eastAsia="宋体" w:hint="default"/>
                <w:sz w:val="16"/>
                <w:szCs w:val="16"/>
              </w:rPr>
              <w:t>个月</w:t>
            </w:r>
          </w:p>
        </w:tc>
        <w:tc>
          <w:tcPr>
            <w:tcW w:w="1321" w:type="dxa"/>
            <w:tcBorders>
              <w:top w:val="single" w:sz="6" w:space="0" w:color="000000"/>
              <w:left w:val="nil" w:sz="6" w:space="0" w:color="auto"/>
              <w:bottom w:val="nil" w:sz="6" w:space="0" w:color="auto"/>
              <w:right w:val="nil" w:sz="6" w:space="0" w:color="auto"/>
            </w:tcBorders>
          </w:tcPr>
          <w:p>
            <w:pPr>
              <w:pStyle w:val="TableParagraph"/>
              <w:spacing w:line="20" w:lineRule="exact"/>
              <w:ind w:left="-8" w:right="0"/>
              <w:jc w:val="left"/>
              <w:rPr>
                <w:rFonts w:ascii="宋体" w:hAnsi="宋体" w:cs="宋体" w:eastAsia="宋体" w:hint="default"/>
                <w:sz w:val="2"/>
                <w:szCs w:val="2"/>
              </w:rPr>
            </w:pPr>
            <w:r>
              <w:rPr>
                <w:rFonts w:ascii="宋体" w:hAnsi="宋体" w:cs="宋体" w:eastAsia="宋体" w:hint="default"/>
                <w:sz w:val="2"/>
                <w:szCs w:val="2"/>
              </w:rPr>
              <w:pict>
                <v:group style="width:59.55pt;height:.75pt;mso-position-horizontal-relative:char;mso-position-vertical-relative:line" coordorigin="0,0" coordsize="1191,15">
                  <v:group style="position:absolute;left:7;top:7;width:1176;height:2" coordorigin="7,7" coordsize="1176,2">
                    <v:shape style="position:absolute;left:7;top:7;width:1176;height:2" coordorigin="7,7" coordsize="1176,0" path="m7,7l1183,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9" w:right="0"/>
              <w:jc w:val="left"/>
              <w:rPr>
                <w:rFonts w:ascii="Arial" w:hAnsi="Arial" w:cs="Arial" w:eastAsia="Arial" w:hint="default"/>
                <w:sz w:val="16"/>
                <w:szCs w:val="16"/>
              </w:rPr>
            </w:pPr>
            <w:r>
              <w:rPr>
                <w:rFonts w:ascii="Arial"/>
                <w:sz w:val="16"/>
              </w:rPr>
              <w:t>10,555,653,417</w:t>
            </w:r>
          </w:p>
        </w:tc>
        <w:tc>
          <w:tcPr>
            <w:tcW w:w="625"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6"/>
              <w:jc w:val="right"/>
              <w:rPr>
                <w:rFonts w:ascii="Arial" w:hAnsi="Arial" w:cs="Arial" w:eastAsia="Arial" w:hint="default"/>
                <w:sz w:val="16"/>
                <w:szCs w:val="16"/>
              </w:rPr>
            </w:pPr>
            <w:r>
              <w:rPr>
                <w:rFonts w:ascii="Arial"/>
                <w:w w:val="95"/>
                <w:sz w:val="16"/>
              </w:rPr>
              <w:t>57.44</w:t>
            </w:r>
            <w:r>
              <w:rPr>
                <w:rFonts w:ascii="Arial"/>
                <w:sz w:val="16"/>
              </w:rPr>
            </w:r>
          </w:p>
        </w:tc>
        <w:tc>
          <w:tcPr>
            <w:tcW w:w="1415"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5"/>
              <w:jc w:val="right"/>
              <w:rPr>
                <w:rFonts w:ascii="Arial" w:hAnsi="Arial" w:cs="Arial" w:eastAsia="Arial" w:hint="default"/>
                <w:sz w:val="16"/>
                <w:szCs w:val="16"/>
              </w:rPr>
            </w:pPr>
            <w:r>
              <w:rPr>
                <w:rFonts w:ascii="Arial"/>
                <w:w w:val="99"/>
                <w:sz w:val="16"/>
              </w:rPr>
              <w:t>-</w:t>
            </w:r>
            <w:r>
              <w:rPr>
                <w:rFonts w:ascii="Arial"/>
                <w:sz w:val="16"/>
              </w:rPr>
            </w:r>
          </w:p>
        </w:tc>
        <w:tc>
          <w:tcPr>
            <w:tcW w:w="737"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6"/>
                <w:szCs w:val="16"/>
              </w:rPr>
            </w:pPr>
            <w:r>
              <w:rPr>
                <w:rFonts w:ascii="Arial"/>
                <w:w w:val="99"/>
                <w:sz w:val="16"/>
              </w:rPr>
              <w:t>-</w:t>
            </w:r>
            <w:r>
              <w:rPr>
                <w:rFonts w:ascii="Arial"/>
                <w:sz w:val="16"/>
              </w:rPr>
            </w:r>
          </w:p>
        </w:tc>
        <w:tc>
          <w:tcPr>
            <w:tcW w:w="1364"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1" w:right="0"/>
              <w:jc w:val="left"/>
              <w:rPr>
                <w:rFonts w:ascii="Arial" w:hAnsi="Arial" w:cs="Arial" w:eastAsia="Arial" w:hint="default"/>
                <w:sz w:val="16"/>
                <w:szCs w:val="16"/>
              </w:rPr>
            </w:pPr>
            <w:r>
              <w:rPr>
                <w:rFonts w:ascii="Arial"/>
                <w:sz w:val="16"/>
              </w:rPr>
              <w:t>9,172,452,753</w:t>
            </w:r>
          </w:p>
        </w:tc>
        <w:tc>
          <w:tcPr>
            <w:tcW w:w="689"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5" w:right="0"/>
              <w:jc w:val="left"/>
              <w:rPr>
                <w:rFonts w:ascii="Arial" w:hAnsi="Arial" w:cs="Arial" w:eastAsia="Arial" w:hint="default"/>
                <w:sz w:val="16"/>
                <w:szCs w:val="16"/>
              </w:rPr>
            </w:pPr>
            <w:r>
              <w:rPr>
                <w:rFonts w:ascii="Arial"/>
                <w:sz w:val="16"/>
              </w:rPr>
              <w:t>57.34</w:t>
            </w:r>
          </w:p>
        </w:tc>
        <w:tc>
          <w:tcPr>
            <w:tcW w:w="1291"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2"/>
              <w:jc w:val="right"/>
              <w:rPr>
                <w:rFonts w:ascii="Arial" w:hAnsi="Arial" w:cs="Arial" w:eastAsia="Arial" w:hint="default"/>
                <w:sz w:val="16"/>
                <w:szCs w:val="16"/>
              </w:rPr>
            </w:pPr>
            <w:r>
              <w:rPr>
                <w:rFonts w:ascii="Arial"/>
                <w:w w:val="99"/>
                <w:sz w:val="16"/>
              </w:rPr>
              <w:t>-</w:t>
            </w:r>
            <w:r>
              <w:rPr>
                <w:rFonts w:ascii="Arial"/>
                <w:sz w:val="16"/>
              </w:rPr>
            </w:r>
          </w:p>
        </w:tc>
        <w:tc>
          <w:tcPr>
            <w:tcW w:w="810"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0"/>
              <w:jc w:val="right"/>
              <w:rPr>
                <w:rFonts w:ascii="Arial" w:hAnsi="Arial" w:cs="Arial" w:eastAsia="Arial" w:hint="default"/>
                <w:sz w:val="16"/>
                <w:szCs w:val="16"/>
              </w:rPr>
            </w:pPr>
            <w:r>
              <w:rPr>
                <w:rFonts w:ascii="Arial"/>
                <w:w w:val="99"/>
                <w:sz w:val="16"/>
              </w:rPr>
              <w:t>-</w:t>
            </w:r>
            <w:r>
              <w:rPr>
                <w:rFonts w:ascii="Arial"/>
                <w:sz w:val="16"/>
              </w:rPr>
            </w:r>
          </w:p>
        </w:tc>
      </w:tr>
      <w:tr>
        <w:trPr>
          <w:trHeight w:val="208" w:hRule="exact"/>
        </w:trPr>
        <w:tc>
          <w:tcPr>
            <w:tcW w:w="1025" w:type="dxa"/>
            <w:tcBorders>
              <w:top w:val="nil" w:sz="6" w:space="0" w:color="auto"/>
              <w:left w:val="nil" w:sz="6" w:space="0" w:color="auto"/>
              <w:bottom w:val="nil" w:sz="6" w:space="0" w:color="auto"/>
              <w:right w:val="nil" w:sz="6" w:space="0" w:color="auto"/>
            </w:tcBorders>
          </w:tcPr>
          <w:p>
            <w:pPr>
              <w:pStyle w:val="TableParagraph"/>
              <w:spacing w:line="185" w:lineRule="exact"/>
              <w:ind w:left="200" w:right="0"/>
              <w:jc w:val="left"/>
              <w:rPr>
                <w:rFonts w:ascii="宋体" w:hAnsi="宋体" w:cs="宋体" w:eastAsia="宋体" w:hint="default"/>
                <w:sz w:val="16"/>
                <w:szCs w:val="16"/>
              </w:rPr>
            </w:pPr>
            <w:r>
              <w:rPr>
                <w:rFonts w:ascii="Arial" w:hAnsi="Arial" w:cs="Arial" w:eastAsia="Arial" w:hint="default"/>
                <w:sz w:val="16"/>
                <w:szCs w:val="16"/>
              </w:rPr>
              <w:t>1-3</w:t>
            </w:r>
            <w:r>
              <w:rPr>
                <w:rFonts w:ascii="Arial" w:hAnsi="Arial" w:cs="Arial" w:eastAsia="Arial" w:hint="default"/>
                <w:spacing w:val="-6"/>
                <w:sz w:val="16"/>
                <w:szCs w:val="16"/>
              </w:rPr>
              <w:t> </w:t>
            </w:r>
            <w:r>
              <w:rPr>
                <w:rFonts w:ascii="宋体" w:hAnsi="宋体" w:cs="宋体" w:eastAsia="宋体" w:hint="default"/>
                <w:sz w:val="16"/>
                <w:szCs w:val="16"/>
              </w:rPr>
              <w:t>个月</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8" w:right="0"/>
              <w:jc w:val="left"/>
              <w:rPr>
                <w:rFonts w:ascii="Arial" w:hAnsi="Arial" w:cs="Arial" w:eastAsia="Arial" w:hint="default"/>
                <w:sz w:val="16"/>
                <w:szCs w:val="16"/>
              </w:rPr>
            </w:pPr>
            <w:r>
              <w:rPr>
                <w:rFonts w:ascii="Arial"/>
                <w:sz w:val="16"/>
              </w:rPr>
              <w:t>1,181,930,638</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6"/>
              <w:jc w:val="right"/>
              <w:rPr>
                <w:rFonts w:ascii="Arial" w:hAnsi="Arial" w:cs="Arial" w:eastAsia="Arial" w:hint="default"/>
                <w:sz w:val="16"/>
                <w:szCs w:val="16"/>
              </w:rPr>
            </w:pPr>
            <w:r>
              <w:rPr>
                <w:rFonts w:ascii="Arial"/>
                <w:w w:val="95"/>
                <w:sz w:val="16"/>
              </w:rPr>
              <w:t>6.43</w:t>
            </w:r>
            <w:r>
              <w:rPr>
                <w:rFonts w:ascii="Arial"/>
                <w:sz w:val="16"/>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35"/>
              <w:jc w:val="right"/>
              <w:rPr>
                <w:rFonts w:ascii="Arial" w:hAnsi="Arial" w:cs="Arial" w:eastAsia="Arial" w:hint="default"/>
                <w:sz w:val="16"/>
                <w:szCs w:val="16"/>
              </w:rPr>
            </w:pPr>
            <w:r>
              <w:rPr>
                <w:rFonts w:ascii="Arial"/>
                <w:w w:val="99"/>
                <w:sz w:val="16"/>
              </w:rPr>
              <w:t>-</w:t>
            </w:r>
            <w:r>
              <w:rPr>
                <w:rFonts w:ascii="Arial"/>
                <w:sz w:val="16"/>
              </w:rPr>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0"/>
              <w:jc w:val="right"/>
              <w:rPr>
                <w:rFonts w:ascii="Arial" w:hAnsi="Arial" w:cs="Arial" w:eastAsia="Arial" w:hint="default"/>
                <w:sz w:val="16"/>
                <w:szCs w:val="16"/>
              </w:rPr>
            </w:pPr>
            <w:r>
              <w:rPr>
                <w:rFonts w:ascii="Arial"/>
                <w:w w:val="99"/>
                <w:sz w:val="16"/>
              </w:rPr>
              <w:t>-</w:t>
            </w:r>
            <w:r>
              <w:rPr>
                <w:rFonts w:ascii="Arial"/>
                <w:sz w:val="16"/>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51" w:right="0"/>
              <w:jc w:val="left"/>
              <w:rPr>
                <w:rFonts w:ascii="Arial" w:hAnsi="Arial" w:cs="Arial" w:eastAsia="Arial" w:hint="default"/>
                <w:sz w:val="16"/>
                <w:szCs w:val="16"/>
              </w:rPr>
            </w:pPr>
            <w:r>
              <w:rPr>
                <w:rFonts w:ascii="Arial"/>
                <w:sz w:val="16"/>
              </w:rPr>
              <w:t>1,081,761,445</w:t>
            </w: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33" w:right="0"/>
              <w:jc w:val="left"/>
              <w:rPr>
                <w:rFonts w:ascii="Arial" w:hAnsi="Arial" w:cs="Arial" w:eastAsia="Arial" w:hint="default"/>
                <w:sz w:val="16"/>
                <w:szCs w:val="16"/>
              </w:rPr>
            </w:pPr>
            <w:r>
              <w:rPr>
                <w:rFonts w:ascii="Arial"/>
                <w:sz w:val="16"/>
              </w:rPr>
              <w:t>6.76</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2"/>
              <w:jc w:val="right"/>
              <w:rPr>
                <w:rFonts w:ascii="Arial" w:hAnsi="Arial" w:cs="Arial" w:eastAsia="Arial" w:hint="default"/>
                <w:sz w:val="16"/>
                <w:szCs w:val="16"/>
              </w:rPr>
            </w:pPr>
            <w:r>
              <w:rPr>
                <w:rFonts w:ascii="Arial"/>
                <w:w w:val="99"/>
                <w:sz w:val="16"/>
              </w:rPr>
              <w:t>-</w:t>
            </w:r>
            <w:r>
              <w:rPr>
                <w:rFonts w:ascii="Arial"/>
                <w:sz w:val="16"/>
              </w:rPr>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0"/>
              <w:jc w:val="right"/>
              <w:rPr>
                <w:rFonts w:ascii="Arial" w:hAnsi="Arial" w:cs="Arial" w:eastAsia="Arial" w:hint="default"/>
                <w:sz w:val="16"/>
                <w:szCs w:val="16"/>
              </w:rPr>
            </w:pPr>
            <w:r>
              <w:rPr>
                <w:rFonts w:ascii="Arial"/>
                <w:w w:val="99"/>
                <w:sz w:val="16"/>
              </w:rPr>
              <w:t>-</w:t>
            </w:r>
            <w:r>
              <w:rPr>
                <w:rFonts w:ascii="Arial"/>
                <w:sz w:val="16"/>
              </w:rPr>
            </w:r>
          </w:p>
        </w:tc>
      </w:tr>
      <w:tr>
        <w:trPr>
          <w:trHeight w:val="208" w:hRule="exact"/>
        </w:trPr>
        <w:tc>
          <w:tcPr>
            <w:tcW w:w="1025" w:type="dxa"/>
            <w:tcBorders>
              <w:top w:val="nil" w:sz="6" w:space="0" w:color="auto"/>
              <w:left w:val="nil" w:sz="6" w:space="0" w:color="auto"/>
              <w:bottom w:val="nil" w:sz="6" w:space="0" w:color="auto"/>
              <w:right w:val="nil" w:sz="6" w:space="0" w:color="auto"/>
            </w:tcBorders>
          </w:tcPr>
          <w:p>
            <w:pPr>
              <w:pStyle w:val="TableParagraph"/>
              <w:spacing w:line="185" w:lineRule="exact"/>
              <w:ind w:left="200" w:right="0"/>
              <w:jc w:val="left"/>
              <w:rPr>
                <w:rFonts w:ascii="宋体" w:hAnsi="宋体" w:cs="宋体" w:eastAsia="宋体" w:hint="default"/>
                <w:sz w:val="16"/>
                <w:szCs w:val="16"/>
              </w:rPr>
            </w:pPr>
            <w:r>
              <w:rPr>
                <w:rFonts w:ascii="Arial" w:hAnsi="Arial" w:cs="Arial" w:eastAsia="Arial" w:hint="default"/>
                <w:sz w:val="16"/>
                <w:szCs w:val="16"/>
              </w:rPr>
              <w:t>3-12</w:t>
            </w:r>
            <w:r>
              <w:rPr>
                <w:rFonts w:ascii="Arial" w:hAnsi="Arial" w:cs="Arial" w:eastAsia="Arial" w:hint="default"/>
                <w:spacing w:val="-7"/>
                <w:sz w:val="16"/>
                <w:szCs w:val="16"/>
              </w:rPr>
              <w:t> </w:t>
            </w:r>
            <w:r>
              <w:rPr>
                <w:rFonts w:ascii="宋体" w:hAnsi="宋体" w:cs="宋体" w:eastAsia="宋体" w:hint="default"/>
                <w:sz w:val="16"/>
                <w:szCs w:val="16"/>
              </w:rPr>
              <w:t>个月</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8" w:right="0"/>
              <w:jc w:val="left"/>
              <w:rPr>
                <w:rFonts w:ascii="Arial" w:hAnsi="Arial" w:cs="Arial" w:eastAsia="Arial" w:hint="default"/>
                <w:sz w:val="16"/>
                <w:szCs w:val="16"/>
              </w:rPr>
            </w:pPr>
            <w:r>
              <w:rPr>
                <w:rFonts w:ascii="Arial"/>
                <w:sz w:val="16"/>
              </w:rPr>
              <w:t>3,973,941,404</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6"/>
              <w:jc w:val="right"/>
              <w:rPr>
                <w:rFonts w:ascii="Arial" w:hAnsi="Arial" w:cs="Arial" w:eastAsia="Arial" w:hint="default"/>
                <w:sz w:val="16"/>
                <w:szCs w:val="16"/>
              </w:rPr>
            </w:pPr>
            <w:r>
              <w:rPr>
                <w:rFonts w:ascii="Arial"/>
                <w:w w:val="95"/>
                <w:sz w:val="16"/>
              </w:rPr>
              <w:t>21.62</w:t>
            </w:r>
            <w:r>
              <w:rPr>
                <w:rFonts w:ascii="Arial"/>
                <w:sz w:val="16"/>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12" w:right="0"/>
              <w:jc w:val="left"/>
              <w:rPr>
                <w:rFonts w:ascii="Arial" w:hAnsi="Arial" w:cs="Arial" w:eastAsia="Arial" w:hint="default"/>
                <w:sz w:val="16"/>
                <w:szCs w:val="16"/>
              </w:rPr>
            </w:pPr>
            <w:r>
              <w:rPr>
                <w:rFonts w:ascii="Arial"/>
                <w:sz w:val="16"/>
              </w:rPr>
              <w:t>(2,010,343,806)</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4"/>
              <w:jc w:val="right"/>
              <w:rPr>
                <w:rFonts w:ascii="Arial" w:hAnsi="Arial" w:cs="Arial" w:eastAsia="Arial" w:hint="default"/>
                <w:sz w:val="16"/>
                <w:szCs w:val="16"/>
              </w:rPr>
            </w:pPr>
            <w:r>
              <w:rPr>
                <w:rFonts w:ascii="Arial"/>
                <w:w w:val="95"/>
                <w:sz w:val="16"/>
              </w:rPr>
              <w:t>0~100</w:t>
            </w:r>
            <w:r>
              <w:rPr>
                <w:rFonts w:ascii="Arial"/>
                <w:sz w:val="16"/>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51" w:right="0"/>
              <w:jc w:val="left"/>
              <w:rPr>
                <w:rFonts w:ascii="Arial" w:hAnsi="Arial" w:cs="Arial" w:eastAsia="Arial" w:hint="default"/>
                <w:sz w:val="16"/>
                <w:szCs w:val="16"/>
              </w:rPr>
            </w:pPr>
            <w:r>
              <w:rPr>
                <w:rFonts w:ascii="Arial"/>
                <w:sz w:val="16"/>
              </w:rPr>
              <w:t>3,418,275,878</w:t>
            </w: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45" w:right="0"/>
              <w:jc w:val="left"/>
              <w:rPr>
                <w:rFonts w:ascii="Arial" w:hAnsi="Arial" w:cs="Arial" w:eastAsia="Arial" w:hint="default"/>
                <w:sz w:val="16"/>
                <w:szCs w:val="16"/>
              </w:rPr>
            </w:pPr>
            <w:r>
              <w:rPr>
                <w:rFonts w:ascii="Arial"/>
                <w:sz w:val="16"/>
              </w:rPr>
              <w:t>21.37</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0"/>
              <w:jc w:val="right"/>
              <w:rPr>
                <w:rFonts w:ascii="Arial" w:hAnsi="Arial" w:cs="Arial" w:eastAsia="Arial" w:hint="default"/>
                <w:sz w:val="16"/>
                <w:szCs w:val="16"/>
              </w:rPr>
            </w:pPr>
            <w:r>
              <w:rPr>
                <w:rFonts w:ascii="Arial"/>
                <w:w w:val="95"/>
                <w:sz w:val="16"/>
              </w:rPr>
              <w:t>(1,746,576,369)</w:t>
            </w:r>
            <w:r>
              <w:rPr>
                <w:rFonts w:ascii="Arial"/>
                <w:sz w:val="16"/>
              </w:rPr>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5"/>
              <w:jc w:val="right"/>
              <w:rPr>
                <w:rFonts w:ascii="Arial" w:hAnsi="Arial" w:cs="Arial" w:eastAsia="Arial" w:hint="default"/>
                <w:sz w:val="16"/>
                <w:szCs w:val="16"/>
              </w:rPr>
            </w:pPr>
            <w:r>
              <w:rPr>
                <w:rFonts w:ascii="Arial"/>
                <w:w w:val="95"/>
                <w:sz w:val="16"/>
              </w:rPr>
              <w:t>0~100</w:t>
            </w:r>
            <w:r>
              <w:rPr>
                <w:rFonts w:ascii="Arial"/>
                <w:sz w:val="16"/>
              </w:rPr>
            </w:r>
          </w:p>
        </w:tc>
      </w:tr>
      <w:tr>
        <w:trPr>
          <w:trHeight w:val="208" w:hRule="exact"/>
        </w:trPr>
        <w:tc>
          <w:tcPr>
            <w:tcW w:w="1025" w:type="dxa"/>
            <w:tcBorders>
              <w:top w:val="nil" w:sz="6" w:space="0" w:color="auto"/>
              <w:left w:val="nil" w:sz="6" w:space="0" w:color="auto"/>
              <w:bottom w:val="nil" w:sz="6" w:space="0" w:color="auto"/>
              <w:right w:val="nil" w:sz="6" w:space="0" w:color="auto"/>
            </w:tcBorders>
          </w:tcPr>
          <w:p>
            <w:pPr>
              <w:pStyle w:val="TableParagraph"/>
              <w:spacing w:line="185" w:lineRule="exact"/>
              <w:ind w:left="200"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8"/>
                <w:sz w:val="16"/>
                <w:szCs w:val="16"/>
              </w:rPr>
              <w:t> </w:t>
            </w:r>
            <w:r>
              <w:rPr>
                <w:rFonts w:ascii="宋体" w:hAnsi="宋体" w:cs="宋体" w:eastAsia="宋体" w:hint="default"/>
                <w:sz w:val="16"/>
                <w:szCs w:val="16"/>
              </w:rPr>
              <w:t>年</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8" w:right="0"/>
              <w:jc w:val="left"/>
              <w:rPr>
                <w:rFonts w:ascii="Arial" w:hAnsi="Arial" w:cs="Arial" w:eastAsia="Arial" w:hint="default"/>
                <w:sz w:val="16"/>
                <w:szCs w:val="16"/>
              </w:rPr>
            </w:pPr>
            <w:r>
              <w:rPr>
                <w:rFonts w:ascii="Arial"/>
                <w:sz w:val="16"/>
              </w:rPr>
              <w:t>1,094,029,075</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6"/>
              <w:jc w:val="right"/>
              <w:rPr>
                <w:rFonts w:ascii="Arial" w:hAnsi="Arial" w:cs="Arial" w:eastAsia="Arial" w:hint="default"/>
                <w:sz w:val="16"/>
                <w:szCs w:val="16"/>
              </w:rPr>
            </w:pPr>
            <w:r>
              <w:rPr>
                <w:rFonts w:ascii="Arial"/>
                <w:w w:val="95"/>
                <w:sz w:val="16"/>
              </w:rPr>
              <w:t>5.95</w:t>
            </w:r>
            <w:r>
              <w:rPr>
                <w:rFonts w:ascii="Arial"/>
                <w:sz w:val="16"/>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35" w:right="0"/>
              <w:jc w:val="left"/>
              <w:rPr>
                <w:rFonts w:ascii="Arial" w:hAnsi="Arial" w:cs="Arial" w:eastAsia="Arial" w:hint="default"/>
                <w:sz w:val="16"/>
                <w:szCs w:val="16"/>
              </w:rPr>
            </w:pPr>
            <w:r>
              <w:rPr>
                <w:rFonts w:ascii="Arial"/>
                <w:sz w:val="16"/>
              </w:rPr>
              <w:t>(653,715,278)</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5"/>
              <w:jc w:val="right"/>
              <w:rPr>
                <w:rFonts w:ascii="Arial" w:hAnsi="Arial" w:cs="Arial" w:eastAsia="Arial" w:hint="default"/>
                <w:sz w:val="16"/>
                <w:szCs w:val="16"/>
              </w:rPr>
            </w:pPr>
            <w:r>
              <w:rPr>
                <w:rFonts w:ascii="Arial"/>
                <w:w w:val="95"/>
                <w:sz w:val="16"/>
              </w:rPr>
              <w:t>20~100</w:t>
            </w:r>
            <w:r>
              <w:rPr>
                <w:rFonts w:ascii="Arial"/>
                <w:sz w:val="16"/>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5" w:right="0"/>
              <w:jc w:val="left"/>
              <w:rPr>
                <w:rFonts w:ascii="Arial" w:hAnsi="Arial" w:cs="Arial" w:eastAsia="Arial" w:hint="default"/>
                <w:sz w:val="16"/>
                <w:szCs w:val="16"/>
              </w:rPr>
            </w:pPr>
            <w:r>
              <w:rPr>
                <w:rFonts w:ascii="Arial"/>
                <w:sz w:val="16"/>
              </w:rPr>
              <w:t>996,109,971</w:t>
            </w: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33" w:right="0"/>
              <w:jc w:val="left"/>
              <w:rPr>
                <w:rFonts w:ascii="Arial" w:hAnsi="Arial" w:cs="Arial" w:eastAsia="Arial" w:hint="default"/>
                <w:sz w:val="16"/>
                <w:szCs w:val="16"/>
              </w:rPr>
            </w:pPr>
            <w:r>
              <w:rPr>
                <w:rFonts w:ascii="Arial"/>
                <w:sz w:val="16"/>
              </w:rPr>
              <w:t>6.23</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0"/>
              <w:jc w:val="right"/>
              <w:rPr>
                <w:rFonts w:ascii="Arial" w:hAnsi="Arial" w:cs="Arial" w:eastAsia="Arial" w:hint="default"/>
                <w:sz w:val="16"/>
                <w:szCs w:val="16"/>
              </w:rPr>
            </w:pPr>
            <w:r>
              <w:rPr>
                <w:rFonts w:ascii="Arial"/>
                <w:w w:val="95"/>
                <w:sz w:val="16"/>
              </w:rPr>
              <w:t>(609,385,845)</w:t>
            </w:r>
            <w:r>
              <w:rPr>
                <w:rFonts w:ascii="Arial"/>
                <w:sz w:val="16"/>
              </w:rPr>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7"/>
              <w:jc w:val="right"/>
              <w:rPr>
                <w:rFonts w:ascii="Arial" w:hAnsi="Arial" w:cs="Arial" w:eastAsia="Arial" w:hint="default"/>
                <w:sz w:val="16"/>
                <w:szCs w:val="16"/>
              </w:rPr>
            </w:pPr>
            <w:r>
              <w:rPr>
                <w:rFonts w:ascii="Arial"/>
                <w:w w:val="95"/>
                <w:sz w:val="16"/>
              </w:rPr>
              <w:t>20~100</w:t>
            </w:r>
            <w:r>
              <w:rPr>
                <w:rFonts w:ascii="Arial"/>
                <w:sz w:val="16"/>
              </w:rPr>
            </w:r>
          </w:p>
        </w:tc>
      </w:tr>
      <w:tr>
        <w:trPr>
          <w:trHeight w:val="208" w:hRule="exact"/>
        </w:trPr>
        <w:tc>
          <w:tcPr>
            <w:tcW w:w="1025" w:type="dxa"/>
            <w:tcBorders>
              <w:top w:val="nil" w:sz="6" w:space="0" w:color="auto"/>
              <w:left w:val="nil" w:sz="6" w:space="0" w:color="auto"/>
              <w:bottom w:val="nil" w:sz="6" w:space="0" w:color="auto"/>
              <w:right w:val="nil" w:sz="6" w:space="0" w:color="auto"/>
            </w:tcBorders>
          </w:tcPr>
          <w:p>
            <w:pPr>
              <w:pStyle w:val="TableParagraph"/>
              <w:spacing w:line="185" w:lineRule="exact"/>
              <w:ind w:left="200" w:right="0"/>
              <w:jc w:val="left"/>
              <w:rPr>
                <w:rFonts w:ascii="宋体" w:hAnsi="宋体" w:cs="宋体" w:eastAsia="宋体" w:hint="default"/>
                <w:sz w:val="16"/>
                <w:szCs w:val="16"/>
              </w:rPr>
            </w:pPr>
            <w:r>
              <w:rPr>
                <w:rFonts w:ascii="Arial" w:hAnsi="Arial" w:cs="Arial" w:eastAsia="Arial" w:hint="default"/>
                <w:sz w:val="16"/>
                <w:szCs w:val="16"/>
              </w:rPr>
              <w:t>2-3</w:t>
            </w:r>
            <w:r>
              <w:rPr>
                <w:rFonts w:ascii="Arial" w:hAnsi="Arial" w:cs="Arial" w:eastAsia="Arial" w:hint="default"/>
                <w:spacing w:val="-8"/>
                <w:sz w:val="16"/>
                <w:szCs w:val="16"/>
              </w:rPr>
              <w:t> </w:t>
            </w:r>
            <w:r>
              <w:rPr>
                <w:rFonts w:ascii="宋体" w:hAnsi="宋体" w:cs="宋体" w:eastAsia="宋体" w:hint="default"/>
                <w:sz w:val="16"/>
                <w:szCs w:val="16"/>
              </w:rPr>
              <w:t>年</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2" w:right="0"/>
              <w:jc w:val="left"/>
              <w:rPr>
                <w:rFonts w:ascii="Arial" w:hAnsi="Arial" w:cs="Arial" w:eastAsia="Arial" w:hint="default"/>
                <w:sz w:val="16"/>
                <w:szCs w:val="16"/>
              </w:rPr>
            </w:pPr>
            <w:r>
              <w:rPr>
                <w:rFonts w:ascii="Arial"/>
                <w:sz w:val="16"/>
              </w:rPr>
              <w:t>612,775,499</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6"/>
              <w:jc w:val="right"/>
              <w:rPr>
                <w:rFonts w:ascii="Arial" w:hAnsi="Arial" w:cs="Arial" w:eastAsia="Arial" w:hint="default"/>
                <w:sz w:val="16"/>
                <w:szCs w:val="16"/>
              </w:rPr>
            </w:pPr>
            <w:r>
              <w:rPr>
                <w:rFonts w:ascii="Arial"/>
                <w:w w:val="95"/>
                <w:sz w:val="16"/>
              </w:rPr>
              <w:t>3.33</w:t>
            </w:r>
            <w:r>
              <w:rPr>
                <w:rFonts w:ascii="Arial"/>
                <w:sz w:val="16"/>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35" w:right="0"/>
              <w:jc w:val="left"/>
              <w:rPr>
                <w:rFonts w:ascii="Arial" w:hAnsi="Arial" w:cs="Arial" w:eastAsia="Arial" w:hint="default"/>
                <w:sz w:val="16"/>
                <w:szCs w:val="16"/>
              </w:rPr>
            </w:pPr>
            <w:r>
              <w:rPr>
                <w:rFonts w:ascii="Arial"/>
                <w:sz w:val="16"/>
              </w:rPr>
              <w:t>(454,434,254)</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5"/>
              <w:jc w:val="right"/>
              <w:rPr>
                <w:rFonts w:ascii="Arial" w:hAnsi="Arial" w:cs="Arial" w:eastAsia="Arial" w:hint="default"/>
                <w:sz w:val="16"/>
                <w:szCs w:val="16"/>
              </w:rPr>
            </w:pPr>
            <w:r>
              <w:rPr>
                <w:rFonts w:ascii="Arial"/>
                <w:w w:val="95"/>
                <w:sz w:val="16"/>
              </w:rPr>
              <w:t>50~100</w:t>
            </w:r>
            <w:r>
              <w:rPr>
                <w:rFonts w:ascii="Arial"/>
                <w:sz w:val="16"/>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5" w:right="0"/>
              <w:jc w:val="left"/>
              <w:rPr>
                <w:rFonts w:ascii="Arial" w:hAnsi="Arial" w:cs="Arial" w:eastAsia="Arial" w:hint="default"/>
                <w:sz w:val="16"/>
                <w:szCs w:val="16"/>
              </w:rPr>
            </w:pPr>
            <w:r>
              <w:rPr>
                <w:rFonts w:ascii="Arial"/>
                <w:sz w:val="16"/>
              </w:rPr>
              <w:t>519,697,156</w:t>
            </w: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33" w:right="0"/>
              <w:jc w:val="left"/>
              <w:rPr>
                <w:rFonts w:ascii="Arial" w:hAnsi="Arial" w:cs="Arial" w:eastAsia="Arial" w:hint="default"/>
                <w:sz w:val="16"/>
                <w:szCs w:val="16"/>
              </w:rPr>
            </w:pPr>
            <w:r>
              <w:rPr>
                <w:rFonts w:ascii="Arial"/>
                <w:sz w:val="16"/>
              </w:rPr>
              <w:t>3.25</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0"/>
              <w:jc w:val="right"/>
              <w:rPr>
                <w:rFonts w:ascii="Arial" w:hAnsi="Arial" w:cs="Arial" w:eastAsia="Arial" w:hint="default"/>
                <w:sz w:val="16"/>
                <w:szCs w:val="16"/>
              </w:rPr>
            </w:pPr>
            <w:r>
              <w:rPr>
                <w:rFonts w:ascii="Arial"/>
                <w:w w:val="95"/>
                <w:sz w:val="16"/>
              </w:rPr>
              <w:t>(393,090,720)</w:t>
            </w:r>
            <w:r>
              <w:rPr>
                <w:rFonts w:ascii="Arial"/>
                <w:sz w:val="16"/>
              </w:rPr>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7"/>
              <w:jc w:val="right"/>
              <w:rPr>
                <w:rFonts w:ascii="Arial" w:hAnsi="Arial" w:cs="Arial" w:eastAsia="Arial" w:hint="default"/>
                <w:sz w:val="16"/>
                <w:szCs w:val="16"/>
              </w:rPr>
            </w:pPr>
            <w:r>
              <w:rPr>
                <w:rFonts w:ascii="Arial"/>
                <w:w w:val="95"/>
                <w:sz w:val="16"/>
              </w:rPr>
              <w:t>50~100</w:t>
            </w:r>
            <w:r>
              <w:rPr>
                <w:rFonts w:ascii="Arial"/>
                <w:sz w:val="16"/>
              </w:rPr>
            </w:r>
          </w:p>
        </w:tc>
      </w:tr>
      <w:tr>
        <w:trPr>
          <w:trHeight w:val="208" w:hRule="exact"/>
        </w:trPr>
        <w:tc>
          <w:tcPr>
            <w:tcW w:w="1025" w:type="dxa"/>
            <w:tcBorders>
              <w:top w:val="nil" w:sz="6" w:space="0" w:color="auto"/>
              <w:left w:val="nil" w:sz="6" w:space="0" w:color="auto"/>
              <w:bottom w:val="nil" w:sz="6" w:space="0" w:color="auto"/>
              <w:right w:val="nil" w:sz="6" w:space="0" w:color="auto"/>
            </w:tcBorders>
          </w:tcPr>
          <w:p>
            <w:pPr>
              <w:pStyle w:val="TableParagraph"/>
              <w:spacing w:line="185" w:lineRule="exact"/>
              <w:ind w:left="200" w:right="0"/>
              <w:jc w:val="left"/>
              <w:rPr>
                <w:rFonts w:ascii="宋体" w:hAnsi="宋体" w:cs="宋体" w:eastAsia="宋体" w:hint="default"/>
                <w:sz w:val="16"/>
                <w:szCs w:val="16"/>
              </w:rPr>
            </w:pPr>
            <w:r>
              <w:rPr>
                <w:rFonts w:ascii="Arial" w:hAnsi="Arial" w:cs="Arial" w:eastAsia="Arial" w:hint="default"/>
                <w:sz w:val="16"/>
                <w:szCs w:val="16"/>
              </w:rPr>
              <w:t>3-4</w:t>
            </w:r>
            <w:r>
              <w:rPr>
                <w:rFonts w:ascii="Arial" w:hAnsi="Arial" w:cs="Arial" w:eastAsia="Arial" w:hint="default"/>
                <w:spacing w:val="-8"/>
                <w:sz w:val="16"/>
                <w:szCs w:val="16"/>
              </w:rPr>
              <w:t> </w:t>
            </w:r>
            <w:r>
              <w:rPr>
                <w:rFonts w:ascii="宋体" w:hAnsi="宋体" w:cs="宋体" w:eastAsia="宋体" w:hint="default"/>
                <w:sz w:val="16"/>
                <w:szCs w:val="16"/>
              </w:rPr>
              <w:t>年</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2" w:right="0"/>
              <w:jc w:val="left"/>
              <w:rPr>
                <w:rFonts w:ascii="Arial" w:hAnsi="Arial" w:cs="Arial" w:eastAsia="Arial" w:hint="default"/>
                <w:sz w:val="16"/>
                <w:szCs w:val="16"/>
              </w:rPr>
            </w:pPr>
            <w:r>
              <w:rPr>
                <w:rFonts w:ascii="Arial"/>
                <w:sz w:val="16"/>
              </w:rPr>
              <w:t>465,091,246</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6"/>
              <w:jc w:val="right"/>
              <w:rPr>
                <w:rFonts w:ascii="Arial" w:hAnsi="Arial" w:cs="Arial" w:eastAsia="Arial" w:hint="default"/>
                <w:sz w:val="16"/>
                <w:szCs w:val="16"/>
              </w:rPr>
            </w:pPr>
            <w:r>
              <w:rPr>
                <w:rFonts w:ascii="Arial"/>
                <w:w w:val="95"/>
                <w:sz w:val="16"/>
              </w:rPr>
              <w:t>2.53</w:t>
            </w:r>
            <w:r>
              <w:rPr>
                <w:rFonts w:ascii="Arial"/>
                <w:sz w:val="16"/>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35" w:right="0"/>
              <w:jc w:val="left"/>
              <w:rPr>
                <w:rFonts w:ascii="Arial" w:hAnsi="Arial" w:cs="Arial" w:eastAsia="Arial" w:hint="default"/>
                <w:sz w:val="16"/>
                <w:szCs w:val="16"/>
              </w:rPr>
            </w:pPr>
            <w:r>
              <w:rPr>
                <w:rFonts w:ascii="Arial"/>
                <w:sz w:val="16"/>
              </w:rPr>
              <w:t>(465,091,246)</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5"/>
              <w:jc w:val="right"/>
              <w:rPr>
                <w:rFonts w:ascii="Arial" w:hAnsi="Arial" w:cs="Arial" w:eastAsia="Arial" w:hint="default"/>
                <w:sz w:val="16"/>
                <w:szCs w:val="16"/>
              </w:rPr>
            </w:pPr>
            <w:r>
              <w:rPr>
                <w:rFonts w:ascii="Arial"/>
                <w:w w:val="95"/>
                <w:sz w:val="16"/>
              </w:rPr>
              <w:t>100</w:t>
            </w:r>
            <w:r>
              <w:rPr>
                <w:rFonts w:ascii="Arial"/>
                <w:sz w:val="16"/>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5" w:right="0"/>
              <w:jc w:val="left"/>
              <w:rPr>
                <w:rFonts w:ascii="Arial" w:hAnsi="Arial" w:cs="Arial" w:eastAsia="Arial" w:hint="default"/>
                <w:sz w:val="16"/>
                <w:szCs w:val="16"/>
              </w:rPr>
            </w:pPr>
            <w:r>
              <w:rPr>
                <w:rFonts w:ascii="Arial"/>
                <w:sz w:val="16"/>
              </w:rPr>
              <w:t>403,852,398</w:t>
            </w: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33" w:right="0"/>
              <w:jc w:val="left"/>
              <w:rPr>
                <w:rFonts w:ascii="Arial" w:hAnsi="Arial" w:cs="Arial" w:eastAsia="Arial" w:hint="default"/>
                <w:sz w:val="16"/>
                <w:szCs w:val="16"/>
              </w:rPr>
            </w:pPr>
            <w:r>
              <w:rPr>
                <w:rFonts w:ascii="Arial"/>
                <w:sz w:val="16"/>
              </w:rPr>
              <w:t>2.53</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0"/>
              <w:jc w:val="right"/>
              <w:rPr>
                <w:rFonts w:ascii="Arial" w:hAnsi="Arial" w:cs="Arial" w:eastAsia="Arial" w:hint="default"/>
                <w:sz w:val="16"/>
                <w:szCs w:val="16"/>
              </w:rPr>
            </w:pPr>
            <w:r>
              <w:rPr>
                <w:rFonts w:ascii="Arial"/>
                <w:w w:val="95"/>
                <w:sz w:val="16"/>
              </w:rPr>
              <w:t>(403,852,398)</w:t>
            </w:r>
            <w:r>
              <w:rPr>
                <w:rFonts w:ascii="Arial"/>
                <w:sz w:val="16"/>
              </w:rPr>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2"/>
              <w:jc w:val="right"/>
              <w:rPr>
                <w:rFonts w:ascii="Arial" w:hAnsi="Arial" w:cs="Arial" w:eastAsia="Arial" w:hint="default"/>
                <w:sz w:val="16"/>
                <w:szCs w:val="16"/>
              </w:rPr>
            </w:pPr>
            <w:r>
              <w:rPr>
                <w:rFonts w:ascii="Arial"/>
                <w:w w:val="95"/>
                <w:sz w:val="16"/>
              </w:rPr>
              <w:t>100</w:t>
            </w:r>
            <w:r>
              <w:rPr>
                <w:rFonts w:ascii="Arial"/>
                <w:sz w:val="16"/>
              </w:rPr>
            </w:r>
          </w:p>
        </w:tc>
      </w:tr>
      <w:tr>
        <w:trPr>
          <w:trHeight w:val="208" w:hRule="exact"/>
        </w:trPr>
        <w:tc>
          <w:tcPr>
            <w:tcW w:w="1025" w:type="dxa"/>
            <w:tcBorders>
              <w:top w:val="nil" w:sz="6" w:space="0" w:color="auto"/>
              <w:left w:val="nil" w:sz="6" w:space="0" w:color="auto"/>
              <w:bottom w:val="nil" w:sz="6" w:space="0" w:color="auto"/>
              <w:right w:val="nil" w:sz="6" w:space="0" w:color="auto"/>
            </w:tcBorders>
          </w:tcPr>
          <w:p>
            <w:pPr>
              <w:pStyle w:val="TableParagraph"/>
              <w:spacing w:line="185" w:lineRule="exact"/>
              <w:ind w:left="200" w:right="0"/>
              <w:jc w:val="left"/>
              <w:rPr>
                <w:rFonts w:ascii="宋体" w:hAnsi="宋体" w:cs="宋体" w:eastAsia="宋体" w:hint="default"/>
                <w:sz w:val="16"/>
                <w:szCs w:val="16"/>
              </w:rPr>
            </w:pPr>
            <w:r>
              <w:rPr>
                <w:rFonts w:ascii="Arial" w:hAnsi="Arial" w:cs="Arial" w:eastAsia="Arial" w:hint="default"/>
                <w:sz w:val="16"/>
                <w:szCs w:val="16"/>
              </w:rPr>
              <w:t>4-5</w:t>
            </w:r>
            <w:r>
              <w:rPr>
                <w:rFonts w:ascii="Arial" w:hAnsi="Arial" w:cs="Arial" w:eastAsia="Arial" w:hint="default"/>
                <w:spacing w:val="-8"/>
                <w:sz w:val="16"/>
                <w:szCs w:val="16"/>
              </w:rPr>
              <w:t> </w:t>
            </w:r>
            <w:r>
              <w:rPr>
                <w:rFonts w:ascii="宋体" w:hAnsi="宋体" w:cs="宋体" w:eastAsia="宋体" w:hint="default"/>
                <w:sz w:val="16"/>
                <w:szCs w:val="16"/>
              </w:rPr>
              <w:t>年</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2" w:right="0"/>
              <w:jc w:val="left"/>
              <w:rPr>
                <w:rFonts w:ascii="Arial" w:hAnsi="Arial" w:cs="Arial" w:eastAsia="Arial" w:hint="default"/>
                <w:sz w:val="16"/>
                <w:szCs w:val="16"/>
              </w:rPr>
            </w:pPr>
            <w:r>
              <w:rPr>
                <w:rFonts w:ascii="Arial"/>
                <w:sz w:val="16"/>
              </w:rPr>
              <w:t>199,440,458</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6"/>
              <w:jc w:val="right"/>
              <w:rPr>
                <w:rFonts w:ascii="Arial" w:hAnsi="Arial" w:cs="Arial" w:eastAsia="Arial" w:hint="default"/>
                <w:sz w:val="16"/>
                <w:szCs w:val="16"/>
              </w:rPr>
            </w:pPr>
            <w:r>
              <w:rPr>
                <w:rFonts w:ascii="Arial"/>
                <w:w w:val="95"/>
                <w:sz w:val="16"/>
              </w:rPr>
              <w:t>1.09</w:t>
            </w:r>
            <w:r>
              <w:rPr>
                <w:rFonts w:ascii="Arial"/>
                <w:sz w:val="16"/>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35" w:right="0"/>
              <w:jc w:val="left"/>
              <w:rPr>
                <w:rFonts w:ascii="Arial" w:hAnsi="Arial" w:cs="Arial" w:eastAsia="Arial" w:hint="default"/>
                <w:sz w:val="16"/>
                <w:szCs w:val="16"/>
              </w:rPr>
            </w:pPr>
            <w:r>
              <w:rPr>
                <w:rFonts w:ascii="Arial"/>
                <w:sz w:val="16"/>
              </w:rPr>
              <w:t>(199,440,458)</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5"/>
              <w:jc w:val="right"/>
              <w:rPr>
                <w:rFonts w:ascii="Arial" w:hAnsi="Arial" w:cs="Arial" w:eastAsia="Arial" w:hint="default"/>
                <w:sz w:val="16"/>
                <w:szCs w:val="16"/>
              </w:rPr>
            </w:pPr>
            <w:r>
              <w:rPr>
                <w:rFonts w:ascii="Arial"/>
                <w:w w:val="95"/>
                <w:sz w:val="16"/>
              </w:rPr>
              <w:t>100</w:t>
            </w:r>
            <w:r>
              <w:rPr>
                <w:rFonts w:ascii="Arial"/>
                <w:sz w:val="16"/>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5" w:right="0"/>
              <w:jc w:val="left"/>
              <w:rPr>
                <w:rFonts w:ascii="Arial" w:hAnsi="Arial" w:cs="Arial" w:eastAsia="Arial" w:hint="default"/>
                <w:sz w:val="16"/>
                <w:szCs w:val="16"/>
              </w:rPr>
            </w:pPr>
            <w:r>
              <w:rPr>
                <w:rFonts w:ascii="Arial"/>
                <w:sz w:val="16"/>
              </w:rPr>
              <w:t>158,350,147</w:t>
            </w: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33" w:right="0"/>
              <w:jc w:val="left"/>
              <w:rPr>
                <w:rFonts w:ascii="Arial" w:hAnsi="Arial" w:cs="Arial" w:eastAsia="Arial" w:hint="default"/>
                <w:sz w:val="16"/>
                <w:szCs w:val="16"/>
              </w:rPr>
            </w:pPr>
            <w:r>
              <w:rPr>
                <w:rFonts w:ascii="Arial"/>
                <w:sz w:val="16"/>
              </w:rPr>
              <w:t>0.99</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0"/>
              <w:jc w:val="right"/>
              <w:rPr>
                <w:rFonts w:ascii="Arial" w:hAnsi="Arial" w:cs="Arial" w:eastAsia="Arial" w:hint="default"/>
                <w:sz w:val="16"/>
                <w:szCs w:val="16"/>
              </w:rPr>
            </w:pPr>
            <w:r>
              <w:rPr>
                <w:rFonts w:ascii="Arial"/>
                <w:w w:val="95"/>
                <w:sz w:val="16"/>
              </w:rPr>
              <w:t>(158,350,147)</w:t>
            </w:r>
            <w:r>
              <w:rPr>
                <w:rFonts w:ascii="Arial"/>
                <w:sz w:val="16"/>
              </w:rPr>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2"/>
              <w:jc w:val="right"/>
              <w:rPr>
                <w:rFonts w:ascii="Arial" w:hAnsi="Arial" w:cs="Arial" w:eastAsia="Arial" w:hint="default"/>
                <w:sz w:val="16"/>
                <w:szCs w:val="16"/>
              </w:rPr>
            </w:pPr>
            <w:r>
              <w:rPr>
                <w:rFonts w:ascii="Arial"/>
                <w:w w:val="95"/>
                <w:sz w:val="16"/>
              </w:rPr>
              <w:t>100</w:t>
            </w:r>
            <w:r>
              <w:rPr>
                <w:rFonts w:ascii="Arial"/>
                <w:sz w:val="16"/>
              </w:rPr>
            </w:r>
          </w:p>
        </w:tc>
      </w:tr>
      <w:tr>
        <w:trPr>
          <w:trHeight w:val="307" w:hRule="exact"/>
        </w:trPr>
        <w:tc>
          <w:tcPr>
            <w:tcW w:w="1025" w:type="dxa"/>
            <w:tcBorders>
              <w:top w:val="nil" w:sz="6" w:space="0" w:color="auto"/>
              <w:left w:val="nil" w:sz="6" w:space="0" w:color="auto"/>
              <w:bottom w:val="nil" w:sz="6" w:space="0" w:color="auto"/>
              <w:right w:val="nil" w:sz="6" w:space="0" w:color="auto"/>
            </w:tcBorders>
          </w:tcPr>
          <w:p>
            <w:pPr>
              <w:pStyle w:val="TableParagraph"/>
              <w:spacing w:line="185" w:lineRule="exact"/>
              <w:ind w:left="200" w:right="0"/>
              <w:jc w:val="left"/>
              <w:rPr>
                <w:rFonts w:ascii="宋体" w:hAnsi="宋体" w:cs="宋体" w:eastAsia="宋体" w:hint="default"/>
                <w:sz w:val="16"/>
                <w:szCs w:val="16"/>
              </w:rPr>
            </w:pPr>
            <w:r>
              <w:rPr>
                <w:rFonts w:ascii="Arial" w:hAnsi="Arial" w:cs="Arial" w:eastAsia="Arial" w:hint="default"/>
                <w:sz w:val="16"/>
                <w:szCs w:val="16"/>
              </w:rPr>
              <w:t>5</w:t>
            </w:r>
            <w:r>
              <w:rPr>
                <w:rFonts w:ascii="Arial" w:hAnsi="Arial" w:cs="Arial" w:eastAsia="Arial" w:hint="default"/>
                <w:spacing w:val="-7"/>
                <w:sz w:val="16"/>
                <w:szCs w:val="16"/>
              </w:rPr>
              <w:t> </w:t>
            </w:r>
            <w:r>
              <w:rPr>
                <w:rFonts w:ascii="宋体" w:hAnsi="宋体" w:cs="宋体" w:eastAsia="宋体" w:hint="default"/>
                <w:sz w:val="16"/>
                <w:szCs w:val="16"/>
              </w:rPr>
              <w:t>年以上</w:t>
            </w:r>
          </w:p>
        </w:tc>
        <w:tc>
          <w:tcPr>
            <w:tcW w:w="1321" w:type="dxa"/>
            <w:tcBorders>
              <w:top w:val="nil" w:sz="6" w:space="0" w:color="auto"/>
              <w:left w:val="nil" w:sz="6" w:space="0" w:color="auto"/>
              <w:bottom w:val="nil" w:sz="6" w:space="0" w:color="auto"/>
              <w:right w:val="nil" w:sz="6" w:space="0" w:color="auto"/>
            </w:tcBorders>
          </w:tcPr>
          <w:p>
            <w:pPr>
              <w:pStyle w:val="TableParagraph"/>
              <w:tabs>
                <w:tab w:pos="262" w:val="left" w:leader="none"/>
                <w:tab w:pos="1567" w:val="left" w:leader="none"/>
              </w:tabs>
              <w:spacing w:line="240" w:lineRule="auto" w:before="12"/>
              <w:ind w:right="-246"/>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295,713,715</w:t>
            </w:r>
            <w:r>
              <w:rPr>
                <w:rFonts w:ascii="Arial"/>
                <w:sz w:val="16"/>
              </w:rPr>
              <w:t> </w:t>
            </w:r>
            <w:r>
              <w:rPr>
                <w:rFonts w:ascii="Arial"/>
                <w:spacing w:val="13"/>
                <w:sz w:val="16"/>
              </w:rPr>
              <w:t> </w:t>
            </w:r>
            <w:r>
              <w:rPr>
                <w:rFonts w:ascii="Arial"/>
                <w:spacing w:val="13"/>
                <w:w w:val="99"/>
                <w:sz w:val="16"/>
              </w:rPr>
            </w:r>
            <w:r>
              <w:rPr>
                <w:rFonts w:ascii="Arial"/>
                <w:w w:val="99"/>
                <w:sz w:val="16"/>
                <w:u w:val="single" w:color="000000"/>
              </w:rPr>
              <w:t> </w:t>
            </w:r>
            <w:r>
              <w:rPr>
                <w:rFonts w:ascii="Arial"/>
                <w:sz w:val="16"/>
                <w:u w:val="single" w:color="000000"/>
              </w:rPr>
              <w:tab/>
            </w:r>
            <w:r>
              <w:rPr>
                <w:rFonts w:ascii="Arial"/>
                <w:sz w:val="16"/>
              </w:rPr>
            </w:r>
          </w:p>
        </w:tc>
        <w:tc>
          <w:tcPr>
            <w:tcW w:w="625" w:type="dxa"/>
            <w:tcBorders>
              <w:top w:val="nil" w:sz="6" w:space="0" w:color="auto"/>
              <w:left w:val="nil" w:sz="6" w:space="0" w:color="auto"/>
              <w:bottom w:val="nil" w:sz="6" w:space="0" w:color="auto"/>
              <w:right w:val="nil" w:sz="6" w:space="0" w:color="auto"/>
            </w:tcBorders>
          </w:tcPr>
          <w:p>
            <w:pPr>
              <w:pStyle w:val="TableParagraph"/>
              <w:tabs>
                <w:tab w:pos="379" w:val="left" w:leader="none"/>
              </w:tabs>
              <w:spacing w:line="240" w:lineRule="auto" w:before="12"/>
              <w:ind w:right="0"/>
              <w:jc w:val="right"/>
              <w:rPr>
                <w:rFonts w:ascii="Arial" w:hAnsi="Arial" w:cs="Arial" w:eastAsia="Arial" w:hint="default"/>
                <w:sz w:val="16"/>
                <w:szCs w:val="16"/>
              </w:rPr>
            </w:pPr>
            <w:r>
              <w:rPr>
                <w:rFonts w:ascii="Arial"/>
                <w:w w:val="99"/>
                <w:sz w:val="16"/>
              </w:rPr>
            </w:r>
            <w:r>
              <w:rPr>
                <w:rFonts w:ascii="Arial"/>
                <w:w w:val="95"/>
                <w:sz w:val="16"/>
                <w:u w:val="single" w:color="000000"/>
              </w:rPr>
              <w:t>1.61</w:t>
            </w:r>
            <w:r>
              <w:rPr>
                <w:rFonts w:ascii="Arial"/>
                <w:sz w:val="16"/>
                <w:u w:val="single" w:color="000000"/>
              </w:rPr>
              <w:tab/>
            </w:r>
            <w:r>
              <w:rPr>
                <w:rFonts w:ascii="Arial"/>
                <w:sz w:val="16"/>
              </w:rPr>
            </w:r>
          </w:p>
        </w:tc>
        <w:tc>
          <w:tcPr>
            <w:tcW w:w="1415" w:type="dxa"/>
            <w:tcBorders>
              <w:top w:val="nil" w:sz="6" w:space="0" w:color="auto"/>
              <w:left w:val="nil" w:sz="6" w:space="0" w:color="auto"/>
              <w:bottom w:val="nil" w:sz="6" w:space="0" w:color="auto"/>
              <w:right w:val="nil" w:sz="6" w:space="0" w:color="auto"/>
            </w:tcBorders>
          </w:tcPr>
          <w:p>
            <w:pPr>
              <w:pStyle w:val="TableParagraph"/>
              <w:tabs>
                <w:tab w:pos="1820" w:val="left" w:leader="none"/>
              </w:tabs>
              <w:spacing w:line="240" w:lineRule="auto" w:before="12"/>
              <w:ind w:left="83" w:right="-405"/>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17"/>
                <w:sz w:val="16"/>
                <w:u w:val="single" w:color="000000"/>
              </w:rPr>
              <w:t> </w:t>
            </w:r>
            <w:r>
              <w:rPr>
                <w:rFonts w:ascii="Arial"/>
                <w:sz w:val="16"/>
                <w:u w:val="single" w:color="000000"/>
              </w:rPr>
              <w:t>(295,713,715)</w:t>
            </w:r>
            <w:r>
              <w:rPr>
                <w:rFonts w:ascii="Arial"/>
                <w:spacing w:val="-1"/>
                <w:sz w:val="16"/>
                <w:u w:val="single" w:color="000000"/>
              </w:rPr>
              <w:t> </w:t>
            </w:r>
            <w:r>
              <w:rPr>
                <w:rFonts w:ascii="Arial"/>
                <w:spacing w:val="-1"/>
                <w:sz w:val="16"/>
              </w:rPr>
            </w:r>
            <w:r>
              <w:rPr>
                <w:rFonts w:ascii="Arial"/>
                <w:sz w:val="16"/>
              </w:rPr>
              <w:t> </w:t>
            </w:r>
            <w:r>
              <w:rPr>
                <w:rFonts w:ascii="Arial"/>
                <w:spacing w:val="-14"/>
                <w:sz w:val="16"/>
              </w:rPr>
              <w:t> </w:t>
            </w:r>
            <w:r>
              <w:rPr>
                <w:rFonts w:ascii="Arial"/>
                <w:spacing w:val="-14"/>
                <w:w w:val="99"/>
                <w:sz w:val="16"/>
              </w:rPr>
            </w:r>
            <w:r>
              <w:rPr>
                <w:rFonts w:ascii="Arial"/>
                <w:w w:val="99"/>
                <w:sz w:val="16"/>
                <w:u w:val="single" w:color="000000"/>
              </w:rPr>
              <w:t> </w:t>
            </w:r>
            <w:r>
              <w:rPr>
                <w:rFonts w:ascii="Arial"/>
                <w:sz w:val="16"/>
                <w:u w:val="single" w:color="000000"/>
              </w:rPr>
              <w:tab/>
            </w:r>
            <w:r>
              <w:rPr>
                <w:rFonts w:ascii="Arial"/>
                <w:sz w:val="16"/>
              </w:rPr>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5"/>
              <w:jc w:val="right"/>
              <w:rPr>
                <w:rFonts w:ascii="Arial" w:hAnsi="Arial" w:cs="Arial" w:eastAsia="Arial" w:hint="default"/>
                <w:sz w:val="16"/>
                <w:szCs w:val="16"/>
              </w:rPr>
            </w:pPr>
            <w:r>
              <w:rPr>
                <w:rFonts w:ascii="Arial"/>
                <w:w w:val="99"/>
                <w:sz w:val="16"/>
              </w:rPr>
            </w:r>
            <w:r>
              <w:rPr>
                <w:rFonts w:ascii="Arial"/>
                <w:w w:val="95"/>
                <w:sz w:val="16"/>
                <w:u w:val="single" w:color="000000"/>
              </w:rPr>
              <w:t>100</w:t>
            </w:r>
            <w:r>
              <w:rPr>
                <w:rFonts w:ascii="Arial"/>
                <w:w w:val="95"/>
                <w:sz w:val="16"/>
              </w:rPr>
            </w:r>
            <w:r>
              <w:rPr>
                <w:rFonts w:ascii="Arial"/>
                <w:sz w:val="16"/>
              </w:rPr>
            </w:r>
          </w:p>
        </w:tc>
        <w:tc>
          <w:tcPr>
            <w:tcW w:w="1364" w:type="dxa"/>
            <w:tcBorders>
              <w:top w:val="nil" w:sz="6" w:space="0" w:color="auto"/>
              <w:left w:val="nil" w:sz="6" w:space="0" w:color="auto"/>
              <w:bottom w:val="nil" w:sz="6" w:space="0" w:color="auto"/>
              <w:right w:val="nil" w:sz="6" w:space="0" w:color="auto"/>
            </w:tcBorders>
          </w:tcPr>
          <w:p>
            <w:pPr>
              <w:pStyle w:val="TableParagraph"/>
              <w:tabs>
                <w:tab w:pos="285" w:val="left" w:leader="none"/>
                <w:tab w:pos="1597" w:val="left" w:leader="none"/>
              </w:tabs>
              <w:spacing w:line="240" w:lineRule="auto" w:before="12"/>
              <w:ind w:left="37" w:right="-234"/>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243,625,362</w:t>
            </w:r>
            <w:r>
              <w:rPr>
                <w:rFonts w:ascii="Arial"/>
                <w:sz w:val="16"/>
              </w:rPr>
              <w:t> </w:t>
            </w:r>
            <w:r>
              <w:rPr>
                <w:rFonts w:ascii="Arial"/>
                <w:spacing w:val="20"/>
                <w:sz w:val="16"/>
              </w:rPr>
              <w:t> </w:t>
            </w:r>
            <w:r>
              <w:rPr>
                <w:rFonts w:ascii="Arial"/>
                <w:spacing w:val="20"/>
                <w:w w:val="99"/>
                <w:sz w:val="16"/>
              </w:rPr>
            </w:r>
            <w:r>
              <w:rPr>
                <w:rFonts w:ascii="Arial"/>
                <w:w w:val="99"/>
                <w:sz w:val="16"/>
                <w:u w:val="single" w:color="000000"/>
              </w:rPr>
              <w:t> </w:t>
            </w:r>
            <w:r>
              <w:rPr>
                <w:rFonts w:ascii="Arial"/>
                <w:sz w:val="16"/>
                <w:u w:val="single" w:color="000000"/>
              </w:rPr>
              <w:tab/>
            </w:r>
            <w:r>
              <w:rPr>
                <w:rFonts w:ascii="Arial"/>
                <w:sz w:val="16"/>
              </w:rPr>
            </w:r>
          </w:p>
        </w:tc>
        <w:tc>
          <w:tcPr>
            <w:tcW w:w="689" w:type="dxa"/>
            <w:tcBorders>
              <w:top w:val="nil" w:sz="6" w:space="0" w:color="auto"/>
              <w:left w:val="nil" w:sz="6" w:space="0" w:color="auto"/>
              <w:bottom w:val="nil" w:sz="6" w:space="0" w:color="auto"/>
              <w:right w:val="nil" w:sz="6" w:space="0" w:color="auto"/>
            </w:tcBorders>
          </w:tcPr>
          <w:p>
            <w:pPr>
              <w:pStyle w:val="TableParagraph"/>
              <w:tabs>
                <w:tab w:pos="627" w:val="left" w:leader="none"/>
              </w:tabs>
              <w:spacing w:line="240" w:lineRule="auto" w:before="12"/>
              <w:ind w:left="233" w:right="0"/>
              <w:jc w:val="left"/>
              <w:rPr>
                <w:rFonts w:ascii="Arial" w:hAnsi="Arial" w:cs="Arial" w:eastAsia="Arial" w:hint="default"/>
                <w:sz w:val="16"/>
                <w:szCs w:val="16"/>
              </w:rPr>
            </w:pPr>
            <w:r>
              <w:rPr>
                <w:rFonts w:ascii="Arial"/>
                <w:w w:val="99"/>
                <w:sz w:val="16"/>
              </w:rPr>
            </w:r>
            <w:r>
              <w:rPr>
                <w:rFonts w:ascii="Arial"/>
                <w:sz w:val="16"/>
                <w:u w:val="single" w:color="000000"/>
              </w:rPr>
              <w:t>1.53</w:t>
              <w:tab/>
            </w:r>
            <w:r>
              <w:rPr>
                <w:rFonts w:ascii="Arial"/>
                <w:sz w:val="16"/>
              </w:rPr>
            </w:r>
          </w:p>
        </w:tc>
        <w:tc>
          <w:tcPr>
            <w:tcW w:w="1291" w:type="dxa"/>
            <w:tcBorders>
              <w:top w:val="nil" w:sz="6" w:space="0" w:color="auto"/>
              <w:left w:val="nil" w:sz="6" w:space="0" w:color="auto"/>
              <w:bottom w:val="nil" w:sz="6" w:space="0" w:color="auto"/>
              <w:right w:val="nil" w:sz="6" w:space="0" w:color="auto"/>
            </w:tcBorders>
          </w:tcPr>
          <w:p>
            <w:pPr>
              <w:pStyle w:val="TableParagraph"/>
              <w:tabs>
                <w:tab w:pos="1276" w:val="left" w:leader="none"/>
              </w:tabs>
              <w:spacing w:line="240" w:lineRule="auto" w:before="12"/>
              <w:ind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13"/>
                <w:sz w:val="16"/>
                <w:u w:val="single" w:color="000000"/>
              </w:rPr>
              <w:t> </w:t>
            </w:r>
            <w:r>
              <w:rPr>
                <w:rFonts w:ascii="Arial"/>
                <w:w w:val="95"/>
                <w:sz w:val="16"/>
                <w:u w:val="single" w:color="000000"/>
              </w:rPr>
              <w:t>(243,625,362)</w:t>
            </w:r>
            <w:r>
              <w:rPr>
                <w:rFonts w:ascii="Arial"/>
                <w:sz w:val="16"/>
                <w:u w:val="single" w:color="000000"/>
              </w:rPr>
              <w:tab/>
            </w:r>
            <w:r>
              <w:rPr>
                <w:rFonts w:ascii="Arial"/>
                <w:sz w:val="16"/>
              </w:rPr>
            </w:r>
          </w:p>
        </w:tc>
        <w:tc>
          <w:tcPr>
            <w:tcW w:w="810" w:type="dxa"/>
            <w:tcBorders>
              <w:top w:val="nil" w:sz="6" w:space="0" w:color="auto"/>
              <w:left w:val="nil" w:sz="6" w:space="0" w:color="auto"/>
              <w:bottom w:val="nil" w:sz="6" w:space="0" w:color="auto"/>
              <w:right w:val="nil" w:sz="6" w:space="0" w:color="auto"/>
            </w:tcBorders>
          </w:tcPr>
          <w:p>
            <w:pPr>
              <w:pStyle w:val="TableParagraph"/>
              <w:tabs>
                <w:tab w:pos="409" w:val="left" w:leader="none"/>
                <w:tab w:pos="719" w:val="left" w:leader="none"/>
              </w:tabs>
              <w:spacing w:line="240" w:lineRule="auto" w:before="12"/>
              <w:ind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100</w:t>
            </w:r>
            <w:r>
              <w:rPr>
                <w:rFonts w:ascii="Arial"/>
                <w:sz w:val="16"/>
                <w:u w:val="single" w:color="000000"/>
              </w:rPr>
              <w:tab/>
            </w:r>
            <w:r>
              <w:rPr>
                <w:rFonts w:ascii="Arial"/>
                <w:sz w:val="16"/>
              </w:rPr>
            </w:r>
          </w:p>
        </w:tc>
      </w:tr>
      <w:tr>
        <w:trPr>
          <w:trHeight w:val="322" w:hRule="exact"/>
        </w:trPr>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00"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321"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left="39" w:right="0"/>
              <w:jc w:val="left"/>
              <w:rPr>
                <w:rFonts w:ascii="Arial" w:hAnsi="Arial" w:cs="Arial" w:eastAsia="Arial" w:hint="default"/>
                <w:sz w:val="16"/>
                <w:szCs w:val="16"/>
              </w:rPr>
            </w:pPr>
            <w:r>
              <w:rPr>
                <w:rFonts w:ascii="Arial"/>
                <w:sz w:val="16"/>
              </w:rPr>
              <w:t>18,378,575,452</w:t>
            </w:r>
          </w:p>
        </w:tc>
        <w:tc>
          <w:tcPr>
            <w:tcW w:w="625"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66"/>
              <w:jc w:val="right"/>
              <w:rPr>
                <w:rFonts w:ascii="Arial" w:hAnsi="Arial" w:cs="Arial" w:eastAsia="Arial" w:hint="default"/>
                <w:sz w:val="16"/>
                <w:szCs w:val="16"/>
              </w:rPr>
            </w:pPr>
            <w:r>
              <w:rPr>
                <w:rFonts w:ascii="Arial"/>
                <w:w w:val="95"/>
                <w:sz w:val="16"/>
              </w:rPr>
              <w:t>100.00</w:t>
            </w:r>
            <w:r>
              <w:rPr>
                <w:rFonts w:ascii="Arial"/>
                <w:sz w:val="16"/>
              </w:rPr>
            </w:r>
          </w:p>
        </w:tc>
        <w:tc>
          <w:tcPr>
            <w:tcW w:w="1415"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left="112" w:right="0"/>
              <w:jc w:val="left"/>
              <w:rPr>
                <w:rFonts w:ascii="Arial" w:hAnsi="Arial" w:cs="Arial" w:eastAsia="Arial" w:hint="default"/>
                <w:sz w:val="16"/>
                <w:szCs w:val="16"/>
              </w:rPr>
            </w:pPr>
            <w:r>
              <w:rPr>
                <w:rFonts w:ascii="Arial"/>
                <w:sz w:val="16"/>
              </w:rPr>
              <w:t>(4,078,738,757)</w:t>
            </w:r>
          </w:p>
        </w:tc>
        <w:tc>
          <w:tcPr>
            <w:tcW w:w="737"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64"/>
              <w:jc w:val="right"/>
              <w:rPr>
                <w:rFonts w:ascii="Arial" w:hAnsi="Arial" w:cs="Arial" w:eastAsia="Arial" w:hint="default"/>
                <w:sz w:val="16"/>
                <w:szCs w:val="16"/>
              </w:rPr>
            </w:pPr>
            <w:r>
              <w:rPr>
                <w:rFonts w:ascii="Arial"/>
                <w:w w:val="95"/>
                <w:sz w:val="16"/>
              </w:rPr>
              <w:t>0~100</w:t>
            </w:r>
            <w:r>
              <w:rPr>
                <w:rFonts w:ascii="Arial"/>
                <w:sz w:val="16"/>
              </w:rPr>
            </w:r>
          </w:p>
        </w:tc>
        <w:tc>
          <w:tcPr>
            <w:tcW w:w="1364"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left="65" w:right="0"/>
              <w:jc w:val="left"/>
              <w:rPr>
                <w:rFonts w:ascii="Arial" w:hAnsi="Arial" w:cs="Arial" w:eastAsia="Arial" w:hint="default"/>
                <w:sz w:val="16"/>
                <w:szCs w:val="16"/>
              </w:rPr>
            </w:pPr>
            <w:r>
              <w:rPr>
                <w:rFonts w:ascii="Arial"/>
                <w:sz w:val="16"/>
              </w:rPr>
              <w:t>15,994,125,110</w:t>
            </w:r>
          </w:p>
        </w:tc>
        <w:tc>
          <w:tcPr>
            <w:tcW w:w="689"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left="56" w:right="0"/>
              <w:jc w:val="left"/>
              <w:rPr>
                <w:rFonts w:ascii="Arial" w:hAnsi="Arial" w:cs="Arial" w:eastAsia="Arial" w:hint="default"/>
                <w:sz w:val="16"/>
                <w:szCs w:val="16"/>
              </w:rPr>
            </w:pPr>
            <w:r>
              <w:rPr>
                <w:rFonts w:ascii="Arial"/>
                <w:sz w:val="16"/>
              </w:rPr>
              <w:t>100.00</w:t>
            </w:r>
          </w:p>
        </w:tc>
        <w:tc>
          <w:tcPr>
            <w:tcW w:w="1291"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70"/>
              <w:jc w:val="right"/>
              <w:rPr>
                <w:rFonts w:ascii="Arial" w:hAnsi="Arial" w:cs="Arial" w:eastAsia="Arial" w:hint="default"/>
                <w:sz w:val="16"/>
                <w:szCs w:val="16"/>
              </w:rPr>
            </w:pPr>
            <w:r>
              <w:rPr>
                <w:rFonts w:ascii="Arial"/>
                <w:w w:val="95"/>
                <w:sz w:val="16"/>
              </w:rPr>
              <w:t>(3,554,880,841)</w:t>
            </w:r>
            <w:r>
              <w:rPr>
                <w:rFonts w:ascii="Arial"/>
                <w:sz w:val="16"/>
              </w:rPr>
            </w:r>
          </w:p>
        </w:tc>
        <w:tc>
          <w:tcPr>
            <w:tcW w:w="810"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25"/>
              <w:jc w:val="right"/>
              <w:rPr>
                <w:rFonts w:ascii="Arial" w:hAnsi="Arial" w:cs="Arial" w:eastAsia="Arial" w:hint="default"/>
                <w:sz w:val="16"/>
                <w:szCs w:val="16"/>
              </w:rPr>
            </w:pPr>
            <w:r>
              <w:rPr>
                <w:rFonts w:ascii="Arial"/>
                <w:w w:val="95"/>
                <w:sz w:val="16"/>
              </w:rPr>
              <w:t>0~100</w:t>
            </w:r>
            <w:r>
              <w:rPr>
                <w:rFonts w:ascii="Arial"/>
                <w:sz w:val="16"/>
              </w:rPr>
            </w:r>
          </w:p>
        </w:tc>
      </w:tr>
    </w:tbl>
    <w:p>
      <w:pPr>
        <w:spacing w:line="240" w:lineRule="auto" w:before="2"/>
        <w:rPr>
          <w:rFonts w:ascii="宋体" w:hAnsi="宋体" w:cs="宋体" w:eastAsia="宋体" w:hint="default"/>
          <w:sz w:val="14"/>
          <w:szCs w:val="14"/>
        </w:rPr>
      </w:pPr>
    </w:p>
    <w:p>
      <w:pPr>
        <w:pStyle w:val="BodyText"/>
        <w:spacing w:line="295" w:lineRule="exact" w:before="31"/>
        <w:ind w:left="114" w:right="0"/>
        <w:jc w:val="left"/>
      </w:pPr>
      <w:r>
        <w:rPr>
          <w:rFonts w:ascii="Arial" w:hAnsi="Arial" w:cs="Arial" w:eastAsia="Arial" w:hint="default"/>
        </w:rPr>
        <w:t>(e)   2012  </w:t>
      </w:r>
      <w:r>
        <w:rPr/>
        <w:t>年度，本集团对有确凿证据表明无法收回的约人民币 </w:t>
      </w:r>
      <w:r>
        <w:rPr>
          <w:rFonts w:ascii="Arial" w:hAnsi="Arial" w:cs="Arial" w:eastAsia="Arial" w:hint="default"/>
        </w:rPr>
        <w:t>26.87 </w:t>
      </w:r>
      <w:r>
        <w:rPr>
          <w:rFonts w:ascii="Arial" w:hAnsi="Arial" w:cs="Arial" w:eastAsia="Arial" w:hint="default"/>
          <w:spacing w:val="3"/>
        </w:rPr>
        <w:t> </w:t>
      </w:r>
      <w:r>
        <w:rPr/>
        <w:t>亿元的应收账款进行了核销</w:t>
      </w:r>
    </w:p>
    <w:p>
      <w:pPr>
        <w:pStyle w:val="BodyText"/>
        <w:spacing w:line="230" w:lineRule="auto" w:before="1"/>
        <w:ind w:left="548" w:right="103"/>
        <w:jc w:val="both"/>
      </w:pPr>
      <w:r>
        <w:rPr/>
        <w:t>（</w:t>
      </w:r>
      <w:r>
        <w:rPr>
          <w:rFonts w:ascii="Arial" w:hAnsi="Arial" w:cs="Arial" w:eastAsia="Arial" w:hint="default"/>
        </w:rPr>
        <w:t>2011</w:t>
      </w:r>
      <w:r>
        <w:rPr>
          <w:rFonts w:ascii="Arial" w:hAnsi="Arial" w:cs="Arial" w:eastAsia="Arial" w:hint="default"/>
          <w:spacing w:val="-8"/>
        </w:rPr>
        <w:t> </w:t>
      </w:r>
      <w:r>
        <w:rPr/>
        <w:t>年：约人民币</w:t>
      </w:r>
      <w:r>
        <w:rPr>
          <w:spacing w:val="-57"/>
        </w:rPr>
        <w:t> </w:t>
      </w:r>
      <w:r>
        <w:rPr>
          <w:rFonts w:ascii="Arial" w:hAnsi="Arial" w:cs="Arial" w:eastAsia="Arial" w:hint="default"/>
        </w:rPr>
        <w:t>31.80</w:t>
      </w:r>
      <w:r>
        <w:rPr>
          <w:rFonts w:ascii="Arial" w:hAnsi="Arial" w:cs="Arial" w:eastAsia="Arial" w:hint="default"/>
          <w:spacing w:val="-8"/>
        </w:rPr>
        <w:t> </w:t>
      </w:r>
      <w:r>
        <w:rPr/>
        <w:t>亿元），同时冲销已计提的坏账准备。本集团核销的坏账准备主要</w:t>
      </w:r>
      <w:r>
        <w:rPr>
          <w:w w:val="99"/>
        </w:rPr>
        <w:t> </w:t>
      </w:r>
      <w:r>
        <w:rPr>
          <w:spacing w:val="-3"/>
        </w:rPr>
        <w:t>为对一般商务及公众用户计提的坏账准备，其个别欠款金额对本集团并不重大。此外，本集团本</w:t>
      </w:r>
      <w:r>
        <w:rPr>
          <w:spacing w:val="-101"/>
        </w:rPr>
        <w:t> </w:t>
      </w:r>
      <w:r>
        <w:rPr>
          <w:spacing w:val="-101"/>
        </w:rPr>
      </w:r>
      <w:r>
        <w:rPr/>
        <w:t>年核销的应收账款中无应收关联公司款项。</w:t>
      </w:r>
    </w:p>
    <w:p>
      <w:pPr>
        <w:spacing w:line="240" w:lineRule="auto" w:before="4"/>
        <w:rPr>
          <w:rFonts w:ascii="宋体" w:hAnsi="宋体" w:cs="宋体" w:eastAsia="宋体" w:hint="default"/>
          <w:sz w:val="19"/>
          <w:szCs w:val="19"/>
        </w:rPr>
      </w:pPr>
    </w:p>
    <w:p>
      <w:pPr>
        <w:pStyle w:val="BodyText"/>
        <w:tabs>
          <w:tab w:pos="547" w:val="left" w:leader="none"/>
        </w:tabs>
        <w:spacing w:line="240" w:lineRule="auto"/>
        <w:ind w:left="114" w:right="0"/>
        <w:jc w:val="left"/>
      </w:pPr>
      <w:r>
        <w:rPr>
          <w:rFonts w:ascii="Arial" w:hAnsi="Arial" w:cs="Arial" w:eastAsia="Arial" w:hint="default"/>
          <w:w w:val="95"/>
        </w:rPr>
        <w:t>(f)</w:t>
        <w:tab/>
      </w:r>
      <w:r>
        <w:rPr/>
        <w:t>应收持有本公司</w:t>
      </w:r>
      <w:r>
        <w:rPr>
          <w:spacing w:val="-61"/>
        </w:rPr>
        <w:t> </w:t>
      </w:r>
      <w:r>
        <w:rPr>
          <w:rFonts w:ascii="Arial" w:hAnsi="Arial" w:cs="Arial" w:eastAsia="Arial" w:hint="default"/>
        </w:rPr>
        <w:t>5%</w:t>
      </w:r>
      <w:r>
        <w:rPr/>
        <w:t>（含</w:t>
      </w:r>
      <w:r>
        <w:rPr>
          <w:spacing w:val="-62"/>
        </w:rPr>
        <w:t> </w:t>
      </w:r>
      <w:r>
        <w:rPr>
          <w:rFonts w:ascii="Arial" w:hAnsi="Arial" w:cs="Arial" w:eastAsia="Arial" w:hint="default"/>
        </w:rPr>
        <w:t>5%</w:t>
      </w:r>
      <w:r>
        <w:rPr/>
        <w:t>）以上表决权股份的股东单位的应收账款分析如下：</w:t>
      </w:r>
    </w:p>
    <w:p>
      <w:pPr>
        <w:spacing w:line="240" w:lineRule="auto" w:before="1"/>
        <w:rPr>
          <w:rFonts w:ascii="宋体" w:hAnsi="宋体" w:cs="宋体" w:eastAsia="宋体" w:hint="default"/>
          <w:sz w:val="23"/>
          <w:szCs w:val="23"/>
        </w:rPr>
      </w:pPr>
    </w:p>
    <w:tbl>
      <w:tblPr>
        <w:tblW w:w="0" w:type="auto"/>
        <w:jc w:val="left"/>
        <w:tblInd w:w="365" w:type="dxa"/>
        <w:tblLayout w:type="fixed"/>
        <w:tblCellMar>
          <w:top w:w="0" w:type="dxa"/>
          <w:left w:w="0" w:type="dxa"/>
          <w:bottom w:w="0" w:type="dxa"/>
          <w:right w:w="0" w:type="dxa"/>
        </w:tblCellMar>
        <w:tblLook w:val="01E0"/>
      </w:tblPr>
      <w:tblGrid>
        <w:gridCol w:w="2336"/>
        <w:gridCol w:w="1572"/>
        <w:gridCol w:w="275"/>
        <w:gridCol w:w="1480"/>
        <w:gridCol w:w="272"/>
        <w:gridCol w:w="1582"/>
        <w:gridCol w:w="230"/>
        <w:gridCol w:w="1570"/>
      </w:tblGrid>
      <w:tr>
        <w:trPr>
          <w:trHeight w:val="267" w:hRule="exact"/>
        </w:trPr>
        <w:tc>
          <w:tcPr>
            <w:tcW w:w="5663" w:type="dxa"/>
            <w:gridSpan w:val="4"/>
            <w:tcBorders>
              <w:top w:val="nil" w:sz="6" w:space="0" w:color="auto"/>
              <w:left w:val="nil" w:sz="6" w:space="0" w:color="auto"/>
              <w:bottom w:val="nil" w:sz="6" w:space="0" w:color="auto"/>
              <w:right w:val="nil" w:sz="6" w:space="0" w:color="auto"/>
            </w:tcBorders>
          </w:tcPr>
          <w:p>
            <w:pPr>
              <w:pStyle w:val="TableParagraph"/>
              <w:spacing w:line="235" w:lineRule="exact"/>
              <w:ind w:left="3043" w:right="0"/>
              <w:jc w:val="lef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3654" w:type="dxa"/>
            <w:gridSpan w:val="4"/>
            <w:tcBorders>
              <w:top w:val="nil" w:sz="6" w:space="0" w:color="auto"/>
              <w:left w:val="nil" w:sz="6" w:space="0" w:color="auto"/>
              <w:bottom w:val="nil" w:sz="6" w:space="0" w:color="auto"/>
              <w:right w:val="nil" w:sz="6" w:space="0" w:color="auto"/>
            </w:tcBorders>
          </w:tcPr>
          <w:p>
            <w:pPr>
              <w:pStyle w:val="TableParagraph"/>
              <w:spacing w:line="235" w:lineRule="exact"/>
              <w:ind w:left="1009"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300" w:hRule="exact"/>
        </w:trPr>
        <w:tc>
          <w:tcPr>
            <w:tcW w:w="2336" w:type="dxa"/>
            <w:tcBorders>
              <w:top w:val="nil" w:sz="6" w:space="0" w:color="auto"/>
              <w:left w:val="nil" w:sz="6" w:space="0" w:color="auto"/>
              <w:bottom w:val="nil" w:sz="6" w:space="0" w:color="auto"/>
              <w:right w:val="nil" w:sz="6" w:space="0" w:color="auto"/>
            </w:tcBorders>
          </w:tcPr>
          <w:p>
            <w:pPr/>
          </w:p>
        </w:tc>
        <w:tc>
          <w:tcPr>
            <w:tcW w:w="1572" w:type="dxa"/>
            <w:tcBorders>
              <w:top w:val="single" w:sz="6" w:space="0" w:color="000000"/>
              <w:left w:val="nil" w:sz="6" w:space="0" w:color="auto"/>
              <w:bottom w:val="single" w:sz="6" w:space="0" w:color="000000"/>
              <w:right w:val="nil" w:sz="6" w:space="0" w:color="auto"/>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275" w:type="dxa"/>
            <w:tcBorders>
              <w:top w:val="single" w:sz="6" w:space="0" w:color="000000"/>
              <w:left w:val="nil" w:sz="6" w:space="0" w:color="auto"/>
              <w:bottom w:val="nil" w:sz="6" w:space="0" w:color="auto"/>
              <w:right w:val="nil" w:sz="6" w:space="0" w:color="auto"/>
            </w:tcBorders>
          </w:tcPr>
          <w:p>
            <w:pPr/>
          </w:p>
        </w:tc>
        <w:tc>
          <w:tcPr>
            <w:tcW w:w="1480" w:type="dxa"/>
            <w:tcBorders>
              <w:top w:val="single" w:sz="6" w:space="0" w:color="000000"/>
              <w:left w:val="nil" w:sz="6" w:space="0" w:color="auto"/>
              <w:bottom w:val="single" w:sz="6" w:space="0" w:color="000000"/>
              <w:right w:val="nil" w:sz="6" w:space="0" w:color="auto"/>
            </w:tcBorders>
          </w:tcPr>
          <w:p>
            <w:pPr>
              <w:pStyle w:val="TableParagraph"/>
              <w:spacing w:line="252" w:lineRule="exact"/>
              <w:ind w:left="303" w:right="0"/>
              <w:jc w:val="left"/>
              <w:rPr>
                <w:rFonts w:ascii="宋体" w:hAnsi="宋体" w:cs="宋体" w:eastAsia="宋体" w:hint="default"/>
                <w:sz w:val="22"/>
                <w:szCs w:val="22"/>
              </w:rPr>
            </w:pPr>
            <w:r>
              <w:rPr>
                <w:rFonts w:ascii="宋体" w:hAnsi="宋体" w:cs="宋体" w:eastAsia="宋体" w:hint="default"/>
                <w:sz w:val="22"/>
                <w:szCs w:val="22"/>
              </w:rPr>
              <w:t>坏账准备</w:t>
            </w:r>
          </w:p>
        </w:tc>
        <w:tc>
          <w:tcPr>
            <w:tcW w:w="272" w:type="dxa"/>
            <w:tcBorders>
              <w:top w:val="nil" w:sz="6" w:space="0" w:color="auto"/>
              <w:left w:val="nil" w:sz="6" w:space="0" w:color="auto"/>
              <w:bottom w:val="nil" w:sz="6" w:space="0" w:color="auto"/>
              <w:right w:val="nil" w:sz="6" w:space="0" w:color="auto"/>
            </w:tcBorders>
          </w:tcPr>
          <w:p>
            <w:pPr/>
          </w:p>
        </w:tc>
        <w:tc>
          <w:tcPr>
            <w:tcW w:w="1582" w:type="dxa"/>
            <w:tcBorders>
              <w:top w:val="single" w:sz="6" w:space="0" w:color="000000"/>
              <w:left w:val="nil" w:sz="6" w:space="0" w:color="auto"/>
              <w:bottom w:val="single" w:sz="6" w:space="0" w:color="000000"/>
              <w:right w:val="nil" w:sz="6" w:space="0" w:color="auto"/>
            </w:tcBorders>
          </w:tcPr>
          <w:p>
            <w:pPr>
              <w:pStyle w:val="TableParagraph"/>
              <w:spacing w:line="252" w:lineRule="exact"/>
              <w:ind w:left="4"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230" w:type="dxa"/>
            <w:tcBorders>
              <w:top w:val="single" w:sz="6" w:space="0" w:color="000000"/>
              <w:left w:val="nil" w:sz="6" w:space="0" w:color="auto"/>
              <w:bottom w:val="nil" w:sz="6" w:space="0" w:color="auto"/>
              <w:right w:val="nil" w:sz="6" w:space="0" w:color="auto"/>
            </w:tcBorders>
          </w:tcPr>
          <w:p>
            <w:pPr/>
          </w:p>
        </w:tc>
        <w:tc>
          <w:tcPr>
            <w:tcW w:w="1570" w:type="dxa"/>
            <w:tcBorders>
              <w:top w:val="single" w:sz="6" w:space="0" w:color="000000"/>
              <w:left w:val="nil" w:sz="6" w:space="0" w:color="auto"/>
              <w:bottom w:val="single" w:sz="6" w:space="0" w:color="000000"/>
              <w:right w:val="nil" w:sz="6" w:space="0" w:color="auto"/>
            </w:tcBorders>
          </w:tcPr>
          <w:p>
            <w:pPr>
              <w:pStyle w:val="TableParagraph"/>
              <w:spacing w:line="252" w:lineRule="exact"/>
              <w:ind w:left="349" w:right="0"/>
              <w:jc w:val="left"/>
              <w:rPr>
                <w:rFonts w:ascii="宋体" w:hAnsi="宋体" w:cs="宋体" w:eastAsia="宋体" w:hint="default"/>
                <w:sz w:val="22"/>
                <w:szCs w:val="22"/>
              </w:rPr>
            </w:pPr>
            <w:r>
              <w:rPr>
                <w:rFonts w:ascii="宋体" w:hAnsi="宋体" w:cs="宋体" w:eastAsia="宋体" w:hint="default"/>
                <w:sz w:val="22"/>
                <w:szCs w:val="22"/>
              </w:rPr>
              <w:t>坏账准备</w:t>
            </w:r>
          </w:p>
        </w:tc>
      </w:tr>
      <w:tr>
        <w:trPr>
          <w:trHeight w:val="570"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1572" w:type="dxa"/>
            <w:tcBorders>
              <w:top w:val="single" w:sz="6"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44" w:right="0"/>
              <w:jc w:val="left"/>
              <w:rPr>
                <w:rFonts w:ascii="Arial" w:hAnsi="Arial" w:cs="Arial" w:eastAsia="Arial" w:hint="default"/>
                <w:sz w:val="22"/>
                <w:szCs w:val="22"/>
              </w:rPr>
            </w:pPr>
            <w:r>
              <w:rPr>
                <w:rFonts w:ascii="Arial"/>
                <w:sz w:val="22"/>
              </w:rPr>
              <w:t>13,533,936</w:t>
            </w:r>
          </w:p>
        </w:tc>
        <w:tc>
          <w:tcPr>
            <w:tcW w:w="275" w:type="dxa"/>
            <w:tcBorders>
              <w:top w:val="nil" w:sz="6" w:space="0" w:color="auto"/>
              <w:left w:val="nil" w:sz="6" w:space="0" w:color="auto"/>
              <w:bottom w:val="nil" w:sz="6" w:space="0" w:color="auto"/>
              <w:right w:val="nil" w:sz="6" w:space="0" w:color="auto"/>
            </w:tcBorders>
          </w:tcPr>
          <w:p>
            <w:pPr/>
          </w:p>
        </w:tc>
        <w:tc>
          <w:tcPr>
            <w:tcW w:w="1480" w:type="dxa"/>
            <w:tcBorders>
              <w:top w:val="single" w:sz="6"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24"/>
              <w:jc w:val="right"/>
              <w:rPr>
                <w:rFonts w:ascii="Arial" w:hAnsi="Arial" w:cs="Arial" w:eastAsia="Arial" w:hint="default"/>
                <w:sz w:val="22"/>
                <w:szCs w:val="22"/>
              </w:rPr>
            </w:pPr>
            <w:r>
              <w:rPr>
                <w:rFonts w:ascii="Arial"/>
                <w:w w:val="99"/>
                <w:sz w:val="22"/>
              </w:rPr>
              <w:t>-</w:t>
            </w:r>
            <w:r>
              <w:rPr>
                <w:rFonts w:ascii="Arial"/>
                <w:sz w:val="22"/>
              </w:rPr>
            </w:r>
          </w:p>
        </w:tc>
        <w:tc>
          <w:tcPr>
            <w:tcW w:w="272" w:type="dxa"/>
            <w:tcBorders>
              <w:top w:val="nil" w:sz="6" w:space="0" w:color="auto"/>
              <w:left w:val="nil" w:sz="6" w:space="0" w:color="auto"/>
              <w:bottom w:val="nil" w:sz="6" w:space="0" w:color="auto"/>
              <w:right w:val="nil" w:sz="6" w:space="0" w:color="auto"/>
            </w:tcBorders>
          </w:tcPr>
          <w:p>
            <w:pPr/>
          </w:p>
        </w:tc>
        <w:tc>
          <w:tcPr>
            <w:tcW w:w="1582" w:type="dxa"/>
            <w:tcBorders>
              <w:top w:val="single" w:sz="6"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94" w:right="0"/>
              <w:jc w:val="left"/>
              <w:rPr>
                <w:rFonts w:ascii="Arial" w:hAnsi="Arial" w:cs="Arial" w:eastAsia="Arial" w:hint="default"/>
                <w:sz w:val="22"/>
                <w:szCs w:val="22"/>
              </w:rPr>
            </w:pPr>
            <w:r>
              <w:rPr>
                <w:rFonts w:ascii="Arial"/>
                <w:sz w:val="22"/>
              </w:rPr>
              <w:t>6,911,495</w:t>
            </w:r>
          </w:p>
        </w:tc>
        <w:tc>
          <w:tcPr>
            <w:tcW w:w="230" w:type="dxa"/>
            <w:tcBorders>
              <w:top w:val="nil" w:sz="6" w:space="0" w:color="auto"/>
              <w:left w:val="nil" w:sz="6" w:space="0" w:color="auto"/>
              <w:bottom w:val="nil" w:sz="6" w:space="0" w:color="auto"/>
              <w:right w:val="nil" w:sz="6" w:space="0" w:color="auto"/>
            </w:tcBorders>
          </w:tcPr>
          <w:p>
            <w:pPr/>
          </w:p>
        </w:tc>
        <w:tc>
          <w:tcPr>
            <w:tcW w:w="1570" w:type="dxa"/>
            <w:tcBorders>
              <w:top w:val="single" w:sz="6"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4"/>
              <w:jc w:val="right"/>
              <w:rPr>
                <w:rFonts w:ascii="Arial" w:hAnsi="Arial" w:cs="Arial" w:eastAsia="Arial" w:hint="default"/>
                <w:sz w:val="22"/>
                <w:szCs w:val="22"/>
              </w:rPr>
            </w:pPr>
            <w:r>
              <w:rPr>
                <w:rFonts w:ascii="Arial"/>
                <w:w w:val="99"/>
                <w:sz w:val="22"/>
              </w:rPr>
              <w:t>-</w:t>
            </w:r>
            <w:r>
              <w:rPr>
                <w:rFonts w:ascii="Arial"/>
                <w:sz w:val="22"/>
              </w:rPr>
            </w:r>
          </w:p>
        </w:tc>
      </w:tr>
    </w:tbl>
    <w:p>
      <w:pPr>
        <w:spacing w:line="240" w:lineRule="auto" w:before="1"/>
        <w:rPr>
          <w:rFonts w:ascii="宋体" w:hAnsi="宋体" w:cs="宋体" w:eastAsia="宋体" w:hint="default"/>
          <w:sz w:val="14"/>
          <w:szCs w:val="14"/>
        </w:rPr>
      </w:pPr>
    </w:p>
    <w:p>
      <w:pPr>
        <w:pStyle w:val="BodyText"/>
        <w:spacing w:line="240" w:lineRule="auto" w:before="31"/>
        <w:ind w:left="114" w:right="0"/>
        <w:jc w:val="left"/>
      </w:pPr>
      <w:r>
        <w:rPr>
          <w:rFonts w:ascii="Arial" w:hAnsi="Arial" w:cs="Arial" w:eastAsia="Arial" w:hint="default"/>
        </w:rPr>
        <w:t>(g) </w:t>
      </w:r>
      <w:r>
        <w:rPr>
          <w:rFonts w:ascii="Arial" w:hAnsi="Arial" w:cs="Arial" w:eastAsia="Arial" w:hint="default"/>
          <w:spacing w:val="38"/>
        </w:rPr>
        <w:t> </w:t>
      </w:r>
      <w:r>
        <w:rPr/>
        <w:t>于</w:t>
      </w:r>
      <w:r>
        <w:rPr>
          <w:spacing w:val="-57"/>
        </w:rPr>
        <w:t> </w:t>
      </w:r>
      <w:r>
        <w:rPr>
          <w:rFonts w:ascii="Arial" w:hAnsi="Arial" w:cs="Arial" w:eastAsia="Arial" w:hint="default"/>
        </w:rPr>
        <w:t>2012</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日，余额前五名的应收账款分析如下：</w:t>
      </w:r>
    </w:p>
    <w:p>
      <w:pPr>
        <w:spacing w:line="240" w:lineRule="auto" w:before="2"/>
        <w:rPr>
          <w:rFonts w:ascii="宋体" w:hAnsi="宋体" w:cs="宋体" w:eastAsia="宋体" w:hint="default"/>
          <w:sz w:val="23"/>
          <w:szCs w:val="23"/>
        </w:rPr>
      </w:pPr>
    </w:p>
    <w:tbl>
      <w:tblPr>
        <w:tblW w:w="0" w:type="auto"/>
        <w:jc w:val="left"/>
        <w:tblInd w:w="365" w:type="dxa"/>
        <w:tblLayout w:type="fixed"/>
        <w:tblCellMar>
          <w:top w:w="0" w:type="dxa"/>
          <w:left w:w="0" w:type="dxa"/>
          <w:bottom w:w="0" w:type="dxa"/>
          <w:right w:w="0" w:type="dxa"/>
        </w:tblCellMar>
        <w:tblLook w:val="01E0"/>
      </w:tblPr>
      <w:tblGrid>
        <w:gridCol w:w="1681"/>
        <w:gridCol w:w="2155"/>
        <w:gridCol w:w="230"/>
        <w:gridCol w:w="1798"/>
        <w:gridCol w:w="236"/>
        <w:gridCol w:w="1234"/>
        <w:gridCol w:w="232"/>
        <w:gridCol w:w="1751"/>
      </w:tblGrid>
      <w:tr>
        <w:trPr>
          <w:trHeight w:val="546" w:hRule="exact"/>
        </w:trPr>
        <w:tc>
          <w:tcPr>
            <w:tcW w:w="1681" w:type="dxa"/>
            <w:tcBorders>
              <w:top w:val="nil" w:sz="6" w:space="0" w:color="auto"/>
              <w:left w:val="nil" w:sz="6" w:space="0" w:color="auto"/>
              <w:bottom w:val="nil" w:sz="6" w:space="0" w:color="auto"/>
              <w:right w:val="nil" w:sz="6" w:space="0" w:color="auto"/>
            </w:tcBorders>
          </w:tcPr>
          <w:p>
            <w:pPr/>
          </w:p>
        </w:tc>
        <w:tc>
          <w:tcPr>
            <w:tcW w:w="2155"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27" w:right="0"/>
              <w:jc w:val="left"/>
              <w:rPr>
                <w:rFonts w:ascii="宋体" w:hAnsi="宋体" w:cs="宋体" w:eastAsia="宋体" w:hint="default"/>
                <w:sz w:val="22"/>
                <w:szCs w:val="22"/>
              </w:rPr>
            </w:pPr>
            <w:r>
              <w:rPr>
                <w:rFonts w:ascii="宋体" w:hAnsi="宋体" w:cs="宋体" w:eastAsia="宋体" w:hint="default"/>
                <w:sz w:val="22"/>
                <w:szCs w:val="22"/>
              </w:rPr>
              <w:t>与本集团关系</w:t>
            </w:r>
          </w:p>
        </w:tc>
        <w:tc>
          <w:tcPr>
            <w:tcW w:w="23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22"/>
                <w:szCs w:val="22"/>
              </w:rPr>
            </w:pPr>
            <w:r>
              <w:rPr>
                <w:rFonts w:ascii="宋体" w:hAnsi="宋体" w:cs="宋体" w:eastAsia="宋体" w:hint="default"/>
                <w:w w:val="95"/>
                <w:sz w:val="22"/>
                <w:szCs w:val="22"/>
              </w:rPr>
              <w:t>金额</w:t>
            </w:r>
            <w:r>
              <w:rPr>
                <w:rFonts w:ascii="宋体" w:hAnsi="宋体" w:cs="宋体" w:eastAsia="宋体" w:hint="default"/>
                <w:sz w:val="22"/>
                <w:szCs w:val="22"/>
              </w:rPr>
            </w:r>
          </w:p>
        </w:tc>
        <w:tc>
          <w:tcPr>
            <w:tcW w:w="236"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40"/>
              <w:jc w:val="right"/>
              <w:rPr>
                <w:rFonts w:ascii="宋体" w:hAnsi="宋体" w:cs="宋体" w:eastAsia="宋体" w:hint="default"/>
                <w:sz w:val="22"/>
                <w:szCs w:val="22"/>
              </w:rPr>
            </w:pPr>
            <w:r>
              <w:rPr>
                <w:rFonts w:ascii="宋体" w:hAnsi="宋体" w:cs="宋体" w:eastAsia="宋体" w:hint="default"/>
                <w:w w:val="95"/>
                <w:sz w:val="22"/>
                <w:szCs w:val="22"/>
              </w:rPr>
              <w:t>账龄</w:t>
            </w:r>
            <w:r>
              <w:rPr>
                <w:rFonts w:ascii="宋体" w:hAnsi="宋体" w:cs="宋体" w:eastAsia="宋体" w:hint="default"/>
                <w:sz w:val="22"/>
                <w:szCs w:val="22"/>
              </w:rPr>
            </w:r>
          </w:p>
        </w:tc>
        <w:tc>
          <w:tcPr>
            <w:tcW w:w="232"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single" w:sz="6" w:space="0" w:color="000000"/>
              <w:right w:val="nil" w:sz="6" w:space="0" w:color="auto"/>
            </w:tcBorders>
          </w:tcPr>
          <w:p>
            <w:pPr>
              <w:pStyle w:val="TableParagraph"/>
              <w:spacing w:line="219" w:lineRule="exact"/>
              <w:ind w:left="763" w:right="0" w:hanging="221"/>
              <w:jc w:val="left"/>
              <w:rPr>
                <w:rFonts w:ascii="宋体" w:hAnsi="宋体" w:cs="宋体" w:eastAsia="宋体" w:hint="default"/>
                <w:sz w:val="22"/>
                <w:szCs w:val="22"/>
              </w:rPr>
            </w:pPr>
            <w:r>
              <w:rPr>
                <w:rFonts w:ascii="宋体" w:hAnsi="宋体" w:cs="宋体" w:eastAsia="宋体" w:hint="default"/>
                <w:sz w:val="22"/>
                <w:szCs w:val="22"/>
              </w:rPr>
              <w:t>占应收账款</w:t>
            </w:r>
          </w:p>
          <w:p>
            <w:pPr>
              <w:pStyle w:val="TableParagraph"/>
              <w:spacing w:line="287" w:lineRule="exact"/>
              <w:ind w:left="763" w:right="0"/>
              <w:jc w:val="left"/>
              <w:rPr>
                <w:rFonts w:ascii="宋体" w:hAnsi="宋体" w:cs="宋体" w:eastAsia="宋体" w:hint="default"/>
                <w:sz w:val="22"/>
                <w:szCs w:val="22"/>
              </w:rPr>
            </w:pPr>
            <w:r>
              <w:rPr>
                <w:rFonts w:ascii="宋体" w:hAnsi="宋体" w:cs="宋体" w:eastAsia="宋体" w:hint="default"/>
                <w:sz w:val="22"/>
                <w:szCs w:val="22"/>
              </w:rPr>
              <w:t>总额比例</w:t>
            </w:r>
          </w:p>
        </w:tc>
      </w:tr>
      <w:tr>
        <w:trPr>
          <w:trHeight w:val="558" w:hRule="exact"/>
        </w:trPr>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第一名</w:t>
            </w:r>
          </w:p>
        </w:tc>
        <w:tc>
          <w:tcPr>
            <w:tcW w:w="2155"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23" w:right="0"/>
              <w:jc w:val="left"/>
              <w:rPr>
                <w:rFonts w:ascii="宋体" w:hAnsi="宋体" w:cs="宋体" w:eastAsia="宋体" w:hint="default"/>
                <w:sz w:val="22"/>
                <w:szCs w:val="22"/>
              </w:rPr>
            </w:pPr>
            <w:r>
              <w:rPr>
                <w:rFonts w:ascii="宋体" w:hAnsi="宋体" w:cs="宋体" w:eastAsia="宋体" w:hint="default"/>
                <w:sz w:val="22"/>
                <w:szCs w:val="22"/>
              </w:rPr>
              <w:t>第三方</w:t>
            </w:r>
          </w:p>
        </w:tc>
        <w:tc>
          <w:tcPr>
            <w:tcW w:w="230" w:type="dxa"/>
            <w:tcBorders>
              <w:top w:val="nil" w:sz="6" w:space="0" w:color="auto"/>
              <w:left w:val="nil" w:sz="6" w:space="0" w:color="auto"/>
              <w:bottom w:val="nil" w:sz="6" w:space="0" w:color="auto"/>
              <w:right w:val="nil" w:sz="6" w:space="0" w:color="auto"/>
            </w:tcBorders>
          </w:tcPr>
          <w:p>
            <w:pPr/>
          </w:p>
        </w:tc>
        <w:tc>
          <w:tcPr>
            <w:tcW w:w="1798"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44"/>
              <w:jc w:val="right"/>
              <w:rPr>
                <w:rFonts w:ascii="Arial" w:hAnsi="Arial" w:cs="Arial" w:eastAsia="Arial" w:hint="default"/>
                <w:sz w:val="22"/>
                <w:szCs w:val="22"/>
              </w:rPr>
            </w:pPr>
            <w:r>
              <w:rPr>
                <w:rFonts w:ascii="Arial"/>
                <w:w w:val="95"/>
                <w:sz w:val="22"/>
              </w:rPr>
              <w:t>243,429,018</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234"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40"/>
              <w:jc w:val="right"/>
              <w:rPr>
                <w:rFonts w:ascii="宋体" w:hAnsi="宋体" w:cs="宋体" w:eastAsia="宋体" w:hint="default"/>
                <w:sz w:val="22"/>
                <w:szCs w:val="22"/>
              </w:rPr>
            </w:pPr>
            <w:r>
              <w:rPr>
                <w:rFonts w:ascii="宋体" w:hAnsi="宋体" w:cs="宋体" w:eastAsia="宋体" w:hint="default"/>
                <w:w w:val="95"/>
                <w:sz w:val="22"/>
                <w:szCs w:val="22"/>
              </w:rPr>
              <w:t>一年以内</w:t>
            </w:r>
            <w:r>
              <w:rPr>
                <w:rFonts w:ascii="宋体" w:hAnsi="宋体" w:cs="宋体" w:eastAsia="宋体" w:hint="default"/>
                <w:sz w:val="22"/>
                <w:szCs w:val="22"/>
              </w:rPr>
            </w:r>
          </w:p>
        </w:tc>
        <w:tc>
          <w:tcPr>
            <w:tcW w:w="232" w:type="dxa"/>
            <w:tcBorders>
              <w:top w:val="nil" w:sz="6" w:space="0" w:color="auto"/>
              <w:left w:val="nil" w:sz="6" w:space="0" w:color="auto"/>
              <w:bottom w:val="nil" w:sz="6" w:space="0" w:color="auto"/>
              <w:right w:val="nil" w:sz="6" w:space="0" w:color="auto"/>
            </w:tcBorders>
          </w:tcPr>
          <w:p>
            <w:pPr/>
          </w:p>
        </w:tc>
        <w:tc>
          <w:tcPr>
            <w:tcW w:w="1751"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18" w:right="0"/>
              <w:jc w:val="left"/>
              <w:rPr>
                <w:rFonts w:ascii="Arial" w:hAnsi="Arial" w:cs="Arial" w:eastAsia="Arial" w:hint="default"/>
                <w:sz w:val="22"/>
                <w:szCs w:val="22"/>
              </w:rPr>
            </w:pPr>
            <w:r>
              <w:rPr>
                <w:rFonts w:ascii="Arial"/>
                <w:sz w:val="22"/>
              </w:rPr>
              <w:t>1.32%</w:t>
            </w:r>
          </w:p>
        </w:tc>
      </w:tr>
      <w:tr>
        <w:trPr>
          <w:trHeight w:val="285" w:hRule="exact"/>
        </w:trPr>
        <w:tc>
          <w:tcPr>
            <w:tcW w:w="168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第二名</w:t>
            </w:r>
          </w:p>
        </w:tc>
        <w:tc>
          <w:tcPr>
            <w:tcW w:w="2155" w:type="dxa"/>
            <w:tcBorders>
              <w:top w:val="nil" w:sz="6" w:space="0" w:color="auto"/>
              <w:left w:val="nil" w:sz="6" w:space="0" w:color="auto"/>
              <w:bottom w:val="nil" w:sz="6" w:space="0" w:color="auto"/>
              <w:right w:val="nil" w:sz="6" w:space="0" w:color="auto"/>
            </w:tcBorders>
          </w:tcPr>
          <w:p>
            <w:pPr>
              <w:pStyle w:val="TableParagraph"/>
              <w:spacing w:line="239" w:lineRule="exact"/>
              <w:ind w:left="923" w:right="0"/>
              <w:jc w:val="left"/>
              <w:rPr>
                <w:rFonts w:ascii="宋体" w:hAnsi="宋体" w:cs="宋体" w:eastAsia="宋体" w:hint="default"/>
                <w:sz w:val="22"/>
                <w:szCs w:val="22"/>
              </w:rPr>
            </w:pPr>
            <w:r>
              <w:rPr>
                <w:rFonts w:ascii="宋体" w:hAnsi="宋体" w:cs="宋体" w:eastAsia="宋体" w:hint="default"/>
                <w:sz w:val="22"/>
                <w:szCs w:val="22"/>
              </w:rPr>
              <w:t>第三方</w:t>
            </w:r>
          </w:p>
        </w:tc>
        <w:tc>
          <w:tcPr>
            <w:tcW w:w="23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4"/>
              <w:jc w:val="right"/>
              <w:rPr>
                <w:rFonts w:ascii="Arial" w:hAnsi="Arial" w:cs="Arial" w:eastAsia="Arial" w:hint="default"/>
                <w:sz w:val="22"/>
                <w:szCs w:val="22"/>
              </w:rPr>
            </w:pPr>
            <w:r>
              <w:rPr>
                <w:rFonts w:ascii="Arial"/>
                <w:w w:val="95"/>
                <w:sz w:val="22"/>
              </w:rPr>
              <w:t>212,126,832</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39" w:lineRule="exact"/>
              <w:ind w:right="140"/>
              <w:jc w:val="right"/>
              <w:rPr>
                <w:rFonts w:ascii="宋体" w:hAnsi="宋体" w:cs="宋体" w:eastAsia="宋体" w:hint="default"/>
                <w:sz w:val="22"/>
                <w:szCs w:val="22"/>
              </w:rPr>
            </w:pPr>
            <w:r>
              <w:rPr>
                <w:rFonts w:ascii="宋体" w:hAnsi="宋体" w:cs="宋体" w:eastAsia="宋体" w:hint="default"/>
                <w:w w:val="95"/>
                <w:sz w:val="22"/>
                <w:szCs w:val="22"/>
              </w:rPr>
              <w:t>一年以内</w:t>
            </w:r>
            <w:r>
              <w:rPr>
                <w:rFonts w:ascii="宋体" w:hAnsi="宋体" w:cs="宋体" w:eastAsia="宋体" w:hint="default"/>
                <w:sz w:val="22"/>
                <w:szCs w:val="22"/>
              </w:rPr>
            </w:r>
          </w:p>
        </w:tc>
        <w:tc>
          <w:tcPr>
            <w:tcW w:w="232"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18" w:right="0"/>
              <w:jc w:val="left"/>
              <w:rPr>
                <w:rFonts w:ascii="Arial" w:hAnsi="Arial" w:cs="Arial" w:eastAsia="Arial" w:hint="default"/>
                <w:sz w:val="22"/>
                <w:szCs w:val="22"/>
              </w:rPr>
            </w:pPr>
            <w:r>
              <w:rPr>
                <w:rFonts w:ascii="Arial"/>
                <w:sz w:val="22"/>
              </w:rPr>
              <w:t>1.15%</w:t>
            </w:r>
          </w:p>
        </w:tc>
      </w:tr>
      <w:tr>
        <w:trPr>
          <w:trHeight w:val="285" w:hRule="exact"/>
        </w:trPr>
        <w:tc>
          <w:tcPr>
            <w:tcW w:w="168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第三名</w:t>
            </w:r>
          </w:p>
        </w:tc>
        <w:tc>
          <w:tcPr>
            <w:tcW w:w="2155" w:type="dxa"/>
            <w:tcBorders>
              <w:top w:val="nil" w:sz="6" w:space="0" w:color="auto"/>
              <w:left w:val="nil" w:sz="6" w:space="0" w:color="auto"/>
              <w:bottom w:val="nil" w:sz="6" w:space="0" w:color="auto"/>
              <w:right w:val="nil" w:sz="6" w:space="0" w:color="auto"/>
            </w:tcBorders>
          </w:tcPr>
          <w:p>
            <w:pPr>
              <w:pStyle w:val="TableParagraph"/>
              <w:spacing w:line="239" w:lineRule="exact"/>
              <w:ind w:left="923" w:right="0"/>
              <w:jc w:val="left"/>
              <w:rPr>
                <w:rFonts w:ascii="宋体" w:hAnsi="宋体" w:cs="宋体" w:eastAsia="宋体" w:hint="default"/>
                <w:sz w:val="22"/>
                <w:szCs w:val="22"/>
              </w:rPr>
            </w:pPr>
            <w:r>
              <w:rPr>
                <w:rFonts w:ascii="宋体" w:hAnsi="宋体" w:cs="宋体" w:eastAsia="宋体" w:hint="default"/>
                <w:sz w:val="22"/>
                <w:szCs w:val="22"/>
              </w:rPr>
              <w:t>第三方</w:t>
            </w:r>
          </w:p>
        </w:tc>
        <w:tc>
          <w:tcPr>
            <w:tcW w:w="23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4"/>
              <w:jc w:val="right"/>
              <w:rPr>
                <w:rFonts w:ascii="Arial" w:hAnsi="Arial" w:cs="Arial" w:eastAsia="Arial" w:hint="default"/>
                <w:sz w:val="22"/>
                <w:szCs w:val="22"/>
              </w:rPr>
            </w:pPr>
            <w:r>
              <w:rPr>
                <w:rFonts w:ascii="Arial"/>
                <w:w w:val="95"/>
                <w:sz w:val="22"/>
              </w:rPr>
              <w:t>134,014,860</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39" w:lineRule="exact"/>
              <w:ind w:right="140"/>
              <w:jc w:val="right"/>
              <w:rPr>
                <w:rFonts w:ascii="宋体" w:hAnsi="宋体" w:cs="宋体" w:eastAsia="宋体" w:hint="default"/>
                <w:sz w:val="22"/>
                <w:szCs w:val="22"/>
              </w:rPr>
            </w:pPr>
            <w:r>
              <w:rPr>
                <w:rFonts w:ascii="宋体" w:hAnsi="宋体" w:cs="宋体" w:eastAsia="宋体" w:hint="default"/>
                <w:w w:val="95"/>
                <w:sz w:val="22"/>
                <w:szCs w:val="22"/>
              </w:rPr>
              <w:t>一年以内</w:t>
            </w:r>
            <w:r>
              <w:rPr>
                <w:rFonts w:ascii="宋体" w:hAnsi="宋体" w:cs="宋体" w:eastAsia="宋体" w:hint="default"/>
                <w:sz w:val="22"/>
                <w:szCs w:val="22"/>
              </w:rPr>
            </w:r>
          </w:p>
        </w:tc>
        <w:tc>
          <w:tcPr>
            <w:tcW w:w="232"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18" w:right="0"/>
              <w:jc w:val="left"/>
              <w:rPr>
                <w:rFonts w:ascii="Arial" w:hAnsi="Arial" w:cs="Arial" w:eastAsia="Arial" w:hint="default"/>
                <w:sz w:val="22"/>
                <w:szCs w:val="22"/>
              </w:rPr>
            </w:pPr>
            <w:r>
              <w:rPr>
                <w:rFonts w:ascii="Arial"/>
                <w:sz w:val="22"/>
              </w:rPr>
              <w:t>0.73%</w:t>
            </w:r>
          </w:p>
        </w:tc>
      </w:tr>
      <w:tr>
        <w:trPr>
          <w:trHeight w:val="286" w:hRule="exact"/>
        </w:trPr>
        <w:tc>
          <w:tcPr>
            <w:tcW w:w="168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第四名</w:t>
            </w:r>
          </w:p>
        </w:tc>
        <w:tc>
          <w:tcPr>
            <w:tcW w:w="2155" w:type="dxa"/>
            <w:tcBorders>
              <w:top w:val="nil" w:sz="6" w:space="0" w:color="auto"/>
              <w:left w:val="nil" w:sz="6" w:space="0" w:color="auto"/>
              <w:bottom w:val="nil" w:sz="6" w:space="0" w:color="auto"/>
              <w:right w:val="nil" w:sz="6" w:space="0" w:color="auto"/>
            </w:tcBorders>
          </w:tcPr>
          <w:p>
            <w:pPr>
              <w:pStyle w:val="TableParagraph"/>
              <w:spacing w:line="239" w:lineRule="exact"/>
              <w:ind w:left="923" w:right="0"/>
              <w:jc w:val="left"/>
              <w:rPr>
                <w:rFonts w:ascii="宋体" w:hAnsi="宋体" w:cs="宋体" w:eastAsia="宋体" w:hint="default"/>
                <w:sz w:val="22"/>
                <w:szCs w:val="22"/>
              </w:rPr>
            </w:pPr>
            <w:r>
              <w:rPr>
                <w:rFonts w:ascii="宋体" w:hAnsi="宋体" w:cs="宋体" w:eastAsia="宋体" w:hint="default"/>
                <w:sz w:val="22"/>
                <w:szCs w:val="22"/>
              </w:rPr>
              <w:t>第三方</w:t>
            </w:r>
          </w:p>
        </w:tc>
        <w:tc>
          <w:tcPr>
            <w:tcW w:w="23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5"/>
              <w:jc w:val="right"/>
              <w:rPr>
                <w:rFonts w:ascii="Arial" w:hAnsi="Arial" w:cs="Arial" w:eastAsia="Arial" w:hint="default"/>
                <w:sz w:val="22"/>
                <w:szCs w:val="22"/>
              </w:rPr>
            </w:pPr>
            <w:r>
              <w:rPr>
                <w:rFonts w:ascii="Arial"/>
                <w:w w:val="95"/>
                <w:sz w:val="22"/>
              </w:rPr>
              <w:t>78,464,610</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39" w:lineRule="exact"/>
              <w:ind w:right="140"/>
              <w:jc w:val="right"/>
              <w:rPr>
                <w:rFonts w:ascii="宋体" w:hAnsi="宋体" w:cs="宋体" w:eastAsia="宋体" w:hint="default"/>
                <w:sz w:val="22"/>
                <w:szCs w:val="22"/>
              </w:rPr>
            </w:pPr>
            <w:r>
              <w:rPr>
                <w:rFonts w:ascii="宋体" w:hAnsi="宋体" w:cs="宋体" w:eastAsia="宋体" w:hint="default"/>
                <w:w w:val="95"/>
                <w:sz w:val="22"/>
                <w:szCs w:val="22"/>
              </w:rPr>
              <w:t>一年以内</w:t>
            </w:r>
            <w:r>
              <w:rPr>
                <w:rFonts w:ascii="宋体" w:hAnsi="宋体" w:cs="宋体" w:eastAsia="宋体" w:hint="default"/>
                <w:sz w:val="22"/>
                <w:szCs w:val="22"/>
              </w:rPr>
            </w:r>
          </w:p>
        </w:tc>
        <w:tc>
          <w:tcPr>
            <w:tcW w:w="232"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18" w:right="0"/>
              <w:jc w:val="left"/>
              <w:rPr>
                <w:rFonts w:ascii="Arial" w:hAnsi="Arial" w:cs="Arial" w:eastAsia="Arial" w:hint="default"/>
                <w:sz w:val="22"/>
                <w:szCs w:val="22"/>
              </w:rPr>
            </w:pPr>
            <w:r>
              <w:rPr>
                <w:rFonts w:ascii="Arial"/>
                <w:sz w:val="22"/>
              </w:rPr>
              <w:t>0.43%</w:t>
            </w:r>
          </w:p>
        </w:tc>
      </w:tr>
      <w:tr>
        <w:trPr>
          <w:trHeight w:val="419" w:hRule="exact"/>
        </w:trPr>
        <w:tc>
          <w:tcPr>
            <w:tcW w:w="168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第五名</w:t>
            </w:r>
          </w:p>
        </w:tc>
        <w:tc>
          <w:tcPr>
            <w:tcW w:w="2155" w:type="dxa"/>
            <w:tcBorders>
              <w:top w:val="nil" w:sz="6" w:space="0" w:color="auto"/>
              <w:left w:val="nil" w:sz="6" w:space="0" w:color="auto"/>
              <w:bottom w:val="nil" w:sz="6" w:space="0" w:color="auto"/>
              <w:right w:val="nil" w:sz="6" w:space="0" w:color="auto"/>
            </w:tcBorders>
          </w:tcPr>
          <w:p>
            <w:pPr>
              <w:pStyle w:val="TableParagraph"/>
              <w:spacing w:line="239" w:lineRule="exact"/>
              <w:ind w:left="923" w:right="0"/>
              <w:jc w:val="left"/>
              <w:rPr>
                <w:rFonts w:ascii="宋体" w:hAnsi="宋体" w:cs="宋体" w:eastAsia="宋体" w:hint="default"/>
                <w:sz w:val="22"/>
                <w:szCs w:val="22"/>
              </w:rPr>
            </w:pPr>
            <w:r>
              <w:rPr>
                <w:rFonts w:ascii="宋体" w:hAnsi="宋体" w:cs="宋体" w:eastAsia="宋体" w:hint="default"/>
                <w:sz w:val="22"/>
                <w:szCs w:val="22"/>
              </w:rPr>
              <w:t>第三方</w:t>
            </w:r>
          </w:p>
        </w:tc>
        <w:tc>
          <w:tcPr>
            <w:tcW w:w="23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tabs>
                <w:tab w:pos="541" w:val="left" w:leader="none"/>
                <w:tab w:pos="1790"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61,156,620</w:t>
            </w:r>
            <w:r>
              <w:rPr>
                <w:rFonts w:ascii="Arial"/>
                <w:sz w:val="22"/>
                <w:u w:val="single" w:color="000000"/>
              </w:rPr>
              <w:tab/>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39" w:lineRule="exact"/>
              <w:ind w:right="140"/>
              <w:jc w:val="right"/>
              <w:rPr>
                <w:rFonts w:ascii="宋体" w:hAnsi="宋体" w:cs="宋体" w:eastAsia="宋体" w:hint="default"/>
                <w:sz w:val="22"/>
                <w:szCs w:val="22"/>
              </w:rPr>
            </w:pPr>
            <w:r>
              <w:rPr>
                <w:rFonts w:ascii="宋体" w:hAnsi="宋体" w:cs="宋体" w:eastAsia="宋体" w:hint="default"/>
                <w:w w:val="95"/>
                <w:sz w:val="22"/>
                <w:szCs w:val="22"/>
              </w:rPr>
              <w:t>一年以内</w:t>
            </w:r>
            <w:r>
              <w:rPr>
                <w:rFonts w:ascii="宋体" w:hAnsi="宋体" w:cs="宋体" w:eastAsia="宋体" w:hint="default"/>
                <w:sz w:val="22"/>
                <w:szCs w:val="22"/>
              </w:rPr>
            </w:r>
          </w:p>
        </w:tc>
        <w:tc>
          <w:tcPr>
            <w:tcW w:w="232"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Style w:val="TableParagraph"/>
              <w:tabs>
                <w:tab w:pos="1018" w:val="left" w:leader="none"/>
                <w:tab w:pos="1750" w:val="left" w:leader="none"/>
              </w:tabs>
              <w:spacing w:line="240" w:lineRule="auto" w:before="17"/>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0.33%</w:t>
              <w:tab/>
            </w:r>
            <w:r>
              <w:rPr>
                <w:rFonts w:ascii="Arial"/>
                <w:sz w:val="22"/>
              </w:rPr>
            </w:r>
          </w:p>
        </w:tc>
      </w:tr>
      <w:tr>
        <w:trPr>
          <w:trHeight w:val="430" w:hRule="exact"/>
        </w:trPr>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155"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44"/>
              <w:jc w:val="right"/>
              <w:rPr>
                <w:rFonts w:ascii="Arial" w:hAnsi="Arial" w:cs="Arial" w:eastAsia="Arial" w:hint="default"/>
                <w:sz w:val="22"/>
                <w:szCs w:val="22"/>
              </w:rPr>
            </w:pPr>
            <w:r>
              <w:rPr>
                <w:rFonts w:ascii="Arial"/>
                <w:w w:val="95"/>
                <w:sz w:val="22"/>
              </w:rPr>
              <w:t>729,191,940</w:t>
            </w:r>
            <w:r>
              <w:rPr>
                <w:rFonts w:ascii="Arial"/>
                <w:sz w:val="22"/>
              </w:rPr>
            </w:r>
          </w:p>
        </w:tc>
        <w:tc>
          <w:tcPr>
            <w:tcW w:w="236"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1018" w:right="0"/>
              <w:jc w:val="left"/>
              <w:rPr>
                <w:rFonts w:ascii="Arial" w:hAnsi="Arial" w:cs="Arial" w:eastAsia="Arial" w:hint="default"/>
                <w:sz w:val="22"/>
                <w:szCs w:val="22"/>
              </w:rPr>
            </w:pPr>
            <w:r>
              <w:rPr>
                <w:rFonts w:ascii="Arial"/>
                <w:sz w:val="22"/>
              </w:rPr>
              <w:t>3.96%</w:t>
            </w:r>
          </w:p>
        </w:tc>
      </w:tr>
    </w:tbl>
    <w:p>
      <w:pPr>
        <w:spacing w:after="0" w:line="240" w:lineRule="auto"/>
        <w:jc w:val="left"/>
        <w:rPr>
          <w:rFonts w:ascii="Arial" w:hAnsi="Arial" w:cs="Arial" w:eastAsia="Arial" w:hint="default"/>
          <w:sz w:val="22"/>
          <w:szCs w:val="22"/>
        </w:rPr>
        <w:sectPr>
          <w:headerReference w:type="default" r:id="rId83"/>
          <w:pgSz w:w="11910" w:h="16840"/>
          <w:pgMar w:header="1189" w:footer="457" w:top="4140" w:bottom="640" w:left="1240" w:right="880"/>
        </w:sectPr>
      </w:pPr>
    </w:p>
    <w:p>
      <w:pPr>
        <w:spacing w:line="240" w:lineRule="auto" w:before="12"/>
        <w:rPr>
          <w:rFonts w:ascii="宋体" w:hAnsi="宋体" w:cs="宋体" w:eastAsia="宋体" w:hint="default"/>
          <w:sz w:val="14"/>
          <w:szCs w:val="14"/>
        </w:rPr>
      </w:pPr>
    </w:p>
    <w:tbl>
      <w:tblPr>
        <w:tblW w:w="0" w:type="auto"/>
        <w:jc w:val="left"/>
        <w:tblInd w:w="375" w:type="dxa"/>
        <w:tblLayout w:type="fixed"/>
        <w:tblCellMar>
          <w:top w:w="0" w:type="dxa"/>
          <w:left w:w="0" w:type="dxa"/>
          <w:bottom w:w="0" w:type="dxa"/>
          <w:right w:w="0" w:type="dxa"/>
        </w:tblCellMar>
        <w:tblLook w:val="01E0"/>
      </w:tblPr>
      <w:tblGrid>
        <w:gridCol w:w="1451"/>
        <w:gridCol w:w="1530"/>
        <w:gridCol w:w="116"/>
        <w:gridCol w:w="1062"/>
        <w:gridCol w:w="108"/>
        <w:gridCol w:w="882"/>
        <w:gridCol w:w="108"/>
        <w:gridCol w:w="856"/>
        <w:gridCol w:w="108"/>
        <w:gridCol w:w="1106"/>
        <w:gridCol w:w="106"/>
        <w:gridCol w:w="858"/>
        <w:gridCol w:w="102"/>
        <w:gridCol w:w="848"/>
      </w:tblGrid>
      <w:tr>
        <w:trPr>
          <w:trHeight w:val="216" w:hRule="exact"/>
        </w:trPr>
        <w:tc>
          <w:tcPr>
            <w:tcW w:w="6113" w:type="dxa"/>
            <w:gridSpan w:val="8"/>
            <w:tcBorders>
              <w:top w:val="nil" w:sz="6" w:space="0" w:color="auto"/>
              <w:left w:val="nil" w:sz="6" w:space="0" w:color="auto"/>
              <w:bottom w:val="nil" w:sz="6" w:space="0" w:color="auto"/>
              <w:right w:val="nil" w:sz="6" w:space="0" w:color="auto"/>
            </w:tcBorders>
          </w:tcPr>
          <w:p>
            <w:pPr>
              <w:pStyle w:val="TableParagraph"/>
              <w:spacing w:line="193" w:lineRule="exact"/>
              <w:ind w:left="3822"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128" w:type="dxa"/>
            <w:gridSpan w:val="6"/>
            <w:tcBorders>
              <w:top w:val="nil" w:sz="6" w:space="0" w:color="auto"/>
              <w:left w:val="nil" w:sz="6" w:space="0" w:color="auto"/>
              <w:bottom w:val="single" w:sz="6" w:space="0" w:color="000000"/>
              <w:right w:val="nil" w:sz="6" w:space="0" w:color="auto"/>
            </w:tcBorders>
          </w:tcPr>
          <w:p>
            <w:pPr>
              <w:pStyle w:val="TableParagraph"/>
              <w:spacing w:line="193" w:lineRule="exact"/>
              <w:ind w:left="836"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81" w:hRule="exact"/>
        </w:trPr>
        <w:tc>
          <w:tcPr>
            <w:tcW w:w="1451"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与本集团关系</w:t>
            </w:r>
          </w:p>
        </w:tc>
        <w:tc>
          <w:tcPr>
            <w:tcW w:w="116" w:type="dxa"/>
            <w:tcBorders>
              <w:top w:val="nil" w:sz="6" w:space="0" w:color="auto"/>
              <w:left w:val="nil" w:sz="6" w:space="0" w:color="auto"/>
              <w:bottom w:val="nil" w:sz="6" w:space="0" w:color="auto"/>
              <w:right w:val="nil" w:sz="6" w:space="0" w:color="auto"/>
            </w:tcBorders>
          </w:tcPr>
          <w:p>
            <w:pPr/>
          </w:p>
        </w:tc>
        <w:tc>
          <w:tcPr>
            <w:tcW w:w="1062" w:type="dxa"/>
            <w:tcBorders>
              <w:top w:val="single" w:sz="6" w:space="0" w:color="000000"/>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8" w:type="dxa"/>
            <w:tcBorders>
              <w:top w:val="single" w:sz="6" w:space="0" w:color="000000"/>
              <w:left w:val="nil" w:sz="6" w:space="0" w:color="auto"/>
              <w:bottom w:val="nil" w:sz="6" w:space="0" w:color="auto"/>
              <w:right w:val="nil" w:sz="6" w:space="0" w:color="auto"/>
            </w:tcBorders>
          </w:tcPr>
          <w:p>
            <w:pPr/>
          </w:p>
        </w:tc>
        <w:tc>
          <w:tcPr>
            <w:tcW w:w="882"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318" w:right="0" w:hanging="180"/>
              <w:jc w:val="left"/>
              <w:rPr>
                <w:rFonts w:ascii="宋体" w:hAnsi="宋体" w:cs="宋体" w:eastAsia="宋体" w:hint="default"/>
                <w:sz w:val="18"/>
                <w:szCs w:val="18"/>
              </w:rPr>
            </w:pPr>
            <w:r>
              <w:rPr>
                <w:rFonts w:ascii="宋体" w:hAnsi="宋体" w:cs="宋体" w:eastAsia="宋体" w:hint="default"/>
                <w:sz w:val="18"/>
                <w:szCs w:val="18"/>
              </w:rPr>
              <w:t>占应收账</w:t>
            </w:r>
          </w:p>
          <w:p>
            <w:pPr>
              <w:pStyle w:val="TableParagraph"/>
              <w:spacing w:line="235" w:lineRule="exact"/>
              <w:ind w:left="318" w:right="0"/>
              <w:jc w:val="left"/>
              <w:rPr>
                <w:rFonts w:ascii="宋体" w:hAnsi="宋体" w:cs="宋体" w:eastAsia="宋体" w:hint="default"/>
                <w:sz w:val="18"/>
                <w:szCs w:val="18"/>
              </w:rPr>
            </w:pPr>
            <w:r>
              <w:rPr>
                <w:rFonts w:ascii="宋体" w:hAnsi="宋体" w:cs="宋体" w:eastAsia="宋体" w:hint="default"/>
                <w:sz w:val="18"/>
                <w:szCs w:val="18"/>
              </w:rPr>
              <w:t>款比例</w:t>
            </w:r>
          </w:p>
        </w:tc>
        <w:tc>
          <w:tcPr>
            <w:tcW w:w="108" w:type="dxa"/>
            <w:tcBorders>
              <w:top w:val="single" w:sz="6" w:space="0" w:color="000000"/>
              <w:left w:val="nil" w:sz="6" w:space="0" w:color="auto"/>
              <w:bottom w:val="nil" w:sz="6" w:space="0" w:color="auto"/>
              <w:right w:val="nil" w:sz="6" w:space="0" w:color="auto"/>
            </w:tcBorders>
          </w:tcPr>
          <w:p>
            <w:pPr/>
          </w:p>
        </w:tc>
        <w:tc>
          <w:tcPr>
            <w:tcW w:w="856" w:type="dxa"/>
            <w:tcBorders>
              <w:top w:val="single" w:sz="6" w:space="0" w:color="000000"/>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8" w:type="dxa"/>
            <w:tcBorders>
              <w:top w:val="nil" w:sz="6" w:space="0" w:color="auto"/>
              <w:left w:val="nil" w:sz="6" w:space="0" w:color="auto"/>
              <w:bottom w:val="single" w:sz="6" w:space="0" w:color="000000"/>
              <w:right w:val="nil" w:sz="6" w:space="0" w:color="auto"/>
            </w:tcBorders>
          </w:tcPr>
          <w:p>
            <w:pPr/>
          </w:p>
        </w:tc>
        <w:tc>
          <w:tcPr>
            <w:tcW w:w="1106" w:type="dxa"/>
            <w:tcBorders>
              <w:top w:val="single" w:sz="6" w:space="0" w:color="000000"/>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 w:type="dxa"/>
            <w:tcBorders>
              <w:top w:val="single" w:sz="6" w:space="0" w:color="000000"/>
              <w:left w:val="nil" w:sz="6" w:space="0" w:color="auto"/>
              <w:bottom w:val="nil" w:sz="6" w:space="0" w:color="auto"/>
              <w:right w:val="nil" w:sz="6" w:space="0" w:color="auto"/>
            </w:tcBorders>
          </w:tcPr>
          <w:p>
            <w:pPr/>
          </w:p>
        </w:tc>
        <w:tc>
          <w:tcPr>
            <w:tcW w:w="858"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255" w:right="0" w:hanging="180"/>
              <w:jc w:val="left"/>
              <w:rPr>
                <w:rFonts w:ascii="宋体" w:hAnsi="宋体" w:cs="宋体" w:eastAsia="宋体" w:hint="default"/>
                <w:sz w:val="18"/>
                <w:szCs w:val="18"/>
              </w:rPr>
            </w:pPr>
            <w:r>
              <w:rPr>
                <w:rFonts w:ascii="宋体" w:hAnsi="宋体" w:cs="宋体" w:eastAsia="宋体" w:hint="default"/>
                <w:sz w:val="18"/>
                <w:szCs w:val="18"/>
              </w:rPr>
              <w:t>占应收账</w:t>
            </w:r>
          </w:p>
          <w:p>
            <w:pPr>
              <w:pStyle w:val="TableParagraph"/>
              <w:spacing w:line="235" w:lineRule="exact"/>
              <w:ind w:left="255" w:right="0"/>
              <w:jc w:val="left"/>
              <w:rPr>
                <w:rFonts w:ascii="宋体" w:hAnsi="宋体" w:cs="宋体" w:eastAsia="宋体" w:hint="default"/>
                <w:sz w:val="18"/>
                <w:szCs w:val="18"/>
              </w:rPr>
            </w:pPr>
            <w:r>
              <w:rPr>
                <w:rFonts w:ascii="宋体" w:hAnsi="宋体" w:cs="宋体" w:eastAsia="宋体" w:hint="default"/>
                <w:sz w:val="18"/>
                <w:szCs w:val="18"/>
              </w:rPr>
              <w:t>款比例</w:t>
            </w:r>
          </w:p>
        </w:tc>
        <w:tc>
          <w:tcPr>
            <w:tcW w:w="102" w:type="dxa"/>
            <w:tcBorders>
              <w:top w:val="single" w:sz="6" w:space="0" w:color="000000"/>
              <w:left w:val="nil" w:sz="6" w:space="0" w:color="auto"/>
              <w:bottom w:val="nil" w:sz="6" w:space="0" w:color="auto"/>
              <w:right w:val="nil" w:sz="6" w:space="0" w:color="auto"/>
            </w:tcBorders>
          </w:tcPr>
          <w:p>
            <w:pPr/>
          </w:p>
        </w:tc>
        <w:tc>
          <w:tcPr>
            <w:tcW w:w="848" w:type="dxa"/>
            <w:tcBorders>
              <w:top w:val="single" w:sz="6" w:space="0" w:color="000000"/>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58" w:hRule="exact"/>
        </w:trPr>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联通集团</w:t>
            </w:r>
          </w:p>
        </w:tc>
        <w:tc>
          <w:tcPr>
            <w:tcW w:w="1530"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本公司之母公司</w:t>
            </w:r>
          </w:p>
        </w:tc>
        <w:tc>
          <w:tcPr>
            <w:tcW w:w="116" w:type="dxa"/>
            <w:tcBorders>
              <w:top w:val="nil" w:sz="6" w:space="0" w:color="auto"/>
              <w:left w:val="nil" w:sz="6" w:space="0" w:color="auto"/>
              <w:bottom w:val="nil" w:sz="6" w:space="0" w:color="auto"/>
              <w:right w:val="nil" w:sz="6" w:space="0" w:color="auto"/>
            </w:tcBorders>
          </w:tcPr>
          <w:p>
            <w:pPr/>
          </w:p>
        </w:tc>
        <w:tc>
          <w:tcPr>
            <w:tcW w:w="1062"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8" w:right="0"/>
              <w:jc w:val="left"/>
              <w:rPr>
                <w:rFonts w:ascii="Arial" w:hAnsi="Arial" w:cs="Arial" w:eastAsia="Arial" w:hint="default"/>
                <w:sz w:val="18"/>
                <w:szCs w:val="18"/>
              </w:rPr>
            </w:pPr>
            <w:r>
              <w:rPr>
                <w:rFonts w:ascii="Arial"/>
                <w:sz w:val="18"/>
              </w:rPr>
              <w:t>13,533,936</w:t>
            </w:r>
          </w:p>
        </w:tc>
        <w:tc>
          <w:tcPr>
            <w:tcW w:w="108" w:type="dxa"/>
            <w:tcBorders>
              <w:top w:val="nil" w:sz="6" w:space="0" w:color="auto"/>
              <w:left w:val="nil" w:sz="6" w:space="0" w:color="auto"/>
              <w:bottom w:val="nil" w:sz="6" w:space="0" w:color="auto"/>
              <w:right w:val="nil" w:sz="6" w:space="0" w:color="auto"/>
            </w:tcBorders>
          </w:tcPr>
          <w:p>
            <w:pPr/>
          </w:p>
        </w:tc>
        <w:tc>
          <w:tcPr>
            <w:tcW w:w="882"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1"/>
              <w:jc w:val="right"/>
              <w:rPr>
                <w:rFonts w:ascii="Arial" w:hAnsi="Arial" w:cs="Arial" w:eastAsia="Arial" w:hint="default"/>
                <w:sz w:val="18"/>
                <w:szCs w:val="18"/>
              </w:rPr>
            </w:pPr>
            <w:r>
              <w:rPr>
                <w:rFonts w:ascii="Arial"/>
                <w:spacing w:val="-1"/>
                <w:sz w:val="18"/>
              </w:rPr>
              <w:t>0.07%</w:t>
            </w:r>
          </w:p>
        </w:tc>
        <w:tc>
          <w:tcPr>
            <w:tcW w:w="108" w:type="dxa"/>
            <w:tcBorders>
              <w:top w:val="nil" w:sz="6" w:space="0" w:color="auto"/>
              <w:left w:val="nil" w:sz="6" w:space="0" w:color="auto"/>
              <w:bottom w:val="nil" w:sz="6" w:space="0" w:color="auto"/>
              <w:right w:val="nil" w:sz="6" w:space="0" w:color="auto"/>
            </w:tcBorders>
          </w:tcPr>
          <w:p>
            <w:pPr/>
          </w:p>
        </w:tc>
        <w:tc>
          <w:tcPr>
            <w:tcW w:w="856"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71"/>
              <w:jc w:val="right"/>
              <w:rPr>
                <w:rFonts w:ascii="Arial" w:hAnsi="Arial" w:cs="Arial" w:eastAsia="Arial" w:hint="default"/>
                <w:sz w:val="18"/>
                <w:szCs w:val="18"/>
              </w:rPr>
            </w:pPr>
            <w:r>
              <w:rPr>
                <w:rFonts w:ascii="Arial"/>
                <w:w w:val="99"/>
                <w:sz w:val="18"/>
              </w:rPr>
              <w:t>-</w:t>
            </w:r>
            <w:r>
              <w:rPr>
                <w:rFonts w:ascii="Arial"/>
                <w:sz w:val="18"/>
              </w:rPr>
            </w:r>
          </w:p>
        </w:tc>
        <w:tc>
          <w:tcPr>
            <w:tcW w:w="108" w:type="dxa"/>
            <w:tcBorders>
              <w:top w:val="single" w:sz="6" w:space="0" w:color="000000"/>
              <w:left w:val="nil" w:sz="6" w:space="0" w:color="auto"/>
              <w:bottom w:val="nil" w:sz="6" w:space="0" w:color="auto"/>
              <w:right w:val="nil" w:sz="6" w:space="0" w:color="auto"/>
            </w:tcBorders>
          </w:tcPr>
          <w:p>
            <w:pPr/>
          </w:p>
        </w:tc>
        <w:tc>
          <w:tcPr>
            <w:tcW w:w="1106"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60"/>
              <w:jc w:val="right"/>
              <w:rPr>
                <w:rFonts w:ascii="Arial" w:hAnsi="Arial" w:cs="Arial" w:eastAsia="Arial" w:hint="default"/>
                <w:sz w:val="18"/>
                <w:szCs w:val="18"/>
              </w:rPr>
            </w:pPr>
            <w:r>
              <w:rPr>
                <w:rFonts w:ascii="Arial"/>
                <w:spacing w:val="-1"/>
                <w:sz w:val="18"/>
              </w:rPr>
              <w:t>6,911,495</w:t>
            </w:r>
          </w:p>
        </w:tc>
        <w:tc>
          <w:tcPr>
            <w:tcW w:w="106" w:type="dxa"/>
            <w:tcBorders>
              <w:top w:val="nil" w:sz="6" w:space="0" w:color="auto"/>
              <w:left w:val="nil" w:sz="6" w:space="0" w:color="auto"/>
              <w:bottom w:val="nil" w:sz="6" w:space="0" w:color="auto"/>
              <w:right w:val="nil" w:sz="6" w:space="0" w:color="auto"/>
            </w:tcBorders>
          </w:tcPr>
          <w:p>
            <w:pPr/>
          </w:p>
        </w:tc>
        <w:tc>
          <w:tcPr>
            <w:tcW w:w="858"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2"/>
              <w:jc w:val="right"/>
              <w:rPr>
                <w:rFonts w:ascii="Arial" w:hAnsi="Arial" w:cs="Arial" w:eastAsia="Arial" w:hint="default"/>
                <w:sz w:val="18"/>
                <w:szCs w:val="18"/>
              </w:rPr>
            </w:pPr>
            <w:r>
              <w:rPr>
                <w:rFonts w:ascii="Arial"/>
                <w:spacing w:val="-1"/>
                <w:sz w:val="18"/>
              </w:rPr>
              <w:t>0.04%</w:t>
            </w:r>
          </w:p>
        </w:tc>
        <w:tc>
          <w:tcPr>
            <w:tcW w:w="102" w:type="dxa"/>
            <w:tcBorders>
              <w:top w:val="nil" w:sz="6" w:space="0" w:color="auto"/>
              <w:left w:val="nil" w:sz="6" w:space="0" w:color="auto"/>
              <w:bottom w:val="nil" w:sz="6" w:space="0" w:color="auto"/>
              <w:right w:val="nil" w:sz="6" w:space="0" w:color="auto"/>
            </w:tcBorders>
          </w:tcPr>
          <w:p>
            <w:pPr/>
          </w:p>
        </w:tc>
        <w:tc>
          <w:tcPr>
            <w:tcW w:w="848"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20"/>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1451"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联通新时空</w:t>
            </w:r>
          </w:p>
        </w:tc>
        <w:tc>
          <w:tcPr>
            <w:tcW w:w="1530" w:type="dxa"/>
            <w:tcBorders>
              <w:top w:val="nil" w:sz="6" w:space="0" w:color="auto"/>
              <w:left w:val="nil" w:sz="6" w:space="0" w:color="auto"/>
              <w:bottom w:val="nil" w:sz="6" w:space="0" w:color="auto"/>
              <w:right w:val="nil" w:sz="6" w:space="0" w:color="auto"/>
            </w:tcBorders>
          </w:tcPr>
          <w:p>
            <w:pPr>
              <w:pStyle w:val="TableParagraph"/>
              <w:spacing w:line="196" w:lineRule="exact"/>
              <w:ind w:left="45" w:right="0"/>
              <w:jc w:val="left"/>
              <w:rPr>
                <w:rFonts w:ascii="宋体" w:hAnsi="宋体" w:cs="宋体" w:eastAsia="宋体" w:hint="default"/>
                <w:sz w:val="18"/>
                <w:szCs w:val="18"/>
              </w:rPr>
            </w:pPr>
            <w:r>
              <w:rPr>
                <w:rFonts w:ascii="宋体" w:hAnsi="宋体" w:cs="宋体" w:eastAsia="宋体" w:hint="default"/>
                <w:sz w:val="18"/>
                <w:szCs w:val="18"/>
              </w:rPr>
              <w:t>同受联通集团控制</w:t>
            </w:r>
          </w:p>
        </w:tc>
        <w:tc>
          <w:tcPr>
            <w:tcW w:w="116"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0"/>
              <w:jc w:val="right"/>
              <w:rPr>
                <w:rFonts w:ascii="Arial" w:hAnsi="Arial" w:cs="Arial" w:eastAsia="Arial" w:hint="default"/>
                <w:sz w:val="18"/>
                <w:szCs w:val="18"/>
              </w:rPr>
            </w:pPr>
            <w:r>
              <w:rPr>
                <w:rFonts w:ascii="Arial"/>
                <w:w w:val="99"/>
                <w:sz w:val="18"/>
              </w:rPr>
              <w:t>-</w:t>
            </w:r>
            <w:r>
              <w:rPr>
                <w:rFonts w:ascii="Arial"/>
                <w:sz w:val="18"/>
              </w:rPr>
            </w:r>
          </w:p>
        </w:tc>
        <w:tc>
          <w:tcPr>
            <w:tcW w:w="108" w:type="dxa"/>
            <w:tcBorders>
              <w:top w:val="nil" w:sz="6" w:space="0" w:color="auto"/>
              <w:left w:val="nil" w:sz="6" w:space="0" w:color="auto"/>
              <w:bottom w:val="nil" w:sz="6" w:space="0" w:color="auto"/>
              <w:right w:val="nil" w:sz="6" w:space="0" w:color="auto"/>
            </w:tcBorders>
          </w:tcPr>
          <w:p>
            <w:pP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2"/>
              <w:jc w:val="right"/>
              <w:rPr>
                <w:rFonts w:ascii="Arial" w:hAnsi="Arial" w:cs="Arial" w:eastAsia="Arial" w:hint="default"/>
                <w:sz w:val="18"/>
                <w:szCs w:val="18"/>
              </w:rPr>
            </w:pPr>
            <w:r>
              <w:rPr>
                <w:rFonts w:ascii="Arial"/>
                <w:w w:val="99"/>
                <w:sz w:val="18"/>
              </w:rPr>
              <w:t>-</w:t>
            </w:r>
            <w:r>
              <w:rPr>
                <w:rFonts w:ascii="Arial"/>
                <w:sz w:val="18"/>
              </w:rPr>
            </w:r>
          </w:p>
        </w:tc>
        <w:tc>
          <w:tcPr>
            <w:tcW w:w="108"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1"/>
              <w:jc w:val="right"/>
              <w:rPr>
                <w:rFonts w:ascii="Arial" w:hAnsi="Arial" w:cs="Arial" w:eastAsia="Arial" w:hint="default"/>
                <w:sz w:val="18"/>
                <w:szCs w:val="18"/>
              </w:rPr>
            </w:pPr>
            <w:r>
              <w:rPr>
                <w:rFonts w:ascii="Arial"/>
                <w:w w:val="99"/>
                <w:sz w:val="18"/>
              </w:rPr>
              <w:t>-</w:t>
            </w:r>
            <w:r>
              <w:rPr>
                <w:rFonts w:ascii="Arial"/>
                <w:sz w:val="18"/>
              </w:rPr>
            </w:r>
          </w:p>
        </w:tc>
        <w:tc>
          <w:tcPr>
            <w:tcW w:w="108"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0"/>
              <w:jc w:val="right"/>
              <w:rPr>
                <w:rFonts w:ascii="Arial" w:hAnsi="Arial" w:cs="Arial" w:eastAsia="Arial" w:hint="default"/>
                <w:sz w:val="18"/>
                <w:szCs w:val="18"/>
              </w:rPr>
            </w:pPr>
            <w:r>
              <w:rPr>
                <w:rFonts w:ascii="Arial"/>
                <w:spacing w:val="-1"/>
                <w:sz w:val="18"/>
              </w:rPr>
              <w:t>18,287,362</w:t>
            </w:r>
          </w:p>
        </w:tc>
        <w:tc>
          <w:tcPr>
            <w:tcW w:w="106"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2"/>
              <w:jc w:val="right"/>
              <w:rPr>
                <w:rFonts w:ascii="Arial" w:hAnsi="Arial" w:cs="Arial" w:eastAsia="Arial" w:hint="default"/>
                <w:sz w:val="18"/>
                <w:szCs w:val="18"/>
              </w:rPr>
            </w:pPr>
            <w:r>
              <w:rPr>
                <w:rFonts w:ascii="Arial"/>
                <w:spacing w:val="-1"/>
                <w:sz w:val="18"/>
              </w:rPr>
              <w:t>0.11%</w:t>
            </w:r>
          </w:p>
        </w:tc>
        <w:tc>
          <w:tcPr>
            <w:tcW w:w="102"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0"/>
              <w:jc w:val="right"/>
              <w:rPr>
                <w:rFonts w:ascii="Arial" w:hAnsi="Arial" w:cs="Arial" w:eastAsia="Arial" w:hint="default"/>
                <w:sz w:val="18"/>
                <w:szCs w:val="18"/>
              </w:rPr>
            </w:pPr>
            <w:r>
              <w:rPr>
                <w:rFonts w:ascii="Arial"/>
                <w:w w:val="99"/>
                <w:sz w:val="18"/>
              </w:rPr>
              <w:t>-</w:t>
            </w:r>
            <w:r>
              <w:rPr>
                <w:rFonts w:ascii="Arial"/>
                <w:sz w:val="18"/>
              </w:rPr>
            </w:r>
          </w:p>
        </w:tc>
      </w:tr>
      <w:tr>
        <w:trPr>
          <w:trHeight w:val="560" w:hRule="exact"/>
        </w:trPr>
        <w:tc>
          <w:tcPr>
            <w:tcW w:w="1451" w:type="dxa"/>
            <w:tcBorders>
              <w:top w:val="nil" w:sz="6" w:space="0" w:color="auto"/>
              <w:left w:val="nil" w:sz="6" w:space="0" w:color="auto"/>
              <w:bottom w:val="nil" w:sz="6" w:space="0" w:color="auto"/>
              <w:right w:val="nil" w:sz="6" w:space="0" w:color="auto"/>
            </w:tcBorders>
          </w:tcPr>
          <w:p>
            <w:pPr>
              <w:pStyle w:val="TableParagraph"/>
              <w:spacing w:line="195" w:lineRule="exact"/>
              <w:ind w:left="29" w:right="0"/>
              <w:jc w:val="center"/>
              <w:rPr>
                <w:rFonts w:ascii="宋体" w:hAnsi="宋体" w:cs="宋体" w:eastAsia="宋体" w:hint="default"/>
                <w:sz w:val="18"/>
                <w:szCs w:val="18"/>
              </w:rPr>
            </w:pPr>
            <w:r>
              <w:rPr>
                <w:rFonts w:ascii="宋体" w:hAnsi="宋体" w:cs="宋体" w:eastAsia="宋体" w:hint="default"/>
                <w:sz w:val="18"/>
                <w:szCs w:val="18"/>
              </w:rPr>
              <w:t>联通集团其他</w:t>
            </w:r>
          </w:p>
          <w:p>
            <w:pPr>
              <w:pStyle w:val="TableParagraph"/>
              <w:spacing w:line="235" w:lineRule="exact"/>
              <w:ind w:right="19"/>
              <w:jc w:val="center"/>
              <w:rPr>
                <w:rFonts w:ascii="宋体" w:hAnsi="宋体" w:cs="宋体" w:eastAsia="宋体" w:hint="default"/>
                <w:sz w:val="18"/>
                <w:szCs w:val="18"/>
              </w:rPr>
            </w:pPr>
            <w:r>
              <w:rPr>
                <w:rFonts w:ascii="宋体" w:hAnsi="宋体" w:cs="宋体" w:eastAsia="宋体" w:hint="default"/>
                <w:sz w:val="18"/>
                <w:szCs w:val="18"/>
              </w:rPr>
              <w:t>附属公司</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同受联通集团控制</w:t>
            </w:r>
          </w:p>
        </w:tc>
        <w:tc>
          <w:tcPr>
            <w:tcW w:w="116"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1061" w:val="left" w:leader="none"/>
              </w:tabs>
              <w:spacing w:line="240" w:lineRule="auto"/>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1"/>
                <w:sz w:val="18"/>
                <w:u w:val="single" w:color="000000"/>
              </w:rPr>
              <w:t> </w:t>
            </w:r>
            <w:r>
              <w:rPr>
                <w:rFonts w:ascii="Arial"/>
                <w:spacing w:val="-1"/>
                <w:sz w:val="18"/>
                <w:u w:val="single" w:color="000000"/>
              </w:rPr>
              <w:t>8,466,701</w:t>
              <w:tab/>
            </w:r>
            <w:r>
              <w:rPr>
                <w:rFonts w:ascii="Arial"/>
                <w:spacing w:val="-1"/>
                <w:sz w:val="18"/>
              </w:rPr>
            </w:r>
          </w:p>
        </w:tc>
        <w:tc>
          <w:tcPr>
            <w:tcW w:w="108" w:type="dxa"/>
            <w:tcBorders>
              <w:top w:val="nil" w:sz="6" w:space="0" w:color="auto"/>
              <w:left w:val="nil" w:sz="6" w:space="0" w:color="auto"/>
              <w:bottom w:val="nil" w:sz="6" w:space="0" w:color="auto"/>
              <w:right w:val="nil" w:sz="6" w:space="0" w:color="auto"/>
            </w:tcBorders>
          </w:tcPr>
          <w:p>
            <w:pP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328" w:val="left" w:leader="none"/>
              </w:tabs>
              <w:spacing w:line="240" w:lineRule="auto"/>
              <w:ind w:right="4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0.05%</w:t>
            </w:r>
            <w:r>
              <w:rPr>
                <w:rFonts w:ascii="Arial"/>
                <w:spacing w:val="-1"/>
                <w:sz w:val="18"/>
              </w:rPr>
            </w:r>
          </w:p>
        </w:tc>
        <w:tc>
          <w:tcPr>
            <w:tcW w:w="108"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722" w:val="left" w:leader="none"/>
                <w:tab w:pos="855" w:val="left" w:leader="none"/>
              </w:tabs>
              <w:spacing w:line="240" w:lineRule="auto"/>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08"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1106" w:val="left" w:leader="none"/>
              </w:tabs>
              <w:spacing w:line="240" w:lineRule="auto"/>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8"/>
                <w:sz w:val="18"/>
                <w:u w:val="single" w:color="000000"/>
              </w:rPr>
              <w:t> </w:t>
            </w:r>
            <w:r>
              <w:rPr>
                <w:rFonts w:ascii="Arial"/>
                <w:spacing w:val="-1"/>
                <w:sz w:val="18"/>
                <w:u w:val="single" w:color="000000"/>
              </w:rPr>
              <w:t>10,192,327</w:t>
              <w:tab/>
            </w:r>
            <w:r>
              <w:rPr>
                <w:rFonts w:ascii="Arial"/>
                <w:spacing w:val="-1"/>
                <w:sz w:val="18"/>
              </w:rPr>
            </w:r>
          </w:p>
        </w:tc>
        <w:tc>
          <w:tcPr>
            <w:tcW w:w="106"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293" w:val="left" w:leader="none"/>
                <w:tab w:pos="857" w:val="left" w:leader="none"/>
              </w:tabs>
              <w:spacing w:line="240" w:lineRule="auto"/>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0.06%</w:t>
              <w:tab/>
            </w:r>
            <w:r>
              <w:rPr>
                <w:rFonts w:ascii="Arial"/>
                <w:spacing w:val="-1"/>
                <w:sz w:val="18"/>
              </w:rPr>
            </w:r>
          </w:p>
        </w:tc>
        <w:tc>
          <w:tcPr>
            <w:tcW w:w="102"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665" w:val="left" w:leader="none"/>
                <w:tab w:pos="848" w:val="left" w:leader="none"/>
              </w:tabs>
              <w:spacing w:line="240" w:lineRule="auto"/>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r>
      <w:tr>
        <w:trPr>
          <w:trHeight w:val="340" w:hRule="exact"/>
        </w:trPr>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0"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single" w:sz="17" w:space="0" w:color="000000"/>
              <w:right w:val="nil" w:sz="6" w:space="0" w:color="auto"/>
            </w:tcBorders>
          </w:tcPr>
          <w:p>
            <w:pPr>
              <w:pStyle w:val="TableParagraph"/>
              <w:spacing w:line="240" w:lineRule="auto" w:before="108"/>
              <w:ind w:left="88" w:right="0"/>
              <w:jc w:val="left"/>
              <w:rPr>
                <w:rFonts w:ascii="Arial" w:hAnsi="Arial" w:cs="Arial" w:eastAsia="Arial" w:hint="default"/>
                <w:sz w:val="18"/>
                <w:szCs w:val="18"/>
              </w:rPr>
            </w:pPr>
            <w:r>
              <w:rPr>
                <w:rFonts w:ascii="Arial"/>
                <w:sz w:val="18"/>
              </w:rPr>
              <w:t>22,000,637</w:t>
            </w:r>
          </w:p>
        </w:tc>
        <w:tc>
          <w:tcPr>
            <w:tcW w:w="108" w:type="dxa"/>
            <w:tcBorders>
              <w:top w:val="nil" w:sz="6" w:space="0" w:color="auto"/>
              <w:left w:val="nil" w:sz="6" w:space="0" w:color="auto"/>
              <w:bottom w:val="nil" w:sz="6" w:space="0" w:color="auto"/>
              <w:right w:val="nil" w:sz="6" w:space="0" w:color="auto"/>
            </w:tcBorders>
          </w:tcPr>
          <w:p>
            <w:pPr/>
          </w:p>
        </w:tc>
        <w:tc>
          <w:tcPr>
            <w:tcW w:w="882" w:type="dxa"/>
            <w:tcBorders>
              <w:top w:val="nil" w:sz="6" w:space="0" w:color="auto"/>
              <w:left w:val="nil" w:sz="6" w:space="0" w:color="auto"/>
              <w:bottom w:val="single" w:sz="17" w:space="0" w:color="000000"/>
              <w:right w:val="nil" w:sz="6" w:space="0" w:color="auto"/>
            </w:tcBorders>
          </w:tcPr>
          <w:p>
            <w:pPr>
              <w:pStyle w:val="TableParagraph"/>
              <w:spacing w:line="240" w:lineRule="auto" w:before="108"/>
              <w:ind w:right="41"/>
              <w:jc w:val="right"/>
              <w:rPr>
                <w:rFonts w:ascii="Arial" w:hAnsi="Arial" w:cs="Arial" w:eastAsia="Arial" w:hint="default"/>
                <w:sz w:val="18"/>
                <w:szCs w:val="18"/>
              </w:rPr>
            </w:pPr>
            <w:r>
              <w:rPr>
                <w:rFonts w:ascii="Arial"/>
                <w:spacing w:val="-1"/>
                <w:sz w:val="18"/>
              </w:rPr>
              <w:t>0.12%</w:t>
            </w:r>
          </w:p>
        </w:tc>
        <w:tc>
          <w:tcPr>
            <w:tcW w:w="108"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single" w:sz="17" w:space="0" w:color="000000"/>
              <w:right w:val="nil" w:sz="6" w:space="0" w:color="auto"/>
            </w:tcBorders>
          </w:tcPr>
          <w:p>
            <w:pPr>
              <w:pStyle w:val="TableParagraph"/>
              <w:spacing w:line="240" w:lineRule="auto" w:before="108"/>
              <w:ind w:right="71"/>
              <w:jc w:val="right"/>
              <w:rPr>
                <w:rFonts w:ascii="Arial" w:hAnsi="Arial" w:cs="Arial" w:eastAsia="Arial" w:hint="default"/>
                <w:sz w:val="18"/>
                <w:szCs w:val="18"/>
              </w:rPr>
            </w:pPr>
            <w:r>
              <w:rPr>
                <w:rFonts w:ascii="Arial"/>
                <w:w w:val="99"/>
                <w:sz w:val="18"/>
              </w:rPr>
              <w:t>-</w:t>
            </w:r>
            <w:r>
              <w:rPr>
                <w:rFonts w:ascii="Arial"/>
                <w:sz w:val="18"/>
              </w:rPr>
            </w:r>
          </w:p>
        </w:tc>
        <w:tc>
          <w:tcPr>
            <w:tcW w:w="108"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single" w:sz="17" w:space="0" w:color="000000"/>
              <w:right w:val="nil" w:sz="6" w:space="0" w:color="auto"/>
            </w:tcBorders>
          </w:tcPr>
          <w:p>
            <w:pPr>
              <w:pStyle w:val="TableParagraph"/>
              <w:spacing w:line="240" w:lineRule="auto" w:before="108"/>
              <w:ind w:right="61"/>
              <w:jc w:val="right"/>
              <w:rPr>
                <w:rFonts w:ascii="Arial" w:hAnsi="Arial" w:cs="Arial" w:eastAsia="Arial" w:hint="default"/>
                <w:sz w:val="18"/>
                <w:szCs w:val="18"/>
              </w:rPr>
            </w:pPr>
            <w:r>
              <w:rPr>
                <w:rFonts w:ascii="Arial"/>
                <w:spacing w:val="-1"/>
                <w:sz w:val="18"/>
              </w:rPr>
              <w:t>35,391,184</w:t>
            </w:r>
          </w:p>
        </w:tc>
        <w:tc>
          <w:tcPr>
            <w:tcW w:w="106"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single" w:sz="17" w:space="0" w:color="000000"/>
              <w:right w:val="nil" w:sz="6" w:space="0" w:color="auto"/>
            </w:tcBorders>
          </w:tcPr>
          <w:p>
            <w:pPr>
              <w:pStyle w:val="TableParagraph"/>
              <w:spacing w:line="240" w:lineRule="auto" w:before="108"/>
              <w:ind w:right="52"/>
              <w:jc w:val="right"/>
              <w:rPr>
                <w:rFonts w:ascii="Arial" w:hAnsi="Arial" w:cs="Arial" w:eastAsia="Arial" w:hint="default"/>
                <w:sz w:val="18"/>
                <w:szCs w:val="18"/>
              </w:rPr>
            </w:pPr>
            <w:r>
              <w:rPr>
                <w:rFonts w:ascii="Arial"/>
                <w:spacing w:val="-1"/>
                <w:sz w:val="18"/>
              </w:rPr>
              <w:t>0.21%</w:t>
            </w:r>
          </w:p>
        </w:tc>
        <w:tc>
          <w:tcPr>
            <w:tcW w:w="102"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single" w:sz="17" w:space="0" w:color="000000"/>
              <w:right w:val="nil" w:sz="6" w:space="0" w:color="auto"/>
            </w:tcBorders>
          </w:tcPr>
          <w:p>
            <w:pPr>
              <w:pStyle w:val="TableParagraph"/>
              <w:spacing w:line="240" w:lineRule="auto" w:before="108"/>
              <w:ind w:right="120"/>
              <w:jc w:val="right"/>
              <w:rPr>
                <w:rFonts w:ascii="Arial" w:hAnsi="Arial" w:cs="Arial" w:eastAsia="Arial" w:hint="default"/>
                <w:sz w:val="18"/>
                <w:szCs w:val="18"/>
              </w:rPr>
            </w:pPr>
            <w:r>
              <w:rPr>
                <w:rFonts w:ascii="Arial"/>
                <w:w w:val="99"/>
                <w:sz w:val="18"/>
              </w:rPr>
              <w:t>-</w:t>
            </w:r>
            <w:r>
              <w:rPr>
                <w:rFonts w:ascii="Arial"/>
                <w:sz w:val="18"/>
              </w:rPr>
            </w:r>
          </w:p>
        </w:tc>
      </w:tr>
    </w:tbl>
    <w:p>
      <w:pPr>
        <w:spacing w:line="240" w:lineRule="auto" w:before="2"/>
        <w:rPr>
          <w:rFonts w:ascii="宋体" w:hAnsi="宋体" w:cs="宋体" w:eastAsia="宋体" w:hint="default"/>
          <w:sz w:val="10"/>
          <w:szCs w:val="10"/>
        </w:rPr>
      </w:pPr>
    </w:p>
    <w:p>
      <w:pPr>
        <w:pStyle w:val="BodyText"/>
        <w:tabs>
          <w:tab w:pos="547" w:val="left" w:leader="none"/>
        </w:tabs>
        <w:spacing w:line="240" w:lineRule="auto" w:before="31"/>
        <w:ind w:left="114" w:right="0"/>
        <w:jc w:val="left"/>
      </w:pPr>
      <w:r>
        <w:rPr>
          <w:rFonts w:ascii="Arial" w:hAnsi="Arial" w:cs="Arial" w:eastAsia="Arial" w:hint="default"/>
          <w:w w:val="95"/>
        </w:rPr>
        <w:t>(i)</w:t>
        <w:tab/>
      </w:r>
      <w:r>
        <w:rPr/>
        <w:t>于</w:t>
      </w:r>
      <w:r>
        <w:rPr>
          <w:spacing w:val="-56"/>
        </w:rPr>
        <w:t> </w:t>
      </w:r>
      <w:r>
        <w:rPr>
          <w:rFonts w:ascii="Arial" w:hAnsi="Arial" w:cs="Arial" w:eastAsia="Arial" w:hint="default"/>
        </w:rPr>
        <w:t>2012</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日及</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spacing w:val="-4"/>
        </w:rPr>
        <w:t>日，本集团应收账款中以外币计价的余额并不重大。</w:t>
      </w:r>
    </w:p>
    <w:p>
      <w:pPr>
        <w:pStyle w:val="BodyText"/>
        <w:spacing w:line="240" w:lineRule="auto" w:before="181"/>
        <w:ind w:left="142" w:right="0"/>
        <w:jc w:val="left"/>
      </w:pPr>
      <w:r>
        <w:rPr>
          <w:rFonts w:ascii="Arial" w:hAnsi="Arial" w:cs="Arial" w:eastAsia="Arial" w:hint="default"/>
        </w:rPr>
        <w:t>4</w:t>
      </w:r>
      <w:r>
        <w:rPr/>
        <w:t>、</w:t>
      </w:r>
      <w:r>
        <w:rPr>
          <w:spacing w:val="-38"/>
        </w:rPr>
        <w:t> </w:t>
      </w:r>
      <w:r>
        <w:rPr/>
        <w:t>其他应收款</w:t>
      </w:r>
    </w:p>
    <w:p>
      <w:pPr>
        <w:spacing w:line="240" w:lineRule="auto" w:before="2"/>
        <w:rPr>
          <w:rFonts w:ascii="宋体" w:hAnsi="宋体" w:cs="宋体" w:eastAsia="宋体" w:hint="default"/>
          <w:sz w:val="19"/>
          <w:szCs w:val="19"/>
        </w:rPr>
      </w:pPr>
    </w:p>
    <w:tbl>
      <w:tblPr>
        <w:tblW w:w="0" w:type="auto"/>
        <w:jc w:val="left"/>
        <w:tblInd w:w="380" w:type="dxa"/>
        <w:tblLayout w:type="fixed"/>
        <w:tblCellMar>
          <w:top w:w="0" w:type="dxa"/>
          <w:left w:w="0" w:type="dxa"/>
          <w:bottom w:w="0" w:type="dxa"/>
          <w:right w:w="0" w:type="dxa"/>
        </w:tblCellMar>
        <w:tblLook w:val="01E0"/>
      </w:tblPr>
      <w:tblGrid>
        <w:gridCol w:w="3878"/>
        <w:gridCol w:w="2531"/>
        <w:gridCol w:w="270"/>
        <w:gridCol w:w="2515"/>
      </w:tblGrid>
      <w:tr>
        <w:trPr>
          <w:trHeight w:val="261" w:hRule="exact"/>
        </w:trPr>
        <w:tc>
          <w:tcPr>
            <w:tcW w:w="3878" w:type="dxa"/>
            <w:tcBorders>
              <w:top w:val="nil" w:sz="6" w:space="0" w:color="auto"/>
              <w:left w:val="nil" w:sz="6" w:space="0" w:color="auto"/>
              <w:bottom w:val="nil" w:sz="6" w:space="0" w:color="auto"/>
              <w:right w:val="nil" w:sz="6" w:space="0" w:color="auto"/>
            </w:tcBorders>
          </w:tcPr>
          <w:p>
            <w:pPr/>
          </w:p>
        </w:tc>
        <w:tc>
          <w:tcPr>
            <w:tcW w:w="2531" w:type="dxa"/>
            <w:tcBorders>
              <w:top w:val="nil" w:sz="6" w:space="0" w:color="auto"/>
              <w:left w:val="nil" w:sz="6" w:space="0" w:color="auto"/>
              <w:bottom w:val="single" w:sz="6" w:space="0" w:color="000000"/>
              <w:right w:val="nil" w:sz="6" w:space="0" w:color="auto"/>
            </w:tcBorders>
          </w:tcPr>
          <w:p>
            <w:pPr>
              <w:pStyle w:val="TableParagraph"/>
              <w:spacing w:line="235" w:lineRule="exact"/>
              <w:ind w:right="65"/>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70" w:type="dxa"/>
            <w:tcBorders>
              <w:top w:val="nil" w:sz="6" w:space="0" w:color="auto"/>
              <w:left w:val="nil" w:sz="6" w:space="0" w:color="auto"/>
              <w:bottom w:val="nil" w:sz="6" w:space="0" w:color="auto"/>
              <w:right w:val="nil" w:sz="6" w:space="0" w:color="auto"/>
            </w:tcBorders>
          </w:tcPr>
          <w:p>
            <w:pPr/>
          </w:p>
        </w:tc>
        <w:tc>
          <w:tcPr>
            <w:tcW w:w="2515" w:type="dxa"/>
            <w:tcBorders>
              <w:top w:val="nil" w:sz="6" w:space="0" w:color="auto"/>
              <w:left w:val="nil" w:sz="6" w:space="0" w:color="auto"/>
              <w:bottom w:val="single" w:sz="6" w:space="0" w:color="000000"/>
              <w:right w:val="nil" w:sz="6" w:space="0" w:color="auto"/>
            </w:tcBorders>
          </w:tcPr>
          <w:p>
            <w:pPr>
              <w:pStyle w:val="TableParagraph"/>
              <w:spacing w:line="235" w:lineRule="exact"/>
              <w:ind w:right="53"/>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477" w:hRule="exact"/>
        </w:trPr>
        <w:tc>
          <w:tcPr>
            <w:tcW w:w="387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00" w:right="0"/>
              <w:jc w:val="left"/>
              <w:rPr>
                <w:rFonts w:ascii="宋体" w:hAnsi="宋体" w:cs="宋体" w:eastAsia="宋体" w:hint="default"/>
                <w:sz w:val="22"/>
                <w:szCs w:val="22"/>
              </w:rPr>
            </w:pPr>
            <w:r>
              <w:rPr>
                <w:rFonts w:ascii="宋体" w:hAnsi="宋体" w:cs="宋体" w:eastAsia="宋体" w:hint="default"/>
                <w:sz w:val="22"/>
                <w:szCs w:val="22"/>
              </w:rPr>
              <w:t>应收合约用户通信终端款（注）</w:t>
            </w:r>
          </w:p>
        </w:tc>
        <w:tc>
          <w:tcPr>
            <w:tcW w:w="2531"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10"/>
              <w:jc w:val="right"/>
              <w:rPr>
                <w:rFonts w:ascii="Arial" w:hAnsi="Arial" w:cs="Arial" w:eastAsia="Arial" w:hint="default"/>
                <w:sz w:val="22"/>
                <w:szCs w:val="22"/>
              </w:rPr>
            </w:pPr>
            <w:r>
              <w:rPr>
                <w:rFonts w:ascii="Arial"/>
                <w:spacing w:val="-1"/>
                <w:sz w:val="22"/>
              </w:rPr>
              <w:t>3,566,219,347</w:t>
            </w:r>
          </w:p>
        </w:tc>
        <w:tc>
          <w:tcPr>
            <w:tcW w:w="270" w:type="dxa"/>
            <w:tcBorders>
              <w:top w:val="nil" w:sz="6" w:space="0" w:color="auto"/>
              <w:left w:val="nil" w:sz="6" w:space="0" w:color="auto"/>
              <w:bottom w:val="nil" w:sz="6" w:space="0" w:color="auto"/>
              <w:right w:val="nil" w:sz="6" w:space="0" w:color="auto"/>
            </w:tcBorders>
          </w:tcPr>
          <w:p>
            <w:pPr/>
          </w:p>
        </w:tc>
        <w:tc>
          <w:tcPr>
            <w:tcW w:w="2515"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14"/>
              <w:jc w:val="right"/>
              <w:rPr>
                <w:rFonts w:ascii="Arial" w:hAnsi="Arial" w:cs="Arial" w:eastAsia="Arial" w:hint="default"/>
                <w:sz w:val="22"/>
                <w:szCs w:val="22"/>
              </w:rPr>
            </w:pPr>
            <w:r>
              <w:rPr>
                <w:rFonts w:ascii="Arial"/>
                <w:w w:val="99"/>
                <w:sz w:val="22"/>
              </w:rPr>
              <w:t>-</w:t>
            </w:r>
            <w:r>
              <w:rPr>
                <w:rFonts w:ascii="Arial"/>
                <w:sz w:val="22"/>
              </w:rPr>
            </w:r>
          </w:p>
        </w:tc>
      </w:tr>
      <w:tr>
        <w:trPr>
          <w:trHeight w:val="286" w:hRule="exact"/>
        </w:trPr>
        <w:tc>
          <w:tcPr>
            <w:tcW w:w="3878"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备用金及垫付款</w:t>
            </w:r>
          </w:p>
        </w:tc>
        <w:tc>
          <w:tcPr>
            <w:tcW w:w="25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8"/>
              <w:jc w:val="right"/>
              <w:rPr>
                <w:rFonts w:ascii="Arial" w:hAnsi="Arial" w:cs="Arial" w:eastAsia="Arial" w:hint="default"/>
                <w:sz w:val="22"/>
                <w:szCs w:val="22"/>
              </w:rPr>
            </w:pPr>
            <w:r>
              <w:rPr>
                <w:rFonts w:ascii="Arial"/>
                <w:w w:val="95"/>
                <w:sz w:val="22"/>
              </w:rPr>
              <w:t>793,802,990</w:t>
            </w:r>
            <w:r>
              <w:rPr>
                <w:rFonts w:ascii="Arial"/>
                <w:sz w:val="22"/>
              </w:rPr>
            </w:r>
          </w:p>
        </w:tc>
        <w:tc>
          <w:tcPr>
            <w:tcW w:w="270" w:type="dxa"/>
            <w:tcBorders>
              <w:top w:val="nil" w:sz="6" w:space="0" w:color="auto"/>
              <w:left w:val="nil" w:sz="6" w:space="0" w:color="auto"/>
              <w:bottom w:val="nil" w:sz="6" w:space="0" w:color="auto"/>
              <w:right w:val="nil" w:sz="6" w:space="0" w:color="auto"/>
            </w:tcBorders>
          </w:tcPr>
          <w:p>
            <w:pP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2"/>
              <w:jc w:val="right"/>
              <w:rPr>
                <w:rFonts w:ascii="Arial" w:hAnsi="Arial" w:cs="Arial" w:eastAsia="Arial" w:hint="default"/>
                <w:sz w:val="22"/>
                <w:szCs w:val="22"/>
              </w:rPr>
            </w:pPr>
            <w:r>
              <w:rPr>
                <w:rFonts w:ascii="Arial"/>
                <w:w w:val="95"/>
                <w:sz w:val="22"/>
              </w:rPr>
              <w:t>792,017,919</w:t>
            </w:r>
            <w:r>
              <w:rPr>
                <w:rFonts w:ascii="Arial"/>
                <w:sz w:val="22"/>
              </w:rPr>
            </w:r>
          </w:p>
        </w:tc>
      </w:tr>
      <w:tr>
        <w:trPr>
          <w:trHeight w:val="286" w:hRule="exact"/>
        </w:trPr>
        <w:tc>
          <w:tcPr>
            <w:tcW w:w="3878"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暂付押金、保证金等</w:t>
            </w:r>
          </w:p>
        </w:tc>
        <w:tc>
          <w:tcPr>
            <w:tcW w:w="25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8"/>
              <w:jc w:val="right"/>
              <w:rPr>
                <w:rFonts w:ascii="Arial" w:hAnsi="Arial" w:cs="Arial" w:eastAsia="Arial" w:hint="default"/>
                <w:sz w:val="22"/>
                <w:szCs w:val="22"/>
              </w:rPr>
            </w:pPr>
            <w:r>
              <w:rPr>
                <w:rFonts w:ascii="Arial"/>
                <w:w w:val="95"/>
                <w:sz w:val="22"/>
              </w:rPr>
              <w:t>540,035,414</w:t>
            </w:r>
            <w:r>
              <w:rPr>
                <w:rFonts w:ascii="Arial"/>
                <w:sz w:val="22"/>
              </w:rPr>
            </w:r>
          </w:p>
        </w:tc>
        <w:tc>
          <w:tcPr>
            <w:tcW w:w="270" w:type="dxa"/>
            <w:tcBorders>
              <w:top w:val="nil" w:sz="6" w:space="0" w:color="auto"/>
              <w:left w:val="nil" w:sz="6" w:space="0" w:color="auto"/>
              <w:bottom w:val="nil" w:sz="6" w:space="0" w:color="auto"/>
              <w:right w:val="nil" w:sz="6" w:space="0" w:color="auto"/>
            </w:tcBorders>
          </w:tcPr>
          <w:p>
            <w:pP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2"/>
              <w:jc w:val="right"/>
              <w:rPr>
                <w:rFonts w:ascii="Arial" w:hAnsi="Arial" w:cs="Arial" w:eastAsia="Arial" w:hint="default"/>
                <w:sz w:val="22"/>
                <w:szCs w:val="22"/>
              </w:rPr>
            </w:pPr>
            <w:r>
              <w:rPr>
                <w:rFonts w:ascii="Arial"/>
                <w:w w:val="95"/>
                <w:sz w:val="22"/>
              </w:rPr>
              <w:t>538,356,951</w:t>
            </w:r>
            <w:r>
              <w:rPr>
                <w:rFonts w:ascii="Arial"/>
                <w:sz w:val="22"/>
              </w:rPr>
            </w:r>
          </w:p>
        </w:tc>
      </w:tr>
      <w:tr>
        <w:trPr>
          <w:trHeight w:val="285" w:hRule="exact"/>
        </w:trPr>
        <w:tc>
          <w:tcPr>
            <w:tcW w:w="3878"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员工借款</w:t>
            </w:r>
          </w:p>
        </w:tc>
        <w:tc>
          <w:tcPr>
            <w:tcW w:w="25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8"/>
              <w:jc w:val="right"/>
              <w:rPr>
                <w:rFonts w:ascii="Arial" w:hAnsi="Arial" w:cs="Arial" w:eastAsia="Arial" w:hint="default"/>
                <w:sz w:val="22"/>
                <w:szCs w:val="22"/>
              </w:rPr>
            </w:pPr>
            <w:r>
              <w:rPr>
                <w:rFonts w:ascii="Arial"/>
                <w:w w:val="95"/>
                <w:sz w:val="22"/>
              </w:rPr>
              <w:t>296,322,144</w:t>
            </w:r>
            <w:r>
              <w:rPr>
                <w:rFonts w:ascii="Arial"/>
                <w:sz w:val="22"/>
              </w:rPr>
            </w:r>
          </w:p>
        </w:tc>
        <w:tc>
          <w:tcPr>
            <w:tcW w:w="270" w:type="dxa"/>
            <w:tcBorders>
              <w:top w:val="nil" w:sz="6" w:space="0" w:color="auto"/>
              <w:left w:val="nil" w:sz="6" w:space="0" w:color="auto"/>
              <w:bottom w:val="nil" w:sz="6" w:space="0" w:color="auto"/>
              <w:right w:val="nil" w:sz="6" w:space="0" w:color="auto"/>
            </w:tcBorders>
          </w:tcPr>
          <w:p>
            <w:pP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2"/>
              <w:jc w:val="right"/>
              <w:rPr>
                <w:rFonts w:ascii="Arial" w:hAnsi="Arial" w:cs="Arial" w:eastAsia="Arial" w:hint="default"/>
                <w:sz w:val="22"/>
                <w:szCs w:val="22"/>
              </w:rPr>
            </w:pPr>
            <w:r>
              <w:rPr>
                <w:rFonts w:ascii="Arial"/>
                <w:w w:val="95"/>
                <w:sz w:val="22"/>
              </w:rPr>
              <w:t>295,016,051</w:t>
            </w:r>
            <w:r>
              <w:rPr>
                <w:rFonts w:ascii="Arial"/>
                <w:sz w:val="22"/>
              </w:rPr>
            </w:r>
          </w:p>
        </w:tc>
      </w:tr>
      <w:tr>
        <w:trPr>
          <w:trHeight w:val="293" w:hRule="exact"/>
        </w:trPr>
        <w:tc>
          <w:tcPr>
            <w:tcW w:w="3878"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531" w:type="dxa"/>
            <w:tcBorders>
              <w:top w:val="nil" w:sz="6" w:space="0" w:color="auto"/>
              <w:left w:val="nil" w:sz="6" w:space="0" w:color="auto"/>
              <w:bottom w:val="nil" w:sz="6" w:space="0" w:color="auto"/>
              <w:right w:val="nil" w:sz="6" w:space="0" w:color="auto"/>
            </w:tcBorders>
          </w:tcPr>
          <w:p>
            <w:pPr>
              <w:pStyle w:val="TableParagraph"/>
              <w:tabs>
                <w:tab w:pos="1196" w:val="left" w:leader="none"/>
                <w:tab w:pos="2531"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652,220,820</w:t>
            </w:r>
            <w:r>
              <w:rPr>
                <w:rFonts w:ascii="Arial"/>
                <w:sz w:val="22"/>
                <w:u w:val="single" w:color="000000"/>
              </w:rPr>
              <w:tab/>
            </w:r>
            <w:r>
              <w:rPr>
                <w:rFonts w:ascii="Arial"/>
                <w:sz w:val="22"/>
              </w:rPr>
            </w:r>
          </w:p>
        </w:tc>
        <w:tc>
          <w:tcPr>
            <w:tcW w:w="270" w:type="dxa"/>
            <w:tcBorders>
              <w:top w:val="nil" w:sz="6" w:space="0" w:color="auto"/>
              <w:left w:val="nil" w:sz="6" w:space="0" w:color="auto"/>
              <w:bottom w:val="nil" w:sz="6" w:space="0" w:color="auto"/>
              <w:right w:val="nil" w:sz="6" w:space="0" w:color="auto"/>
            </w:tcBorders>
          </w:tcPr>
          <w:p>
            <w:pPr/>
          </w:p>
        </w:tc>
        <w:tc>
          <w:tcPr>
            <w:tcW w:w="2515" w:type="dxa"/>
            <w:tcBorders>
              <w:top w:val="nil" w:sz="6" w:space="0" w:color="auto"/>
              <w:left w:val="nil" w:sz="6" w:space="0" w:color="auto"/>
              <w:bottom w:val="nil" w:sz="6" w:space="0" w:color="auto"/>
              <w:right w:val="nil" w:sz="6" w:space="0" w:color="auto"/>
            </w:tcBorders>
          </w:tcPr>
          <w:p>
            <w:pPr>
              <w:pStyle w:val="TableParagraph"/>
              <w:tabs>
                <w:tab w:pos="1168" w:val="left" w:leader="none"/>
                <w:tab w:pos="2507"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777,375,441</w:t>
            </w:r>
            <w:r>
              <w:rPr>
                <w:rFonts w:ascii="Arial"/>
                <w:sz w:val="22"/>
                <w:u w:val="single" w:color="000000"/>
              </w:rPr>
              <w:tab/>
            </w:r>
            <w:r>
              <w:rPr>
                <w:rFonts w:ascii="Arial"/>
                <w:sz w:val="22"/>
              </w:rPr>
            </w:r>
          </w:p>
        </w:tc>
      </w:tr>
      <w:tr>
        <w:trPr>
          <w:trHeight w:val="419" w:hRule="exact"/>
        </w:trPr>
        <w:tc>
          <w:tcPr>
            <w:tcW w:w="3878"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53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10"/>
              <w:jc w:val="right"/>
              <w:rPr>
                <w:rFonts w:ascii="Arial" w:hAnsi="Arial" w:cs="Arial" w:eastAsia="Arial" w:hint="default"/>
                <w:sz w:val="22"/>
                <w:szCs w:val="22"/>
              </w:rPr>
            </w:pPr>
            <w:r>
              <w:rPr>
                <w:rFonts w:ascii="Arial"/>
                <w:spacing w:val="-1"/>
                <w:sz w:val="22"/>
              </w:rPr>
              <w:t>5,848,600,715</w:t>
            </w:r>
          </w:p>
        </w:tc>
        <w:tc>
          <w:tcPr>
            <w:tcW w:w="270" w:type="dxa"/>
            <w:tcBorders>
              <w:top w:val="nil" w:sz="6" w:space="0" w:color="auto"/>
              <w:left w:val="nil" w:sz="6" w:space="0" w:color="auto"/>
              <w:bottom w:val="nil" w:sz="6" w:space="0" w:color="auto"/>
              <w:right w:val="nil" w:sz="6" w:space="0" w:color="auto"/>
            </w:tcBorders>
          </w:tcPr>
          <w:p>
            <w:pP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15"/>
              <w:jc w:val="right"/>
              <w:rPr>
                <w:rFonts w:ascii="Arial" w:hAnsi="Arial" w:cs="Arial" w:eastAsia="Arial" w:hint="default"/>
                <w:sz w:val="22"/>
                <w:szCs w:val="22"/>
              </w:rPr>
            </w:pPr>
            <w:r>
              <w:rPr>
                <w:rFonts w:ascii="Arial"/>
                <w:spacing w:val="-1"/>
                <w:sz w:val="22"/>
              </w:rPr>
              <w:t>2,402,766,362</w:t>
            </w:r>
          </w:p>
        </w:tc>
      </w:tr>
      <w:tr>
        <w:trPr>
          <w:trHeight w:val="505" w:hRule="exact"/>
        </w:trPr>
        <w:tc>
          <w:tcPr>
            <w:tcW w:w="3878"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00" w:right="0"/>
              <w:jc w:val="left"/>
              <w:rPr>
                <w:rFonts w:ascii="宋体" w:hAnsi="宋体" w:cs="宋体" w:eastAsia="宋体" w:hint="default"/>
                <w:sz w:val="22"/>
                <w:szCs w:val="22"/>
              </w:rPr>
            </w:pPr>
            <w:r>
              <w:rPr>
                <w:rFonts w:ascii="宋体" w:hAnsi="宋体" w:cs="宋体" w:eastAsia="宋体" w:hint="default"/>
                <w:sz w:val="22"/>
                <w:szCs w:val="22"/>
              </w:rPr>
              <w:t>减：坏账准备</w:t>
            </w:r>
          </w:p>
        </w:tc>
        <w:tc>
          <w:tcPr>
            <w:tcW w:w="2531" w:type="dxa"/>
            <w:tcBorders>
              <w:top w:val="nil" w:sz="6" w:space="0" w:color="auto"/>
              <w:left w:val="nil" w:sz="6" w:space="0" w:color="auto"/>
              <w:bottom w:val="nil" w:sz="6" w:space="0" w:color="auto"/>
              <w:right w:val="nil" w:sz="6" w:space="0" w:color="auto"/>
            </w:tcBorders>
          </w:tcPr>
          <w:p>
            <w:pPr>
              <w:pStyle w:val="TableParagraph"/>
              <w:tabs>
                <w:tab w:pos="1121" w:val="left" w:leader="none"/>
              </w:tabs>
              <w:spacing w:line="240" w:lineRule="auto" w:before="143"/>
              <w:ind w:right="39"/>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(429,892,807)</w:t>
            </w:r>
            <w:r>
              <w:rPr>
                <w:rFonts w:ascii="Arial"/>
                <w:w w:val="95"/>
                <w:sz w:val="22"/>
              </w:rPr>
            </w:r>
            <w:r>
              <w:rPr>
                <w:rFonts w:ascii="Arial"/>
                <w:sz w:val="22"/>
              </w:rPr>
            </w:r>
          </w:p>
        </w:tc>
        <w:tc>
          <w:tcPr>
            <w:tcW w:w="270" w:type="dxa"/>
            <w:tcBorders>
              <w:top w:val="nil" w:sz="6" w:space="0" w:color="auto"/>
              <w:left w:val="nil" w:sz="6" w:space="0" w:color="auto"/>
              <w:bottom w:val="nil" w:sz="6" w:space="0" w:color="auto"/>
              <w:right w:val="nil" w:sz="6" w:space="0" w:color="auto"/>
            </w:tcBorders>
          </w:tcPr>
          <w:p>
            <w:pPr/>
          </w:p>
        </w:tc>
        <w:tc>
          <w:tcPr>
            <w:tcW w:w="2515" w:type="dxa"/>
            <w:tcBorders>
              <w:top w:val="nil" w:sz="6" w:space="0" w:color="auto"/>
              <w:left w:val="nil" w:sz="6" w:space="0" w:color="auto"/>
              <w:bottom w:val="nil" w:sz="6" w:space="0" w:color="auto"/>
              <w:right w:val="nil" w:sz="6" w:space="0" w:color="auto"/>
            </w:tcBorders>
          </w:tcPr>
          <w:p>
            <w:pPr>
              <w:pStyle w:val="TableParagraph"/>
              <w:tabs>
                <w:tab w:pos="1094" w:val="left" w:leader="none"/>
              </w:tabs>
              <w:spacing w:line="240" w:lineRule="auto" w:before="143"/>
              <w:ind w:right="42"/>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(478,155,584)</w:t>
            </w:r>
            <w:r>
              <w:rPr>
                <w:rFonts w:ascii="Arial"/>
                <w:w w:val="95"/>
                <w:sz w:val="22"/>
              </w:rPr>
            </w:r>
            <w:r>
              <w:rPr>
                <w:rFonts w:ascii="Arial"/>
                <w:sz w:val="22"/>
              </w:rPr>
            </w:r>
          </w:p>
        </w:tc>
      </w:tr>
      <w:tr>
        <w:trPr>
          <w:trHeight w:val="390" w:hRule="exact"/>
        </w:trPr>
        <w:tc>
          <w:tcPr>
            <w:tcW w:w="387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00" w:right="0"/>
              <w:jc w:val="left"/>
              <w:rPr>
                <w:rFonts w:ascii="宋体" w:hAnsi="宋体" w:cs="宋体" w:eastAsia="宋体" w:hint="default"/>
                <w:sz w:val="22"/>
                <w:szCs w:val="22"/>
              </w:rPr>
            </w:pPr>
            <w:r>
              <w:rPr>
                <w:rFonts w:ascii="宋体" w:hAnsi="宋体" w:cs="宋体" w:eastAsia="宋体" w:hint="default"/>
                <w:sz w:val="22"/>
                <w:szCs w:val="22"/>
              </w:rPr>
              <w:t>其他应收款净额合计</w:t>
            </w:r>
          </w:p>
        </w:tc>
        <w:tc>
          <w:tcPr>
            <w:tcW w:w="2531"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right="110"/>
              <w:jc w:val="right"/>
              <w:rPr>
                <w:rFonts w:ascii="Arial" w:hAnsi="Arial" w:cs="Arial" w:eastAsia="Arial" w:hint="default"/>
                <w:sz w:val="22"/>
                <w:szCs w:val="22"/>
              </w:rPr>
            </w:pPr>
            <w:r>
              <w:rPr>
                <w:rFonts w:ascii="Arial"/>
                <w:w w:val="95"/>
                <w:sz w:val="22"/>
              </w:rPr>
              <w:t>5,418,707,908</w:t>
            </w:r>
            <w:r>
              <w:rPr>
                <w:rFonts w:ascii="Arial"/>
                <w:sz w:val="22"/>
              </w:rPr>
            </w:r>
          </w:p>
        </w:tc>
        <w:tc>
          <w:tcPr>
            <w:tcW w:w="270" w:type="dxa"/>
            <w:tcBorders>
              <w:top w:val="nil" w:sz="6" w:space="0" w:color="auto"/>
              <w:left w:val="nil" w:sz="6" w:space="0" w:color="auto"/>
              <w:bottom w:val="nil" w:sz="6" w:space="0" w:color="auto"/>
              <w:right w:val="nil" w:sz="6" w:space="0" w:color="auto"/>
            </w:tcBorders>
          </w:tcPr>
          <w:p>
            <w:pPr/>
          </w:p>
        </w:tc>
        <w:tc>
          <w:tcPr>
            <w:tcW w:w="2515"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right="115"/>
              <w:jc w:val="right"/>
              <w:rPr>
                <w:rFonts w:ascii="Arial" w:hAnsi="Arial" w:cs="Arial" w:eastAsia="Arial" w:hint="default"/>
                <w:sz w:val="22"/>
                <w:szCs w:val="22"/>
              </w:rPr>
            </w:pPr>
            <w:r>
              <w:rPr>
                <w:rFonts w:ascii="Arial"/>
                <w:spacing w:val="-1"/>
                <w:sz w:val="22"/>
              </w:rPr>
              <w:t>1,924,610,778</w:t>
            </w:r>
          </w:p>
        </w:tc>
      </w:tr>
    </w:tbl>
    <w:p>
      <w:pPr>
        <w:spacing w:line="240" w:lineRule="auto" w:before="9"/>
        <w:rPr>
          <w:rFonts w:ascii="宋体" w:hAnsi="宋体" w:cs="宋体" w:eastAsia="宋体" w:hint="default"/>
          <w:sz w:val="10"/>
          <w:szCs w:val="10"/>
        </w:rPr>
      </w:pPr>
    </w:p>
    <w:p>
      <w:pPr>
        <w:pStyle w:val="BodyText"/>
        <w:spacing w:line="232" w:lineRule="auto" w:before="39"/>
        <w:ind w:left="1024" w:right="150" w:hanging="450"/>
        <w:jc w:val="both"/>
      </w:pPr>
      <w:r>
        <w:rPr>
          <w:spacing w:val="-1"/>
        </w:rPr>
        <w:t>注：本集团向顾客提供捆绑手机终端及通信服务的优惠套餐。如附注二</w:t>
      </w:r>
      <w:r>
        <w:rPr>
          <w:rFonts w:ascii="Arial" w:hAnsi="Arial" w:cs="Arial" w:eastAsia="Arial" w:hint="default"/>
          <w:spacing w:val="-1"/>
        </w:rPr>
        <w:t>(24)(m)</w:t>
      </w:r>
      <w:r>
        <w:rPr>
          <w:spacing w:val="-1"/>
        </w:rPr>
        <w:t>所述，该优惠套</w:t>
      </w:r>
      <w:r>
        <w:rPr>
          <w:spacing w:val="-98"/>
        </w:rPr>
        <w:t> </w:t>
      </w:r>
      <w:r>
        <w:rPr>
          <w:spacing w:val="-98"/>
        </w:rPr>
      </w:r>
      <w:r>
        <w:rPr/>
        <w:t>餐的合同总金额按照手机终端和通信服务公允价值在二者之间进行分配。对于担保合约优</w:t>
      </w:r>
      <w:r>
        <w:rPr>
          <w:w w:val="99"/>
        </w:rPr>
        <w:t> </w:t>
      </w:r>
      <w:r>
        <w:rPr/>
        <w:t>惠套餐，手机终端收入于该手机终端的所有权转移至客户时根据以上相对公允价值法计算</w:t>
      </w:r>
      <w:r>
        <w:rPr>
          <w:w w:val="99"/>
        </w:rPr>
        <w:t> </w:t>
      </w:r>
      <w:r>
        <w:rPr/>
        <w:t>确认，并相应形成应收通信终端款。</w:t>
      </w:r>
    </w:p>
    <w:p>
      <w:pPr>
        <w:spacing w:line="240" w:lineRule="auto" w:before="9"/>
        <w:rPr>
          <w:rFonts w:ascii="宋体" w:hAnsi="宋体" w:cs="宋体" w:eastAsia="宋体" w:hint="default"/>
          <w:sz w:val="15"/>
          <w:szCs w:val="15"/>
        </w:rPr>
      </w:pPr>
    </w:p>
    <w:p>
      <w:pPr>
        <w:pStyle w:val="BodyText"/>
        <w:spacing w:line="240" w:lineRule="auto"/>
        <w:ind w:left="114" w:right="0"/>
        <w:jc w:val="left"/>
      </w:pPr>
      <w:r>
        <w:rPr>
          <w:rFonts w:ascii="Arial" w:hAnsi="Arial" w:cs="Arial" w:eastAsia="Arial" w:hint="default"/>
        </w:rPr>
        <w:t>(a) </w:t>
      </w:r>
      <w:r>
        <w:rPr>
          <w:rFonts w:ascii="Arial" w:hAnsi="Arial" w:cs="Arial" w:eastAsia="Arial" w:hint="default"/>
          <w:spacing w:val="48"/>
        </w:rPr>
        <w:t> </w:t>
      </w:r>
      <w:r>
        <w:rPr/>
        <w:t>其他应收款账龄分析如下：</w:t>
      </w:r>
    </w:p>
    <w:p>
      <w:pPr>
        <w:spacing w:line="240" w:lineRule="auto" w:before="8"/>
        <w:rPr>
          <w:rFonts w:ascii="宋体" w:hAnsi="宋体" w:cs="宋体" w:eastAsia="宋体" w:hint="default"/>
          <w:sz w:val="19"/>
          <w:szCs w:val="19"/>
        </w:rPr>
      </w:pPr>
    </w:p>
    <w:tbl>
      <w:tblPr>
        <w:tblW w:w="0" w:type="auto"/>
        <w:jc w:val="left"/>
        <w:tblInd w:w="347" w:type="dxa"/>
        <w:tblLayout w:type="fixed"/>
        <w:tblCellMar>
          <w:top w:w="0" w:type="dxa"/>
          <w:left w:w="0" w:type="dxa"/>
          <w:bottom w:w="0" w:type="dxa"/>
          <w:right w:w="0" w:type="dxa"/>
        </w:tblCellMar>
        <w:tblLook w:val="01E0"/>
      </w:tblPr>
      <w:tblGrid>
        <w:gridCol w:w="3908"/>
        <w:gridCol w:w="2529"/>
        <w:gridCol w:w="281"/>
        <w:gridCol w:w="2509"/>
      </w:tblGrid>
      <w:tr>
        <w:trPr>
          <w:trHeight w:val="261" w:hRule="exact"/>
        </w:trPr>
        <w:tc>
          <w:tcPr>
            <w:tcW w:w="3908" w:type="dxa"/>
            <w:tcBorders>
              <w:top w:val="nil" w:sz="6" w:space="0" w:color="auto"/>
              <w:left w:val="nil" w:sz="6" w:space="0" w:color="auto"/>
              <w:bottom w:val="nil" w:sz="6" w:space="0" w:color="auto"/>
              <w:right w:val="nil" w:sz="6" w:space="0" w:color="auto"/>
            </w:tcBorders>
          </w:tcPr>
          <w:p>
            <w:pPr/>
          </w:p>
        </w:tc>
        <w:tc>
          <w:tcPr>
            <w:tcW w:w="2529" w:type="dxa"/>
            <w:tcBorders>
              <w:top w:val="nil" w:sz="6" w:space="0" w:color="auto"/>
              <w:left w:val="nil" w:sz="6" w:space="0" w:color="auto"/>
              <w:bottom w:val="single" w:sz="6" w:space="0" w:color="000000"/>
              <w:right w:val="nil" w:sz="6" w:space="0" w:color="auto"/>
            </w:tcBorders>
          </w:tcPr>
          <w:p>
            <w:pPr>
              <w:pStyle w:val="TableParagraph"/>
              <w:spacing w:line="235" w:lineRule="exact"/>
              <w:ind w:right="29"/>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81" w:type="dxa"/>
            <w:tcBorders>
              <w:top w:val="nil" w:sz="6" w:space="0" w:color="auto"/>
              <w:left w:val="nil" w:sz="6" w:space="0" w:color="auto"/>
              <w:bottom w:val="nil" w:sz="6" w:space="0" w:color="auto"/>
              <w:right w:val="nil" w:sz="6" w:space="0" w:color="auto"/>
            </w:tcBorders>
          </w:tcPr>
          <w:p>
            <w:pPr/>
          </w:p>
        </w:tc>
        <w:tc>
          <w:tcPr>
            <w:tcW w:w="2509" w:type="dxa"/>
            <w:tcBorders>
              <w:top w:val="nil" w:sz="6" w:space="0" w:color="auto"/>
              <w:left w:val="nil" w:sz="6" w:space="0" w:color="auto"/>
              <w:bottom w:val="single" w:sz="6" w:space="0" w:color="000000"/>
              <w:right w:val="nil" w:sz="6" w:space="0" w:color="auto"/>
            </w:tcBorders>
          </w:tcPr>
          <w:p>
            <w:pPr>
              <w:pStyle w:val="TableParagraph"/>
              <w:spacing w:line="235" w:lineRule="exact"/>
              <w:ind w:right="78"/>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21" w:hRule="exact"/>
        </w:trPr>
        <w:tc>
          <w:tcPr>
            <w:tcW w:w="3908" w:type="dxa"/>
            <w:tcBorders>
              <w:top w:val="nil" w:sz="6" w:space="0" w:color="auto"/>
              <w:left w:val="nil" w:sz="6" w:space="0" w:color="auto"/>
              <w:bottom w:val="nil" w:sz="6" w:space="0" w:color="auto"/>
              <w:right w:val="nil" w:sz="6" w:space="0" w:color="auto"/>
            </w:tcBorders>
          </w:tcPr>
          <w:p>
            <w:pPr>
              <w:pStyle w:val="TableParagraph"/>
              <w:spacing w:line="240" w:lineRule="auto" w:before="187"/>
              <w:ind w:left="227"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8"/>
                <w:sz w:val="22"/>
                <w:szCs w:val="22"/>
              </w:rPr>
              <w:t> </w:t>
            </w:r>
            <w:r>
              <w:rPr>
                <w:rFonts w:ascii="宋体" w:hAnsi="宋体" w:cs="宋体" w:eastAsia="宋体" w:hint="default"/>
                <w:sz w:val="22"/>
                <w:szCs w:val="22"/>
              </w:rPr>
              <w:t>年以内</w:t>
            </w:r>
          </w:p>
        </w:tc>
        <w:tc>
          <w:tcPr>
            <w:tcW w:w="2529"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49" w:right="0"/>
              <w:jc w:val="left"/>
              <w:rPr>
                <w:rFonts w:ascii="Arial" w:hAnsi="Arial" w:cs="Arial" w:eastAsia="Arial" w:hint="default"/>
                <w:sz w:val="22"/>
                <w:szCs w:val="22"/>
              </w:rPr>
            </w:pPr>
            <w:r>
              <w:rPr>
                <w:rFonts w:ascii="Arial"/>
                <w:sz w:val="22"/>
              </w:rPr>
              <w:t>5,319,154,979</w:t>
            </w:r>
          </w:p>
        </w:tc>
        <w:tc>
          <w:tcPr>
            <w:tcW w:w="281" w:type="dxa"/>
            <w:tcBorders>
              <w:top w:val="nil" w:sz="6" w:space="0" w:color="auto"/>
              <w:left w:val="nil" w:sz="6" w:space="0" w:color="auto"/>
              <w:bottom w:val="nil" w:sz="6" w:space="0" w:color="auto"/>
              <w:right w:val="nil" w:sz="6" w:space="0" w:color="auto"/>
            </w:tcBorders>
          </w:tcPr>
          <w:p>
            <w:pPr/>
          </w:p>
        </w:tc>
        <w:tc>
          <w:tcPr>
            <w:tcW w:w="2509"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56" w:right="0"/>
              <w:jc w:val="left"/>
              <w:rPr>
                <w:rFonts w:ascii="Arial" w:hAnsi="Arial" w:cs="Arial" w:eastAsia="Arial" w:hint="default"/>
                <w:sz w:val="22"/>
                <w:szCs w:val="22"/>
              </w:rPr>
            </w:pPr>
            <w:r>
              <w:rPr>
                <w:rFonts w:ascii="Arial"/>
                <w:sz w:val="22"/>
              </w:rPr>
              <w:t>1,901,835,630</w:t>
            </w:r>
          </w:p>
        </w:tc>
      </w:tr>
      <w:tr>
        <w:trPr>
          <w:trHeight w:val="285" w:hRule="exact"/>
        </w:trPr>
        <w:tc>
          <w:tcPr>
            <w:tcW w:w="3908" w:type="dxa"/>
            <w:tcBorders>
              <w:top w:val="nil" w:sz="6" w:space="0" w:color="auto"/>
              <w:left w:val="nil" w:sz="6" w:space="0" w:color="auto"/>
              <w:bottom w:val="nil" w:sz="6" w:space="0" w:color="auto"/>
              <w:right w:val="nil" w:sz="6" w:space="0" w:color="auto"/>
            </w:tcBorders>
          </w:tcPr>
          <w:p>
            <w:pPr>
              <w:pStyle w:val="TableParagraph"/>
              <w:spacing w:line="255" w:lineRule="exact"/>
              <w:ind w:left="227"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52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32" w:right="0"/>
              <w:jc w:val="left"/>
              <w:rPr>
                <w:rFonts w:ascii="Arial" w:hAnsi="Arial" w:cs="Arial" w:eastAsia="Arial" w:hint="default"/>
                <w:sz w:val="22"/>
                <w:szCs w:val="22"/>
              </w:rPr>
            </w:pPr>
            <w:r>
              <w:rPr>
                <w:rFonts w:ascii="Arial"/>
                <w:sz w:val="22"/>
              </w:rPr>
              <w:t>139,000,948</w:t>
            </w:r>
          </w:p>
        </w:tc>
        <w:tc>
          <w:tcPr>
            <w:tcW w:w="281" w:type="dxa"/>
            <w:tcBorders>
              <w:top w:val="nil" w:sz="6" w:space="0" w:color="auto"/>
              <w:left w:val="nil" w:sz="6" w:space="0" w:color="auto"/>
              <w:bottom w:val="nil" w:sz="6" w:space="0" w:color="auto"/>
              <w:right w:val="nil" w:sz="6" w:space="0" w:color="auto"/>
            </w:tcBorders>
          </w:tcPr>
          <w:p>
            <w:pPr/>
          </w:p>
        </w:tc>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40" w:right="0"/>
              <w:jc w:val="left"/>
              <w:rPr>
                <w:rFonts w:ascii="Arial" w:hAnsi="Arial" w:cs="Arial" w:eastAsia="Arial" w:hint="default"/>
                <w:sz w:val="22"/>
                <w:szCs w:val="22"/>
              </w:rPr>
            </w:pPr>
            <w:r>
              <w:rPr>
                <w:rFonts w:ascii="Arial"/>
                <w:sz w:val="22"/>
              </w:rPr>
              <w:t>117,870,041</w:t>
            </w:r>
          </w:p>
        </w:tc>
      </w:tr>
      <w:tr>
        <w:trPr>
          <w:trHeight w:val="285" w:hRule="exact"/>
        </w:trPr>
        <w:tc>
          <w:tcPr>
            <w:tcW w:w="3908" w:type="dxa"/>
            <w:tcBorders>
              <w:top w:val="nil" w:sz="6" w:space="0" w:color="auto"/>
              <w:left w:val="nil" w:sz="6" w:space="0" w:color="auto"/>
              <w:bottom w:val="nil" w:sz="6" w:space="0" w:color="auto"/>
              <w:right w:val="nil" w:sz="6" w:space="0" w:color="auto"/>
            </w:tcBorders>
          </w:tcPr>
          <w:p>
            <w:pPr>
              <w:pStyle w:val="TableParagraph"/>
              <w:spacing w:line="255" w:lineRule="exact"/>
              <w:ind w:left="227" w:right="0"/>
              <w:jc w:val="left"/>
              <w:rPr>
                <w:rFonts w:ascii="宋体" w:hAnsi="宋体" w:cs="宋体" w:eastAsia="宋体" w:hint="default"/>
                <w:sz w:val="22"/>
                <w:szCs w:val="22"/>
              </w:rPr>
            </w:pPr>
            <w:r>
              <w:rPr>
                <w:rFonts w:ascii="Arial" w:hAnsi="Arial" w:cs="Arial" w:eastAsia="Arial" w:hint="default"/>
                <w:sz w:val="22"/>
                <w:szCs w:val="22"/>
              </w:rPr>
              <w:t>2-3</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52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53" w:right="0"/>
              <w:jc w:val="left"/>
              <w:rPr>
                <w:rFonts w:ascii="Arial" w:hAnsi="Arial" w:cs="Arial" w:eastAsia="Arial" w:hint="default"/>
                <w:sz w:val="22"/>
                <w:szCs w:val="22"/>
              </w:rPr>
            </w:pPr>
            <w:r>
              <w:rPr>
                <w:rFonts w:ascii="Arial"/>
                <w:sz w:val="22"/>
              </w:rPr>
              <w:t>95,266,627</w:t>
            </w:r>
          </w:p>
        </w:tc>
        <w:tc>
          <w:tcPr>
            <w:tcW w:w="281" w:type="dxa"/>
            <w:tcBorders>
              <w:top w:val="nil" w:sz="6" w:space="0" w:color="auto"/>
              <w:left w:val="nil" w:sz="6" w:space="0" w:color="auto"/>
              <w:bottom w:val="nil" w:sz="6" w:space="0" w:color="auto"/>
              <w:right w:val="nil" w:sz="6" w:space="0" w:color="auto"/>
            </w:tcBorders>
          </w:tcPr>
          <w:p>
            <w:pPr/>
          </w:p>
        </w:tc>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61" w:right="0"/>
              <w:jc w:val="left"/>
              <w:rPr>
                <w:rFonts w:ascii="Arial" w:hAnsi="Arial" w:cs="Arial" w:eastAsia="Arial" w:hint="default"/>
                <w:sz w:val="22"/>
                <w:szCs w:val="22"/>
              </w:rPr>
            </w:pPr>
            <w:r>
              <w:rPr>
                <w:rFonts w:ascii="Arial"/>
                <w:sz w:val="22"/>
              </w:rPr>
              <w:t>91,692,353</w:t>
            </w:r>
          </w:p>
        </w:tc>
      </w:tr>
      <w:tr>
        <w:trPr>
          <w:trHeight w:val="286" w:hRule="exact"/>
        </w:trPr>
        <w:tc>
          <w:tcPr>
            <w:tcW w:w="3908" w:type="dxa"/>
            <w:tcBorders>
              <w:top w:val="nil" w:sz="6" w:space="0" w:color="auto"/>
              <w:left w:val="nil" w:sz="6" w:space="0" w:color="auto"/>
              <w:bottom w:val="nil" w:sz="6" w:space="0" w:color="auto"/>
              <w:right w:val="nil" w:sz="6" w:space="0" w:color="auto"/>
            </w:tcBorders>
          </w:tcPr>
          <w:p>
            <w:pPr>
              <w:pStyle w:val="TableParagraph"/>
              <w:spacing w:line="255" w:lineRule="exact"/>
              <w:ind w:left="227" w:right="0"/>
              <w:jc w:val="left"/>
              <w:rPr>
                <w:rFonts w:ascii="宋体" w:hAnsi="宋体" w:cs="宋体" w:eastAsia="宋体" w:hint="default"/>
                <w:sz w:val="22"/>
                <w:szCs w:val="22"/>
              </w:rPr>
            </w:pPr>
            <w:r>
              <w:rPr>
                <w:rFonts w:ascii="Arial" w:hAnsi="Arial" w:cs="Arial" w:eastAsia="Arial" w:hint="default"/>
                <w:sz w:val="22"/>
                <w:szCs w:val="22"/>
              </w:rPr>
              <w:t>3-4</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52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53" w:right="0"/>
              <w:jc w:val="left"/>
              <w:rPr>
                <w:rFonts w:ascii="Arial" w:hAnsi="Arial" w:cs="Arial" w:eastAsia="Arial" w:hint="default"/>
                <w:sz w:val="22"/>
                <w:szCs w:val="22"/>
              </w:rPr>
            </w:pPr>
            <w:r>
              <w:rPr>
                <w:rFonts w:ascii="Arial"/>
                <w:sz w:val="22"/>
              </w:rPr>
              <w:t>61,983,560</w:t>
            </w:r>
          </w:p>
        </w:tc>
        <w:tc>
          <w:tcPr>
            <w:tcW w:w="281" w:type="dxa"/>
            <w:tcBorders>
              <w:top w:val="nil" w:sz="6" w:space="0" w:color="auto"/>
              <w:left w:val="nil" w:sz="6" w:space="0" w:color="auto"/>
              <w:bottom w:val="nil" w:sz="6" w:space="0" w:color="auto"/>
              <w:right w:val="nil" w:sz="6" w:space="0" w:color="auto"/>
            </w:tcBorders>
          </w:tcPr>
          <w:p>
            <w:pPr/>
          </w:p>
        </w:tc>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61" w:right="0"/>
              <w:jc w:val="left"/>
              <w:rPr>
                <w:rFonts w:ascii="Arial" w:hAnsi="Arial" w:cs="Arial" w:eastAsia="Arial" w:hint="default"/>
                <w:sz w:val="22"/>
                <w:szCs w:val="22"/>
              </w:rPr>
            </w:pPr>
            <w:r>
              <w:rPr>
                <w:rFonts w:ascii="Arial"/>
                <w:sz w:val="22"/>
              </w:rPr>
              <w:t>61,785,023</w:t>
            </w:r>
          </w:p>
        </w:tc>
      </w:tr>
      <w:tr>
        <w:trPr>
          <w:trHeight w:val="286" w:hRule="exact"/>
        </w:trPr>
        <w:tc>
          <w:tcPr>
            <w:tcW w:w="3908" w:type="dxa"/>
            <w:tcBorders>
              <w:top w:val="nil" w:sz="6" w:space="0" w:color="auto"/>
              <w:left w:val="nil" w:sz="6" w:space="0" w:color="auto"/>
              <w:bottom w:val="nil" w:sz="6" w:space="0" w:color="auto"/>
              <w:right w:val="nil" w:sz="6" w:space="0" w:color="auto"/>
            </w:tcBorders>
          </w:tcPr>
          <w:p>
            <w:pPr>
              <w:pStyle w:val="TableParagraph"/>
              <w:spacing w:line="255" w:lineRule="exact"/>
              <w:ind w:left="227" w:right="0"/>
              <w:jc w:val="left"/>
              <w:rPr>
                <w:rFonts w:ascii="宋体" w:hAnsi="宋体" w:cs="宋体" w:eastAsia="宋体" w:hint="default"/>
                <w:sz w:val="22"/>
                <w:szCs w:val="22"/>
              </w:rPr>
            </w:pPr>
            <w:r>
              <w:rPr>
                <w:rFonts w:ascii="Arial" w:hAnsi="Arial" w:cs="Arial" w:eastAsia="Arial" w:hint="default"/>
                <w:sz w:val="22"/>
                <w:szCs w:val="22"/>
              </w:rPr>
              <w:t>4-5</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52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53" w:right="0"/>
              <w:jc w:val="left"/>
              <w:rPr>
                <w:rFonts w:ascii="Arial" w:hAnsi="Arial" w:cs="Arial" w:eastAsia="Arial" w:hint="default"/>
                <w:sz w:val="22"/>
                <w:szCs w:val="22"/>
              </w:rPr>
            </w:pPr>
            <w:r>
              <w:rPr>
                <w:rFonts w:ascii="Arial"/>
                <w:sz w:val="22"/>
              </w:rPr>
              <w:t>39,537,462</w:t>
            </w:r>
          </w:p>
        </w:tc>
        <w:tc>
          <w:tcPr>
            <w:tcW w:w="281" w:type="dxa"/>
            <w:tcBorders>
              <w:top w:val="nil" w:sz="6" w:space="0" w:color="auto"/>
              <w:left w:val="nil" w:sz="6" w:space="0" w:color="auto"/>
              <w:bottom w:val="nil" w:sz="6" w:space="0" w:color="auto"/>
              <w:right w:val="nil" w:sz="6" w:space="0" w:color="auto"/>
            </w:tcBorders>
          </w:tcPr>
          <w:p>
            <w:pPr/>
          </w:p>
        </w:tc>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61" w:right="0"/>
              <w:jc w:val="left"/>
              <w:rPr>
                <w:rFonts w:ascii="Arial" w:hAnsi="Arial" w:cs="Arial" w:eastAsia="Arial" w:hint="default"/>
                <w:sz w:val="22"/>
                <w:szCs w:val="22"/>
              </w:rPr>
            </w:pPr>
            <w:r>
              <w:rPr>
                <w:rFonts w:ascii="Arial"/>
                <w:sz w:val="22"/>
              </w:rPr>
              <w:t>39,482,420</w:t>
            </w:r>
          </w:p>
        </w:tc>
      </w:tr>
      <w:tr>
        <w:trPr>
          <w:trHeight w:val="400" w:hRule="exact"/>
        </w:trPr>
        <w:tc>
          <w:tcPr>
            <w:tcW w:w="3908" w:type="dxa"/>
            <w:tcBorders>
              <w:top w:val="nil" w:sz="6" w:space="0" w:color="auto"/>
              <w:left w:val="nil" w:sz="6" w:space="0" w:color="auto"/>
              <w:bottom w:val="nil" w:sz="6" w:space="0" w:color="auto"/>
              <w:right w:val="nil" w:sz="6" w:space="0" w:color="auto"/>
            </w:tcBorders>
          </w:tcPr>
          <w:p>
            <w:pPr>
              <w:pStyle w:val="TableParagraph"/>
              <w:spacing w:line="255" w:lineRule="exact"/>
              <w:ind w:left="227" w:right="0"/>
              <w:jc w:val="left"/>
              <w:rPr>
                <w:rFonts w:ascii="宋体" w:hAnsi="宋体" w:cs="宋体" w:eastAsia="宋体" w:hint="default"/>
                <w:sz w:val="22"/>
                <w:szCs w:val="22"/>
              </w:rPr>
            </w:pPr>
            <w:r>
              <w:rPr>
                <w:rFonts w:ascii="Arial" w:hAnsi="Arial" w:cs="Arial" w:eastAsia="Arial" w:hint="default"/>
                <w:sz w:val="22"/>
                <w:szCs w:val="22"/>
              </w:rPr>
              <w:t>5</w:t>
            </w:r>
            <w:r>
              <w:rPr>
                <w:rFonts w:ascii="Arial" w:hAnsi="Arial" w:cs="Arial" w:eastAsia="Arial" w:hint="default"/>
                <w:spacing w:val="-8"/>
                <w:sz w:val="22"/>
                <w:szCs w:val="22"/>
              </w:rPr>
              <w:t> </w:t>
            </w:r>
            <w:r>
              <w:rPr>
                <w:rFonts w:ascii="宋体" w:hAnsi="宋体" w:cs="宋体" w:eastAsia="宋体" w:hint="default"/>
                <w:sz w:val="22"/>
                <w:szCs w:val="22"/>
              </w:rPr>
              <w:t>年以上</w:t>
            </w:r>
          </w:p>
        </w:tc>
        <w:tc>
          <w:tcPr>
            <w:tcW w:w="2529" w:type="dxa"/>
            <w:tcBorders>
              <w:top w:val="nil" w:sz="6" w:space="0" w:color="auto"/>
              <w:left w:val="nil" w:sz="6" w:space="0" w:color="auto"/>
              <w:bottom w:val="nil" w:sz="6" w:space="0" w:color="auto"/>
              <w:right w:val="nil" w:sz="6" w:space="0" w:color="auto"/>
            </w:tcBorders>
          </w:tcPr>
          <w:p>
            <w:pPr>
              <w:pStyle w:val="TableParagraph"/>
              <w:tabs>
                <w:tab w:pos="1132" w:val="left" w:leader="none"/>
                <w:tab w:pos="2528"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193,657,139</w:t>
            </w:r>
            <w:r>
              <w:rPr>
                <w:rFonts w:ascii="Arial"/>
                <w:sz w:val="22"/>
                <w:u w:val="single" w:color="000000"/>
              </w:rPr>
              <w:tab/>
            </w:r>
            <w:r>
              <w:rPr>
                <w:rFonts w:ascii="Arial"/>
                <w:sz w:val="22"/>
              </w:rPr>
            </w:r>
          </w:p>
        </w:tc>
        <w:tc>
          <w:tcPr>
            <w:tcW w:w="281" w:type="dxa"/>
            <w:tcBorders>
              <w:top w:val="nil" w:sz="6" w:space="0" w:color="auto"/>
              <w:left w:val="nil" w:sz="6" w:space="0" w:color="auto"/>
              <w:bottom w:val="nil" w:sz="6" w:space="0" w:color="auto"/>
              <w:right w:val="nil" w:sz="6" w:space="0" w:color="auto"/>
            </w:tcBorders>
          </w:tcPr>
          <w:p>
            <w:pPr/>
          </w:p>
        </w:tc>
        <w:tc>
          <w:tcPr>
            <w:tcW w:w="2509" w:type="dxa"/>
            <w:tcBorders>
              <w:top w:val="nil" w:sz="6" w:space="0" w:color="auto"/>
              <w:left w:val="nil" w:sz="6" w:space="0" w:color="auto"/>
              <w:bottom w:val="nil" w:sz="6" w:space="0" w:color="auto"/>
              <w:right w:val="nil" w:sz="6" w:space="0" w:color="auto"/>
            </w:tcBorders>
          </w:tcPr>
          <w:p>
            <w:pPr>
              <w:pStyle w:val="TableParagraph"/>
              <w:tabs>
                <w:tab w:pos="1132" w:val="left" w:leader="none"/>
                <w:tab w:pos="2501"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190,100,895</w:t>
            </w:r>
            <w:r>
              <w:rPr>
                <w:rFonts w:ascii="Arial"/>
                <w:sz w:val="22"/>
                <w:u w:val="single" w:color="000000"/>
              </w:rPr>
              <w:tab/>
            </w:r>
            <w:r>
              <w:rPr>
                <w:rFonts w:ascii="Arial"/>
                <w:sz w:val="22"/>
              </w:rPr>
            </w:r>
          </w:p>
        </w:tc>
      </w:tr>
      <w:tr>
        <w:trPr>
          <w:trHeight w:val="411" w:hRule="exact"/>
        </w:trPr>
        <w:tc>
          <w:tcPr>
            <w:tcW w:w="3908"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529" w:type="dxa"/>
            <w:tcBorders>
              <w:top w:val="nil" w:sz="6" w:space="0" w:color="auto"/>
              <w:left w:val="nil" w:sz="6" w:space="0" w:color="auto"/>
              <w:bottom w:val="single" w:sz="17" w:space="0" w:color="000000"/>
              <w:right w:val="nil" w:sz="6" w:space="0" w:color="auto"/>
            </w:tcBorders>
          </w:tcPr>
          <w:p>
            <w:pPr>
              <w:pStyle w:val="TableParagraph"/>
              <w:spacing w:line="240" w:lineRule="auto" w:before="132"/>
              <w:ind w:left="949" w:right="0"/>
              <w:jc w:val="left"/>
              <w:rPr>
                <w:rFonts w:ascii="Arial" w:hAnsi="Arial" w:cs="Arial" w:eastAsia="Arial" w:hint="default"/>
                <w:sz w:val="22"/>
                <w:szCs w:val="22"/>
              </w:rPr>
            </w:pPr>
            <w:r>
              <w:rPr>
                <w:rFonts w:ascii="Arial"/>
                <w:sz w:val="22"/>
              </w:rPr>
              <w:t>5,848,600,715</w:t>
            </w:r>
          </w:p>
        </w:tc>
        <w:tc>
          <w:tcPr>
            <w:tcW w:w="281" w:type="dxa"/>
            <w:tcBorders>
              <w:top w:val="nil" w:sz="6" w:space="0" w:color="auto"/>
              <w:left w:val="nil" w:sz="6" w:space="0" w:color="auto"/>
              <w:bottom w:val="nil" w:sz="6" w:space="0" w:color="auto"/>
              <w:right w:val="nil" w:sz="6" w:space="0" w:color="auto"/>
            </w:tcBorders>
          </w:tcPr>
          <w:p>
            <w:pPr/>
          </w:p>
        </w:tc>
        <w:tc>
          <w:tcPr>
            <w:tcW w:w="2509" w:type="dxa"/>
            <w:tcBorders>
              <w:top w:val="nil" w:sz="6" w:space="0" w:color="auto"/>
              <w:left w:val="nil" w:sz="6" w:space="0" w:color="auto"/>
              <w:bottom w:val="single" w:sz="17" w:space="0" w:color="000000"/>
              <w:right w:val="nil" w:sz="6" w:space="0" w:color="auto"/>
            </w:tcBorders>
          </w:tcPr>
          <w:p>
            <w:pPr>
              <w:pStyle w:val="TableParagraph"/>
              <w:spacing w:line="240" w:lineRule="auto" w:before="132"/>
              <w:ind w:left="956" w:right="0"/>
              <w:jc w:val="left"/>
              <w:rPr>
                <w:rFonts w:ascii="Arial" w:hAnsi="Arial" w:cs="Arial" w:eastAsia="Arial" w:hint="default"/>
                <w:sz w:val="22"/>
                <w:szCs w:val="22"/>
              </w:rPr>
            </w:pPr>
            <w:r>
              <w:rPr>
                <w:rFonts w:ascii="Arial"/>
                <w:sz w:val="22"/>
              </w:rPr>
              <w:t>2,402,766,362</w:t>
            </w:r>
          </w:p>
        </w:tc>
      </w:tr>
    </w:tbl>
    <w:p>
      <w:pPr>
        <w:spacing w:after="0" w:line="240" w:lineRule="auto"/>
        <w:jc w:val="left"/>
        <w:rPr>
          <w:rFonts w:ascii="Arial" w:hAnsi="Arial" w:cs="Arial" w:eastAsia="Arial" w:hint="default"/>
          <w:sz w:val="22"/>
          <w:szCs w:val="22"/>
        </w:rPr>
        <w:sectPr>
          <w:headerReference w:type="default" r:id="rId84"/>
          <w:pgSz w:w="11910" w:h="16840"/>
          <w:pgMar w:header="1189" w:footer="457" w:top="4140" w:bottom="640" w:left="1240" w:right="880"/>
        </w:sectPr>
      </w:pPr>
    </w:p>
    <w:p>
      <w:pPr>
        <w:spacing w:line="240" w:lineRule="auto" w:before="11"/>
        <w:rPr>
          <w:rFonts w:ascii="宋体" w:hAnsi="宋体" w:cs="宋体" w:eastAsia="宋体" w:hint="default"/>
          <w:sz w:val="22"/>
          <w:szCs w:val="22"/>
        </w:rPr>
      </w:pPr>
    </w:p>
    <w:tbl>
      <w:tblPr>
        <w:tblW w:w="0" w:type="auto"/>
        <w:jc w:val="left"/>
        <w:tblInd w:w="402" w:type="dxa"/>
        <w:tblLayout w:type="fixed"/>
        <w:tblCellMar>
          <w:top w:w="0" w:type="dxa"/>
          <w:left w:w="0" w:type="dxa"/>
          <w:bottom w:w="0" w:type="dxa"/>
          <w:right w:w="0" w:type="dxa"/>
        </w:tblCellMar>
        <w:tblLook w:val="01E0"/>
      </w:tblPr>
      <w:tblGrid>
        <w:gridCol w:w="1856"/>
        <w:gridCol w:w="1229"/>
        <w:gridCol w:w="545"/>
        <w:gridCol w:w="1140"/>
        <w:gridCol w:w="815"/>
        <w:gridCol w:w="1273"/>
        <w:gridCol w:w="564"/>
        <w:gridCol w:w="1138"/>
        <w:gridCol w:w="738"/>
      </w:tblGrid>
      <w:tr>
        <w:trPr>
          <w:trHeight w:val="191" w:hRule="exact"/>
        </w:trPr>
        <w:tc>
          <w:tcPr>
            <w:tcW w:w="4771" w:type="dxa"/>
            <w:gridSpan w:val="4"/>
            <w:tcBorders>
              <w:top w:val="nil" w:sz="6" w:space="0" w:color="auto"/>
              <w:left w:val="nil" w:sz="6" w:space="0" w:color="auto"/>
              <w:bottom w:val="nil" w:sz="6" w:space="0" w:color="auto"/>
              <w:right w:val="nil" w:sz="6" w:space="0" w:color="auto"/>
            </w:tcBorders>
          </w:tcPr>
          <w:p>
            <w:pPr>
              <w:pStyle w:val="TableParagraph"/>
              <w:spacing w:line="171" w:lineRule="exact"/>
              <w:ind w:left="3000" w:right="0"/>
              <w:jc w:val="left"/>
              <w:rPr>
                <w:rFonts w:ascii="宋体" w:hAnsi="宋体" w:cs="宋体" w:eastAsia="宋体" w:hint="default"/>
                <w:sz w:val="16"/>
                <w:szCs w:val="16"/>
              </w:rPr>
            </w:pPr>
            <w:r>
              <w:rPr>
                <w:rFonts w:ascii="Arial" w:hAnsi="Arial" w:cs="Arial" w:eastAsia="Arial" w:hint="default"/>
                <w:sz w:val="16"/>
                <w:szCs w:val="16"/>
              </w:rPr>
              <w:t>2012</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815" w:type="dxa"/>
            <w:tcBorders>
              <w:top w:val="nil" w:sz="6" w:space="0" w:color="auto"/>
              <w:left w:val="nil" w:sz="6" w:space="0" w:color="auto"/>
              <w:bottom w:val="single" w:sz="6" w:space="0" w:color="000000"/>
              <w:right w:val="nil" w:sz="6" w:space="0" w:color="auto"/>
            </w:tcBorders>
          </w:tcPr>
          <w:p>
            <w:pPr/>
          </w:p>
        </w:tc>
        <w:tc>
          <w:tcPr>
            <w:tcW w:w="2975" w:type="dxa"/>
            <w:gridSpan w:val="3"/>
            <w:tcBorders>
              <w:top w:val="nil" w:sz="6" w:space="0" w:color="auto"/>
              <w:left w:val="nil" w:sz="6" w:space="0" w:color="auto"/>
              <w:bottom w:val="single" w:sz="6" w:space="0" w:color="000000"/>
              <w:right w:val="nil" w:sz="6" w:space="0" w:color="auto"/>
            </w:tcBorders>
          </w:tcPr>
          <w:p>
            <w:pPr>
              <w:pStyle w:val="TableParagraph"/>
              <w:spacing w:line="171" w:lineRule="exact"/>
              <w:ind w:left="1165" w:right="0"/>
              <w:jc w:val="left"/>
              <w:rPr>
                <w:rFonts w:ascii="宋体" w:hAnsi="宋体" w:cs="宋体" w:eastAsia="宋体" w:hint="default"/>
                <w:sz w:val="16"/>
                <w:szCs w:val="16"/>
              </w:rPr>
            </w:pPr>
            <w:r>
              <w:rPr>
                <w:rFonts w:ascii="Arial" w:hAnsi="Arial" w:cs="Arial" w:eastAsia="Arial" w:hint="default"/>
                <w:sz w:val="16"/>
                <w:szCs w:val="16"/>
              </w:rPr>
              <w:t>2011</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738" w:type="dxa"/>
            <w:tcBorders>
              <w:top w:val="nil" w:sz="6" w:space="0" w:color="auto"/>
              <w:left w:val="nil" w:sz="6" w:space="0" w:color="auto"/>
              <w:bottom w:val="single" w:sz="6" w:space="0" w:color="000000"/>
              <w:right w:val="nil" w:sz="6" w:space="0" w:color="auto"/>
            </w:tcBorders>
          </w:tcPr>
          <w:p>
            <w:pPr/>
          </w:p>
        </w:tc>
      </w:tr>
      <w:tr>
        <w:trPr>
          <w:trHeight w:val="223" w:hRule="exact"/>
        </w:trPr>
        <w:tc>
          <w:tcPr>
            <w:tcW w:w="1856" w:type="dxa"/>
            <w:tcBorders>
              <w:top w:val="nil" w:sz="6" w:space="0" w:color="auto"/>
              <w:left w:val="nil" w:sz="6" w:space="0" w:color="auto"/>
              <w:bottom w:val="nil" w:sz="6" w:space="0" w:color="auto"/>
              <w:right w:val="nil" w:sz="6" w:space="0" w:color="auto"/>
            </w:tcBorders>
          </w:tcPr>
          <w:p>
            <w:pPr/>
          </w:p>
        </w:tc>
        <w:tc>
          <w:tcPr>
            <w:tcW w:w="1229" w:type="dxa"/>
            <w:tcBorders>
              <w:top w:val="single" w:sz="6" w:space="0" w:color="000000"/>
              <w:left w:val="nil" w:sz="6" w:space="0" w:color="auto"/>
              <w:bottom w:val="single" w:sz="6" w:space="0" w:color="000000"/>
              <w:right w:val="nil" w:sz="6" w:space="0" w:color="auto"/>
            </w:tcBorders>
          </w:tcPr>
          <w:p>
            <w:pPr>
              <w:pStyle w:val="TableParagraph"/>
              <w:spacing w:line="183" w:lineRule="exact"/>
              <w:ind w:left="578"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545" w:type="dxa"/>
            <w:tcBorders>
              <w:top w:val="single" w:sz="6" w:space="0" w:color="000000"/>
              <w:left w:val="nil" w:sz="6" w:space="0" w:color="auto"/>
              <w:bottom w:val="single" w:sz="6" w:space="0" w:color="000000"/>
              <w:right w:val="nil" w:sz="6" w:space="0" w:color="auto"/>
            </w:tcBorders>
          </w:tcPr>
          <w:p>
            <w:pPr/>
          </w:p>
        </w:tc>
        <w:tc>
          <w:tcPr>
            <w:tcW w:w="1955" w:type="dxa"/>
            <w:gridSpan w:val="2"/>
            <w:tcBorders>
              <w:top w:val="single" w:sz="6" w:space="0" w:color="000000"/>
              <w:left w:val="nil" w:sz="6" w:space="0" w:color="auto"/>
              <w:bottom w:val="single" w:sz="6" w:space="0" w:color="000000"/>
              <w:right w:val="nil" w:sz="6" w:space="0" w:color="auto"/>
            </w:tcBorders>
          </w:tcPr>
          <w:p>
            <w:pPr>
              <w:pStyle w:val="TableParagraph"/>
              <w:spacing w:line="183" w:lineRule="exact"/>
              <w:ind w:left="670"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1273" w:type="dxa"/>
            <w:tcBorders>
              <w:top w:val="single" w:sz="6" w:space="0" w:color="000000"/>
              <w:left w:val="nil" w:sz="6" w:space="0" w:color="auto"/>
              <w:bottom w:val="single" w:sz="6" w:space="0" w:color="000000"/>
              <w:right w:val="nil" w:sz="6" w:space="0" w:color="auto"/>
            </w:tcBorders>
          </w:tcPr>
          <w:p>
            <w:pPr>
              <w:pStyle w:val="TableParagraph"/>
              <w:spacing w:line="183" w:lineRule="exact"/>
              <w:ind w:right="11"/>
              <w:jc w:val="right"/>
              <w:rPr>
                <w:rFonts w:ascii="宋体" w:hAnsi="宋体" w:cs="宋体" w:eastAsia="宋体" w:hint="default"/>
                <w:sz w:val="16"/>
                <w:szCs w:val="16"/>
              </w:rPr>
            </w:pPr>
            <w:r>
              <w:rPr>
                <w:rFonts w:ascii="宋体" w:hAnsi="宋体" w:cs="宋体" w:eastAsia="宋体" w:hint="default"/>
                <w:w w:val="95"/>
                <w:sz w:val="16"/>
                <w:szCs w:val="16"/>
              </w:rPr>
              <w:t>账面余额</w:t>
            </w:r>
            <w:r>
              <w:rPr>
                <w:rFonts w:ascii="宋体" w:hAnsi="宋体" w:cs="宋体" w:eastAsia="宋体" w:hint="default"/>
                <w:sz w:val="16"/>
                <w:szCs w:val="16"/>
              </w:rPr>
            </w:r>
          </w:p>
        </w:tc>
        <w:tc>
          <w:tcPr>
            <w:tcW w:w="564" w:type="dxa"/>
            <w:tcBorders>
              <w:top w:val="single" w:sz="6" w:space="0" w:color="000000"/>
              <w:left w:val="nil" w:sz="6" w:space="0" w:color="auto"/>
              <w:bottom w:val="single" w:sz="6" w:space="0" w:color="000000"/>
              <w:right w:val="nil" w:sz="6" w:space="0" w:color="auto"/>
            </w:tcBorders>
          </w:tcPr>
          <w:p>
            <w:pPr/>
          </w:p>
        </w:tc>
        <w:tc>
          <w:tcPr>
            <w:tcW w:w="1876" w:type="dxa"/>
            <w:gridSpan w:val="2"/>
            <w:tcBorders>
              <w:top w:val="single" w:sz="6" w:space="0" w:color="000000"/>
              <w:left w:val="nil" w:sz="6" w:space="0" w:color="auto"/>
              <w:bottom w:val="single" w:sz="6" w:space="0" w:color="000000"/>
              <w:right w:val="nil" w:sz="6" w:space="0" w:color="auto"/>
            </w:tcBorders>
          </w:tcPr>
          <w:p>
            <w:pPr>
              <w:pStyle w:val="TableParagraph"/>
              <w:spacing w:line="183" w:lineRule="exact"/>
              <w:ind w:left="640" w:right="0"/>
              <w:jc w:val="left"/>
              <w:rPr>
                <w:rFonts w:ascii="宋体" w:hAnsi="宋体" w:cs="宋体" w:eastAsia="宋体" w:hint="default"/>
                <w:sz w:val="16"/>
                <w:szCs w:val="16"/>
              </w:rPr>
            </w:pPr>
            <w:r>
              <w:rPr>
                <w:rFonts w:ascii="宋体" w:hAnsi="宋体" w:cs="宋体" w:eastAsia="宋体" w:hint="default"/>
                <w:sz w:val="16"/>
                <w:szCs w:val="16"/>
              </w:rPr>
              <w:t>坏账准备</w:t>
            </w:r>
          </w:p>
        </w:tc>
      </w:tr>
      <w:tr>
        <w:trPr>
          <w:trHeight w:val="407" w:hRule="exact"/>
        </w:trPr>
        <w:tc>
          <w:tcPr>
            <w:tcW w:w="1856" w:type="dxa"/>
            <w:tcBorders>
              <w:top w:val="nil" w:sz="6" w:space="0" w:color="auto"/>
              <w:left w:val="nil" w:sz="6" w:space="0" w:color="auto"/>
              <w:bottom w:val="nil" w:sz="6" w:space="0" w:color="auto"/>
              <w:right w:val="nil" w:sz="6" w:space="0" w:color="auto"/>
            </w:tcBorders>
          </w:tcPr>
          <w:p>
            <w:pPr/>
          </w:p>
        </w:tc>
        <w:tc>
          <w:tcPr>
            <w:tcW w:w="1229" w:type="dxa"/>
            <w:tcBorders>
              <w:top w:val="single" w:sz="6" w:space="0" w:color="000000"/>
              <w:left w:val="nil" w:sz="6" w:space="0" w:color="auto"/>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398" w:right="0"/>
              <w:jc w:val="left"/>
              <w:rPr>
                <w:rFonts w:ascii="宋体" w:hAnsi="宋体" w:cs="宋体" w:eastAsia="宋体" w:hint="default"/>
                <w:sz w:val="16"/>
                <w:szCs w:val="16"/>
              </w:rPr>
            </w:pPr>
            <w:r>
              <w:rPr>
                <w:rFonts w:ascii="宋体" w:hAnsi="宋体" w:cs="宋体" w:eastAsia="宋体" w:hint="default"/>
                <w:sz w:val="16"/>
                <w:szCs w:val="16"/>
              </w:rPr>
              <w:t>金额</w:t>
            </w:r>
          </w:p>
        </w:tc>
        <w:tc>
          <w:tcPr>
            <w:tcW w:w="545" w:type="dxa"/>
            <w:tcBorders>
              <w:top w:val="single" w:sz="6" w:space="0" w:color="000000"/>
              <w:left w:val="nil" w:sz="6" w:space="0" w:color="auto"/>
              <w:bottom w:val="single" w:sz="6" w:space="0" w:color="000000"/>
              <w:right w:val="nil" w:sz="6" w:space="0" w:color="auto"/>
            </w:tcBorders>
          </w:tcPr>
          <w:p>
            <w:pPr>
              <w:pStyle w:val="TableParagraph"/>
              <w:spacing w:line="182" w:lineRule="exact"/>
              <w:ind w:left="70" w:right="0"/>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40" w:lineRule="auto" w:before="23"/>
              <w:ind w:left="131" w:right="0"/>
              <w:jc w:val="left"/>
              <w:rPr>
                <w:rFonts w:ascii="Arial" w:hAnsi="Arial" w:cs="Arial" w:eastAsia="Arial" w:hint="default"/>
                <w:sz w:val="16"/>
                <w:szCs w:val="16"/>
              </w:rPr>
            </w:pPr>
            <w:r>
              <w:rPr>
                <w:rFonts w:ascii="Arial"/>
                <w:sz w:val="16"/>
              </w:rPr>
              <w:t>(%)</w:t>
            </w:r>
          </w:p>
        </w:tc>
        <w:tc>
          <w:tcPr>
            <w:tcW w:w="1140" w:type="dxa"/>
            <w:tcBorders>
              <w:top w:val="single" w:sz="6" w:space="0" w:color="000000"/>
              <w:left w:val="nil" w:sz="6" w:space="0" w:color="auto"/>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47"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815" w:type="dxa"/>
            <w:tcBorders>
              <w:top w:val="single" w:sz="6" w:space="0" w:color="000000"/>
              <w:left w:val="nil" w:sz="6" w:space="0" w:color="auto"/>
              <w:bottom w:val="single" w:sz="6" w:space="0" w:color="000000"/>
              <w:right w:val="nil" w:sz="6" w:space="0" w:color="auto"/>
            </w:tcBorders>
          </w:tcPr>
          <w:p>
            <w:pPr>
              <w:pStyle w:val="TableParagraph"/>
              <w:spacing w:line="182" w:lineRule="exact"/>
              <w:ind w:left="24" w:right="0"/>
              <w:jc w:val="center"/>
              <w:rPr>
                <w:rFonts w:ascii="宋体" w:hAnsi="宋体" w:cs="宋体" w:eastAsia="宋体" w:hint="default"/>
                <w:sz w:val="16"/>
                <w:szCs w:val="16"/>
              </w:rPr>
            </w:pPr>
            <w:r>
              <w:rPr>
                <w:rFonts w:ascii="宋体" w:hAnsi="宋体" w:cs="宋体" w:eastAsia="宋体" w:hint="default"/>
                <w:sz w:val="16"/>
                <w:szCs w:val="16"/>
              </w:rPr>
              <w:t>计提比例</w:t>
            </w:r>
          </w:p>
          <w:p>
            <w:pPr>
              <w:pStyle w:val="TableParagraph"/>
              <w:spacing w:line="240" w:lineRule="auto" w:before="23"/>
              <w:ind w:left="24" w:right="0"/>
              <w:jc w:val="center"/>
              <w:rPr>
                <w:rFonts w:ascii="Arial" w:hAnsi="Arial" w:cs="Arial" w:eastAsia="Arial" w:hint="default"/>
                <w:sz w:val="16"/>
                <w:szCs w:val="16"/>
              </w:rPr>
            </w:pPr>
            <w:r>
              <w:rPr>
                <w:rFonts w:ascii="Arial"/>
                <w:sz w:val="16"/>
              </w:rPr>
              <w:t>(%)</w:t>
            </w:r>
          </w:p>
        </w:tc>
        <w:tc>
          <w:tcPr>
            <w:tcW w:w="1273" w:type="dxa"/>
            <w:tcBorders>
              <w:top w:val="single" w:sz="6" w:space="0" w:color="000000"/>
              <w:left w:val="nil" w:sz="6" w:space="0" w:color="auto"/>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80"/>
              <w:jc w:val="center"/>
              <w:rPr>
                <w:rFonts w:ascii="宋体" w:hAnsi="宋体" w:cs="宋体" w:eastAsia="宋体" w:hint="default"/>
                <w:sz w:val="16"/>
                <w:szCs w:val="16"/>
              </w:rPr>
            </w:pPr>
            <w:r>
              <w:rPr>
                <w:rFonts w:ascii="宋体" w:hAnsi="宋体" w:cs="宋体" w:eastAsia="宋体" w:hint="default"/>
                <w:sz w:val="16"/>
                <w:szCs w:val="16"/>
              </w:rPr>
              <w:t>金额</w:t>
            </w:r>
          </w:p>
        </w:tc>
        <w:tc>
          <w:tcPr>
            <w:tcW w:w="564" w:type="dxa"/>
            <w:tcBorders>
              <w:top w:val="single" w:sz="6" w:space="0" w:color="000000"/>
              <w:left w:val="nil" w:sz="6" w:space="0" w:color="auto"/>
              <w:bottom w:val="single" w:sz="6" w:space="0" w:color="000000"/>
              <w:right w:val="nil" w:sz="6" w:space="0" w:color="auto"/>
            </w:tcBorders>
          </w:tcPr>
          <w:p>
            <w:pPr>
              <w:pStyle w:val="TableParagraph"/>
              <w:spacing w:line="182" w:lineRule="exact"/>
              <w:ind w:left="112" w:right="0"/>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40" w:lineRule="auto" w:before="23"/>
              <w:ind w:left="173" w:right="0"/>
              <w:jc w:val="left"/>
              <w:rPr>
                <w:rFonts w:ascii="Arial" w:hAnsi="Arial" w:cs="Arial" w:eastAsia="Arial" w:hint="default"/>
                <w:sz w:val="16"/>
                <w:szCs w:val="16"/>
              </w:rPr>
            </w:pPr>
            <w:r>
              <w:rPr>
                <w:rFonts w:ascii="Arial"/>
                <w:sz w:val="16"/>
              </w:rPr>
              <w:t>(%)</w:t>
            </w:r>
          </w:p>
        </w:tc>
        <w:tc>
          <w:tcPr>
            <w:tcW w:w="1138" w:type="dxa"/>
            <w:tcBorders>
              <w:top w:val="single" w:sz="6" w:space="0" w:color="000000"/>
              <w:left w:val="nil" w:sz="6" w:space="0" w:color="auto"/>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47"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738" w:type="dxa"/>
            <w:tcBorders>
              <w:top w:val="single" w:sz="6" w:space="0" w:color="000000"/>
              <w:left w:val="nil" w:sz="6" w:space="0" w:color="auto"/>
              <w:bottom w:val="single" w:sz="6" w:space="0" w:color="000000"/>
              <w:right w:val="nil" w:sz="6" w:space="0" w:color="auto"/>
            </w:tcBorders>
          </w:tcPr>
          <w:p>
            <w:pPr>
              <w:pStyle w:val="TableParagraph"/>
              <w:spacing w:line="182" w:lineRule="exact"/>
              <w:ind w:left="61" w:right="0"/>
              <w:jc w:val="center"/>
              <w:rPr>
                <w:rFonts w:ascii="宋体" w:hAnsi="宋体" w:cs="宋体" w:eastAsia="宋体" w:hint="default"/>
                <w:sz w:val="16"/>
                <w:szCs w:val="16"/>
              </w:rPr>
            </w:pPr>
            <w:r>
              <w:rPr>
                <w:rFonts w:ascii="宋体" w:hAnsi="宋体" w:cs="宋体" w:eastAsia="宋体" w:hint="default"/>
                <w:sz w:val="16"/>
                <w:szCs w:val="16"/>
              </w:rPr>
              <w:t>计提比例</w:t>
            </w:r>
          </w:p>
          <w:p>
            <w:pPr>
              <w:pStyle w:val="TableParagraph"/>
              <w:spacing w:line="240" w:lineRule="auto" w:before="23"/>
              <w:ind w:left="60" w:right="0"/>
              <w:jc w:val="center"/>
              <w:rPr>
                <w:rFonts w:ascii="Arial" w:hAnsi="Arial" w:cs="Arial" w:eastAsia="Arial" w:hint="default"/>
                <w:sz w:val="16"/>
                <w:szCs w:val="16"/>
              </w:rPr>
            </w:pPr>
            <w:r>
              <w:rPr>
                <w:rFonts w:ascii="Arial"/>
                <w:sz w:val="16"/>
              </w:rPr>
              <w:t>(%)</w:t>
            </w:r>
          </w:p>
        </w:tc>
      </w:tr>
      <w:tr>
        <w:trPr>
          <w:trHeight w:val="614" w:hRule="exact"/>
        </w:trPr>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62" w:right="10" w:hanging="162"/>
              <w:jc w:val="left"/>
              <w:rPr>
                <w:rFonts w:ascii="宋体" w:hAnsi="宋体" w:cs="宋体" w:eastAsia="宋体" w:hint="default"/>
                <w:sz w:val="16"/>
                <w:szCs w:val="16"/>
              </w:rPr>
            </w:pPr>
            <w:r>
              <w:rPr>
                <w:rFonts w:ascii="宋体" w:hAnsi="宋体" w:cs="宋体" w:eastAsia="宋体" w:hint="default"/>
                <w:spacing w:val="4"/>
                <w:sz w:val="16"/>
                <w:szCs w:val="16"/>
              </w:rPr>
              <w:t>单项金额重大并单独计</w:t>
            </w:r>
            <w:r>
              <w:rPr>
                <w:rFonts w:ascii="宋体" w:hAnsi="宋体" w:cs="宋体" w:eastAsia="宋体" w:hint="default"/>
                <w:spacing w:val="4"/>
                <w:w w:val="99"/>
                <w:sz w:val="16"/>
                <w:szCs w:val="16"/>
              </w:rPr>
              <w:t> </w:t>
            </w:r>
            <w:r>
              <w:rPr>
                <w:rFonts w:ascii="宋体" w:hAnsi="宋体" w:cs="宋体" w:eastAsia="宋体" w:hint="default"/>
                <w:sz w:val="16"/>
                <w:szCs w:val="16"/>
              </w:rPr>
              <w:t>提坏账准备</w:t>
            </w:r>
          </w:p>
        </w:tc>
        <w:tc>
          <w:tcPr>
            <w:tcW w:w="1229"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2"/>
              <w:jc w:val="right"/>
              <w:rPr>
                <w:rFonts w:ascii="Arial" w:hAnsi="Arial" w:cs="Arial" w:eastAsia="Arial" w:hint="default"/>
                <w:sz w:val="16"/>
                <w:szCs w:val="16"/>
              </w:rPr>
            </w:pPr>
            <w:r>
              <w:rPr>
                <w:rFonts w:ascii="Arial"/>
                <w:w w:val="99"/>
                <w:sz w:val="16"/>
              </w:rPr>
              <w:t>-</w:t>
            </w:r>
            <w:r>
              <w:rPr>
                <w:rFonts w:ascii="Arial"/>
                <w:sz w:val="16"/>
              </w:rPr>
            </w:r>
          </w:p>
        </w:tc>
        <w:tc>
          <w:tcPr>
            <w:tcW w:w="545"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0"/>
              <w:jc w:val="center"/>
              <w:rPr>
                <w:rFonts w:ascii="Arial" w:hAnsi="Arial" w:cs="Arial" w:eastAsia="Arial" w:hint="default"/>
                <w:sz w:val="16"/>
                <w:szCs w:val="16"/>
              </w:rPr>
            </w:pPr>
            <w:r>
              <w:rPr>
                <w:rFonts w:ascii="Arial"/>
                <w:w w:val="99"/>
                <w:sz w:val="16"/>
              </w:rPr>
              <w:t>-</w:t>
            </w:r>
            <w:r>
              <w:rPr>
                <w:rFonts w:ascii="Arial"/>
                <w:sz w:val="16"/>
              </w:rPr>
            </w:r>
          </w:p>
        </w:tc>
        <w:tc>
          <w:tcPr>
            <w:tcW w:w="1140"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68"/>
              <w:jc w:val="right"/>
              <w:rPr>
                <w:rFonts w:ascii="Arial" w:hAnsi="Arial" w:cs="Arial" w:eastAsia="Arial" w:hint="default"/>
                <w:sz w:val="16"/>
                <w:szCs w:val="16"/>
              </w:rPr>
            </w:pPr>
            <w:r>
              <w:rPr>
                <w:rFonts w:ascii="Arial"/>
                <w:w w:val="99"/>
                <w:sz w:val="16"/>
              </w:rPr>
              <w:t>-</w:t>
            </w:r>
            <w:r>
              <w:rPr>
                <w:rFonts w:ascii="Arial"/>
                <w:sz w:val="16"/>
              </w:rPr>
            </w:r>
          </w:p>
        </w:tc>
        <w:tc>
          <w:tcPr>
            <w:tcW w:w="815"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35"/>
              <w:jc w:val="right"/>
              <w:rPr>
                <w:rFonts w:ascii="Arial" w:hAnsi="Arial" w:cs="Arial" w:eastAsia="Arial" w:hint="default"/>
                <w:sz w:val="16"/>
                <w:szCs w:val="16"/>
              </w:rPr>
            </w:pPr>
            <w:r>
              <w:rPr>
                <w:rFonts w:ascii="Arial"/>
                <w:w w:val="99"/>
                <w:sz w:val="16"/>
              </w:rPr>
              <w:t>-</w:t>
            </w:r>
            <w:r>
              <w:rPr>
                <w:rFonts w:ascii="Arial"/>
                <w:sz w:val="16"/>
              </w:rPr>
            </w:r>
          </w:p>
        </w:tc>
        <w:tc>
          <w:tcPr>
            <w:tcW w:w="1273"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71"/>
              <w:jc w:val="right"/>
              <w:rPr>
                <w:rFonts w:ascii="Arial" w:hAnsi="Arial" w:cs="Arial" w:eastAsia="Arial" w:hint="default"/>
                <w:sz w:val="16"/>
                <w:szCs w:val="16"/>
              </w:rPr>
            </w:pPr>
            <w:r>
              <w:rPr>
                <w:rFonts w:ascii="Arial"/>
                <w:w w:val="99"/>
                <w:sz w:val="16"/>
              </w:rPr>
              <w:t>-</w:t>
            </w:r>
            <w:r>
              <w:rPr>
                <w:rFonts w:ascii="Arial"/>
                <w:sz w:val="16"/>
              </w:rPr>
            </w:r>
          </w:p>
        </w:tc>
        <w:tc>
          <w:tcPr>
            <w:tcW w:w="564"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6"/>
              <w:jc w:val="center"/>
              <w:rPr>
                <w:rFonts w:ascii="Arial" w:hAnsi="Arial" w:cs="Arial" w:eastAsia="Arial" w:hint="default"/>
                <w:sz w:val="16"/>
                <w:szCs w:val="16"/>
              </w:rPr>
            </w:pPr>
            <w:r>
              <w:rPr>
                <w:rFonts w:ascii="Arial"/>
                <w:w w:val="99"/>
                <w:sz w:val="16"/>
              </w:rPr>
              <w:t>-</w:t>
            </w:r>
            <w:r>
              <w:rPr>
                <w:rFonts w:ascii="Arial"/>
                <w:sz w:val="16"/>
              </w:rPr>
            </w:r>
          </w:p>
        </w:tc>
        <w:tc>
          <w:tcPr>
            <w:tcW w:w="1138"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51"/>
              <w:jc w:val="right"/>
              <w:rPr>
                <w:rFonts w:ascii="Arial" w:hAnsi="Arial" w:cs="Arial" w:eastAsia="Arial" w:hint="default"/>
                <w:sz w:val="16"/>
                <w:szCs w:val="16"/>
              </w:rPr>
            </w:pPr>
            <w:r>
              <w:rPr>
                <w:rFonts w:ascii="Arial"/>
                <w:w w:val="99"/>
                <w:sz w:val="16"/>
              </w:rPr>
              <w:t>-</w:t>
            </w:r>
            <w:r>
              <w:rPr>
                <w:rFonts w:ascii="Arial"/>
                <w:sz w:val="16"/>
              </w:rPr>
            </w:r>
          </w:p>
        </w:tc>
        <w:tc>
          <w:tcPr>
            <w:tcW w:w="738"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7"/>
              <w:jc w:val="right"/>
              <w:rPr>
                <w:rFonts w:ascii="Arial" w:hAnsi="Arial" w:cs="Arial" w:eastAsia="Arial" w:hint="default"/>
                <w:sz w:val="16"/>
                <w:szCs w:val="16"/>
              </w:rPr>
            </w:pPr>
            <w:r>
              <w:rPr>
                <w:rFonts w:ascii="Arial"/>
                <w:w w:val="99"/>
                <w:sz w:val="16"/>
              </w:rPr>
              <w:t>-</w:t>
            </w:r>
            <w:r>
              <w:rPr>
                <w:rFonts w:ascii="Arial"/>
                <w:sz w:val="16"/>
              </w:rPr>
            </w:r>
          </w:p>
        </w:tc>
      </w:tr>
      <w:tr>
        <w:trPr>
          <w:trHeight w:val="208" w:hRule="exact"/>
        </w:trPr>
        <w:tc>
          <w:tcPr>
            <w:tcW w:w="1856" w:type="dxa"/>
            <w:tcBorders>
              <w:top w:val="nil" w:sz="6" w:space="0" w:color="auto"/>
              <w:left w:val="nil" w:sz="6" w:space="0" w:color="auto"/>
              <w:bottom w:val="nil" w:sz="6" w:space="0" w:color="auto"/>
              <w:right w:val="nil" w:sz="6" w:space="0" w:color="auto"/>
            </w:tcBorders>
          </w:tcPr>
          <w:p>
            <w:pPr>
              <w:pStyle w:val="TableParagraph"/>
              <w:spacing w:line="174" w:lineRule="exact"/>
              <w:ind w:left="200" w:right="0"/>
              <w:jc w:val="left"/>
              <w:rPr>
                <w:rFonts w:ascii="宋体" w:hAnsi="宋体" w:cs="宋体" w:eastAsia="宋体" w:hint="default"/>
                <w:sz w:val="16"/>
                <w:szCs w:val="16"/>
              </w:rPr>
            </w:pPr>
            <w:r>
              <w:rPr>
                <w:rFonts w:ascii="宋体" w:hAnsi="宋体" w:cs="宋体" w:eastAsia="宋体" w:hint="default"/>
                <w:sz w:val="16"/>
                <w:szCs w:val="16"/>
              </w:rPr>
              <w:t>按组合计提坏账准备</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6" w:right="0"/>
              <w:jc w:val="left"/>
              <w:rPr>
                <w:rFonts w:ascii="Arial" w:hAnsi="Arial" w:cs="Arial" w:eastAsia="Arial" w:hint="default"/>
                <w:sz w:val="16"/>
                <w:szCs w:val="16"/>
              </w:rPr>
            </w:pPr>
            <w:r>
              <w:rPr>
                <w:rFonts w:ascii="Arial"/>
                <w:sz w:val="16"/>
              </w:rPr>
              <w:t>5,848,600,715</w:t>
            </w:r>
          </w:p>
        </w:tc>
        <w:tc>
          <w:tcPr>
            <w:tcW w:w="54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2"/>
              <w:jc w:val="right"/>
              <w:rPr>
                <w:rFonts w:ascii="Arial" w:hAnsi="Arial" w:cs="Arial" w:eastAsia="Arial" w:hint="default"/>
                <w:sz w:val="16"/>
                <w:szCs w:val="16"/>
              </w:rPr>
            </w:pPr>
            <w:r>
              <w:rPr>
                <w:rFonts w:ascii="Arial"/>
                <w:w w:val="95"/>
                <w:sz w:val="16"/>
              </w:rPr>
              <w:t>100.00</w:t>
            </w:r>
            <w:r>
              <w:rPr>
                <w:rFonts w:ascii="Arial"/>
                <w:sz w:val="16"/>
              </w:rPr>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4" w:right="0"/>
              <w:jc w:val="left"/>
              <w:rPr>
                <w:rFonts w:ascii="Arial" w:hAnsi="Arial" w:cs="Arial" w:eastAsia="Arial" w:hint="default"/>
                <w:sz w:val="16"/>
                <w:szCs w:val="16"/>
              </w:rPr>
            </w:pPr>
            <w:r>
              <w:rPr>
                <w:rFonts w:ascii="Arial"/>
                <w:sz w:val="16"/>
              </w:rPr>
              <w:t>(429,892,807)</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27" w:right="0"/>
              <w:jc w:val="left"/>
              <w:rPr>
                <w:rFonts w:ascii="Arial" w:hAnsi="Arial" w:cs="Arial" w:eastAsia="Arial" w:hint="default"/>
                <w:sz w:val="16"/>
                <w:szCs w:val="16"/>
              </w:rPr>
            </w:pPr>
            <w:r>
              <w:rPr>
                <w:rFonts w:ascii="Arial"/>
                <w:sz w:val="16"/>
              </w:rPr>
              <w:t>0~100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75" w:right="0"/>
              <w:jc w:val="left"/>
              <w:rPr>
                <w:rFonts w:ascii="Arial" w:hAnsi="Arial" w:cs="Arial" w:eastAsia="Arial" w:hint="default"/>
                <w:sz w:val="16"/>
                <w:szCs w:val="16"/>
              </w:rPr>
            </w:pPr>
            <w:r>
              <w:rPr>
                <w:rFonts w:ascii="Arial"/>
                <w:sz w:val="16"/>
              </w:rPr>
              <w:t>2,402,766,362</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7"/>
              <w:jc w:val="center"/>
              <w:rPr>
                <w:rFonts w:ascii="Arial" w:hAnsi="Arial" w:cs="Arial" w:eastAsia="Arial" w:hint="default"/>
                <w:sz w:val="16"/>
                <w:szCs w:val="16"/>
              </w:rPr>
            </w:pPr>
            <w:r>
              <w:rPr>
                <w:rFonts w:ascii="Arial"/>
                <w:sz w:val="16"/>
              </w:rPr>
              <w:t>100.00</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8"/>
              <w:jc w:val="right"/>
              <w:rPr>
                <w:rFonts w:ascii="Arial" w:hAnsi="Arial" w:cs="Arial" w:eastAsia="Arial" w:hint="default"/>
                <w:sz w:val="16"/>
                <w:szCs w:val="16"/>
              </w:rPr>
            </w:pPr>
            <w:r>
              <w:rPr>
                <w:rFonts w:ascii="Arial"/>
                <w:w w:val="95"/>
                <w:sz w:val="16"/>
              </w:rPr>
              <w:t>(478,155,584)</w:t>
            </w:r>
            <w:r>
              <w:rPr>
                <w:rFonts w:ascii="Arial"/>
                <w:sz w:val="16"/>
              </w:rPr>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99" w:right="0"/>
              <w:jc w:val="left"/>
              <w:rPr>
                <w:rFonts w:ascii="Arial" w:hAnsi="Arial" w:cs="Arial" w:eastAsia="Arial" w:hint="default"/>
                <w:sz w:val="16"/>
                <w:szCs w:val="16"/>
              </w:rPr>
            </w:pPr>
            <w:r>
              <w:rPr>
                <w:rFonts w:ascii="Arial"/>
                <w:sz w:val="16"/>
              </w:rPr>
              <w:t>0~100</w:t>
            </w:r>
          </w:p>
        </w:tc>
      </w:tr>
      <w:tr>
        <w:trPr>
          <w:trHeight w:val="515" w:hRule="exact"/>
        </w:trPr>
        <w:tc>
          <w:tcPr>
            <w:tcW w:w="1856" w:type="dxa"/>
            <w:tcBorders>
              <w:top w:val="nil" w:sz="6" w:space="0" w:color="auto"/>
              <w:left w:val="nil" w:sz="6" w:space="0" w:color="auto"/>
              <w:bottom w:val="nil" w:sz="6" w:space="0" w:color="auto"/>
              <w:right w:val="nil" w:sz="6" w:space="0" w:color="auto"/>
            </w:tcBorders>
          </w:tcPr>
          <w:p>
            <w:pPr>
              <w:pStyle w:val="TableParagraph"/>
              <w:spacing w:line="173" w:lineRule="exact"/>
              <w:ind w:left="200" w:right="0"/>
              <w:jc w:val="left"/>
              <w:rPr>
                <w:rFonts w:ascii="宋体" w:hAnsi="宋体" w:cs="宋体" w:eastAsia="宋体" w:hint="default"/>
                <w:sz w:val="16"/>
                <w:szCs w:val="16"/>
              </w:rPr>
            </w:pPr>
            <w:r>
              <w:rPr>
                <w:rFonts w:ascii="宋体" w:hAnsi="宋体" w:cs="宋体" w:eastAsia="宋体" w:hint="default"/>
                <w:spacing w:val="4"/>
                <w:sz w:val="16"/>
                <w:szCs w:val="16"/>
              </w:rPr>
              <w:t>单项金额虽不重大但单</w:t>
            </w:r>
            <w:r>
              <w:rPr>
                <w:rFonts w:ascii="宋体" w:hAnsi="宋体" w:cs="宋体" w:eastAsia="宋体" w:hint="default"/>
                <w:sz w:val="16"/>
                <w:szCs w:val="16"/>
              </w:rPr>
            </w:r>
          </w:p>
          <w:p>
            <w:pPr>
              <w:pStyle w:val="TableParagraph"/>
              <w:spacing w:line="208" w:lineRule="exact"/>
              <w:ind w:left="362" w:right="0"/>
              <w:jc w:val="left"/>
              <w:rPr>
                <w:rFonts w:ascii="宋体" w:hAnsi="宋体" w:cs="宋体" w:eastAsia="宋体" w:hint="default"/>
                <w:sz w:val="16"/>
                <w:szCs w:val="16"/>
              </w:rPr>
            </w:pPr>
            <w:r>
              <w:rPr>
                <w:rFonts w:ascii="宋体" w:hAnsi="宋体" w:cs="宋体" w:eastAsia="宋体" w:hint="default"/>
                <w:sz w:val="16"/>
                <w:szCs w:val="16"/>
              </w:rPr>
              <w:t>独计提坏账准备</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tabs>
                <w:tab w:pos="951" w:val="left" w:leader="none"/>
                <w:tab w:pos="1459" w:val="left" w:leader="none"/>
              </w:tabs>
              <w:spacing w:line="240" w:lineRule="auto"/>
              <w:ind w:right="-23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  </w:t>
            </w:r>
            <w:r>
              <w:rPr>
                <w:rFonts w:ascii="Arial"/>
                <w:spacing w:val="-21"/>
                <w:sz w:val="16"/>
                <w:u w:val="single" w:color="000000"/>
              </w:rPr>
              <w:t> </w:t>
            </w:r>
            <w:r>
              <w:rPr>
                <w:rFonts w:ascii="Arial"/>
                <w:spacing w:val="-21"/>
                <w:sz w:val="16"/>
              </w:rPr>
            </w:r>
            <w:r>
              <w:rPr>
                <w:rFonts w:ascii="Arial"/>
                <w:spacing w:val="9"/>
                <w:sz w:val="16"/>
              </w:rPr>
              <w:t> </w:t>
            </w:r>
            <w:r>
              <w:rPr>
                <w:rFonts w:ascii="Arial"/>
                <w:spacing w:val="9"/>
                <w:w w:val="99"/>
                <w:sz w:val="16"/>
              </w:rPr>
            </w:r>
            <w:r>
              <w:rPr>
                <w:rFonts w:ascii="Arial"/>
                <w:w w:val="99"/>
                <w:sz w:val="16"/>
                <w:u w:val="single" w:color="000000"/>
              </w:rPr>
              <w:t> </w:t>
            </w:r>
            <w:r>
              <w:rPr>
                <w:rFonts w:ascii="Arial"/>
                <w:sz w:val="16"/>
                <w:u w:val="single" w:color="000000"/>
              </w:rPr>
              <w:tab/>
            </w:r>
            <w:r>
              <w:rPr>
                <w:rFonts w:ascii="Arial"/>
                <w:sz w:val="16"/>
              </w:rPr>
            </w:r>
          </w:p>
        </w:tc>
        <w:tc>
          <w:tcPr>
            <w:tcW w:w="5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tabs>
                <w:tab w:pos="287" w:val="left" w:leader="none"/>
              </w:tabs>
              <w:spacing w:line="240" w:lineRule="auto"/>
              <w:ind w:right="25"/>
              <w:jc w:val="right"/>
              <w:rPr>
                <w:rFonts w:ascii="Arial" w:hAnsi="Arial" w:cs="Arial" w:eastAsia="Arial" w:hint="default"/>
                <w:sz w:val="16"/>
                <w:szCs w:val="16"/>
              </w:rPr>
            </w:pPr>
            <w:r>
              <w:rPr>
                <w:rFonts w:ascii="Arial"/>
                <w:w w:val="99"/>
                <w:sz w:val="16"/>
              </w:rPr>
            </w:r>
            <w:r>
              <w:rPr>
                <w:rFonts w:ascii="Arial"/>
                <w:w w:val="95"/>
                <w:sz w:val="16"/>
                <w:u w:val="single" w:color="000000"/>
              </w:rPr>
              <w:t>-</w:t>
            </w:r>
            <w:r>
              <w:rPr>
                <w:rFonts w:ascii="Arial"/>
                <w:sz w:val="16"/>
                <w:u w:val="single" w:color="000000"/>
              </w:rPr>
              <w:tab/>
            </w:r>
            <w:r>
              <w:rPr>
                <w:rFonts w:ascii="Arial"/>
                <w:sz w:val="16"/>
              </w:rPr>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tabs>
                <w:tab w:pos="916" w:val="left" w:leader="none"/>
                <w:tab w:pos="1112" w:val="left" w:leader="none"/>
              </w:tabs>
              <w:spacing w:line="240" w:lineRule="auto"/>
              <w:ind w:left="26"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w:t>
              <w:tab/>
            </w:r>
            <w:r>
              <w:rPr>
                <w:rFonts w:ascii="Arial"/>
                <w:sz w:val="16"/>
              </w:rPr>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tabs>
                <w:tab w:pos="597" w:val="left" w:leader="none"/>
                <w:tab w:pos="738" w:val="left" w:leader="none"/>
              </w:tabs>
              <w:spacing w:line="240" w:lineRule="auto"/>
              <w:ind w:right="48"/>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sz w:val="16"/>
                <w:u w:val="single" w:color="000000"/>
              </w:rPr>
              <w:tab/>
            </w:r>
            <w:r>
              <w:rPr>
                <w:rFonts w:ascii="Arial"/>
                <w:sz w:val="16"/>
              </w:rPr>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tabs>
                <w:tab w:pos="1036" w:val="left" w:leader="none"/>
                <w:tab w:pos="1204" w:val="left" w:leader="none"/>
              </w:tabs>
              <w:spacing w:line="240" w:lineRule="auto"/>
              <w:ind w:right="56"/>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sz w:val="16"/>
                <w:u w:val="single" w:color="000000"/>
              </w:rPr>
              <w:tab/>
            </w:r>
            <w:r>
              <w:rPr>
                <w:rFonts w:ascii="Arial"/>
                <w:sz w:val="16"/>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tabs>
                <w:tab w:pos="549" w:val="left" w:leader="none"/>
              </w:tabs>
              <w:spacing w:line="240" w:lineRule="auto"/>
              <w:ind w:left="-5" w:right="12"/>
              <w:jc w:val="center"/>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19"/>
                <w:sz w:val="16"/>
                <w:u w:val="single" w:color="000000"/>
              </w:rPr>
              <w:t> </w:t>
            </w:r>
            <w:r>
              <w:rPr>
                <w:rFonts w:ascii="Arial"/>
                <w:sz w:val="16"/>
                <w:u w:val="single" w:color="000000"/>
              </w:rPr>
              <w:t>-</w:t>
              <w:tab/>
            </w:r>
            <w:r>
              <w:rPr>
                <w:rFonts w:ascii="Arial"/>
                <w:sz w:val="16"/>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tabs>
                <w:tab w:pos="886" w:val="left" w:leader="none"/>
                <w:tab w:pos="1047" w:val="left" w:leader="none"/>
              </w:tabs>
              <w:spacing w:line="240" w:lineRule="auto"/>
              <w:ind w:right="43"/>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sz w:val="16"/>
                <w:u w:val="single" w:color="000000"/>
              </w:rPr>
              <w:tab/>
            </w:r>
            <w:r>
              <w:rPr>
                <w:rFonts w:ascii="Arial"/>
                <w:sz w:val="16"/>
              </w:rPr>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tabs>
                <w:tab w:pos="591" w:val="left" w:leader="none"/>
                <w:tab w:pos="724" w:val="left" w:leader="none"/>
              </w:tabs>
              <w:spacing w:line="240" w:lineRule="auto"/>
              <w:ind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sz w:val="16"/>
                <w:u w:val="single" w:color="000000"/>
              </w:rPr>
              <w:tab/>
            </w:r>
            <w:r>
              <w:rPr>
                <w:rFonts w:ascii="Arial"/>
                <w:sz w:val="16"/>
              </w:rPr>
            </w:r>
          </w:p>
        </w:tc>
      </w:tr>
      <w:tr>
        <w:trPr>
          <w:trHeight w:val="322" w:hRule="exact"/>
        </w:trPr>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00"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229"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left="16" w:right="0"/>
              <w:jc w:val="left"/>
              <w:rPr>
                <w:rFonts w:ascii="Arial" w:hAnsi="Arial" w:cs="Arial" w:eastAsia="Arial" w:hint="default"/>
                <w:sz w:val="16"/>
                <w:szCs w:val="16"/>
              </w:rPr>
            </w:pPr>
            <w:r>
              <w:rPr>
                <w:rFonts w:ascii="Arial"/>
                <w:sz w:val="16"/>
              </w:rPr>
              <w:t>5,848,600,715</w:t>
            </w:r>
          </w:p>
        </w:tc>
        <w:tc>
          <w:tcPr>
            <w:tcW w:w="545"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right="42"/>
              <w:jc w:val="right"/>
              <w:rPr>
                <w:rFonts w:ascii="Arial" w:hAnsi="Arial" w:cs="Arial" w:eastAsia="Arial" w:hint="default"/>
                <w:sz w:val="16"/>
                <w:szCs w:val="16"/>
              </w:rPr>
            </w:pPr>
            <w:r>
              <w:rPr>
                <w:rFonts w:ascii="Arial"/>
                <w:w w:val="95"/>
                <w:sz w:val="16"/>
              </w:rPr>
              <w:t>100.00</w:t>
            </w:r>
            <w:r>
              <w:rPr>
                <w:rFonts w:ascii="Arial"/>
                <w:sz w:val="16"/>
              </w:rPr>
            </w:r>
          </w:p>
        </w:tc>
        <w:tc>
          <w:tcPr>
            <w:tcW w:w="1140"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left="44" w:right="0"/>
              <w:jc w:val="left"/>
              <w:rPr>
                <w:rFonts w:ascii="Arial" w:hAnsi="Arial" w:cs="Arial" w:eastAsia="Arial" w:hint="default"/>
                <w:sz w:val="16"/>
                <w:szCs w:val="16"/>
              </w:rPr>
            </w:pPr>
            <w:r>
              <w:rPr>
                <w:rFonts w:ascii="Arial"/>
                <w:sz w:val="16"/>
              </w:rPr>
              <w:t>(429,892,807)</w:t>
            </w:r>
          </w:p>
        </w:tc>
        <w:tc>
          <w:tcPr>
            <w:tcW w:w="815"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left="227" w:right="0"/>
              <w:jc w:val="left"/>
              <w:rPr>
                <w:rFonts w:ascii="Arial" w:hAnsi="Arial" w:cs="Arial" w:eastAsia="Arial" w:hint="default"/>
                <w:sz w:val="16"/>
                <w:szCs w:val="16"/>
              </w:rPr>
            </w:pPr>
            <w:r>
              <w:rPr>
                <w:rFonts w:ascii="Arial"/>
                <w:sz w:val="16"/>
              </w:rPr>
              <w:t>0~100</w:t>
            </w:r>
          </w:p>
        </w:tc>
        <w:tc>
          <w:tcPr>
            <w:tcW w:w="1273"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left="75" w:right="0"/>
              <w:jc w:val="left"/>
              <w:rPr>
                <w:rFonts w:ascii="Arial" w:hAnsi="Arial" w:cs="Arial" w:eastAsia="Arial" w:hint="default"/>
                <w:sz w:val="16"/>
                <w:szCs w:val="16"/>
              </w:rPr>
            </w:pPr>
            <w:r>
              <w:rPr>
                <w:rFonts w:ascii="Arial"/>
                <w:sz w:val="16"/>
              </w:rPr>
              <w:t>2,402,766,362</w:t>
            </w:r>
          </w:p>
        </w:tc>
        <w:tc>
          <w:tcPr>
            <w:tcW w:w="564"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right="47"/>
              <w:jc w:val="center"/>
              <w:rPr>
                <w:rFonts w:ascii="Arial" w:hAnsi="Arial" w:cs="Arial" w:eastAsia="Arial" w:hint="default"/>
                <w:sz w:val="16"/>
                <w:szCs w:val="16"/>
              </w:rPr>
            </w:pPr>
            <w:r>
              <w:rPr>
                <w:rFonts w:ascii="Arial"/>
                <w:sz w:val="16"/>
              </w:rPr>
              <w:t>100.00</w:t>
            </w:r>
          </w:p>
        </w:tc>
        <w:tc>
          <w:tcPr>
            <w:tcW w:w="1138"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right="78"/>
              <w:jc w:val="right"/>
              <w:rPr>
                <w:rFonts w:ascii="Arial" w:hAnsi="Arial" w:cs="Arial" w:eastAsia="Arial" w:hint="default"/>
                <w:sz w:val="16"/>
                <w:szCs w:val="16"/>
              </w:rPr>
            </w:pPr>
            <w:r>
              <w:rPr>
                <w:rFonts w:ascii="Arial"/>
                <w:w w:val="95"/>
                <w:sz w:val="16"/>
              </w:rPr>
              <w:t>(478,155,584)</w:t>
            </w:r>
            <w:r>
              <w:rPr>
                <w:rFonts w:ascii="Arial"/>
                <w:sz w:val="16"/>
              </w:rPr>
            </w:r>
          </w:p>
        </w:tc>
        <w:tc>
          <w:tcPr>
            <w:tcW w:w="738"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left="199" w:right="0"/>
              <w:jc w:val="left"/>
              <w:rPr>
                <w:rFonts w:ascii="Arial" w:hAnsi="Arial" w:cs="Arial" w:eastAsia="Arial" w:hint="default"/>
                <w:sz w:val="16"/>
                <w:szCs w:val="16"/>
              </w:rPr>
            </w:pPr>
            <w:r>
              <w:rPr>
                <w:rFonts w:ascii="Arial"/>
                <w:sz w:val="16"/>
              </w:rPr>
              <w:t>0~100</w:t>
            </w:r>
          </w:p>
        </w:tc>
      </w:tr>
    </w:tbl>
    <w:p>
      <w:pPr>
        <w:spacing w:line="240" w:lineRule="auto" w:before="2"/>
        <w:rPr>
          <w:rFonts w:ascii="宋体" w:hAnsi="宋体" w:cs="宋体" w:eastAsia="宋体" w:hint="default"/>
          <w:sz w:val="14"/>
          <w:szCs w:val="14"/>
        </w:rPr>
      </w:pPr>
    </w:p>
    <w:p>
      <w:pPr>
        <w:pStyle w:val="BodyText"/>
        <w:spacing w:line="286" w:lineRule="exact" w:before="60"/>
        <w:ind w:left="590" w:right="0" w:hanging="456"/>
        <w:jc w:val="left"/>
      </w:pPr>
      <w:r>
        <w:rPr>
          <w:rFonts w:ascii="Arial" w:hAnsi="Arial" w:cs="Arial" w:eastAsia="Arial" w:hint="default"/>
        </w:rPr>
        <w:t>(c)</w:t>
      </w:r>
      <w:r>
        <w:rPr>
          <w:rFonts w:ascii="Arial" w:hAnsi="Arial" w:cs="Arial" w:eastAsia="Arial" w:hint="default"/>
          <w:spacing w:val="11"/>
        </w:rPr>
        <w:t> </w:t>
      </w:r>
      <w:r>
        <w:rPr/>
        <w:t>于</w:t>
      </w:r>
      <w:r>
        <w:rPr>
          <w:spacing w:val="-40"/>
        </w:rPr>
        <w:t> </w:t>
      </w:r>
      <w:r>
        <w:rPr>
          <w:rFonts w:ascii="Arial" w:hAnsi="Arial" w:cs="Arial" w:eastAsia="Arial" w:hint="default"/>
        </w:rPr>
        <w:t>2012</w:t>
      </w:r>
      <w:r>
        <w:rPr>
          <w:rFonts w:ascii="Arial" w:hAnsi="Arial" w:cs="Arial" w:eastAsia="Arial" w:hint="default"/>
          <w:spacing w:val="9"/>
        </w:rPr>
        <w:t> </w:t>
      </w:r>
      <w:r>
        <w:rPr/>
        <w:t>年</w:t>
      </w:r>
      <w:r>
        <w:rPr>
          <w:spacing w:val="-39"/>
        </w:rPr>
        <w:t> </w:t>
      </w:r>
      <w:r>
        <w:rPr>
          <w:rFonts w:ascii="Arial" w:hAnsi="Arial" w:cs="Arial" w:eastAsia="Arial" w:hint="default"/>
        </w:rPr>
        <w:t>12</w:t>
      </w:r>
      <w:r>
        <w:rPr>
          <w:rFonts w:ascii="Arial" w:hAnsi="Arial" w:cs="Arial" w:eastAsia="Arial" w:hint="default"/>
          <w:spacing w:val="9"/>
        </w:rPr>
        <w:t> </w:t>
      </w:r>
      <w:r>
        <w:rPr/>
        <w:t>月</w:t>
      </w:r>
      <w:r>
        <w:rPr>
          <w:spacing w:val="-40"/>
        </w:rPr>
        <w:t> </w:t>
      </w:r>
      <w:r>
        <w:rPr>
          <w:rFonts w:ascii="Arial" w:hAnsi="Arial" w:cs="Arial" w:eastAsia="Arial" w:hint="default"/>
        </w:rPr>
        <w:t>31</w:t>
      </w:r>
      <w:r>
        <w:rPr>
          <w:rFonts w:ascii="Arial" w:hAnsi="Arial" w:cs="Arial" w:eastAsia="Arial" w:hint="default"/>
          <w:spacing w:val="9"/>
        </w:rPr>
        <w:t> </w:t>
      </w:r>
      <w:r>
        <w:rPr/>
        <w:t>日，无单项金额重大并单独计提坏账准备的其他应收款、或虽不重大但单</w:t>
      </w:r>
      <w:r>
        <w:rPr>
          <w:w w:val="99"/>
        </w:rPr>
        <w:t> </w:t>
      </w:r>
      <w:r>
        <w:rPr/>
        <w:t>独计提坏账准备的其他应收款。</w:t>
      </w:r>
    </w:p>
    <w:p>
      <w:pPr>
        <w:spacing w:line="240" w:lineRule="auto" w:before="1"/>
        <w:rPr>
          <w:rFonts w:ascii="宋体" w:hAnsi="宋体" w:cs="宋体" w:eastAsia="宋体" w:hint="default"/>
          <w:sz w:val="17"/>
          <w:szCs w:val="17"/>
        </w:rPr>
      </w:pPr>
    </w:p>
    <w:p>
      <w:pPr>
        <w:pStyle w:val="BodyText"/>
        <w:spacing w:line="240" w:lineRule="auto"/>
        <w:ind w:left="142" w:right="0"/>
        <w:jc w:val="left"/>
      </w:pPr>
      <w:r>
        <w:rPr>
          <w:rFonts w:ascii="Arial" w:hAnsi="Arial" w:cs="Arial" w:eastAsia="Arial" w:hint="default"/>
        </w:rPr>
        <w:t>(d) </w:t>
      </w:r>
      <w:r>
        <w:rPr>
          <w:rFonts w:ascii="Arial" w:hAnsi="Arial" w:cs="Arial" w:eastAsia="Arial" w:hint="default"/>
          <w:spacing w:val="17"/>
        </w:rPr>
        <w:t> </w:t>
      </w:r>
      <w:r>
        <w:rPr/>
        <w:t>按组合计提坏账准备的其他应收款中，采用账龄分析法的组合分析如下：</w:t>
      </w:r>
    </w:p>
    <w:p>
      <w:pPr>
        <w:spacing w:line="240" w:lineRule="auto" w:before="6"/>
        <w:rPr>
          <w:rFonts w:ascii="宋体" w:hAnsi="宋体" w:cs="宋体" w:eastAsia="宋体" w:hint="default"/>
          <w:sz w:val="22"/>
          <w:szCs w:val="22"/>
        </w:rPr>
      </w:pPr>
    </w:p>
    <w:tbl>
      <w:tblPr>
        <w:tblW w:w="0" w:type="auto"/>
        <w:jc w:val="left"/>
        <w:tblInd w:w="402" w:type="dxa"/>
        <w:tblLayout w:type="fixed"/>
        <w:tblCellMar>
          <w:top w:w="0" w:type="dxa"/>
          <w:left w:w="0" w:type="dxa"/>
          <w:bottom w:w="0" w:type="dxa"/>
          <w:right w:w="0" w:type="dxa"/>
        </w:tblCellMar>
        <w:tblLook w:val="01E0"/>
      </w:tblPr>
      <w:tblGrid>
        <w:gridCol w:w="1309"/>
        <w:gridCol w:w="1381"/>
        <w:gridCol w:w="723"/>
        <w:gridCol w:w="1278"/>
        <w:gridCol w:w="681"/>
        <w:gridCol w:w="1324"/>
        <w:gridCol w:w="667"/>
        <w:gridCol w:w="1135"/>
        <w:gridCol w:w="800"/>
      </w:tblGrid>
      <w:tr>
        <w:trPr>
          <w:trHeight w:val="192" w:hRule="exact"/>
        </w:trPr>
        <w:tc>
          <w:tcPr>
            <w:tcW w:w="4691" w:type="dxa"/>
            <w:gridSpan w:val="4"/>
            <w:tcBorders>
              <w:top w:val="nil" w:sz="6" w:space="0" w:color="auto"/>
              <w:left w:val="nil" w:sz="6" w:space="0" w:color="auto"/>
              <w:bottom w:val="nil" w:sz="6" w:space="0" w:color="auto"/>
              <w:right w:val="nil" w:sz="6" w:space="0" w:color="auto"/>
            </w:tcBorders>
          </w:tcPr>
          <w:p>
            <w:pPr>
              <w:pStyle w:val="TableParagraph"/>
              <w:spacing w:line="171" w:lineRule="exact"/>
              <w:ind w:left="2595" w:right="0"/>
              <w:jc w:val="left"/>
              <w:rPr>
                <w:rFonts w:ascii="宋体" w:hAnsi="宋体" w:cs="宋体" w:eastAsia="宋体" w:hint="default"/>
                <w:sz w:val="16"/>
                <w:szCs w:val="16"/>
              </w:rPr>
            </w:pPr>
            <w:r>
              <w:rPr>
                <w:rFonts w:ascii="Arial" w:hAnsi="Arial" w:cs="Arial" w:eastAsia="Arial" w:hint="default"/>
                <w:sz w:val="16"/>
                <w:szCs w:val="16"/>
              </w:rPr>
              <w:t>2012</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681" w:type="dxa"/>
            <w:tcBorders>
              <w:top w:val="nil" w:sz="6" w:space="0" w:color="auto"/>
              <w:left w:val="nil" w:sz="6" w:space="0" w:color="auto"/>
              <w:bottom w:val="single" w:sz="6" w:space="0" w:color="000000"/>
              <w:right w:val="nil" w:sz="6" w:space="0" w:color="auto"/>
            </w:tcBorders>
          </w:tcPr>
          <w:p>
            <w:pPr/>
          </w:p>
        </w:tc>
        <w:tc>
          <w:tcPr>
            <w:tcW w:w="3127" w:type="dxa"/>
            <w:gridSpan w:val="3"/>
            <w:tcBorders>
              <w:top w:val="nil" w:sz="6" w:space="0" w:color="auto"/>
              <w:left w:val="nil" w:sz="6" w:space="0" w:color="auto"/>
              <w:bottom w:val="single" w:sz="6" w:space="0" w:color="000000"/>
              <w:right w:val="nil" w:sz="6" w:space="0" w:color="auto"/>
            </w:tcBorders>
          </w:tcPr>
          <w:p>
            <w:pPr>
              <w:pStyle w:val="TableParagraph"/>
              <w:spacing w:line="171" w:lineRule="exact"/>
              <w:ind w:left="1258" w:right="0"/>
              <w:jc w:val="left"/>
              <w:rPr>
                <w:rFonts w:ascii="宋体" w:hAnsi="宋体" w:cs="宋体" w:eastAsia="宋体" w:hint="default"/>
                <w:sz w:val="16"/>
                <w:szCs w:val="16"/>
              </w:rPr>
            </w:pPr>
            <w:r>
              <w:rPr>
                <w:rFonts w:ascii="Arial" w:hAnsi="Arial" w:cs="Arial" w:eastAsia="Arial" w:hint="default"/>
                <w:sz w:val="16"/>
                <w:szCs w:val="16"/>
              </w:rPr>
              <w:t>2011</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800" w:type="dxa"/>
            <w:tcBorders>
              <w:top w:val="nil" w:sz="6" w:space="0" w:color="auto"/>
              <w:left w:val="nil" w:sz="6" w:space="0" w:color="auto"/>
              <w:bottom w:val="single" w:sz="6" w:space="0" w:color="000000"/>
              <w:right w:val="nil" w:sz="6" w:space="0" w:color="auto"/>
            </w:tcBorders>
          </w:tcPr>
          <w:p>
            <w:pPr/>
          </w:p>
        </w:tc>
      </w:tr>
      <w:tr>
        <w:trPr>
          <w:trHeight w:val="222" w:hRule="exact"/>
        </w:trPr>
        <w:tc>
          <w:tcPr>
            <w:tcW w:w="1309" w:type="dxa"/>
            <w:tcBorders>
              <w:top w:val="nil" w:sz="6" w:space="0" w:color="auto"/>
              <w:left w:val="nil" w:sz="6" w:space="0" w:color="auto"/>
              <w:bottom w:val="nil" w:sz="6" w:space="0" w:color="auto"/>
              <w:right w:val="nil" w:sz="6" w:space="0" w:color="auto"/>
            </w:tcBorders>
          </w:tcPr>
          <w:p>
            <w:pPr/>
          </w:p>
        </w:tc>
        <w:tc>
          <w:tcPr>
            <w:tcW w:w="1381" w:type="dxa"/>
            <w:tcBorders>
              <w:top w:val="single" w:sz="6" w:space="0" w:color="000000"/>
              <w:left w:val="nil" w:sz="6" w:space="0" w:color="auto"/>
              <w:bottom w:val="single" w:sz="6" w:space="0" w:color="000000"/>
              <w:right w:val="nil" w:sz="6" w:space="0" w:color="auto"/>
            </w:tcBorders>
          </w:tcPr>
          <w:p>
            <w:pPr>
              <w:pStyle w:val="TableParagraph"/>
              <w:spacing w:line="182" w:lineRule="exact"/>
              <w:ind w:right="74"/>
              <w:jc w:val="right"/>
              <w:rPr>
                <w:rFonts w:ascii="宋体" w:hAnsi="宋体" w:cs="宋体" w:eastAsia="宋体" w:hint="default"/>
                <w:sz w:val="16"/>
                <w:szCs w:val="16"/>
              </w:rPr>
            </w:pPr>
            <w:r>
              <w:rPr>
                <w:rFonts w:ascii="宋体" w:hAnsi="宋体" w:cs="宋体" w:eastAsia="宋体" w:hint="default"/>
                <w:w w:val="95"/>
                <w:sz w:val="16"/>
                <w:szCs w:val="16"/>
              </w:rPr>
              <w:t>账面余额</w:t>
            </w:r>
            <w:r>
              <w:rPr>
                <w:rFonts w:ascii="宋体" w:hAnsi="宋体" w:cs="宋体" w:eastAsia="宋体" w:hint="default"/>
                <w:sz w:val="16"/>
                <w:szCs w:val="16"/>
              </w:rPr>
            </w:r>
          </w:p>
        </w:tc>
        <w:tc>
          <w:tcPr>
            <w:tcW w:w="723" w:type="dxa"/>
            <w:tcBorders>
              <w:top w:val="single" w:sz="6" w:space="0" w:color="000000"/>
              <w:left w:val="nil" w:sz="6" w:space="0" w:color="auto"/>
              <w:bottom w:val="single" w:sz="6" w:space="0" w:color="000000"/>
              <w:right w:val="nil" w:sz="6" w:space="0" w:color="auto"/>
            </w:tcBorders>
          </w:tcPr>
          <w:p>
            <w:pPr/>
          </w:p>
        </w:tc>
        <w:tc>
          <w:tcPr>
            <w:tcW w:w="1278" w:type="dxa"/>
            <w:tcBorders>
              <w:top w:val="single" w:sz="6" w:space="0" w:color="000000"/>
              <w:left w:val="nil" w:sz="6" w:space="0" w:color="auto"/>
              <w:bottom w:val="single" w:sz="6" w:space="0" w:color="000000"/>
              <w:right w:val="nil" w:sz="6" w:space="0" w:color="auto"/>
            </w:tcBorders>
          </w:tcPr>
          <w:p>
            <w:pPr>
              <w:pStyle w:val="TableParagraph"/>
              <w:spacing w:line="182" w:lineRule="exact"/>
              <w:ind w:right="53"/>
              <w:jc w:val="right"/>
              <w:rPr>
                <w:rFonts w:ascii="宋体" w:hAnsi="宋体" w:cs="宋体" w:eastAsia="宋体" w:hint="default"/>
                <w:sz w:val="16"/>
                <w:szCs w:val="16"/>
              </w:rPr>
            </w:pPr>
            <w:r>
              <w:rPr>
                <w:rFonts w:ascii="宋体" w:hAnsi="宋体" w:cs="宋体" w:eastAsia="宋体" w:hint="default"/>
                <w:w w:val="95"/>
                <w:sz w:val="16"/>
                <w:szCs w:val="16"/>
              </w:rPr>
              <w:t>坏账准备</w:t>
            </w:r>
            <w:r>
              <w:rPr>
                <w:rFonts w:ascii="宋体" w:hAnsi="宋体" w:cs="宋体" w:eastAsia="宋体" w:hint="default"/>
                <w:sz w:val="16"/>
                <w:szCs w:val="16"/>
              </w:rPr>
            </w:r>
          </w:p>
        </w:tc>
        <w:tc>
          <w:tcPr>
            <w:tcW w:w="681" w:type="dxa"/>
            <w:tcBorders>
              <w:top w:val="single" w:sz="6" w:space="0" w:color="000000"/>
              <w:left w:val="nil" w:sz="6" w:space="0" w:color="auto"/>
              <w:bottom w:val="single" w:sz="6" w:space="0" w:color="000000"/>
              <w:right w:val="nil" w:sz="6" w:space="0" w:color="auto"/>
            </w:tcBorders>
          </w:tcPr>
          <w:p>
            <w:pPr/>
          </w:p>
        </w:tc>
        <w:tc>
          <w:tcPr>
            <w:tcW w:w="1324" w:type="dxa"/>
            <w:tcBorders>
              <w:top w:val="single" w:sz="6" w:space="0" w:color="000000"/>
              <w:left w:val="nil" w:sz="6" w:space="0" w:color="auto"/>
              <w:bottom w:val="single" w:sz="6" w:space="0" w:color="000000"/>
              <w:right w:val="nil" w:sz="6" w:space="0" w:color="auto"/>
            </w:tcBorders>
          </w:tcPr>
          <w:p>
            <w:pPr>
              <w:pStyle w:val="TableParagraph"/>
              <w:spacing w:line="182" w:lineRule="exact"/>
              <w:ind w:left="633"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667" w:type="dxa"/>
            <w:tcBorders>
              <w:top w:val="single" w:sz="6" w:space="0" w:color="000000"/>
              <w:left w:val="nil" w:sz="6" w:space="0" w:color="auto"/>
              <w:bottom w:val="single" w:sz="6" w:space="0" w:color="000000"/>
              <w:right w:val="nil" w:sz="6" w:space="0" w:color="auto"/>
            </w:tcBorders>
          </w:tcPr>
          <w:p>
            <w:pPr/>
          </w:p>
        </w:tc>
        <w:tc>
          <w:tcPr>
            <w:tcW w:w="1936" w:type="dxa"/>
            <w:gridSpan w:val="2"/>
            <w:tcBorders>
              <w:top w:val="single" w:sz="6" w:space="0" w:color="000000"/>
              <w:left w:val="nil" w:sz="6" w:space="0" w:color="auto"/>
              <w:bottom w:val="single" w:sz="6" w:space="0" w:color="000000"/>
              <w:right w:val="nil" w:sz="6" w:space="0" w:color="auto"/>
            </w:tcBorders>
          </w:tcPr>
          <w:p>
            <w:pPr>
              <w:pStyle w:val="TableParagraph"/>
              <w:spacing w:line="182" w:lineRule="exact"/>
              <w:ind w:left="652" w:right="0"/>
              <w:jc w:val="left"/>
              <w:rPr>
                <w:rFonts w:ascii="宋体" w:hAnsi="宋体" w:cs="宋体" w:eastAsia="宋体" w:hint="default"/>
                <w:sz w:val="16"/>
                <w:szCs w:val="16"/>
              </w:rPr>
            </w:pPr>
            <w:r>
              <w:rPr>
                <w:rFonts w:ascii="宋体" w:hAnsi="宋体" w:cs="宋体" w:eastAsia="宋体" w:hint="default"/>
                <w:sz w:val="16"/>
                <w:szCs w:val="16"/>
              </w:rPr>
              <w:t>坏账准备</w:t>
            </w:r>
          </w:p>
        </w:tc>
      </w:tr>
      <w:tr>
        <w:trPr>
          <w:trHeight w:val="431" w:hRule="exact"/>
        </w:trPr>
        <w:tc>
          <w:tcPr>
            <w:tcW w:w="1309" w:type="dxa"/>
            <w:tcBorders>
              <w:top w:val="nil" w:sz="6" w:space="0" w:color="auto"/>
              <w:left w:val="nil" w:sz="6" w:space="0" w:color="auto"/>
              <w:bottom w:val="nil" w:sz="6" w:space="0" w:color="auto"/>
              <w:right w:val="nil" w:sz="6" w:space="0" w:color="auto"/>
            </w:tcBorders>
          </w:tcPr>
          <w:p>
            <w:pPr/>
          </w:p>
        </w:tc>
        <w:tc>
          <w:tcPr>
            <w:tcW w:w="1381"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76"/>
              <w:jc w:val="right"/>
              <w:rPr>
                <w:rFonts w:ascii="宋体" w:hAnsi="宋体" w:cs="宋体" w:eastAsia="宋体" w:hint="default"/>
                <w:sz w:val="16"/>
                <w:szCs w:val="16"/>
              </w:rPr>
            </w:pPr>
            <w:r>
              <w:rPr>
                <w:rFonts w:ascii="宋体" w:hAnsi="宋体" w:cs="宋体" w:eastAsia="宋体" w:hint="default"/>
                <w:w w:val="95"/>
                <w:sz w:val="16"/>
                <w:szCs w:val="16"/>
              </w:rPr>
              <w:t>金额</w:t>
            </w:r>
            <w:r>
              <w:rPr>
                <w:rFonts w:ascii="宋体" w:hAnsi="宋体" w:cs="宋体" w:eastAsia="宋体" w:hint="default"/>
                <w:sz w:val="16"/>
                <w:szCs w:val="16"/>
              </w:rPr>
            </w:r>
          </w:p>
        </w:tc>
        <w:tc>
          <w:tcPr>
            <w:tcW w:w="723" w:type="dxa"/>
            <w:tcBorders>
              <w:top w:val="single" w:sz="6" w:space="0" w:color="000000"/>
              <w:left w:val="nil" w:sz="6" w:space="0" w:color="auto"/>
              <w:bottom w:val="single" w:sz="6" w:space="0" w:color="000000"/>
              <w:right w:val="nil" w:sz="6" w:space="0" w:color="auto"/>
            </w:tcBorders>
          </w:tcPr>
          <w:p>
            <w:pPr>
              <w:pStyle w:val="TableParagraph"/>
              <w:spacing w:line="206" w:lineRule="exact"/>
              <w:ind w:left="245" w:right="0"/>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40" w:lineRule="auto" w:before="23"/>
              <w:ind w:left="317" w:right="0"/>
              <w:jc w:val="left"/>
              <w:rPr>
                <w:rFonts w:ascii="Arial" w:hAnsi="Arial" w:cs="Arial" w:eastAsia="Arial" w:hint="default"/>
                <w:sz w:val="16"/>
                <w:szCs w:val="16"/>
              </w:rPr>
            </w:pPr>
            <w:r>
              <w:rPr>
                <w:rFonts w:ascii="Arial"/>
                <w:sz w:val="16"/>
              </w:rPr>
              <w:t>(%)</w:t>
            </w:r>
          </w:p>
        </w:tc>
        <w:tc>
          <w:tcPr>
            <w:tcW w:w="1278"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55"/>
              <w:jc w:val="right"/>
              <w:rPr>
                <w:rFonts w:ascii="宋体" w:hAnsi="宋体" w:cs="宋体" w:eastAsia="宋体" w:hint="default"/>
                <w:sz w:val="16"/>
                <w:szCs w:val="16"/>
              </w:rPr>
            </w:pPr>
            <w:r>
              <w:rPr>
                <w:rFonts w:ascii="宋体" w:hAnsi="宋体" w:cs="宋体" w:eastAsia="宋体" w:hint="default"/>
                <w:w w:val="95"/>
                <w:sz w:val="16"/>
                <w:szCs w:val="16"/>
              </w:rPr>
              <w:t>金额</w:t>
            </w:r>
            <w:r>
              <w:rPr>
                <w:rFonts w:ascii="宋体" w:hAnsi="宋体" w:cs="宋体" w:eastAsia="宋体" w:hint="default"/>
                <w:sz w:val="16"/>
                <w:szCs w:val="16"/>
              </w:rPr>
            </w:r>
          </w:p>
        </w:tc>
        <w:tc>
          <w:tcPr>
            <w:tcW w:w="681" w:type="dxa"/>
            <w:tcBorders>
              <w:top w:val="single" w:sz="6" w:space="0" w:color="000000"/>
              <w:left w:val="nil" w:sz="6" w:space="0" w:color="auto"/>
              <w:bottom w:val="single" w:sz="6" w:space="0" w:color="000000"/>
              <w:right w:val="nil" w:sz="6" w:space="0" w:color="auto"/>
            </w:tcBorders>
          </w:tcPr>
          <w:p>
            <w:pPr>
              <w:pStyle w:val="TableParagraph"/>
              <w:spacing w:line="182" w:lineRule="exact"/>
              <w:ind w:left="148" w:right="0" w:hanging="71"/>
              <w:jc w:val="left"/>
              <w:rPr>
                <w:rFonts w:ascii="宋体" w:hAnsi="宋体" w:cs="宋体" w:eastAsia="宋体" w:hint="default"/>
                <w:sz w:val="16"/>
                <w:szCs w:val="16"/>
              </w:rPr>
            </w:pPr>
            <w:r>
              <w:rPr>
                <w:rFonts w:ascii="宋体" w:hAnsi="宋体" w:cs="宋体" w:eastAsia="宋体" w:hint="default"/>
                <w:sz w:val="16"/>
                <w:szCs w:val="16"/>
              </w:rPr>
              <w:t>计提比</w:t>
            </w:r>
          </w:p>
          <w:p>
            <w:pPr>
              <w:pStyle w:val="TableParagraph"/>
              <w:spacing w:line="220" w:lineRule="exact"/>
              <w:ind w:left="148" w:right="0"/>
              <w:jc w:val="left"/>
              <w:rPr>
                <w:rFonts w:ascii="Arial" w:hAnsi="Arial" w:cs="Arial" w:eastAsia="Arial" w:hint="default"/>
                <w:sz w:val="16"/>
                <w:szCs w:val="16"/>
              </w:rPr>
            </w:pPr>
            <w:r>
              <w:rPr>
                <w:rFonts w:ascii="宋体" w:hAnsi="宋体" w:cs="宋体" w:eastAsia="宋体" w:hint="default"/>
                <w:sz w:val="16"/>
                <w:szCs w:val="16"/>
              </w:rPr>
              <w:t>例</w:t>
            </w:r>
            <w:r>
              <w:rPr>
                <w:rFonts w:ascii="Arial" w:hAnsi="Arial" w:cs="Arial" w:eastAsia="Arial" w:hint="default"/>
                <w:sz w:val="16"/>
                <w:szCs w:val="16"/>
              </w:rPr>
              <w:t>(%)</w:t>
            </w:r>
          </w:p>
        </w:tc>
        <w:tc>
          <w:tcPr>
            <w:tcW w:w="1324"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95" w:right="0"/>
              <w:jc w:val="left"/>
              <w:rPr>
                <w:rFonts w:ascii="宋体" w:hAnsi="宋体" w:cs="宋体" w:eastAsia="宋体" w:hint="default"/>
                <w:sz w:val="16"/>
                <w:szCs w:val="16"/>
              </w:rPr>
            </w:pPr>
            <w:r>
              <w:rPr>
                <w:rFonts w:ascii="宋体" w:hAnsi="宋体" w:cs="宋体" w:eastAsia="宋体" w:hint="default"/>
                <w:sz w:val="16"/>
                <w:szCs w:val="16"/>
              </w:rPr>
              <w:t>金额</w:t>
            </w:r>
          </w:p>
        </w:tc>
        <w:tc>
          <w:tcPr>
            <w:tcW w:w="667" w:type="dxa"/>
            <w:tcBorders>
              <w:top w:val="single" w:sz="6" w:space="0" w:color="000000"/>
              <w:left w:val="nil" w:sz="6" w:space="0" w:color="auto"/>
              <w:bottom w:val="single" w:sz="6" w:space="0" w:color="000000"/>
              <w:right w:val="nil" w:sz="6" w:space="0" w:color="auto"/>
            </w:tcBorders>
          </w:tcPr>
          <w:p>
            <w:pPr>
              <w:pStyle w:val="TableParagraph"/>
              <w:spacing w:line="206" w:lineRule="exact"/>
              <w:ind w:left="253" w:right="0"/>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40" w:lineRule="auto" w:before="23"/>
              <w:ind w:left="325" w:right="0"/>
              <w:jc w:val="left"/>
              <w:rPr>
                <w:rFonts w:ascii="Arial" w:hAnsi="Arial" w:cs="Arial" w:eastAsia="Arial" w:hint="default"/>
                <w:sz w:val="16"/>
                <w:szCs w:val="16"/>
              </w:rPr>
            </w:pPr>
            <w:r>
              <w:rPr>
                <w:rFonts w:ascii="Arial"/>
                <w:sz w:val="16"/>
              </w:rPr>
              <w:t>(%)</w:t>
            </w:r>
          </w:p>
        </w:tc>
        <w:tc>
          <w:tcPr>
            <w:tcW w:w="1135"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0"/>
              <w:jc w:val="right"/>
              <w:rPr>
                <w:rFonts w:ascii="宋体" w:hAnsi="宋体" w:cs="宋体" w:eastAsia="宋体" w:hint="default"/>
                <w:sz w:val="16"/>
                <w:szCs w:val="16"/>
              </w:rPr>
            </w:pPr>
            <w:r>
              <w:rPr>
                <w:rFonts w:ascii="宋体" w:hAnsi="宋体" w:cs="宋体" w:eastAsia="宋体" w:hint="default"/>
                <w:w w:val="95"/>
                <w:sz w:val="16"/>
                <w:szCs w:val="16"/>
              </w:rPr>
              <w:t>金额</w:t>
            </w:r>
            <w:r>
              <w:rPr>
                <w:rFonts w:ascii="宋体" w:hAnsi="宋体" w:cs="宋体" w:eastAsia="宋体" w:hint="default"/>
                <w:sz w:val="16"/>
                <w:szCs w:val="16"/>
              </w:rPr>
            </w:r>
          </w:p>
        </w:tc>
        <w:tc>
          <w:tcPr>
            <w:tcW w:w="800" w:type="dxa"/>
            <w:tcBorders>
              <w:top w:val="single" w:sz="6" w:space="0" w:color="000000"/>
              <w:left w:val="nil" w:sz="6" w:space="0" w:color="auto"/>
              <w:bottom w:val="single" w:sz="6" w:space="0" w:color="000000"/>
              <w:right w:val="nil" w:sz="6" w:space="0" w:color="auto"/>
            </w:tcBorders>
          </w:tcPr>
          <w:p>
            <w:pPr>
              <w:pStyle w:val="TableParagraph"/>
              <w:spacing w:line="206" w:lineRule="exact"/>
              <w:ind w:left="133" w:right="0"/>
              <w:jc w:val="left"/>
              <w:rPr>
                <w:rFonts w:ascii="宋体" w:hAnsi="宋体" w:cs="宋体" w:eastAsia="宋体" w:hint="default"/>
                <w:sz w:val="16"/>
                <w:szCs w:val="16"/>
              </w:rPr>
            </w:pPr>
            <w:r>
              <w:rPr>
                <w:rFonts w:ascii="宋体" w:hAnsi="宋体" w:cs="宋体" w:eastAsia="宋体" w:hint="default"/>
                <w:sz w:val="16"/>
                <w:szCs w:val="16"/>
              </w:rPr>
              <w:t>计提比例</w:t>
            </w:r>
          </w:p>
          <w:p>
            <w:pPr>
              <w:pStyle w:val="TableParagraph"/>
              <w:spacing w:line="240" w:lineRule="auto" w:before="23"/>
              <w:ind w:left="524" w:right="0"/>
              <w:jc w:val="left"/>
              <w:rPr>
                <w:rFonts w:ascii="Arial" w:hAnsi="Arial" w:cs="Arial" w:eastAsia="Arial" w:hint="default"/>
                <w:sz w:val="16"/>
                <w:szCs w:val="16"/>
              </w:rPr>
            </w:pPr>
            <w:r>
              <w:rPr>
                <w:rFonts w:ascii="Arial"/>
                <w:sz w:val="16"/>
              </w:rPr>
              <w:t>(%)</w:t>
            </w:r>
          </w:p>
        </w:tc>
      </w:tr>
      <w:tr>
        <w:trPr>
          <w:trHeight w:val="407"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7" w:right="0"/>
              <w:jc w:val="left"/>
              <w:rPr>
                <w:rFonts w:ascii="宋体" w:hAnsi="宋体" w:cs="宋体" w:eastAsia="宋体" w:hint="default"/>
                <w:sz w:val="16"/>
                <w:szCs w:val="16"/>
              </w:rPr>
            </w:pPr>
            <w:r>
              <w:rPr>
                <w:rFonts w:ascii="Arial" w:hAnsi="Arial" w:cs="Arial" w:eastAsia="Arial" w:hint="default"/>
                <w:sz w:val="16"/>
                <w:szCs w:val="16"/>
              </w:rPr>
              <w:t>1</w:t>
            </w:r>
            <w:r>
              <w:rPr>
                <w:rFonts w:ascii="Arial" w:hAnsi="Arial" w:cs="Arial" w:eastAsia="Arial" w:hint="default"/>
                <w:spacing w:val="-7"/>
                <w:sz w:val="16"/>
                <w:szCs w:val="16"/>
              </w:rPr>
              <w:t> </w:t>
            </w:r>
            <w:r>
              <w:rPr>
                <w:rFonts w:ascii="宋体" w:hAnsi="宋体" w:cs="宋体" w:eastAsia="宋体" w:hint="default"/>
                <w:sz w:val="16"/>
                <w:szCs w:val="16"/>
              </w:rPr>
              <w:t>年以内</w:t>
            </w:r>
          </w:p>
        </w:tc>
        <w:tc>
          <w:tcPr>
            <w:tcW w:w="1381"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0" w:right="0"/>
              <w:jc w:val="left"/>
              <w:rPr>
                <w:rFonts w:ascii="Arial" w:hAnsi="Arial" w:cs="Arial" w:eastAsia="Arial" w:hint="default"/>
                <w:sz w:val="16"/>
                <w:szCs w:val="16"/>
              </w:rPr>
            </w:pPr>
            <w:r>
              <w:rPr>
                <w:rFonts w:ascii="Arial"/>
                <w:sz w:val="16"/>
              </w:rPr>
              <w:t>5,319,154,979</w:t>
            </w:r>
          </w:p>
        </w:tc>
        <w:tc>
          <w:tcPr>
            <w:tcW w:w="723"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4" w:right="0"/>
              <w:jc w:val="left"/>
              <w:rPr>
                <w:rFonts w:ascii="Arial" w:hAnsi="Arial" w:cs="Arial" w:eastAsia="Arial" w:hint="default"/>
                <w:sz w:val="16"/>
                <w:szCs w:val="16"/>
              </w:rPr>
            </w:pPr>
            <w:r>
              <w:rPr>
                <w:rFonts w:ascii="Arial"/>
                <w:sz w:val="16"/>
              </w:rPr>
              <w:t>90.95</w:t>
            </w:r>
          </w:p>
        </w:tc>
        <w:tc>
          <w:tcPr>
            <w:tcW w:w="1278"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3"/>
              <w:jc w:val="right"/>
              <w:rPr>
                <w:rFonts w:ascii="Arial" w:hAnsi="Arial" w:cs="Arial" w:eastAsia="Arial" w:hint="default"/>
                <w:sz w:val="16"/>
                <w:szCs w:val="16"/>
              </w:rPr>
            </w:pPr>
            <w:r>
              <w:rPr>
                <w:rFonts w:ascii="Arial"/>
                <w:w w:val="95"/>
                <w:sz w:val="16"/>
              </w:rPr>
              <w:t>(62,246,951)</w:t>
            </w:r>
            <w:r>
              <w:rPr>
                <w:rFonts w:ascii="Arial"/>
                <w:sz w:val="16"/>
              </w:rPr>
            </w:r>
          </w:p>
        </w:tc>
        <w:tc>
          <w:tcPr>
            <w:tcW w:w="681"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1"/>
              <w:jc w:val="right"/>
              <w:rPr>
                <w:rFonts w:ascii="Arial" w:hAnsi="Arial" w:cs="Arial" w:eastAsia="Arial" w:hint="default"/>
                <w:sz w:val="16"/>
                <w:szCs w:val="16"/>
              </w:rPr>
            </w:pPr>
            <w:r>
              <w:rPr>
                <w:rFonts w:ascii="Arial"/>
                <w:w w:val="95"/>
                <w:sz w:val="16"/>
              </w:rPr>
              <w:t>0~10</w:t>
            </w:r>
            <w:r>
              <w:rPr>
                <w:rFonts w:ascii="Arial"/>
                <w:sz w:val="16"/>
              </w:rPr>
            </w:r>
          </w:p>
        </w:tc>
        <w:tc>
          <w:tcPr>
            <w:tcW w:w="1324"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3" w:right="0"/>
              <w:jc w:val="left"/>
              <w:rPr>
                <w:rFonts w:ascii="Arial" w:hAnsi="Arial" w:cs="Arial" w:eastAsia="Arial" w:hint="default"/>
                <w:sz w:val="16"/>
                <w:szCs w:val="16"/>
              </w:rPr>
            </w:pPr>
            <w:r>
              <w:rPr>
                <w:rFonts w:ascii="Arial"/>
                <w:sz w:val="16"/>
              </w:rPr>
              <w:t>1,901,835,630</w:t>
            </w:r>
          </w:p>
        </w:tc>
        <w:tc>
          <w:tcPr>
            <w:tcW w:w="667"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5"/>
              <w:jc w:val="right"/>
              <w:rPr>
                <w:rFonts w:ascii="Arial" w:hAnsi="Arial" w:cs="Arial" w:eastAsia="Arial" w:hint="default"/>
                <w:sz w:val="16"/>
                <w:szCs w:val="16"/>
              </w:rPr>
            </w:pPr>
            <w:r>
              <w:rPr>
                <w:rFonts w:ascii="Arial"/>
                <w:w w:val="95"/>
                <w:sz w:val="16"/>
              </w:rPr>
              <w:t>79.14</w:t>
            </w:r>
            <w:r>
              <w:rPr>
                <w:rFonts w:ascii="Arial"/>
                <w:sz w:val="16"/>
              </w:rPr>
            </w:r>
          </w:p>
        </w:tc>
        <w:tc>
          <w:tcPr>
            <w:tcW w:w="1135"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
              <w:jc w:val="right"/>
              <w:rPr>
                <w:rFonts w:ascii="Arial" w:hAnsi="Arial" w:cs="Arial" w:eastAsia="Arial" w:hint="default"/>
                <w:sz w:val="16"/>
                <w:szCs w:val="16"/>
              </w:rPr>
            </w:pPr>
            <w:r>
              <w:rPr>
                <w:rFonts w:ascii="Arial"/>
                <w:w w:val="95"/>
                <w:sz w:val="16"/>
              </w:rPr>
              <w:t>(117,901,453)</w:t>
            </w:r>
            <w:r>
              <w:rPr>
                <w:rFonts w:ascii="Arial"/>
                <w:sz w:val="16"/>
              </w:rPr>
            </w:r>
          </w:p>
        </w:tc>
        <w:tc>
          <w:tcPr>
            <w:tcW w:w="800"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
              <w:jc w:val="right"/>
              <w:rPr>
                <w:rFonts w:ascii="Arial" w:hAnsi="Arial" w:cs="Arial" w:eastAsia="Arial" w:hint="default"/>
                <w:sz w:val="16"/>
                <w:szCs w:val="16"/>
              </w:rPr>
            </w:pPr>
            <w:r>
              <w:rPr>
                <w:rFonts w:ascii="Arial"/>
                <w:w w:val="95"/>
                <w:sz w:val="16"/>
              </w:rPr>
              <w:t>0~10</w:t>
            </w:r>
            <w:r>
              <w:rPr>
                <w:rFonts w:ascii="Arial"/>
                <w:sz w:val="16"/>
              </w:rPr>
            </w:r>
          </w:p>
        </w:tc>
      </w:tr>
      <w:tr>
        <w:trPr>
          <w:trHeight w:val="208"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185" w:lineRule="exact"/>
              <w:ind w:left="227"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8"/>
                <w:sz w:val="16"/>
                <w:szCs w:val="16"/>
              </w:rPr>
              <w:t> </w:t>
            </w:r>
            <w:r>
              <w:rPr>
                <w:rFonts w:ascii="宋体" w:hAnsi="宋体" w:cs="宋体" w:eastAsia="宋体" w:hint="default"/>
                <w:sz w:val="16"/>
                <w:szCs w:val="16"/>
              </w:rPr>
              <w:t>年</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14" w:right="0"/>
              <w:jc w:val="left"/>
              <w:rPr>
                <w:rFonts w:ascii="Arial" w:hAnsi="Arial" w:cs="Arial" w:eastAsia="Arial" w:hint="default"/>
                <w:sz w:val="16"/>
                <w:szCs w:val="16"/>
              </w:rPr>
            </w:pPr>
            <w:r>
              <w:rPr>
                <w:rFonts w:ascii="Arial"/>
                <w:sz w:val="16"/>
              </w:rPr>
              <w:t>139,000,948</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54" w:right="0"/>
              <w:jc w:val="left"/>
              <w:rPr>
                <w:rFonts w:ascii="Arial" w:hAnsi="Arial" w:cs="Arial" w:eastAsia="Arial" w:hint="default"/>
                <w:sz w:val="16"/>
                <w:szCs w:val="16"/>
              </w:rPr>
            </w:pPr>
            <w:r>
              <w:rPr>
                <w:rFonts w:ascii="Arial"/>
                <w:sz w:val="16"/>
              </w:rPr>
              <w:t>2.38</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3"/>
              <w:jc w:val="right"/>
              <w:rPr>
                <w:rFonts w:ascii="Arial" w:hAnsi="Arial" w:cs="Arial" w:eastAsia="Arial" w:hint="default"/>
                <w:sz w:val="16"/>
                <w:szCs w:val="16"/>
              </w:rPr>
            </w:pPr>
            <w:r>
              <w:rPr>
                <w:rFonts w:ascii="Arial"/>
                <w:w w:val="95"/>
                <w:sz w:val="16"/>
              </w:rPr>
              <w:t>(26,549,181)</w:t>
            </w:r>
            <w:r>
              <w:rPr>
                <w:rFonts w:ascii="Arial"/>
                <w:sz w:val="16"/>
              </w:rPr>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1"/>
              <w:jc w:val="right"/>
              <w:rPr>
                <w:rFonts w:ascii="Arial" w:hAnsi="Arial" w:cs="Arial" w:eastAsia="Arial" w:hint="default"/>
                <w:sz w:val="16"/>
                <w:szCs w:val="16"/>
              </w:rPr>
            </w:pPr>
            <w:r>
              <w:rPr>
                <w:rFonts w:ascii="Arial"/>
                <w:w w:val="95"/>
                <w:sz w:val="16"/>
              </w:rPr>
              <w:t>20</w:t>
            </w:r>
            <w:r>
              <w:rPr>
                <w:rFonts w:ascii="Arial"/>
                <w:sz w:val="16"/>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57" w:right="0"/>
              <w:jc w:val="left"/>
              <w:rPr>
                <w:rFonts w:ascii="Arial" w:hAnsi="Arial" w:cs="Arial" w:eastAsia="Arial" w:hint="default"/>
                <w:sz w:val="16"/>
                <w:szCs w:val="16"/>
              </w:rPr>
            </w:pPr>
            <w:r>
              <w:rPr>
                <w:rFonts w:ascii="Arial"/>
                <w:sz w:val="16"/>
              </w:rPr>
              <w:t>117,870,041</w:t>
            </w:r>
          </w:p>
        </w:tc>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2"/>
              <w:jc w:val="right"/>
              <w:rPr>
                <w:rFonts w:ascii="Arial" w:hAnsi="Arial" w:cs="Arial" w:eastAsia="Arial" w:hint="default"/>
                <w:sz w:val="16"/>
                <w:szCs w:val="16"/>
              </w:rPr>
            </w:pPr>
            <w:r>
              <w:rPr>
                <w:rFonts w:ascii="Arial"/>
                <w:w w:val="95"/>
                <w:sz w:val="16"/>
              </w:rPr>
              <w:t>4.91</w:t>
            </w:r>
            <w:r>
              <w:rPr>
                <w:rFonts w:ascii="Arial"/>
                <w:sz w:val="16"/>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3"/>
              <w:jc w:val="right"/>
              <w:rPr>
                <w:rFonts w:ascii="Arial" w:hAnsi="Arial" w:cs="Arial" w:eastAsia="Arial" w:hint="default"/>
                <w:sz w:val="16"/>
                <w:szCs w:val="16"/>
              </w:rPr>
            </w:pPr>
            <w:r>
              <w:rPr>
                <w:rFonts w:ascii="Arial"/>
                <w:w w:val="95"/>
                <w:sz w:val="16"/>
              </w:rPr>
              <w:t>(23,314,694)</w:t>
            </w:r>
            <w:r>
              <w:rPr>
                <w:rFonts w:ascii="Arial"/>
                <w:sz w:val="16"/>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5"/>
              <w:jc w:val="right"/>
              <w:rPr>
                <w:rFonts w:ascii="Arial" w:hAnsi="Arial" w:cs="Arial" w:eastAsia="Arial" w:hint="default"/>
                <w:sz w:val="16"/>
                <w:szCs w:val="16"/>
              </w:rPr>
            </w:pPr>
            <w:r>
              <w:rPr>
                <w:rFonts w:ascii="Arial"/>
                <w:w w:val="95"/>
                <w:sz w:val="16"/>
              </w:rPr>
              <w:t>20</w:t>
            </w:r>
            <w:r>
              <w:rPr>
                <w:rFonts w:ascii="Arial"/>
                <w:sz w:val="16"/>
              </w:rPr>
            </w:r>
          </w:p>
        </w:tc>
      </w:tr>
      <w:tr>
        <w:trPr>
          <w:trHeight w:val="208"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185" w:lineRule="exact"/>
              <w:ind w:left="227" w:right="0"/>
              <w:jc w:val="left"/>
              <w:rPr>
                <w:rFonts w:ascii="宋体" w:hAnsi="宋体" w:cs="宋体" w:eastAsia="宋体" w:hint="default"/>
                <w:sz w:val="16"/>
                <w:szCs w:val="16"/>
              </w:rPr>
            </w:pPr>
            <w:r>
              <w:rPr>
                <w:rFonts w:ascii="Arial" w:hAnsi="Arial" w:cs="Arial" w:eastAsia="Arial" w:hint="default"/>
                <w:sz w:val="16"/>
                <w:szCs w:val="16"/>
              </w:rPr>
              <w:t>2-3</w:t>
            </w:r>
            <w:r>
              <w:rPr>
                <w:rFonts w:ascii="Arial" w:hAnsi="Arial" w:cs="Arial" w:eastAsia="Arial" w:hint="default"/>
                <w:spacing w:val="-8"/>
                <w:sz w:val="16"/>
                <w:szCs w:val="16"/>
              </w:rPr>
              <w:t> </w:t>
            </w:r>
            <w:r>
              <w:rPr>
                <w:rFonts w:ascii="宋体" w:hAnsi="宋体" w:cs="宋体" w:eastAsia="宋体" w:hint="default"/>
                <w:sz w:val="16"/>
                <w:szCs w:val="16"/>
              </w:rPr>
              <w:t>年</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03" w:right="0"/>
              <w:jc w:val="left"/>
              <w:rPr>
                <w:rFonts w:ascii="Arial" w:hAnsi="Arial" w:cs="Arial" w:eastAsia="Arial" w:hint="default"/>
                <w:sz w:val="16"/>
                <w:szCs w:val="16"/>
              </w:rPr>
            </w:pPr>
            <w:r>
              <w:rPr>
                <w:rFonts w:ascii="Arial"/>
                <w:sz w:val="16"/>
              </w:rPr>
              <w:t>95,266,627</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54" w:right="0"/>
              <w:jc w:val="left"/>
              <w:rPr>
                <w:rFonts w:ascii="Arial" w:hAnsi="Arial" w:cs="Arial" w:eastAsia="Arial" w:hint="default"/>
                <w:sz w:val="16"/>
                <w:szCs w:val="16"/>
              </w:rPr>
            </w:pPr>
            <w:r>
              <w:rPr>
                <w:rFonts w:ascii="Arial"/>
                <w:sz w:val="16"/>
              </w:rPr>
              <w:t>1.63</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3"/>
              <w:jc w:val="right"/>
              <w:rPr>
                <w:rFonts w:ascii="Arial" w:hAnsi="Arial" w:cs="Arial" w:eastAsia="Arial" w:hint="default"/>
                <w:sz w:val="16"/>
                <w:szCs w:val="16"/>
              </w:rPr>
            </w:pPr>
            <w:r>
              <w:rPr>
                <w:rFonts w:ascii="Arial"/>
                <w:w w:val="95"/>
                <w:sz w:val="16"/>
              </w:rPr>
              <w:t>(45,918,514)</w:t>
            </w:r>
            <w:r>
              <w:rPr>
                <w:rFonts w:ascii="Arial"/>
                <w:sz w:val="16"/>
              </w:rPr>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1"/>
              <w:jc w:val="right"/>
              <w:rPr>
                <w:rFonts w:ascii="Arial" w:hAnsi="Arial" w:cs="Arial" w:eastAsia="Arial" w:hint="default"/>
                <w:sz w:val="16"/>
                <w:szCs w:val="16"/>
              </w:rPr>
            </w:pPr>
            <w:r>
              <w:rPr>
                <w:rFonts w:ascii="Arial"/>
                <w:w w:val="95"/>
                <w:sz w:val="16"/>
              </w:rPr>
              <w:t>50</w:t>
            </w:r>
            <w:r>
              <w:rPr>
                <w:rFonts w:ascii="Arial"/>
                <w:sz w:val="16"/>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46" w:right="0"/>
              <w:jc w:val="left"/>
              <w:rPr>
                <w:rFonts w:ascii="Arial" w:hAnsi="Arial" w:cs="Arial" w:eastAsia="Arial" w:hint="default"/>
                <w:sz w:val="16"/>
                <w:szCs w:val="16"/>
              </w:rPr>
            </w:pPr>
            <w:r>
              <w:rPr>
                <w:rFonts w:ascii="Arial"/>
                <w:sz w:val="16"/>
              </w:rPr>
              <w:t>91,692,353</w:t>
            </w:r>
          </w:p>
        </w:tc>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2"/>
              <w:jc w:val="right"/>
              <w:rPr>
                <w:rFonts w:ascii="Arial" w:hAnsi="Arial" w:cs="Arial" w:eastAsia="Arial" w:hint="default"/>
                <w:sz w:val="16"/>
                <w:szCs w:val="16"/>
              </w:rPr>
            </w:pPr>
            <w:r>
              <w:rPr>
                <w:rFonts w:ascii="Arial"/>
                <w:w w:val="95"/>
                <w:sz w:val="16"/>
              </w:rPr>
              <w:t>3.82</w:t>
            </w:r>
            <w:r>
              <w:rPr>
                <w:rFonts w:ascii="Arial"/>
                <w:sz w:val="16"/>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3"/>
              <w:jc w:val="right"/>
              <w:rPr>
                <w:rFonts w:ascii="Arial" w:hAnsi="Arial" w:cs="Arial" w:eastAsia="Arial" w:hint="default"/>
                <w:sz w:val="16"/>
                <w:szCs w:val="16"/>
              </w:rPr>
            </w:pPr>
            <w:r>
              <w:rPr>
                <w:rFonts w:ascii="Arial"/>
                <w:w w:val="95"/>
                <w:sz w:val="16"/>
              </w:rPr>
              <w:t>(45,571,099)</w:t>
            </w:r>
            <w:r>
              <w:rPr>
                <w:rFonts w:ascii="Arial"/>
                <w:sz w:val="16"/>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5"/>
              <w:jc w:val="right"/>
              <w:rPr>
                <w:rFonts w:ascii="Arial" w:hAnsi="Arial" w:cs="Arial" w:eastAsia="Arial" w:hint="default"/>
                <w:sz w:val="16"/>
                <w:szCs w:val="16"/>
              </w:rPr>
            </w:pPr>
            <w:r>
              <w:rPr>
                <w:rFonts w:ascii="Arial"/>
                <w:w w:val="95"/>
                <w:sz w:val="16"/>
              </w:rPr>
              <w:t>50</w:t>
            </w:r>
            <w:r>
              <w:rPr>
                <w:rFonts w:ascii="Arial"/>
                <w:sz w:val="16"/>
              </w:rPr>
            </w:r>
          </w:p>
        </w:tc>
      </w:tr>
      <w:tr>
        <w:trPr>
          <w:trHeight w:val="208"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185" w:lineRule="exact"/>
              <w:ind w:left="227" w:right="0"/>
              <w:jc w:val="left"/>
              <w:rPr>
                <w:rFonts w:ascii="宋体" w:hAnsi="宋体" w:cs="宋体" w:eastAsia="宋体" w:hint="default"/>
                <w:sz w:val="16"/>
                <w:szCs w:val="16"/>
              </w:rPr>
            </w:pPr>
            <w:r>
              <w:rPr>
                <w:rFonts w:ascii="Arial" w:hAnsi="Arial" w:cs="Arial" w:eastAsia="Arial" w:hint="default"/>
                <w:sz w:val="16"/>
                <w:szCs w:val="16"/>
              </w:rPr>
              <w:t>3-4</w:t>
            </w:r>
            <w:r>
              <w:rPr>
                <w:rFonts w:ascii="Arial" w:hAnsi="Arial" w:cs="Arial" w:eastAsia="Arial" w:hint="default"/>
                <w:spacing w:val="-8"/>
                <w:sz w:val="16"/>
                <w:szCs w:val="16"/>
              </w:rPr>
              <w:t> </w:t>
            </w:r>
            <w:r>
              <w:rPr>
                <w:rFonts w:ascii="宋体" w:hAnsi="宋体" w:cs="宋体" w:eastAsia="宋体" w:hint="default"/>
                <w:sz w:val="16"/>
                <w:szCs w:val="16"/>
              </w:rPr>
              <w:t>年</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03" w:right="0"/>
              <w:jc w:val="left"/>
              <w:rPr>
                <w:rFonts w:ascii="Arial" w:hAnsi="Arial" w:cs="Arial" w:eastAsia="Arial" w:hint="default"/>
                <w:sz w:val="16"/>
                <w:szCs w:val="16"/>
              </w:rPr>
            </w:pPr>
            <w:r>
              <w:rPr>
                <w:rFonts w:ascii="Arial"/>
                <w:sz w:val="16"/>
              </w:rPr>
              <w:t>61,983,560</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54" w:right="0"/>
              <w:jc w:val="left"/>
              <w:rPr>
                <w:rFonts w:ascii="Arial" w:hAnsi="Arial" w:cs="Arial" w:eastAsia="Arial" w:hint="default"/>
                <w:sz w:val="16"/>
                <w:szCs w:val="16"/>
              </w:rPr>
            </w:pPr>
            <w:r>
              <w:rPr>
                <w:rFonts w:ascii="Arial"/>
                <w:sz w:val="16"/>
              </w:rPr>
              <w:t>1.06</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3"/>
              <w:jc w:val="right"/>
              <w:rPr>
                <w:rFonts w:ascii="Arial" w:hAnsi="Arial" w:cs="Arial" w:eastAsia="Arial" w:hint="default"/>
                <w:sz w:val="16"/>
                <w:szCs w:val="16"/>
              </w:rPr>
            </w:pPr>
            <w:r>
              <w:rPr>
                <w:rFonts w:ascii="Arial"/>
                <w:w w:val="95"/>
                <w:sz w:val="16"/>
              </w:rPr>
              <w:t>(61,983,560)</w:t>
            </w:r>
            <w:r>
              <w:rPr>
                <w:rFonts w:ascii="Arial"/>
                <w:sz w:val="16"/>
              </w:rPr>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1"/>
              <w:jc w:val="right"/>
              <w:rPr>
                <w:rFonts w:ascii="Arial" w:hAnsi="Arial" w:cs="Arial" w:eastAsia="Arial" w:hint="default"/>
                <w:sz w:val="16"/>
                <w:szCs w:val="16"/>
              </w:rPr>
            </w:pPr>
            <w:r>
              <w:rPr>
                <w:rFonts w:ascii="Arial"/>
                <w:w w:val="95"/>
                <w:sz w:val="16"/>
              </w:rPr>
              <w:t>100</w:t>
            </w:r>
            <w:r>
              <w:rPr>
                <w:rFonts w:ascii="Arial"/>
                <w:sz w:val="16"/>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46" w:right="0"/>
              <w:jc w:val="left"/>
              <w:rPr>
                <w:rFonts w:ascii="Arial" w:hAnsi="Arial" w:cs="Arial" w:eastAsia="Arial" w:hint="default"/>
                <w:sz w:val="16"/>
                <w:szCs w:val="16"/>
              </w:rPr>
            </w:pPr>
            <w:r>
              <w:rPr>
                <w:rFonts w:ascii="Arial"/>
                <w:sz w:val="16"/>
              </w:rPr>
              <w:t>61,785,023</w:t>
            </w:r>
          </w:p>
        </w:tc>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2"/>
              <w:jc w:val="right"/>
              <w:rPr>
                <w:rFonts w:ascii="Arial" w:hAnsi="Arial" w:cs="Arial" w:eastAsia="Arial" w:hint="default"/>
                <w:sz w:val="16"/>
                <w:szCs w:val="16"/>
              </w:rPr>
            </w:pPr>
            <w:r>
              <w:rPr>
                <w:rFonts w:ascii="Arial"/>
                <w:w w:val="95"/>
                <w:sz w:val="16"/>
              </w:rPr>
              <w:t>2.57</w:t>
            </w:r>
            <w:r>
              <w:rPr>
                <w:rFonts w:ascii="Arial"/>
                <w:sz w:val="16"/>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3"/>
              <w:jc w:val="right"/>
              <w:rPr>
                <w:rFonts w:ascii="Arial" w:hAnsi="Arial" w:cs="Arial" w:eastAsia="Arial" w:hint="default"/>
                <w:sz w:val="16"/>
                <w:szCs w:val="16"/>
              </w:rPr>
            </w:pPr>
            <w:r>
              <w:rPr>
                <w:rFonts w:ascii="Arial"/>
                <w:w w:val="95"/>
                <w:sz w:val="16"/>
              </w:rPr>
              <w:t>(61,785,023)</w:t>
            </w:r>
            <w:r>
              <w:rPr>
                <w:rFonts w:ascii="Arial"/>
                <w:sz w:val="16"/>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5"/>
              <w:jc w:val="right"/>
              <w:rPr>
                <w:rFonts w:ascii="Arial" w:hAnsi="Arial" w:cs="Arial" w:eastAsia="Arial" w:hint="default"/>
                <w:sz w:val="16"/>
                <w:szCs w:val="16"/>
              </w:rPr>
            </w:pPr>
            <w:r>
              <w:rPr>
                <w:rFonts w:ascii="Arial"/>
                <w:w w:val="95"/>
                <w:sz w:val="16"/>
              </w:rPr>
              <w:t>100</w:t>
            </w:r>
            <w:r>
              <w:rPr>
                <w:rFonts w:ascii="Arial"/>
                <w:sz w:val="16"/>
              </w:rPr>
            </w:r>
          </w:p>
        </w:tc>
      </w:tr>
      <w:tr>
        <w:trPr>
          <w:trHeight w:val="208"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185" w:lineRule="exact"/>
              <w:ind w:left="227" w:right="0"/>
              <w:jc w:val="left"/>
              <w:rPr>
                <w:rFonts w:ascii="宋体" w:hAnsi="宋体" w:cs="宋体" w:eastAsia="宋体" w:hint="default"/>
                <w:sz w:val="16"/>
                <w:szCs w:val="16"/>
              </w:rPr>
            </w:pPr>
            <w:r>
              <w:rPr>
                <w:rFonts w:ascii="Arial" w:hAnsi="Arial" w:cs="Arial" w:eastAsia="Arial" w:hint="default"/>
                <w:sz w:val="16"/>
                <w:szCs w:val="16"/>
              </w:rPr>
              <w:t>4-5</w:t>
            </w:r>
            <w:r>
              <w:rPr>
                <w:rFonts w:ascii="Arial" w:hAnsi="Arial" w:cs="Arial" w:eastAsia="Arial" w:hint="default"/>
                <w:spacing w:val="-8"/>
                <w:sz w:val="16"/>
                <w:szCs w:val="16"/>
              </w:rPr>
              <w:t> </w:t>
            </w:r>
            <w:r>
              <w:rPr>
                <w:rFonts w:ascii="宋体" w:hAnsi="宋体" w:cs="宋体" w:eastAsia="宋体" w:hint="default"/>
                <w:sz w:val="16"/>
                <w:szCs w:val="16"/>
              </w:rPr>
              <w:t>年</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03" w:right="0"/>
              <w:jc w:val="left"/>
              <w:rPr>
                <w:rFonts w:ascii="Arial" w:hAnsi="Arial" w:cs="Arial" w:eastAsia="Arial" w:hint="default"/>
                <w:sz w:val="16"/>
                <w:szCs w:val="16"/>
              </w:rPr>
            </w:pPr>
            <w:r>
              <w:rPr>
                <w:rFonts w:ascii="Arial"/>
                <w:sz w:val="16"/>
              </w:rPr>
              <w:t>39,537,462</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54" w:right="0"/>
              <w:jc w:val="left"/>
              <w:rPr>
                <w:rFonts w:ascii="Arial" w:hAnsi="Arial" w:cs="Arial" w:eastAsia="Arial" w:hint="default"/>
                <w:sz w:val="16"/>
                <w:szCs w:val="16"/>
              </w:rPr>
            </w:pPr>
            <w:r>
              <w:rPr>
                <w:rFonts w:ascii="Arial"/>
                <w:sz w:val="16"/>
              </w:rPr>
              <w:t>0.68</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3"/>
              <w:jc w:val="right"/>
              <w:rPr>
                <w:rFonts w:ascii="Arial" w:hAnsi="Arial" w:cs="Arial" w:eastAsia="Arial" w:hint="default"/>
                <w:sz w:val="16"/>
                <w:szCs w:val="16"/>
              </w:rPr>
            </w:pPr>
            <w:r>
              <w:rPr>
                <w:rFonts w:ascii="Arial"/>
                <w:w w:val="95"/>
                <w:sz w:val="16"/>
              </w:rPr>
              <w:t>(39,537,462)</w:t>
            </w:r>
            <w:r>
              <w:rPr>
                <w:rFonts w:ascii="Arial"/>
                <w:sz w:val="16"/>
              </w:rPr>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1"/>
              <w:jc w:val="right"/>
              <w:rPr>
                <w:rFonts w:ascii="Arial" w:hAnsi="Arial" w:cs="Arial" w:eastAsia="Arial" w:hint="default"/>
                <w:sz w:val="16"/>
                <w:szCs w:val="16"/>
              </w:rPr>
            </w:pPr>
            <w:r>
              <w:rPr>
                <w:rFonts w:ascii="Arial"/>
                <w:w w:val="95"/>
                <w:sz w:val="16"/>
              </w:rPr>
              <w:t>100</w:t>
            </w:r>
            <w:r>
              <w:rPr>
                <w:rFonts w:ascii="Arial"/>
                <w:sz w:val="16"/>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46" w:right="0"/>
              <w:jc w:val="left"/>
              <w:rPr>
                <w:rFonts w:ascii="Arial" w:hAnsi="Arial" w:cs="Arial" w:eastAsia="Arial" w:hint="default"/>
                <w:sz w:val="16"/>
                <w:szCs w:val="16"/>
              </w:rPr>
            </w:pPr>
            <w:r>
              <w:rPr>
                <w:rFonts w:ascii="Arial"/>
                <w:sz w:val="16"/>
              </w:rPr>
              <w:t>39,482,420</w:t>
            </w:r>
          </w:p>
        </w:tc>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2"/>
              <w:jc w:val="right"/>
              <w:rPr>
                <w:rFonts w:ascii="Arial" w:hAnsi="Arial" w:cs="Arial" w:eastAsia="Arial" w:hint="default"/>
                <w:sz w:val="16"/>
                <w:szCs w:val="16"/>
              </w:rPr>
            </w:pPr>
            <w:r>
              <w:rPr>
                <w:rFonts w:ascii="Arial"/>
                <w:w w:val="95"/>
                <w:sz w:val="16"/>
              </w:rPr>
              <w:t>1.64</w:t>
            </w:r>
            <w:r>
              <w:rPr>
                <w:rFonts w:ascii="Arial"/>
                <w:sz w:val="16"/>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3"/>
              <w:jc w:val="right"/>
              <w:rPr>
                <w:rFonts w:ascii="Arial" w:hAnsi="Arial" w:cs="Arial" w:eastAsia="Arial" w:hint="default"/>
                <w:sz w:val="16"/>
                <w:szCs w:val="16"/>
              </w:rPr>
            </w:pPr>
            <w:r>
              <w:rPr>
                <w:rFonts w:ascii="Arial"/>
                <w:w w:val="95"/>
                <w:sz w:val="16"/>
              </w:rPr>
              <w:t>(39,482,420)</w:t>
            </w:r>
            <w:r>
              <w:rPr>
                <w:rFonts w:ascii="Arial"/>
                <w:sz w:val="16"/>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5"/>
              <w:jc w:val="right"/>
              <w:rPr>
                <w:rFonts w:ascii="Arial" w:hAnsi="Arial" w:cs="Arial" w:eastAsia="Arial" w:hint="default"/>
                <w:sz w:val="16"/>
                <w:szCs w:val="16"/>
              </w:rPr>
            </w:pPr>
            <w:r>
              <w:rPr>
                <w:rFonts w:ascii="Arial"/>
                <w:w w:val="95"/>
                <w:sz w:val="16"/>
              </w:rPr>
              <w:t>100</w:t>
            </w:r>
            <w:r>
              <w:rPr>
                <w:rFonts w:ascii="Arial"/>
                <w:sz w:val="16"/>
              </w:rPr>
            </w:r>
          </w:p>
        </w:tc>
      </w:tr>
      <w:tr>
        <w:trPr>
          <w:trHeight w:val="307"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185" w:lineRule="exact"/>
              <w:ind w:left="227" w:right="0"/>
              <w:jc w:val="left"/>
              <w:rPr>
                <w:rFonts w:ascii="宋体" w:hAnsi="宋体" w:cs="宋体" w:eastAsia="宋体" w:hint="default"/>
                <w:sz w:val="16"/>
                <w:szCs w:val="16"/>
              </w:rPr>
            </w:pPr>
            <w:r>
              <w:rPr>
                <w:rFonts w:ascii="Arial" w:hAnsi="Arial" w:cs="Arial" w:eastAsia="Arial" w:hint="default"/>
                <w:sz w:val="16"/>
                <w:szCs w:val="16"/>
              </w:rPr>
              <w:t>5</w:t>
            </w:r>
            <w:r>
              <w:rPr>
                <w:rFonts w:ascii="Arial" w:hAnsi="Arial" w:cs="Arial" w:eastAsia="Arial" w:hint="default"/>
                <w:spacing w:val="-7"/>
                <w:sz w:val="16"/>
                <w:szCs w:val="16"/>
              </w:rPr>
              <w:t> </w:t>
            </w:r>
            <w:r>
              <w:rPr>
                <w:rFonts w:ascii="宋体" w:hAnsi="宋体" w:cs="宋体" w:eastAsia="宋体" w:hint="default"/>
                <w:sz w:val="16"/>
                <w:szCs w:val="16"/>
              </w:rPr>
              <w:t>年以上</w:t>
            </w:r>
          </w:p>
        </w:tc>
        <w:tc>
          <w:tcPr>
            <w:tcW w:w="1381" w:type="dxa"/>
            <w:tcBorders>
              <w:top w:val="nil" w:sz="6" w:space="0" w:color="auto"/>
              <w:left w:val="nil" w:sz="6" w:space="0" w:color="auto"/>
              <w:bottom w:val="nil" w:sz="6" w:space="0" w:color="auto"/>
              <w:right w:val="nil" w:sz="6" w:space="0" w:color="auto"/>
            </w:tcBorders>
          </w:tcPr>
          <w:p>
            <w:pPr>
              <w:pStyle w:val="TableParagraph"/>
              <w:tabs>
                <w:tab w:pos="314" w:val="left" w:leader="none"/>
                <w:tab w:pos="1281" w:val="left" w:leader="none"/>
              </w:tabs>
              <w:spacing w:line="240" w:lineRule="auto" w:before="13"/>
              <w:ind w:right="97"/>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193,657,139</w:t>
            </w:r>
            <w:r>
              <w:rPr>
                <w:rFonts w:ascii="Arial"/>
                <w:sz w:val="16"/>
                <w:u w:val="single" w:color="000000"/>
              </w:rPr>
              <w:tab/>
            </w:r>
            <w:r>
              <w:rPr>
                <w:rFonts w:ascii="Arial"/>
                <w:sz w:val="16"/>
              </w:rPr>
            </w:r>
          </w:p>
        </w:tc>
        <w:tc>
          <w:tcPr>
            <w:tcW w:w="723" w:type="dxa"/>
            <w:tcBorders>
              <w:top w:val="nil" w:sz="6" w:space="0" w:color="auto"/>
              <w:left w:val="nil" w:sz="6" w:space="0" w:color="auto"/>
              <w:bottom w:val="nil" w:sz="6" w:space="0" w:color="auto"/>
              <w:right w:val="nil" w:sz="6" w:space="0" w:color="auto"/>
            </w:tcBorders>
          </w:tcPr>
          <w:p>
            <w:pPr>
              <w:pStyle w:val="TableParagraph"/>
              <w:tabs>
                <w:tab w:pos="254" w:val="left" w:leader="none"/>
                <w:tab w:pos="880" w:val="left" w:leader="none"/>
              </w:tabs>
              <w:spacing w:line="240" w:lineRule="auto" w:before="13"/>
              <w:ind w:left="-24" w:right="-158"/>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3.30</w:t>
            </w:r>
            <w:r>
              <w:rPr>
                <w:rFonts w:ascii="Arial"/>
                <w:sz w:val="16"/>
              </w:rPr>
              <w:t> </w:t>
            </w:r>
            <w:r>
              <w:rPr>
                <w:rFonts w:ascii="Arial"/>
                <w:spacing w:val="14"/>
                <w:sz w:val="16"/>
              </w:rPr>
              <w:t> </w:t>
            </w:r>
            <w:r>
              <w:rPr>
                <w:rFonts w:ascii="Arial"/>
                <w:spacing w:val="14"/>
                <w:w w:val="99"/>
                <w:sz w:val="16"/>
              </w:rPr>
            </w:r>
            <w:r>
              <w:rPr>
                <w:rFonts w:ascii="Arial"/>
                <w:w w:val="99"/>
                <w:sz w:val="16"/>
                <w:u w:val="single" w:color="000000"/>
              </w:rPr>
              <w:t> </w:t>
            </w:r>
            <w:r>
              <w:rPr>
                <w:rFonts w:ascii="Arial"/>
                <w:sz w:val="16"/>
                <w:u w:val="single" w:color="000000"/>
              </w:rPr>
              <w:tab/>
            </w:r>
            <w:r>
              <w:rPr>
                <w:rFonts w:ascii="Arial"/>
                <w:sz w:val="16"/>
              </w:rPr>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4"/>
              <w:jc w:val="right"/>
              <w:rPr>
                <w:rFonts w:ascii="Arial" w:hAnsi="Arial" w:cs="Arial" w:eastAsia="Arial" w:hint="default"/>
                <w:sz w:val="16"/>
                <w:szCs w:val="16"/>
              </w:rPr>
            </w:pPr>
            <w:r>
              <w:rPr>
                <w:rFonts w:ascii="Arial"/>
                <w:w w:val="99"/>
                <w:sz w:val="16"/>
              </w:rPr>
            </w:r>
            <w:r>
              <w:rPr>
                <w:rFonts w:ascii="Arial"/>
                <w:w w:val="95"/>
                <w:sz w:val="16"/>
                <w:u w:val="single" w:color="000000"/>
              </w:rPr>
              <w:t>(193,657,139)</w:t>
            </w:r>
            <w:r>
              <w:rPr>
                <w:rFonts w:ascii="Arial"/>
                <w:w w:val="95"/>
                <w:sz w:val="16"/>
              </w:rPr>
            </w:r>
            <w:r>
              <w:rPr>
                <w:rFonts w:ascii="Arial"/>
                <w:sz w:val="16"/>
              </w:rPr>
            </w:r>
          </w:p>
        </w:tc>
        <w:tc>
          <w:tcPr>
            <w:tcW w:w="681" w:type="dxa"/>
            <w:tcBorders>
              <w:top w:val="nil" w:sz="6" w:space="0" w:color="auto"/>
              <w:left w:val="nil" w:sz="6" w:space="0" w:color="auto"/>
              <w:bottom w:val="nil" w:sz="6" w:space="0" w:color="auto"/>
              <w:right w:val="nil" w:sz="6" w:space="0" w:color="auto"/>
            </w:tcBorders>
          </w:tcPr>
          <w:p>
            <w:pPr>
              <w:pStyle w:val="TableParagraph"/>
              <w:tabs>
                <w:tab w:pos="291" w:val="left" w:leader="none"/>
              </w:tabs>
              <w:spacing w:line="240" w:lineRule="auto" w:before="13"/>
              <w:ind w:right="121"/>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100</w:t>
            </w:r>
            <w:r>
              <w:rPr>
                <w:rFonts w:ascii="Arial"/>
                <w:w w:val="95"/>
                <w:sz w:val="16"/>
              </w:rPr>
            </w:r>
            <w:r>
              <w:rPr>
                <w:rFonts w:ascii="Arial"/>
                <w:sz w:val="16"/>
              </w:rPr>
            </w:r>
          </w:p>
        </w:tc>
        <w:tc>
          <w:tcPr>
            <w:tcW w:w="1324" w:type="dxa"/>
            <w:tcBorders>
              <w:top w:val="nil" w:sz="6" w:space="0" w:color="auto"/>
              <w:left w:val="nil" w:sz="6" w:space="0" w:color="auto"/>
              <w:bottom w:val="nil" w:sz="6" w:space="0" w:color="auto"/>
              <w:right w:val="nil" w:sz="6" w:space="0" w:color="auto"/>
            </w:tcBorders>
          </w:tcPr>
          <w:p>
            <w:pPr>
              <w:pStyle w:val="TableParagraph"/>
              <w:tabs>
                <w:tab w:pos="257" w:val="left" w:leader="none"/>
                <w:tab w:pos="1211" w:val="left" w:leader="none"/>
              </w:tabs>
              <w:spacing w:line="240" w:lineRule="auto" w:before="13"/>
              <w:ind w:left="-20"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190,100,895</w:t>
              <w:tab/>
            </w:r>
            <w:r>
              <w:rPr>
                <w:rFonts w:ascii="Arial"/>
                <w:sz w:val="16"/>
              </w:rPr>
            </w:r>
          </w:p>
        </w:tc>
        <w:tc>
          <w:tcPr>
            <w:tcW w:w="667" w:type="dxa"/>
            <w:tcBorders>
              <w:top w:val="nil" w:sz="6" w:space="0" w:color="auto"/>
              <w:left w:val="nil" w:sz="6" w:space="0" w:color="auto"/>
              <w:bottom w:val="nil" w:sz="6" w:space="0" w:color="auto"/>
              <w:right w:val="nil" w:sz="6" w:space="0" w:color="auto"/>
            </w:tcBorders>
          </w:tcPr>
          <w:p>
            <w:pPr>
              <w:pStyle w:val="TableParagraph"/>
              <w:tabs>
                <w:tab w:pos="231" w:val="left" w:leader="none"/>
                <w:tab w:pos="601" w:val="left" w:leader="none"/>
              </w:tabs>
              <w:spacing w:line="240" w:lineRule="auto" w:before="13"/>
              <w:ind w:left="-38" w:right="64"/>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7.92</w:t>
            </w:r>
            <w:r>
              <w:rPr>
                <w:rFonts w:ascii="Arial"/>
                <w:sz w:val="16"/>
                <w:u w:val="single" w:color="000000"/>
              </w:rPr>
              <w:tab/>
            </w:r>
            <w:r>
              <w:rPr>
                <w:rFonts w:ascii="Arial"/>
                <w:sz w:val="16"/>
              </w:rPr>
            </w:r>
          </w:p>
        </w:tc>
        <w:tc>
          <w:tcPr>
            <w:tcW w:w="1135" w:type="dxa"/>
            <w:tcBorders>
              <w:top w:val="nil" w:sz="6" w:space="0" w:color="auto"/>
              <w:left w:val="nil" w:sz="6" w:space="0" w:color="auto"/>
              <w:bottom w:val="nil" w:sz="6" w:space="0" w:color="auto"/>
              <w:right w:val="nil" w:sz="6" w:space="0" w:color="auto"/>
            </w:tcBorders>
          </w:tcPr>
          <w:p>
            <w:pPr>
              <w:pStyle w:val="TableParagraph"/>
              <w:tabs>
                <w:tab w:pos="1125" w:val="left" w:leader="none"/>
              </w:tabs>
              <w:spacing w:line="240" w:lineRule="auto" w:before="13"/>
              <w:ind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pacing w:val="-4"/>
                <w:sz w:val="16"/>
                <w:u w:val="single" w:color="000000"/>
              </w:rPr>
              <w:t> </w:t>
            </w:r>
            <w:r>
              <w:rPr>
                <w:rFonts w:ascii="Arial"/>
                <w:w w:val="95"/>
                <w:sz w:val="16"/>
                <w:u w:val="single" w:color="000000"/>
              </w:rPr>
              <w:t>(190,100,895)</w:t>
            </w:r>
            <w:r>
              <w:rPr>
                <w:rFonts w:ascii="Arial"/>
                <w:sz w:val="16"/>
                <w:u w:val="single" w:color="000000"/>
              </w:rPr>
              <w:tab/>
            </w:r>
            <w:r>
              <w:rPr>
                <w:rFonts w:ascii="Arial"/>
                <w:sz w:val="16"/>
              </w:rPr>
            </w:r>
          </w:p>
        </w:tc>
        <w:tc>
          <w:tcPr>
            <w:tcW w:w="800"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13"/>
              <w:ind w:right="25"/>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100</w:t>
            </w:r>
            <w:r>
              <w:rPr>
                <w:rFonts w:ascii="Arial"/>
                <w:w w:val="95"/>
                <w:sz w:val="16"/>
              </w:rPr>
            </w:r>
            <w:r>
              <w:rPr>
                <w:rFonts w:ascii="Arial"/>
                <w:sz w:val="16"/>
              </w:rPr>
            </w:r>
          </w:p>
        </w:tc>
      </w:tr>
      <w:tr>
        <w:trPr>
          <w:trHeight w:val="322"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00"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381"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left="180" w:right="0"/>
              <w:jc w:val="left"/>
              <w:rPr>
                <w:rFonts w:ascii="Arial" w:hAnsi="Arial" w:cs="Arial" w:eastAsia="Arial" w:hint="default"/>
                <w:sz w:val="16"/>
                <w:szCs w:val="16"/>
              </w:rPr>
            </w:pPr>
            <w:r>
              <w:rPr>
                <w:rFonts w:ascii="Arial"/>
                <w:sz w:val="16"/>
              </w:rPr>
              <w:t>5,848,600,715</w:t>
            </w:r>
          </w:p>
        </w:tc>
        <w:tc>
          <w:tcPr>
            <w:tcW w:w="723"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left="76" w:right="0"/>
              <w:jc w:val="left"/>
              <w:rPr>
                <w:rFonts w:ascii="Arial" w:hAnsi="Arial" w:cs="Arial" w:eastAsia="Arial" w:hint="default"/>
                <w:sz w:val="16"/>
                <w:szCs w:val="16"/>
              </w:rPr>
            </w:pPr>
            <w:r>
              <w:rPr>
                <w:rFonts w:ascii="Arial"/>
                <w:sz w:val="16"/>
              </w:rPr>
              <w:t>100.00</w:t>
            </w:r>
          </w:p>
        </w:tc>
        <w:tc>
          <w:tcPr>
            <w:tcW w:w="1278"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right="123"/>
              <w:jc w:val="right"/>
              <w:rPr>
                <w:rFonts w:ascii="Arial" w:hAnsi="Arial" w:cs="Arial" w:eastAsia="Arial" w:hint="default"/>
                <w:sz w:val="16"/>
                <w:szCs w:val="16"/>
              </w:rPr>
            </w:pPr>
            <w:r>
              <w:rPr>
                <w:rFonts w:ascii="Arial"/>
                <w:w w:val="95"/>
                <w:sz w:val="16"/>
              </w:rPr>
              <w:t>(429,892,807)</w:t>
            </w:r>
            <w:r>
              <w:rPr>
                <w:rFonts w:ascii="Arial"/>
                <w:sz w:val="16"/>
              </w:rPr>
            </w:r>
          </w:p>
        </w:tc>
        <w:tc>
          <w:tcPr>
            <w:tcW w:w="681"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right="121"/>
              <w:jc w:val="right"/>
              <w:rPr>
                <w:rFonts w:ascii="Arial" w:hAnsi="Arial" w:cs="Arial" w:eastAsia="Arial" w:hint="default"/>
                <w:sz w:val="16"/>
                <w:szCs w:val="16"/>
              </w:rPr>
            </w:pPr>
            <w:r>
              <w:rPr>
                <w:rFonts w:ascii="Arial"/>
                <w:w w:val="95"/>
                <w:sz w:val="16"/>
              </w:rPr>
              <w:t>0~100</w:t>
            </w:r>
            <w:r>
              <w:rPr>
                <w:rFonts w:ascii="Arial"/>
                <w:sz w:val="16"/>
              </w:rPr>
            </w:r>
          </w:p>
        </w:tc>
        <w:tc>
          <w:tcPr>
            <w:tcW w:w="1324"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left="123" w:right="0"/>
              <w:jc w:val="left"/>
              <w:rPr>
                <w:rFonts w:ascii="Arial" w:hAnsi="Arial" w:cs="Arial" w:eastAsia="Arial" w:hint="default"/>
                <w:sz w:val="16"/>
                <w:szCs w:val="16"/>
              </w:rPr>
            </w:pPr>
            <w:r>
              <w:rPr>
                <w:rFonts w:ascii="Arial"/>
                <w:sz w:val="16"/>
              </w:rPr>
              <w:t>2,402,766,362</w:t>
            </w:r>
          </w:p>
        </w:tc>
        <w:tc>
          <w:tcPr>
            <w:tcW w:w="667"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right="124"/>
              <w:jc w:val="right"/>
              <w:rPr>
                <w:rFonts w:ascii="Arial" w:hAnsi="Arial" w:cs="Arial" w:eastAsia="Arial" w:hint="default"/>
                <w:sz w:val="16"/>
                <w:szCs w:val="16"/>
              </w:rPr>
            </w:pPr>
            <w:r>
              <w:rPr>
                <w:rFonts w:ascii="Arial"/>
                <w:w w:val="95"/>
                <w:sz w:val="16"/>
              </w:rPr>
              <w:t>100.00</w:t>
            </w:r>
            <w:r>
              <w:rPr>
                <w:rFonts w:ascii="Arial"/>
                <w:sz w:val="16"/>
              </w:rPr>
            </w:r>
          </w:p>
        </w:tc>
        <w:tc>
          <w:tcPr>
            <w:tcW w:w="1135"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right="43"/>
              <w:jc w:val="right"/>
              <w:rPr>
                <w:rFonts w:ascii="Arial" w:hAnsi="Arial" w:cs="Arial" w:eastAsia="Arial" w:hint="default"/>
                <w:sz w:val="16"/>
                <w:szCs w:val="16"/>
              </w:rPr>
            </w:pPr>
            <w:r>
              <w:rPr>
                <w:rFonts w:ascii="Arial"/>
                <w:w w:val="95"/>
                <w:sz w:val="16"/>
              </w:rPr>
              <w:t>(478,155,584)</w:t>
            </w:r>
            <w:r>
              <w:rPr>
                <w:rFonts w:ascii="Arial"/>
                <w:sz w:val="16"/>
              </w:rPr>
            </w:r>
          </w:p>
        </w:tc>
        <w:tc>
          <w:tcPr>
            <w:tcW w:w="800" w:type="dxa"/>
            <w:tcBorders>
              <w:top w:val="nil" w:sz="6" w:space="0" w:color="auto"/>
              <w:left w:val="nil" w:sz="6" w:space="0" w:color="auto"/>
              <w:bottom w:val="single" w:sz="17" w:space="0" w:color="000000"/>
              <w:right w:val="nil" w:sz="6" w:space="0" w:color="auto"/>
            </w:tcBorders>
          </w:tcPr>
          <w:p>
            <w:pPr>
              <w:pStyle w:val="TableParagraph"/>
              <w:spacing w:line="240" w:lineRule="auto" w:before="111"/>
              <w:ind w:right="25"/>
              <w:jc w:val="right"/>
              <w:rPr>
                <w:rFonts w:ascii="Arial" w:hAnsi="Arial" w:cs="Arial" w:eastAsia="Arial" w:hint="default"/>
                <w:sz w:val="16"/>
                <w:szCs w:val="16"/>
              </w:rPr>
            </w:pPr>
            <w:r>
              <w:rPr>
                <w:rFonts w:ascii="Arial"/>
                <w:w w:val="95"/>
                <w:sz w:val="16"/>
              </w:rPr>
              <w:t>0~100</w:t>
            </w:r>
            <w:r>
              <w:rPr>
                <w:rFonts w:ascii="Arial"/>
                <w:sz w:val="16"/>
              </w:rPr>
            </w:r>
          </w:p>
        </w:tc>
      </w:tr>
    </w:tbl>
    <w:p>
      <w:pPr>
        <w:spacing w:line="240" w:lineRule="auto" w:before="2"/>
        <w:rPr>
          <w:rFonts w:ascii="宋体" w:hAnsi="宋体" w:cs="宋体" w:eastAsia="宋体" w:hint="default"/>
          <w:sz w:val="14"/>
          <w:szCs w:val="14"/>
        </w:rPr>
      </w:pPr>
    </w:p>
    <w:p>
      <w:pPr>
        <w:pStyle w:val="BodyText"/>
        <w:spacing w:line="295" w:lineRule="exact" w:before="31"/>
        <w:ind w:left="128" w:right="0"/>
        <w:jc w:val="left"/>
      </w:pPr>
      <w:r>
        <w:rPr>
          <w:rFonts w:ascii="Arial" w:hAnsi="Arial" w:cs="Arial" w:eastAsia="Arial" w:hint="default"/>
        </w:rPr>
        <w:t>(e)  2012 </w:t>
      </w:r>
      <w:r>
        <w:rPr/>
        <w:t>年度，本集团对有确凿证据表明无法收回的约人民币 </w:t>
      </w:r>
      <w:r>
        <w:rPr>
          <w:rFonts w:ascii="Arial" w:hAnsi="Arial" w:cs="Arial" w:eastAsia="Arial" w:hint="default"/>
        </w:rPr>
        <w:t>4,826</w:t>
      </w:r>
      <w:r>
        <w:rPr>
          <w:rFonts w:ascii="Arial" w:hAnsi="Arial" w:cs="Arial" w:eastAsia="Arial" w:hint="default"/>
          <w:spacing w:val="-21"/>
        </w:rPr>
        <w:t> </w:t>
      </w:r>
      <w:r>
        <w:rPr/>
        <w:t>万元的其他应收款进行了核销</w:t>
      </w:r>
    </w:p>
    <w:p>
      <w:pPr>
        <w:pStyle w:val="BodyText"/>
        <w:spacing w:line="286" w:lineRule="exact" w:before="19"/>
        <w:ind w:left="590" w:right="97"/>
        <w:jc w:val="left"/>
      </w:pPr>
      <w:r>
        <w:rPr/>
        <w:t>（</w:t>
      </w:r>
      <w:r>
        <w:rPr>
          <w:rFonts w:ascii="Arial" w:hAnsi="Arial" w:cs="Arial" w:eastAsia="Arial" w:hint="default"/>
        </w:rPr>
        <w:t>2011</w:t>
      </w:r>
      <w:r>
        <w:rPr>
          <w:rFonts w:ascii="Arial" w:hAnsi="Arial" w:cs="Arial" w:eastAsia="Arial" w:hint="default"/>
          <w:spacing w:val="-14"/>
        </w:rPr>
        <w:t> </w:t>
      </w:r>
      <w:r>
        <w:rPr/>
        <w:t>年：约人民币</w:t>
      </w:r>
      <w:r>
        <w:rPr>
          <w:spacing w:val="-63"/>
        </w:rPr>
        <w:t> </w:t>
      </w:r>
      <w:r>
        <w:rPr>
          <w:rFonts w:ascii="Arial" w:hAnsi="Arial" w:cs="Arial" w:eastAsia="Arial" w:hint="default"/>
        </w:rPr>
        <w:t>2,065</w:t>
      </w:r>
      <w:r>
        <w:rPr>
          <w:rFonts w:ascii="Arial" w:hAnsi="Arial" w:cs="Arial" w:eastAsia="Arial" w:hint="default"/>
          <w:spacing w:val="-14"/>
        </w:rPr>
        <w:t> </w:t>
      </w:r>
      <w:r>
        <w:rPr/>
        <w:t>万元），同时冲销已计提的坏账准备。此外，本集团本年核销的其</w:t>
      </w:r>
      <w:r>
        <w:rPr>
          <w:w w:val="99"/>
        </w:rPr>
        <w:t> </w:t>
      </w:r>
      <w:r>
        <w:rPr/>
        <w:t>他应收款中无应收关联公司款项。</w:t>
      </w:r>
    </w:p>
    <w:p>
      <w:pPr>
        <w:spacing w:line="240" w:lineRule="auto" w:before="3"/>
        <w:rPr>
          <w:rFonts w:ascii="宋体" w:hAnsi="宋体" w:cs="宋体" w:eastAsia="宋体" w:hint="default"/>
          <w:sz w:val="19"/>
          <w:szCs w:val="19"/>
        </w:rPr>
      </w:pPr>
    </w:p>
    <w:p>
      <w:pPr>
        <w:pStyle w:val="BodyText"/>
        <w:tabs>
          <w:tab w:pos="589" w:val="left" w:leader="none"/>
        </w:tabs>
        <w:spacing w:line="286" w:lineRule="exact"/>
        <w:ind w:left="590" w:right="103" w:hanging="462"/>
        <w:jc w:val="left"/>
      </w:pPr>
      <w:r>
        <w:rPr>
          <w:rFonts w:ascii="Arial" w:hAnsi="Arial" w:cs="Arial" w:eastAsia="Arial" w:hint="default"/>
          <w:w w:val="95"/>
        </w:rPr>
        <w:t>(f)</w:t>
        <w:tab/>
      </w:r>
      <w:r>
        <w:rPr/>
        <w:t>于</w:t>
      </w:r>
      <w:r>
        <w:rPr>
          <w:spacing w:val="-55"/>
        </w:rPr>
        <w:t> </w:t>
      </w:r>
      <w:r>
        <w:rPr>
          <w:rFonts w:ascii="Arial" w:hAnsi="Arial" w:cs="Arial" w:eastAsia="Arial" w:hint="default"/>
        </w:rPr>
        <w:t>2012</w:t>
      </w:r>
      <w:r>
        <w:rPr>
          <w:rFonts w:ascii="Arial" w:hAnsi="Arial" w:cs="Arial" w:eastAsia="Arial" w:hint="default"/>
          <w:spacing w:val="-5"/>
        </w:rPr>
        <w:t> </w:t>
      </w:r>
      <w:r>
        <w:rPr/>
        <w:t>年</w:t>
      </w:r>
      <w:r>
        <w:rPr>
          <w:spacing w:val="-55"/>
        </w:rPr>
        <w:t> </w:t>
      </w:r>
      <w:r>
        <w:rPr>
          <w:rFonts w:ascii="Arial" w:hAnsi="Arial" w:cs="Arial" w:eastAsia="Arial" w:hint="default"/>
        </w:rPr>
        <w:t>12</w:t>
      </w:r>
      <w:r>
        <w:rPr>
          <w:rFonts w:ascii="Arial" w:hAnsi="Arial" w:cs="Arial" w:eastAsia="Arial" w:hint="default"/>
          <w:spacing w:val="-6"/>
        </w:rPr>
        <w:t> </w:t>
      </w:r>
      <w:r>
        <w:rPr/>
        <w:t>月</w:t>
      </w:r>
      <w:r>
        <w:rPr>
          <w:spacing w:val="-55"/>
        </w:rPr>
        <w:t> </w:t>
      </w:r>
      <w:r>
        <w:rPr>
          <w:rFonts w:ascii="Arial" w:hAnsi="Arial" w:cs="Arial" w:eastAsia="Arial" w:hint="default"/>
        </w:rPr>
        <w:t>31</w:t>
      </w:r>
      <w:r>
        <w:rPr>
          <w:rFonts w:ascii="Arial" w:hAnsi="Arial" w:cs="Arial" w:eastAsia="Arial" w:hint="default"/>
          <w:spacing w:val="-6"/>
        </w:rPr>
        <w:t> </w:t>
      </w:r>
      <w:r>
        <w:rPr/>
        <w:t>日，其他应收款中无应收持有本公司</w:t>
      </w:r>
      <w:r>
        <w:rPr>
          <w:spacing w:val="-54"/>
        </w:rPr>
        <w:t> </w:t>
      </w:r>
      <w:r>
        <w:rPr>
          <w:rFonts w:ascii="Arial" w:hAnsi="Arial" w:cs="Arial" w:eastAsia="Arial" w:hint="default"/>
        </w:rPr>
        <w:t>5%</w:t>
      </w:r>
      <w:r>
        <w:rPr/>
        <w:t>（含</w:t>
      </w:r>
      <w:r>
        <w:rPr>
          <w:spacing w:val="-55"/>
        </w:rPr>
        <w:t> </w:t>
      </w:r>
      <w:r>
        <w:rPr>
          <w:rFonts w:ascii="Arial" w:hAnsi="Arial" w:cs="Arial" w:eastAsia="Arial" w:hint="default"/>
        </w:rPr>
        <w:t>5%</w:t>
      </w:r>
      <w:r>
        <w:rPr/>
        <w:t>）以上表决权股份股东的</w:t>
      </w:r>
      <w:r>
        <w:rPr>
          <w:w w:val="99"/>
        </w:rPr>
        <w:t> </w:t>
      </w:r>
      <w:r>
        <w:rPr/>
        <w:t>款项。</w:t>
      </w:r>
    </w:p>
    <w:p>
      <w:pPr>
        <w:spacing w:after="0" w:line="286" w:lineRule="exact"/>
        <w:jc w:val="left"/>
        <w:sectPr>
          <w:headerReference w:type="default" r:id="rId85"/>
          <w:pgSz w:w="11910" w:h="16840"/>
          <w:pgMar w:header="1189" w:footer="457" w:top="4140" w:bottom="640" w:left="1240" w:right="860"/>
        </w:sectPr>
      </w:pPr>
    </w:p>
    <w:p>
      <w:pPr>
        <w:spacing w:line="240" w:lineRule="auto" w:before="7"/>
        <w:rPr>
          <w:rFonts w:ascii="宋体" w:hAnsi="宋体" w:cs="宋体" w:eastAsia="宋体" w:hint="default"/>
          <w:sz w:val="23"/>
          <w:szCs w:val="23"/>
        </w:rPr>
      </w:pPr>
    </w:p>
    <w:tbl>
      <w:tblPr>
        <w:tblW w:w="0" w:type="auto"/>
        <w:jc w:val="left"/>
        <w:tblInd w:w="355" w:type="dxa"/>
        <w:tblLayout w:type="fixed"/>
        <w:tblCellMar>
          <w:top w:w="0" w:type="dxa"/>
          <w:left w:w="0" w:type="dxa"/>
          <w:bottom w:w="0" w:type="dxa"/>
          <w:right w:w="0" w:type="dxa"/>
        </w:tblCellMar>
        <w:tblLook w:val="01E0"/>
      </w:tblPr>
      <w:tblGrid>
        <w:gridCol w:w="1747"/>
        <w:gridCol w:w="1898"/>
        <w:gridCol w:w="119"/>
        <w:gridCol w:w="1756"/>
        <w:gridCol w:w="108"/>
        <w:gridCol w:w="1740"/>
        <w:gridCol w:w="232"/>
        <w:gridCol w:w="1663"/>
      </w:tblGrid>
      <w:tr>
        <w:trPr>
          <w:trHeight w:val="545" w:hRule="exact"/>
        </w:trPr>
        <w:tc>
          <w:tcPr>
            <w:tcW w:w="1747"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与本集团关系</w:t>
            </w:r>
          </w:p>
        </w:tc>
        <w:tc>
          <w:tcPr>
            <w:tcW w:w="119"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26"/>
              <w:jc w:val="right"/>
              <w:rPr>
                <w:rFonts w:ascii="宋体" w:hAnsi="宋体" w:cs="宋体" w:eastAsia="宋体" w:hint="default"/>
                <w:sz w:val="22"/>
                <w:szCs w:val="22"/>
              </w:rPr>
            </w:pPr>
            <w:r>
              <w:rPr>
                <w:rFonts w:ascii="宋体" w:hAnsi="宋体" w:cs="宋体" w:eastAsia="宋体" w:hint="default"/>
                <w:w w:val="95"/>
                <w:sz w:val="22"/>
                <w:szCs w:val="22"/>
              </w:rPr>
              <w:t>金额</w:t>
            </w:r>
            <w:r>
              <w:rPr>
                <w:rFonts w:ascii="宋体" w:hAnsi="宋体" w:cs="宋体" w:eastAsia="宋体" w:hint="default"/>
                <w:sz w:val="22"/>
                <w:szCs w:val="22"/>
              </w:rPr>
            </w:r>
          </w:p>
        </w:tc>
        <w:tc>
          <w:tcPr>
            <w:tcW w:w="108"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56"/>
              <w:jc w:val="right"/>
              <w:rPr>
                <w:rFonts w:ascii="宋体" w:hAnsi="宋体" w:cs="宋体" w:eastAsia="宋体" w:hint="default"/>
                <w:sz w:val="22"/>
                <w:szCs w:val="22"/>
              </w:rPr>
            </w:pPr>
            <w:r>
              <w:rPr>
                <w:rFonts w:ascii="宋体" w:hAnsi="宋体" w:cs="宋体" w:eastAsia="宋体" w:hint="default"/>
                <w:w w:val="95"/>
                <w:sz w:val="22"/>
                <w:szCs w:val="22"/>
              </w:rPr>
              <w:t>账龄</w:t>
            </w:r>
            <w:r>
              <w:rPr>
                <w:rFonts w:ascii="宋体" w:hAnsi="宋体" w:cs="宋体" w:eastAsia="宋体" w:hint="default"/>
                <w:sz w:val="22"/>
                <w:szCs w:val="22"/>
              </w:rPr>
            </w:r>
          </w:p>
        </w:tc>
        <w:tc>
          <w:tcPr>
            <w:tcW w:w="232"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single" w:sz="6" w:space="0" w:color="000000"/>
              <w:right w:val="nil" w:sz="6" w:space="0" w:color="auto"/>
            </w:tcBorders>
          </w:tcPr>
          <w:p>
            <w:pPr>
              <w:pStyle w:val="TableParagraph"/>
              <w:spacing w:line="218" w:lineRule="exact"/>
              <w:ind w:left="315" w:right="0"/>
              <w:jc w:val="left"/>
              <w:rPr>
                <w:rFonts w:ascii="宋体" w:hAnsi="宋体" w:cs="宋体" w:eastAsia="宋体" w:hint="default"/>
                <w:sz w:val="22"/>
                <w:szCs w:val="22"/>
              </w:rPr>
            </w:pPr>
            <w:r>
              <w:rPr>
                <w:rFonts w:ascii="宋体" w:hAnsi="宋体" w:cs="宋体" w:eastAsia="宋体" w:hint="default"/>
                <w:sz w:val="22"/>
                <w:szCs w:val="22"/>
              </w:rPr>
              <w:t>占其他应收款</w:t>
            </w:r>
          </w:p>
          <w:p>
            <w:pPr>
              <w:pStyle w:val="TableParagraph"/>
              <w:spacing w:line="286" w:lineRule="exact"/>
              <w:ind w:left="756" w:right="0"/>
              <w:jc w:val="left"/>
              <w:rPr>
                <w:rFonts w:ascii="宋体" w:hAnsi="宋体" w:cs="宋体" w:eastAsia="宋体" w:hint="default"/>
                <w:sz w:val="22"/>
                <w:szCs w:val="22"/>
              </w:rPr>
            </w:pPr>
            <w:r>
              <w:rPr>
                <w:rFonts w:ascii="宋体" w:hAnsi="宋体" w:cs="宋体" w:eastAsia="宋体" w:hint="default"/>
                <w:sz w:val="22"/>
                <w:szCs w:val="22"/>
              </w:rPr>
              <w:t>总额比例</w:t>
            </w:r>
          </w:p>
        </w:tc>
      </w:tr>
      <w:tr>
        <w:trPr>
          <w:trHeight w:val="558" w:hRule="exact"/>
        </w:trPr>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第一名</w:t>
            </w:r>
          </w:p>
        </w:tc>
        <w:tc>
          <w:tcPr>
            <w:tcW w:w="1898"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2"/>
                <w:szCs w:val="22"/>
              </w:rPr>
            </w:pPr>
            <w:r>
              <w:rPr>
                <w:rFonts w:ascii="宋体" w:hAnsi="宋体" w:cs="宋体" w:eastAsia="宋体" w:hint="default"/>
                <w:sz w:val="22"/>
                <w:szCs w:val="22"/>
              </w:rPr>
              <w:t>第三方</w:t>
            </w:r>
          </w:p>
        </w:tc>
        <w:tc>
          <w:tcPr>
            <w:tcW w:w="119" w:type="dxa"/>
            <w:tcBorders>
              <w:top w:val="nil" w:sz="6" w:space="0" w:color="auto"/>
              <w:left w:val="nil" w:sz="6" w:space="0" w:color="auto"/>
              <w:bottom w:val="nil" w:sz="6" w:space="0" w:color="auto"/>
              <w:right w:val="nil" w:sz="6" w:space="0" w:color="auto"/>
            </w:tcBorders>
          </w:tcPr>
          <w:p>
            <w:pPr/>
          </w:p>
        </w:tc>
        <w:tc>
          <w:tcPr>
            <w:tcW w:w="1756"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25"/>
              <w:jc w:val="right"/>
              <w:rPr>
                <w:rFonts w:ascii="Arial" w:hAnsi="Arial" w:cs="Arial" w:eastAsia="Arial" w:hint="default"/>
                <w:sz w:val="22"/>
                <w:szCs w:val="22"/>
              </w:rPr>
            </w:pPr>
            <w:r>
              <w:rPr>
                <w:rFonts w:ascii="Arial"/>
                <w:w w:val="95"/>
                <w:sz w:val="22"/>
              </w:rPr>
              <w:t>98,431,426</w:t>
            </w:r>
            <w:r>
              <w:rPr>
                <w:rFonts w:ascii="Arial"/>
                <w:sz w:val="22"/>
              </w:rPr>
            </w:r>
          </w:p>
        </w:tc>
        <w:tc>
          <w:tcPr>
            <w:tcW w:w="108" w:type="dxa"/>
            <w:tcBorders>
              <w:top w:val="nil" w:sz="6" w:space="0" w:color="auto"/>
              <w:left w:val="nil" w:sz="6" w:space="0" w:color="auto"/>
              <w:bottom w:val="nil" w:sz="6" w:space="0" w:color="auto"/>
              <w:right w:val="nil" w:sz="6" w:space="0" w:color="auto"/>
            </w:tcBorders>
          </w:tcPr>
          <w:p>
            <w:pPr/>
          </w:p>
        </w:tc>
        <w:tc>
          <w:tcPr>
            <w:tcW w:w="174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56"/>
              <w:jc w:val="right"/>
              <w:rPr>
                <w:rFonts w:ascii="宋体" w:hAnsi="宋体" w:cs="宋体" w:eastAsia="宋体" w:hint="default"/>
                <w:sz w:val="22"/>
                <w:szCs w:val="22"/>
              </w:rPr>
            </w:pPr>
            <w:r>
              <w:rPr>
                <w:rFonts w:ascii="宋体" w:hAnsi="宋体" w:cs="宋体" w:eastAsia="宋体" w:hint="default"/>
                <w:w w:val="95"/>
                <w:sz w:val="22"/>
                <w:szCs w:val="22"/>
              </w:rPr>
              <w:t>一至五年</w:t>
            </w:r>
            <w:r>
              <w:rPr>
                <w:rFonts w:ascii="宋体" w:hAnsi="宋体" w:cs="宋体" w:eastAsia="宋体" w:hint="default"/>
                <w:sz w:val="22"/>
                <w:szCs w:val="22"/>
              </w:rPr>
            </w:r>
          </w:p>
        </w:tc>
        <w:tc>
          <w:tcPr>
            <w:tcW w:w="232" w:type="dxa"/>
            <w:tcBorders>
              <w:top w:val="nil" w:sz="6" w:space="0" w:color="auto"/>
              <w:left w:val="nil" w:sz="6" w:space="0" w:color="auto"/>
              <w:bottom w:val="nil" w:sz="6" w:space="0" w:color="auto"/>
              <w:right w:val="nil" w:sz="6" w:space="0" w:color="auto"/>
            </w:tcBorders>
          </w:tcPr>
          <w:p>
            <w:pPr/>
          </w:p>
        </w:tc>
        <w:tc>
          <w:tcPr>
            <w:tcW w:w="1663"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1"/>
              <w:jc w:val="right"/>
              <w:rPr>
                <w:rFonts w:ascii="Arial" w:hAnsi="Arial" w:cs="Arial" w:eastAsia="Arial" w:hint="default"/>
                <w:sz w:val="22"/>
                <w:szCs w:val="22"/>
              </w:rPr>
            </w:pPr>
            <w:r>
              <w:rPr>
                <w:rFonts w:ascii="Arial"/>
                <w:w w:val="95"/>
                <w:sz w:val="22"/>
              </w:rPr>
              <w:t>1.68%</w:t>
            </w:r>
            <w:r>
              <w:rPr>
                <w:rFonts w:ascii="Arial"/>
                <w:sz w:val="22"/>
              </w:rPr>
            </w:r>
          </w:p>
        </w:tc>
      </w:tr>
      <w:tr>
        <w:trPr>
          <w:trHeight w:val="286" w:hRule="exact"/>
        </w:trPr>
        <w:tc>
          <w:tcPr>
            <w:tcW w:w="1747"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第二名</w:t>
            </w:r>
          </w:p>
        </w:tc>
        <w:tc>
          <w:tcPr>
            <w:tcW w:w="1898" w:type="dxa"/>
            <w:tcBorders>
              <w:top w:val="nil" w:sz="6" w:space="0" w:color="auto"/>
              <w:left w:val="nil" w:sz="6" w:space="0" w:color="auto"/>
              <w:bottom w:val="nil" w:sz="6" w:space="0" w:color="auto"/>
              <w:right w:val="nil" w:sz="6" w:space="0" w:color="auto"/>
            </w:tcBorders>
          </w:tcPr>
          <w:p>
            <w:pPr>
              <w:pStyle w:val="TableParagraph"/>
              <w:spacing w:line="239" w:lineRule="exact"/>
              <w:ind w:right="1"/>
              <w:jc w:val="center"/>
              <w:rPr>
                <w:rFonts w:ascii="宋体" w:hAnsi="宋体" w:cs="宋体" w:eastAsia="宋体" w:hint="default"/>
                <w:sz w:val="22"/>
                <w:szCs w:val="22"/>
              </w:rPr>
            </w:pPr>
            <w:r>
              <w:rPr>
                <w:rFonts w:ascii="宋体" w:hAnsi="宋体" w:cs="宋体" w:eastAsia="宋体" w:hint="default"/>
                <w:sz w:val="22"/>
                <w:szCs w:val="22"/>
              </w:rPr>
              <w:t>第三方</w:t>
            </w:r>
          </w:p>
        </w:tc>
        <w:tc>
          <w:tcPr>
            <w:tcW w:w="119"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Arial" w:hAnsi="Arial" w:cs="Arial" w:eastAsia="Arial" w:hint="default"/>
                <w:sz w:val="22"/>
                <w:szCs w:val="22"/>
              </w:rPr>
            </w:pPr>
            <w:r>
              <w:rPr>
                <w:rFonts w:ascii="Arial"/>
                <w:w w:val="95"/>
                <w:sz w:val="22"/>
              </w:rPr>
              <w:t>42,335,546</w:t>
            </w:r>
            <w:r>
              <w:rPr>
                <w:rFonts w:ascii="Arial"/>
                <w:sz w:val="22"/>
              </w:rPr>
            </w:r>
          </w:p>
        </w:tc>
        <w:tc>
          <w:tcPr>
            <w:tcW w:w="108"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39" w:lineRule="exact"/>
              <w:ind w:right="56"/>
              <w:jc w:val="right"/>
              <w:rPr>
                <w:rFonts w:ascii="宋体" w:hAnsi="宋体" w:cs="宋体" w:eastAsia="宋体" w:hint="default"/>
                <w:sz w:val="22"/>
                <w:szCs w:val="22"/>
              </w:rPr>
            </w:pPr>
            <w:r>
              <w:rPr>
                <w:rFonts w:ascii="宋体" w:hAnsi="宋体" w:cs="宋体" w:eastAsia="宋体" w:hint="default"/>
                <w:w w:val="95"/>
                <w:sz w:val="22"/>
                <w:szCs w:val="22"/>
              </w:rPr>
              <w:t>一至五年</w:t>
            </w:r>
            <w:r>
              <w:rPr>
                <w:rFonts w:ascii="宋体" w:hAnsi="宋体" w:cs="宋体" w:eastAsia="宋体" w:hint="default"/>
                <w:sz w:val="22"/>
                <w:szCs w:val="22"/>
              </w:rPr>
            </w:r>
          </w:p>
        </w:tc>
        <w:tc>
          <w:tcPr>
            <w:tcW w:w="232"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1"/>
              <w:jc w:val="right"/>
              <w:rPr>
                <w:rFonts w:ascii="Arial" w:hAnsi="Arial" w:cs="Arial" w:eastAsia="Arial" w:hint="default"/>
                <w:sz w:val="22"/>
                <w:szCs w:val="22"/>
              </w:rPr>
            </w:pPr>
            <w:r>
              <w:rPr>
                <w:rFonts w:ascii="Arial"/>
                <w:w w:val="95"/>
                <w:sz w:val="22"/>
              </w:rPr>
              <w:t>0.72%</w:t>
            </w:r>
            <w:r>
              <w:rPr>
                <w:rFonts w:ascii="Arial"/>
                <w:sz w:val="22"/>
              </w:rPr>
            </w:r>
          </w:p>
        </w:tc>
      </w:tr>
      <w:tr>
        <w:trPr>
          <w:trHeight w:val="286" w:hRule="exact"/>
        </w:trPr>
        <w:tc>
          <w:tcPr>
            <w:tcW w:w="1747"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第三名</w:t>
            </w:r>
          </w:p>
        </w:tc>
        <w:tc>
          <w:tcPr>
            <w:tcW w:w="1898" w:type="dxa"/>
            <w:tcBorders>
              <w:top w:val="nil" w:sz="6" w:space="0" w:color="auto"/>
              <w:left w:val="nil" w:sz="6" w:space="0" w:color="auto"/>
              <w:bottom w:val="nil" w:sz="6" w:space="0" w:color="auto"/>
              <w:right w:val="nil" w:sz="6" w:space="0" w:color="auto"/>
            </w:tcBorders>
          </w:tcPr>
          <w:p>
            <w:pPr>
              <w:pStyle w:val="TableParagraph"/>
              <w:spacing w:line="239" w:lineRule="exact"/>
              <w:ind w:right="1"/>
              <w:jc w:val="center"/>
              <w:rPr>
                <w:rFonts w:ascii="宋体" w:hAnsi="宋体" w:cs="宋体" w:eastAsia="宋体" w:hint="default"/>
                <w:sz w:val="22"/>
                <w:szCs w:val="22"/>
              </w:rPr>
            </w:pPr>
            <w:r>
              <w:rPr>
                <w:rFonts w:ascii="宋体" w:hAnsi="宋体" w:cs="宋体" w:eastAsia="宋体" w:hint="default"/>
                <w:sz w:val="22"/>
                <w:szCs w:val="22"/>
              </w:rPr>
              <w:t>第三方</w:t>
            </w:r>
          </w:p>
        </w:tc>
        <w:tc>
          <w:tcPr>
            <w:tcW w:w="119"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Arial" w:hAnsi="Arial" w:cs="Arial" w:eastAsia="Arial" w:hint="default"/>
                <w:sz w:val="22"/>
                <w:szCs w:val="22"/>
              </w:rPr>
            </w:pPr>
            <w:r>
              <w:rPr>
                <w:rFonts w:ascii="Arial"/>
                <w:w w:val="95"/>
                <w:sz w:val="22"/>
              </w:rPr>
              <w:t>38,081,163</w:t>
            </w:r>
            <w:r>
              <w:rPr>
                <w:rFonts w:ascii="Arial"/>
                <w:sz w:val="22"/>
              </w:rPr>
            </w:r>
          </w:p>
        </w:tc>
        <w:tc>
          <w:tcPr>
            <w:tcW w:w="108"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39" w:lineRule="exact"/>
              <w:ind w:right="56"/>
              <w:jc w:val="right"/>
              <w:rPr>
                <w:rFonts w:ascii="宋体" w:hAnsi="宋体" w:cs="宋体" w:eastAsia="宋体" w:hint="default"/>
                <w:sz w:val="22"/>
                <w:szCs w:val="22"/>
              </w:rPr>
            </w:pPr>
            <w:r>
              <w:rPr>
                <w:rFonts w:ascii="宋体" w:hAnsi="宋体" w:cs="宋体" w:eastAsia="宋体" w:hint="default"/>
                <w:w w:val="95"/>
                <w:sz w:val="22"/>
                <w:szCs w:val="22"/>
              </w:rPr>
              <w:t>一至五年</w:t>
            </w:r>
            <w:r>
              <w:rPr>
                <w:rFonts w:ascii="宋体" w:hAnsi="宋体" w:cs="宋体" w:eastAsia="宋体" w:hint="default"/>
                <w:sz w:val="22"/>
                <w:szCs w:val="22"/>
              </w:rPr>
            </w:r>
          </w:p>
        </w:tc>
        <w:tc>
          <w:tcPr>
            <w:tcW w:w="232"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1"/>
              <w:jc w:val="right"/>
              <w:rPr>
                <w:rFonts w:ascii="Arial" w:hAnsi="Arial" w:cs="Arial" w:eastAsia="Arial" w:hint="default"/>
                <w:sz w:val="22"/>
                <w:szCs w:val="22"/>
              </w:rPr>
            </w:pPr>
            <w:r>
              <w:rPr>
                <w:rFonts w:ascii="Arial"/>
                <w:w w:val="95"/>
                <w:sz w:val="22"/>
              </w:rPr>
              <w:t>0.65%</w:t>
            </w:r>
            <w:r>
              <w:rPr>
                <w:rFonts w:ascii="Arial"/>
                <w:sz w:val="22"/>
              </w:rPr>
            </w:r>
          </w:p>
        </w:tc>
      </w:tr>
      <w:tr>
        <w:trPr>
          <w:trHeight w:val="285" w:hRule="exact"/>
        </w:trPr>
        <w:tc>
          <w:tcPr>
            <w:tcW w:w="1747"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第四名</w:t>
            </w:r>
          </w:p>
        </w:tc>
        <w:tc>
          <w:tcPr>
            <w:tcW w:w="1898" w:type="dxa"/>
            <w:tcBorders>
              <w:top w:val="nil" w:sz="6" w:space="0" w:color="auto"/>
              <w:left w:val="nil" w:sz="6" w:space="0" w:color="auto"/>
              <w:bottom w:val="nil" w:sz="6" w:space="0" w:color="auto"/>
              <w:right w:val="nil" w:sz="6" w:space="0" w:color="auto"/>
            </w:tcBorders>
          </w:tcPr>
          <w:p>
            <w:pPr>
              <w:pStyle w:val="TableParagraph"/>
              <w:spacing w:line="239" w:lineRule="exact"/>
              <w:ind w:right="1"/>
              <w:jc w:val="center"/>
              <w:rPr>
                <w:rFonts w:ascii="宋体" w:hAnsi="宋体" w:cs="宋体" w:eastAsia="宋体" w:hint="default"/>
                <w:sz w:val="22"/>
                <w:szCs w:val="22"/>
              </w:rPr>
            </w:pPr>
            <w:r>
              <w:rPr>
                <w:rFonts w:ascii="宋体" w:hAnsi="宋体" w:cs="宋体" w:eastAsia="宋体" w:hint="default"/>
                <w:sz w:val="22"/>
                <w:szCs w:val="22"/>
              </w:rPr>
              <w:t>第三方</w:t>
            </w:r>
          </w:p>
        </w:tc>
        <w:tc>
          <w:tcPr>
            <w:tcW w:w="119"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Arial" w:hAnsi="Arial" w:cs="Arial" w:eastAsia="Arial" w:hint="default"/>
                <w:sz w:val="22"/>
                <w:szCs w:val="22"/>
              </w:rPr>
            </w:pPr>
            <w:r>
              <w:rPr>
                <w:rFonts w:ascii="Arial"/>
                <w:w w:val="95"/>
                <w:sz w:val="22"/>
              </w:rPr>
              <w:t>32,878,000</w:t>
            </w:r>
            <w:r>
              <w:rPr>
                <w:rFonts w:ascii="Arial"/>
                <w:sz w:val="22"/>
              </w:rPr>
            </w:r>
          </w:p>
        </w:tc>
        <w:tc>
          <w:tcPr>
            <w:tcW w:w="108"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39" w:lineRule="exact"/>
              <w:ind w:right="56"/>
              <w:jc w:val="right"/>
              <w:rPr>
                <w:rFonts w:ascii="宋体" w:hAnsi="宋体" w:cs="宋体" w:eastAsia="宋体" w:hint="default"/>
                <w:sz w:val="22"/>
                <w:szCs w:val="22"/>
              </w:rPr>
            </w:pPr>
            <w:r>
              <w:rPr>
                <w:rFonts w:ascii="宋体" w:hAnsi="宋体" w:cs="宋体" w:eastAsia="宋体" w:hint="default"/>
                <w:w w:val="95"/>
                <w:sz w:val="22"/>
                <w:szCs w:val="22"/>
              </w:rPr>
              <w:t>二年以内</w:t>
            </w:r>
            <w:r>
              <w:rPr>
                <w:rFonts w:ascii="宋体" w:hAnsi="宋体" w:cs="宋体" w:eastAsia="宋体" w:hint="default"/>
                <w:sz w:val="22"/>
                <w:szCs w:val="22"/>
              </w:rPr>
            </w:r>
          </w:p>
        </w:tc>
        <w:tc>
          <w:tcPr>
            <w:tcW w:w="232"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1"/>
              <w:jc w:val="right"/>
              <w:rPr>
                <w:rFonts w:ascii="Arial" w:hAnsi="Arial" w:cs="Arial" w:eastAsia="Arial" w:hint="default"/>
                <w:sz w:val="22"/>
                <w:szCs w:val="22"/>
              </w:rPr>
            </w:pPr>
            <w:r>
              <w:rPr>
                <w:rFonts w:ascii="Arial"/>
                <w:w w:val="95"/>
                <w:sz w:val="22"/>
              </w:rPr>
              <w:t>0.56%</w:t>
            </w:r>
            <w:r>
              <w:rPr>
                <w:rFonts w:ascii="Arial"/>
                <w:sz w:val="22"/>
              </w:rPr>
            </w:r>
          </w:p>
        </w:tc>
      </w:tr>
      <w:tr>
        <w:trPr>
          <w:trHeight w:val="419" w:hRule="exact"/>
        </w:trPr>
        <w:tc>
          <w:tcPr>
            <w:tcW w:w="1747"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第五名</w:t>
            </w:r>
          </w:p>
        </w:tc>
        <w:tc>
          <w:tcPr>
            <w:tcW w:w="1898" w:type="dxa"/>
            <w:tcBorders>
              <w:top w:val="nil" w:sz="6" w:space="0" w:color="auto"/>
              <w:left w:val="nil" w:sz="6" w:space="0" w:color="auto"/>
              <w:bottom w:val="nil" w:sz="6" w:space="0" w:color="auto"/>
              <w:right w:val="nil" w:sz="6" w:space="0" w:color="auto"/>
            </w:tcBorders>
          </w:tcPr>
          <w:p>
            <w:pPr>
              <w:pStyle w:val="TableParagraph"/>
              <w:spacing w:line="239" w:lineRule="exact"/>
              <w:ind w:right="1"/>
              <w:jc w:val="center"/>
              <w:rPr>
                <w:rFonts w:ascii="宋体" w:hAnsi="宋体" w:cs="宋体" w:eastAsia="宋体" w:hint="default"/>
                <w:sz w:val="22"/>
                <w:szCs w:val="22"/>
              </w:rPr>
            </w:pPr>
            <w:r>
              <w:rPr>
                <w:rFonts w:ascii="宋体" w:hAnsi="宋体" w:cs="宋体" w:eastAsia="宋体" w:hint="default"/>
                <w:sz w:val="22"/>
                <w:szCs w:val="22"/>
              </w:rPr>
              <w:t>第三方</w:t>
            </w:r>
          </w:p>
        </w:tc>
        <w:tc>
          <w:tcPr>
            <w:tcW w:w="119"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tabs>
                <w:tab w:pos="641" w:val="left" w:leader="none"/>
                <w:tab w:pos="1748"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7,812,613</w:t>
            </w:r>
            <w:r>
              <w:rPr>
                <w:rFonts w:ascii="Arial"/>
                <w:sz w:val="22"/>
                <w:u w:val="single" w:color="000000"/>
              </w:rPr>
              <w:tab/>
            </w:r>
            <w:r>
              <w:rPr>
                <w:rFonts w:ascii="Arial"/>
                <w:sz w:val="22"/>
              </w:rPr>
            </w:r>
          </w:p>
        </w:tc>
        <w:tc>
          <w:tcPr>
            <w:tcW w:w="108"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39" w:lineRule="exact"/>
              <w:ind w:right="56"/>
              <w:jc w:val="right"/>
              <w:rPr>
                <w:rFonts w:ascii="宋体" w:hAnsi="宋体" w:cs="宋体" w:eastAsia="宋体" w:hint="default"/>
                <w:sz w:val="22"/>
                <w:szCs w:val="22"/>
              </w:rPr>
            </w:pPr>
            <w:r>
              <w:rPr>
                <w:rFonts w:ascii="宋体" w:hAnsi="宋体" w:cs="宋体" w:eastAsia="宋体" w:hint="default"/>
                <w:w w:val="95"/>
                <w:sz w:val="22"/>
                <w:szCs w:val="22"/>
              </w:rPr>
              <w:t>一年以内</w:t>
            </w:r>
            <w:r>
              <w:rPr>
                <w:rFonts w:ascii="宋体" w:hAnsi="宋体" w:cs="宋体" w:eastAsia="宋体" w:hint="default"/>
                <w:sz w:val="22"/>
                <w:szCs w:val="22"/>
              </w:rPr>
            </w:r>
          </w:p>
        </w:tc>
        <w:tc>
          <w:tcPr>
            <w:tcW w:w="232"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tabs>
                <w:tab w:pos="988" w:val="left" w:leader="none"/>
              </w:tabs>
              <w:spacing w:line="240" w:lineRule="auto" w:before="17"/>
              <w:ind w:right="41"/>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0.13%</w:t>
            </w:r>
            <w:r>
              <w:rPr>
                <w:rFonts w:ascii="Arial"/>
                <w:w w:val="95"/>
                <w:sz w:val="22"/>
              </w:rPr>
            </w:r>
            <w:r>
              <w:rPr>
                <w:rFonts w:ascii="Arial"/>
                <w:sz w:val="22"/>
              </w:rPr>
            </w:r>
          </w:p>
        </w:tc>
      </w:tr>
      <w:tr>
        <w:trPr>
          <w:trHeight w:val="431" w:hRule="exact"/>
        </w:trPr>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898" w:type="dxa"/>
            <w:tcBorders>
              <w:top w:val="nil" w:sz="6" w:space="0" w:color="auto"/>
              <w:left w:val="nil" w:sz="6" w:space="0" w:color="auto"/>
              <w:bottom w:val="nil" w:sz="6" w:space="0" w:color="auto"/>
              <w:right w:val="nil" w:sz="6" w:space="0" w:color="auto"/>
            </w:tcBorders>
          </w:tcPr>
          <w:p>
            <w:pPr/>
          </w:p>
        </w:tc>
        <w:tc>
          <w:tcPr>
            <w:tcW w:w="119"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24"/>
              <w:jc w:val="right"/>
              <w:rPr>
                <w:rFonts w:ascii="Arial" w:hAnsi="Arial" w:cs="Arial" w:eastAsia="Arial" w:hint="default"/>
                <w:sz w:val="22"/>
                <w:szCs w:val="22"/>
              </w:rPr>
            </w:pPr>
            <w:r>
              <w:rPr>
                <w:rFonts w:ascii="Arial"/>
                <w:w w:val="95"/>
                <w:sz w:val="22"/>
              </w:rPr>
              <w:t>219,538,748</w:t>
            </w:r>
            <w:r>
              <w:rPr>
                <w:rFonts w:ascii="Arial"/>
                <w:sz w:val="22"/>
              </w:rPr>
            </w:r>
          </w:p>
        </w:tc>
        <w:tc>
          <w:tcPr>
            <w:tcW w:w="108"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41"/>
              <w:jc w:val="right"/>
              <w:rPr>
                <w:rFonts w:ascii="Arial" w:hAnsi="Arial" w:cs="Arial" w:eastAsia="Arial" w:hint="default"/>
                <w:sz w:val="22"/>
                <w:szCs w:val="22"/>
              </w:rPr>
            </w:pPr>
            <w:r>
              <w:rPr>
                <w:rFonts w:ascii="Arial"/>
                <w:w w:val="95"/>
                <w:sz w:val="22"/>
              </w:rPr>
              <w:t>3.74%</w:t>
            </w:r>
            <w:r>
              <w:rPr>
                <w:rFonts w:ascii="Arial"/>
                <w:sz w:val="22"/>
              </w:rPr>
            </w:r>
          </w:p>
        </w:tc>
      </w:tr>
    </w:tbl>
    <w:p>
      <w:pPr>
        <w:spacing w:line="240" w:lineRule="auto" w:before="2"/>
        <w:rPr>
          <w:rFonts w:ascii="宋体" w:hAnsi="宋体" w:cs="宋体" w:eastAsia="宋体" w:hint="default"/>
          <w:sz w:val="14"/>
          <w:szCs w:val="14"/>
        </w:rPr>
      </w:pPr>
    </w:p>
    <w:p>
      <w:pPr>
        <w:pStyle w:val="BodyText"/>
        <w:spacing w:line="240" w:lineRule="auto" w:before="31"/>
        <w:ind w:left="122" w:right="115"/>
        <w:jc w:val="left"/>
      </w:pPr>
      <w:r>
        <w:rPr>
          <w:rFonts w:ascii="Arial" w:hAnsi="Arial" w:cs="Arial" w:eastAsia="Arial" w:hint="default"/>
        </w:rPr>
        <w:t>(h) </w:t>
      </w:r>
      <w:r>
        <w:rPr>
          <w:rFonts w:ascii="Arial" w:hAnsi="Arial" w:cs="Arial" w:eastAsia="Arial" w:hint="default"/>
          <w:spacing w:val="23"/>
        </w:rPr>
        <w:t> </w:t>
      </w:r>
      <w:r>
        <w:rPr/>
        <w:t>于</w:t>
      </w:r>
      <w:r>
        <w:rPr>
          <w:spacing w:val="-57"/>
        </w:rPr>
        <w:t> </w:t>
      </w:r>
      <w:r>
        <w:rPr>
          <w:rFonts w:ascii="Arial" w:hAnsi="Arial" w:cs="Arial" w:eastAsia="Arial" w:hint="default"/>
        </w:rPr>
        <w:t>2012</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日，其他应收款中无应收关联方的款项。</w:t>
      </w:r>
    </w:p>
    <w:p>
      <w:pPr>
        <w:spacing w:line="240" w:lineRule="auto" w:before="0"/>
        <w:rPr>
          <w:rFonts w:ascii="宋体" w:hAnsi="宋体" w:cs="宋体" w:eastAsia="宋体" w:hint="default"/>
          <w:sz w:val="20"/>
          <w:szCs w:val="20"/>
        </w:rPr>
      </w:pPr>
    </w:p>
    <w:p>
      <w:pPr>
        <w:pStyle w:val="BodyText"/>
        <w:tabs>
          <w:tab w:pos="542" w:val="left" w:leader="none"/>
        </w:tabs>
        <w:spacing w:line="286" w:lineRule="exact"/>
        <w:ind w:left="542" w:right="115" w:hanging="420"/>
        <w:jc w:val="left"/>
      </w:pPr>
      <w:r>
        <w:rPr>
          <w:rFonts w:ascii="Arial" w:hAnsi="Arial" w:cs="Arial" w:eastAsia="Arial" w:hint="default"/>
          <w:w w:val="95"/>
        </w:rPr>
        <w:t>(i)</w:t>
        <w:tab/>
      </w:r>
      <w:r>
        <w:rPr/>
        <w:t>于</w:t>
      </w:r>
      <w:r>
        <w:rPr>
          <w:spacing w:val="-51"/>
        </w:rPr>
        <w:t> </w:t>
      </w:r>
      <w:r>
        <w:rPr>
          <w:rFonts w:ascii="Arial" w:hAnsi="Arial" w:cs="Arial" w:eastAsia="Arial" w:hint="default"/>
        </w:rPr>
        <w:t>2012</w:t>
      </w:r>
      <w:r>
        <w:rPr>
          <w:rFonts w:ascii="Arial" w:hAnsi="Arial" w:cs="Arial" w:eastAsia="Arial" w:hint="default"/>
          <w:spacing w:val="-2"/>
        </w:rPr>
        <w:t> </w:t>
      </w:r>
      <w:r>
        <w:rPr/>
        <w:t>年</w:t>
      </w:r>
      <w:r>
        <w:rPr>
          <w:spacing w:val="-51"/>
        </w:rPr>
        <w:t> </w:t>
      </w:r>
      <w:r>
        <w:rPr>
          <w:rFonts w:ascii="Arial" w:hAnsi="Arial" w:cs="Arial" w:eastAsia="Arial" w:hint="default"/>
        </w:rPr>
        <w:t>12</w:t>
      </w:r>
      <w:r>
        <w:rPr>
          <w:rFonts w:ascii="Arial" w:hAnsi="Arial" w:cs="Arial" w:eastAsia="Arial" w:hint="default"/>
          <w:spacing w:val="-2"/>
        </w:rPr>
        <w:t> </w:t>
      </w:r>
      <w:r>
        <w:rPr/>
        <w:t>月</w:t>
      </w:r>
      <w:r>
        <w:rPr>
          <w:spacing w:val="-51"/>
        </w:rPr>
        <w:t> </w:t>
      </w:r>
      <w:r>
        <w:rPr>
          <w:rFonts w:ascii="Arial" w:hAnsi="Arial" w:cs="Arial" w:eastAsia="Arial" w:hint="default"/>
        </w:rPr>
        <w:t>31</w:t>
      </w:r>
      <w:r>
        <w:rPr>
          <w:rFonts w:ascii="Arial" w:hAnsi="Arial" w:cs="Arial" w:eastAsia="Arial" w:hint="default"/>
          <w:spacing w:val="-2"/>
        </w:rPr>
        <w:t> </w:t>
      </w:r>
      <w:r>
        <w:rPr/>
        <w:t>日及</w:t>
      </w:r>
      <w:r>
        <w:rPr>
          <w:spacing w:val="-51"/>
        </w:rPr>
        <w:t> </w:t>
      </w:r>
      <w:r>
        <w:rPr>
          <w:rFonts w:ascii="Arial" w:hAnsi="Arial" w:cs="Arial" w:eastAsia="Arial" w:hint="default"/>
        </w:rPr>
        <w:t>2011</w:t>
      </w:r>
      <w:r>
        <w:rPr>
          <w:rFonts w:ascii="Arial" w:hAnsi="Arial" w:cs="Arial" w:eastAsia="Arial" w:hint="default"/>
          <w:spacing w:val="-2"/>
        </w:rPr>
        <w:t> </w:t>
      </w:r>
      <w:r>
        <w:rPr/>
        <w:t>年</w:t>
      </w:r>
      <w:r>
        <w:rPr>
          <w:spacing w:val="-51"/>
        </w:rPr>
        <w:t> </w:t>
      </w:r>
      <w:r>
        <w:rPr>
          <w:rFonts w:ascii="Arial" w:hAnsi="Arial" w:cs="Arial" w:eastAsia="Arial" w:hint="default"/>
        </w:rPr>
        <w:t>12</w:t>
      </w:r>
      <w:r>
        <w:rPr>
          <w:rFonts w:ascii="Arial" w:hAnsi="Arial" w:cs="Arial" w:eastAsia="Arial" w:hint="default"/>
          <w:spacing w:val="-2"/>
        </w:rPr>
        <w:t> </w:t>
      </w:r>
      <w:r>
        <w:rPr/>
        <w:t>月</w:t>
      </w:r>
      <w:r>
        <w:rPr>
          <w:spacing w:val="-51"/>
        </w:rPr>
        <w:t> </w:t>
      </w:r>
      <w:r>
        <w:rPr>
          <w:rFonts w:ascii="Arial" w:hAnsi="Arial" w:cs="Arial" w:eastAsia="Arial" w:hint="default"/>
        </w:rPr>
        <w:t>31</w:t>
      </w:r>
      <w:r>
        <w:rPr>
          <w:rFonts w:ascii="Arial" w:hAnsi="Arial" w:cs="Arial" w:eastAsia="Arial" w:hint="default"/>
          <w:spacing w:val="-2"/>
        </w:rPr>
        <w:t> </w:t>
      </w:r>
      <w:r>
        <w:rPr/>
        <w:t>日，本集团其他应收款中以外币计价的余额并不重</w:t>
      </w:r>
      <w:r>
        <w:rPr>
          <w:w w:val="99"/>
        </w:rPr>
        <w:t> </w:t>
      </w:r>
      <w:r>
        <w:rPr/>
        <w:t>大。</w:t>
      </w:r>
    </w:p>
    <w:p>
      <w:pPr>
        <w:spacing w:line="240" w:lineRule="auto" w:before="2"/>
        <w:rPr>
          <w:rFonts w:ascii="宋体" w:hAnsi="宋体" w:cs="宋体" w:eastAsia="宋体" w:hint="default"/>
          <w:sz w:val="17"/>
          <w:szCs w:val="17"/>
        </w:rPr>
      </w:pPr>
    </w:p>
    <w:p>
      <w:pPr>
        <w:pStyle w:val="BodyText"/>
        <w:spacing w:line="240" w:lineRule="auto"/>
        <w:ind w:left="136" w:right="115"/>
        <w:jc w:val="left"/>
      </w:pPr>
      <w:r>
        <w:rPr>
          <w:rFonts w:ascii="Arial" w:hAnsi="Arial" w:cs="Arial" w:eastAsia="Arial" w:hint="default"/>
        </w:rPr>
        <w:t>5</w:t>
      </w:r>
      <w:r>
        <w:rPr/>
        <w:t>、</w:t>
      </w:r>
      <w:r>
        <w:rPr>
          <w:spacing w:val="-52"/>
        </w:rPr>
        <w:t> </w:t>
      </w:r>
      <w:r>
        <w:rPr/>
        <w:t>预付款项</w:t>
      </w:r>
    </w:p>
    <w:p>
      <w:pPr>
        <w:spacing w:line="240" w:lineRule="auto" w:before="12"/>
        <w:rPr>
          <w:rFonts w:ascii="宋体" w:hAnsi="宋体" w:cs="宋体" w:eastAsia="宋体" w:hint="default"/>
          <w:sz w:val="17"/>
          <w:szCs w:val="17"/>
        </w:rPr>
      </w:pPr>
    </w:p>
    <w:p>
      <w:pPr>
        <w:pStyle w:val="BodyText"/>
        <w:spacing w:line="240" w:lineRule="auto"/>
        <w:ind w:left="136" w:right="115"/>
        <w:jc w:val="left"/>
      </w:pPr>
      <w:r>
        <w:rPr>
          <w:rFonts w:ascii="Arial" w:hAnsi="Arial" w:cs="Arial" w:eastAsia="Arial" w:hint="default"/>
        </w:rPr>
        <w:t>(a) </w:t>
      </w:r>
      <w:r>
        <w:rPr>
          <w:rFonts w:ascii="Arial" w:hAnsi="Arial" w:cs="Arial" w:eastAsia="Arial" w:hint="default"/>
          <w:spacing w:val="5"/>
        </w:rPr>
        <w:t> </w:t>
      </w:r>
      <w:r>
        <w:rPr/>
        <w:t>本集团预付款项账龄分析如下：</w:t>
      </w:r>
    </w:p>
    <w:p>
      <w:pPr>
        <w:spacing w:line="240" w:lineRule="auto" w:before="2"/>
        <w:rPr>
          <w:rFonts w:ascii="宋体" w:hAnsi="宋体" w:cs="宋体" w:eastAsia="宋体" w:hint="default"/>
          <w:sz w:val="23"/>
          <w:szCs w:val="23"/>
        </w:rPr>
      </w:pPr>
    </w:p>
    <w:tbl>
      <w:tblPr>
        <w:tblW w:w="0" w:type="auto"/>
        <w:jc w:val="left"/>
        <w:tblInd w:w="545" w:type="dxa"/>
        <w:tblLayout w:type="fixed"/>
        <w:tblCellMar>
          <w:top w:w="0" w:type="dxa"/>
          <w:left w:w="0" w:type="dxa"/>
          <w:bottom w:w="0" w:type="dxa"/>
          <w:right w:w="0" w:type="dxa"/>
        </w:tblCellMar>
        <w:tblLook w:val="01E0"/>
      </w:tblPr>
      <w:tblGrid>
        <w:gridCol w:w="2322"/>
        <w:gridCol w:w="140"/>
        <w:gridCol w:w="1614"/>
        <w:gridCol w:w="148"/>
        <w:gridCol w:w="1402"/>
        <w:gridCol w:w="174"/>
        <w:gridCol w:w="1561"/>
        <w:gridCol w:w="146"/>
        <w:gridCol w:w="1565"/>
      </w:tblGrid>
      <w:tr>
        <w:trPr>
          <w:trHeight w:val="260" w:hRule="exact"/>
        </w:trPr>
        <w:tc>
          <w:tcPr>
            <w:tcW w:w="5626" w:type="dxa"/>
            <w:gridSpan w:val="5"/>
            <w:tcBorders>
              <w:top w:val="nil" w:sz="6" w:space="0" w:color="auto"/>
              <w:left w:val="nil" w:sz="6" w:space="0" w:color="auto"/>
              <w:bottom w:val="nil" w:sz="6" w:space="0" w:color="auto"/>
              <w:right w:val="nil" w:sz="6" w:space="0" w:color="auto"/>
            </w:tcBorders>
          </w:tcPr>
          <w:p>
            <w:pPr>
              <w:pStyle w:val="TableParagraph"/>
              <w:spacing w:line="235" w:lineRule="exact"/>
              <w:ind w:left="3014" w:right="0"/>
              <w:jc w:val="lef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3446" w:type="dxa"/>
            <w:gridSpan w:val="4"/>
            <w:tcBorders>
              <w:top w:val="nil" w:sz="6" w:space="0" w:color="auto"/>
              <w:left w:val="nil" w:sz="6" w:space="0" w:color="auto"/>
              <w:bottom w:val="nil" w:sz="6" w:space="0" w:color="auto"/>
              <w:right w:val="nil" w:sz="6" w:space="0" w:color="auto"/>
            </w:tcBorders>
          </w:tcPr>
          <w:p>
            <w:pPr>
              <w:pStyle w:val="TableParagraph"/>
              <w:spacing w:line="235" w:lineRule="exact"/>
              <w:ind w:left="854"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301" w:hRule="exact"/>
        </w:trPr>
        <w:tc>
          <w:tcPr>
            <w:tcW w:w="2322" w:type="dxa"/>
            <w:tcBorders>
              <w:top w:val="nil" w:sz="6" w:space="0" w:color="auto"/>
              <w:left w:val="nil" w:sz="6" w:space="0" w:color="auto"/>
              <w:bottom w:val="single" w:sz="6" w:space="0" w:color="000000"/>
              <w:right w:val="nil" w:sz="6" w:space="0" w:color="auto"/>
            </w:tcBorders>
          </w:tcPr>
          <w:p>
            <w:pPr>
              <w:pStyle w:val="TableParagraph"/>
              <w:spacing w:line="260" w:lineRule="exact"/>
              <w:ind w:left="35" w:right="0"/>
              <w:jc w:val="left"/>
              <w:rPr>
                <w:rFonts w:ascii="宋体" w:hAnsi="宋体" w:cs="宋体" w:eastAsia="宋体" w:hint="default"/>
                <w:sz w:val="22"/>
                <w:szCs w:val="22"/>
              </w:rPr>
            </w:pPr>
            <w:r>
              <w:rPr>
                <w:rFonts w:ascii="宋体" w:hAnsi="宋体" w:cs="宋体" w:eastAsia="宋体" w:hint="default"/>
                <w:sz w:val="22"/>
                <w:szCs w:val="22"/>
              </w:rPr>
              <w:t>账龄</w:t>
            </w:r>
          </w:p>
        </w:tc>
        <w:tc>
          <w:tcPr>
            <w:tcW w:w="140" w:type="dxa"/>
            <w:tcBorders>
              <w:top w:val="nil" w:sz="6" w:space="0" w:color="auto"/>
              <w:left w:val="nil" w:sz="6" w:space="0" w:color="auto"/>
              <w:bottom w:val="nil" w:sz="6" w:space="0" w:color="auto"/>
              <w:right w:val="nil" w:sz="6" w:space="0" w:color="auto"/>
            </w:tcBorders>
          </w:tcPr>
          <w:p>
            <w:pPr/>
          </w:p>
        </w:tc>
        <w:tc>
          <w:tcPr>
            <w:tcW w:w="1614" w:type="dxa"/>
            <w:tcBorders>
              <w:top w:val="single" w:sz="6" w:space="0" w:color="000000"/>
              <w:left w:val="nil" w:sz="6" w:space="0" w:color="auto"/>
              <w:bottom w:val="single" w:sz="6" w:space="0" w:color="000000"/>
              <w:right w:val="nil" w:sz="6" w:space="0" w:color="auto"/>
            </w:tcBorders>
          </w:tcPr>
          <w:p>
            <w:pPr>
              <w:pStyle w:val="TableParagraph"/>
              <w:spacing w:line="253" w:lineRule="exact"/>
              <w:ind w:left="1070"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148" w:type="dxa"/>
            <w:tcBorders>
              <w:top w:val="single" w:sz="6" w:space="0" w:color="000000"/>
              <w:left w:val="nil" w:sz="6" w:space="0" w:color="auto"/>
              <w:bottom w:val="nil" w:sz="6" w:space="0" w:color="auto"/>
              <w:right w:val="nil" w:sz="6" w:space="0" w:color="auto"/>
            </w:tcBorders>
          </w:tcPr>
          <w:p>
            <w:pPr/>
          </w:p>
        </w:tc>
        <w:tc>
          <w:tcPr>
            <w:tcW w:w="1402" w:type="dxa"/>
            <w:tcBorders>
              <w:top w:val="single" w:sz="6" w:space="0" w:color="000000"/>
              <w:left w:val="nil" w:sz="6" w:space="0" w:color="auto"/>
              <w:bottom w:val="single" w:sz="6" w:space="0" w:color="000000"/>
              <w:right w:val="nil" w:sz="6" w:space="0" w:color="auto"/>
            </w:tcBorders>
          </w:tcPr>
          <w:p>
            <w:pPr>
              <w:pStyle w:val="TableParagraph"/>
              <w:spacing w:line="269" w:lineRule="exact"/>
              <w:ind w:right="69"/>
              <w:jc w:val="right"/>
              <w:rPr>
                <w:rFonts w:ascii="Arial" w:hAnsi="Arial" w:cs="Arial" w:eastAsia="Arial" w:hint="default"/>
                <w:sz w:val="22"/>
                <w:szCs w:val="22"/>
              </w:rPr>
            </w:pPr>
            <w:r>
              <w:rPr>
                <w:rFonts w:ascii="宋体" w:hAnsi="宋体" w:cs="宋体" w:eastAsia="宋体" w:hint="default"/>
                <w:w w:val="95"/>
                <w:sz w:val="22"/>
                <w:szCs w:val="22"/>
              </w:rPr>
              <w:t>比例</w:t>
            </w:r>
            <w:r>
              <w:rPr>
                <w:rFonts w:ascii="Arial" w:hAnsi="Arial" w:cs="Arial" w:eastAsia="Arial" w:hint="default"/>
                <w:w w:val="95"/>
                <w:sz w:val="22"/>
                <w:szCs w:val="22"/>
              </w:rPr>
              <w:t>(%)</w:t>
            </w:r>
            <w:r>
              <w:rPr>
                <w:rFonts w:ascii="Arial" w:hAnsi="Arial" w:cs="Arial" w:eastAsia="Arial" w:hint="default"/>
                <w:sz w:val="22"/>
                <w:szCs w:val="22"/>
              </w:rPr>
            </w:r>
          </w:p>
        </w:tc>
        <w:tc>
          <w:tcPr>
            <w:tcW w:w="174" w:type="dxa"/>
            <w:tcBorders>
              <w:top w:val="nil" w:sz="6" w:space="0" w:color="auto"/>
              <w:left w:val="nil" w:sz="6" w:space="0" w:color="auto"/>
              <w:bottom w:val="nil" w:sz="6" w:space="0" w:color="auto"/>
              <w:right w:val="nil" w:sz="6" w:space="0" w:color="auto"/>
            </w:tcBorders>
          </w:tcPr>
          <w:p>
            <w:pPr/>
          </w:p>
        </w:tc>
        <w:tc>
          <w:tcPr>
            <w:tcW w:w="1561" w:type="dxa"/>
            <w:tcBorders>
              <w:top w:val="single" w:sz="6" w:space="0" w:color="000000"/>
              <w:left w:val="nil" w:sz="6" w:space="0" w:color="auto"/>
              <w:bottom w:val="single" w:sz="6" w:space="0" w:color="000000"/>
              <w:right w:val="nil" w:sz="6" w:space="0" w:color="auto"/>
            </w:tcBorders>
          </w:tcPr>
          <w:p>
            <w:pPr>
              <w:pStyle w:val="TableParagraph"/>
              <w:spacing w:line="253" w:lineRule="exact"/>
              <w:ind w:right="47"/>
              <w:jc w:val="right"/>
              <w:rPr>
                <w:rFonts w:ascii="宋体" w:hAnsi="宋体" w:cs="宋体" w:eastAsia="宋体" w:hint="default"/>
                <w:sz w:val="22"/>
                <w:szCs w:val="22"/>
              </w:rPr>
            </w:pPr>
            <w:r>
              <w:rPr>
                <w:rFonts w:ascii="宋体" w:hAnsi="宋体" w:cs="宋体" w:eastAsia="宋体" w:hint="default"/>
                <w:w w:val="95"/>
                <w:sz w:val="22"/>
                <w:szCs w:val="22"/>
              </w:rPr>
              <w:t>金额</w:t>
            </w:r>
            <w:r>
              <w:rPr>
                <w:rFonts w:ascii="宋体" w:hAnsi="宋体" w:cs="宋体" w:eastAsia="宋体" w:hint="default"/>
                <w:sz w:val="22"/>
                <w:szCs w:val="22"/>
              </w:rPr>
            </w:r>
          </w:p>
        </w:tc>
        <w:tc>
          <w:tcPr>
            <w:tcW w:w="146" w:type="dxa"/>
            <w:tcBorders>
              <w:top w:val="single" w:sz="6" w:space="0" w:color="000000"/>
              <w:left w:val="nil" w:sz="6" w:space="0" w:color="auto"/>
              <w:bottom w:val="nil" w:sz="6" w:space="0" w:color="auto"/>
              <w:right w:val="nil" w:sz="6" w:space="0" w:color="auto"/>
            </w:tcBorders>
          </w:tcPr>
          <w:p>
            <w:pPr/>
          </w:p>
        </w:tc>
        <w:tc>
          <w:tcPr>
            <w:tcW w:w="1565" w:type="dxa"/>
            <w:tcBorders>
              <w:top w:val="single" w:sz="6" w:space="0" w:color="000000"/>
              <w:left w:val="nil" w:sz="6" w:space="0" w:color="auto"/>
              <w:bottom w:val="single" w:sz="6" w:space="0" w:color="000000"/>
              <w:right w:val="nil" w:sz="6" w:space="0" w:color="auto"/>
            </w:tcBorders>
          </w:tcPr>
          <w:p>
            <w:pPr>
              <w:pStyle w:val="TableParagraph"/>
              <w:spacing w:line="269" w:lineRule="exact"/>
              <w:ind w:right="74"/>
              <w:jc w:val="right"/>
              <w:rPr>
                <w:rFonts w:ascii="Arial" w:hAnsi="Arial" w:cs="Arial" w:eastAsia="Arial" w:hint="default"/>
                <w:sz w:val="22"/>
                <w:szCs w:val="22"/>
              </w:rPr>
            </w:pPr>
            <w:r>
              <w:rPr>
                <w:rFonts w:ascii="宋体" w:hAnsi="宋体" w:cs="宋体" w:eastAsia="宋体" w:hint="default"/>
                <w:w w:val="95"/>
                <w:sz w:val="22"/>
                <w:szCs w:val="22"/>
              </w:rPr>
              <w:t>比例</w:t>
            </w:r>
            <w:r>
              <w:rPr>
                <w:rFonts w:ascii="Arial" w:hAnsi="Arial" w:cs="Arial" w:eastAsia="Arial" w:hint="default"/>
                <w:w w:val="95"/>
                <w:sz w:val="22"/>
                <w:szCs w:val="22"/>
              </w:rPr>
              <w:t>(%)</w:t>
            </w:r>
            <w:r>
              <w:rPr>
                <w:rFonts w:ascii="Arial" w:hAnsi="Arial" w:cs="Arial" w:eastAsia="Arial" w:hint="default"/>
                <w:sz w:val="22"/>
                <w:szCs w:val="22"/>
              </w:rPr>
            </w:r>
          </w:p>
        </w:tc>
      </w:tr>
      <w:tr>
        <w:trPr>
          <w:trHeight w:val="571" w:hRule="exact"/>
        </w:trPr>
        <w:tc>
          <w:tcPr>
            <w:tcW w:w="2322"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8"/>
                <w:sz w:val="22"/>
                <w:szCs w:val="22"/>
              </w:rPr>
              <w:t> </w:t>
            </w:r>
            <w:r>
              <w:rPr>
                <w:rFonts w:ascii="宋体" w:hAnsi="宋体" w:cs="宋体" w:eastAsia="宋体" w:hint="default"/>
                <w:sz w:val="22"/>
                <w:szCs w:val="22"/>
              </w:rPr>
              <w:t>年以内</w:t>
            </w:r>
          </w:p>
        </w:tc>
        <w:tc>
          <w:tcPr>
            <w:tcW w:w="140" w:type="dxa"/>
            <w:tcBorders>
              <w:top w:val="nil" w:sz="6" w:space="0" w:color="auto"/>
              <w:left w:val="nil" w:sz="6" w:space="0" w:color="auto"/>
              <w:bottom w:val="nil" w:sz="6" w:space="0" w:color="auto"/>
              <w:right w:val="nil" w:sz="6" w:space="0" w:color="auto"/>
            </w:tcBorders>
          </w:tcPr>
          <w:p>
            <w:pPr/>
          </w:p>
        </w:tc>
        <w:tc>
          <w:tcPr>
            <w:tcW w:w="1614"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Arial" w:hAnsi="Arial" w:cs="Arial" w:eastAsia="Arial" w:hint="default"/>
                <w:sz w:val="22"/>
                <w:szCs w:val="22"/>
              </w:rPr>
            </w:pPr>
            <w:r>
              <w:rPr>
                <w:rFonts w:ascii="Arial"/>
                <w:sz w:val="22"/>
              </w:rPr>
              <w:t>4,046,779,902</w:t>
            </w:r>
          </w:p>
        </w:tc>
        <w:tc>
          <w:tcPr>
            <w:tcW w:w="148" w:type="dxa"/>
            <w:tcBorders>
              <w:top w:val="nil" w:sz="6" w:space="0" w:color="auto"/>
              <w:left w:val="nil" w:sz="6" w:space="0" w:color="auto"/>
              <w:bottom w:val="nil" w:sz="6" w:space="0" w:color="auto"/>
              <w:right w:val="nil" w:sz="6" w:space="0" w:color="auto"/>
            </w:tcBorders>
          </w:tcPr>
          <w:p>
            <w:pPr/>
          </w:p>
        </w:tc>
        <w:tc>
          <w:tcPr>
            <w:tcW w:w="140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5"/>
              <w:jc w:val="right"/>
              <w:rPr>
                <w:rFonts w:ascii="Arial" w:hAnsi="Arial" w:cs="Arial" w:eastAsia="Arial" w:hint="default"/>
                <w:sz w:val="22"/>
                <w:szCs w:val="22"/>
              </w:rPr>
            </w:pPr>
            <w:r>
              <w:rPr>
                <w:rFonts w:ascii="Arial"/>
                <w:w w:val="95"/>
                <w:sz w:val="22"/>
              </w:rPr>
              <w:t>97.06</w:t>
            </w:r>
            <w:r>
              <w:rPr>
                <w:rFonts w:ascii="Arial"/>
                <w:sz w:val="22"/>
              </w:rPr>
            </w:r>
          </w:p>
        </w:tc>
        <w:tc>
          <w:tcPr>
            <w:tcW w:w="174" w:type="dxa"/>
            <w:tcBorders>
              <w:top w:val="nil" w:sz="6" w:space="0" w:color="auto"/>
              <w:left w:val="nil" w:sz="6" w:space="0" w:color="auto"/>
              <w:bottom w:val="nil" w:sz="6" w:space="0" w:color="auto"/>
              <w:right w:val="nil" w:sz="6" w:space="0" w:color="auto"/>
            </w:tcBorders>
          </w:tcPr>
          <w:p>
            <w:pPr/>
          </w:p>
        </w:tc>
        <w:tc>
          <w:tcPr>
            <w:tcW w:w="1561"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66" w:right="0"/>
              <w:jc w:val="left"/>
              <w:rPr>
                <w:rFonts w:ascii="Arial" w:hAnsi="Arial" w:cs="Arial" w:eastAsia="Arial" w:hint="default"/>
                <w:sz w:val="22"/>
                <w:szCs w:val="22"/>
              </w:rPr>
            </w:pPr>
            <w:r>
              <w:rPr>
                <w:rFonts w:ascii="Arial"/>
                <w:sz w:val="22"/>
              </w:rPr>
              <w:t>3,612,272,838</w:t>
            </w:r>
          </w:p>
        </w:tc>
        <w:tc>
          <w:tcPr>
            <w:tcW w:w="146" w:type="dxa"/>
            <w:tcBorders>
              <w:top w:val="nil" w:sz="6" w:space="0" w:color="auto"/>
              <w:left w:val="nil" w:sz="6" w:space="0" w:color="auto"/>
              <w:bottom w:val="nil" w:sz="6" w:space="0" w:color="auto"/>
              <w:right w:val="nil" w:sz="6" w:space="0" w:color="auto"/>
            </w:tcBorders>
          </w:tcPr>
          <w:p>
            <w:pPr/>
          </w:p>
        </w:tc>
        <w:tc>
          <w:tcPr>
            <w:tcW w:w="1565"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62"/>
              <w:jc w:val="right"/>
              <w:rPr>
                <w:rFonts w:ascii="Arial" w:hAnsi="Arial" w:cs="Arial" w:eastAsia="Arial" w:hint="default"/>
                <w:sz w:val="22"/>
                <w:szCs w:val="22"/>
              </w:rPr>
            </w:pPr>
            <w:r>
              <w:rPr>
                <w:rFonts w:ascii="Arial"/>
                <w:w w:val="95"/>
                <w:sz w:val="22"/>
              </w:rPr>
              <w:t>97.91</w:t>
            </w:r>
            <w:r>
              <w:rPr>
                <w:rFonts w:ascii="Arial"/>
                <w:sz w:val="22"/>
              </w:rPr>
            </w:r>
          </w:p>
        </w:tc>
      </w:tr>
      <w:tr>
        <w:trPr>
          <w:trHeight w:val="286"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40"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05" w:right="0"/>
              <w:jc w:val="left"/>
              <w:rPr>
                <w:rFonts w:ascii="Arial" w:hAnsi="Arial" w:cs="Arial" w:eastAsia="Arial" w:hint="default"/>
                <w:sz w:val="22"/>
                <w:szCs w:val="22"/>
              </w:rPr>
            </w:pPr>
            <w:r>
              <w:rPr>
                <w:rFonts w:ascii="Arial"/>
                <w:sz w:val="22"/>
              </w:rPr>
              <w:t>72,060,327</w:t>
            </w:r>
          </w:p>
        </w:tc>
        <w:tc>
          <w:tcPr>
            <w:tcW w:w="148"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
              <w:jc w:val="right"/>
              <w:rPr>
                <w:rFonts w:ascii="Arial" w:hAnsi="Arial" w:cs="Arial" w:eastAsia="Arial" w:hint="default"/>
                <w:sz w:val="22"/>
                <w:szCs w:val="22"/>
              </w:rPr>
            </w:pPr>
            <w:r>
              <w:rPr>
                <w:rFonts w:ascii="Arial"/>
                <w:w w:val="95"/>
                <w:sz w:val="22"/>
              </w:rPr>
              <w:t>1.73</w:t>
            </w:r>
            <w:r>
              <w:rPr>
                <w:rFonts w:ascii="Arial"/>
                <w:sz w:val="22"/>
              </w:rPr>
            </w:r>
          </w:p>
        </w:tc>
        <w:tc>
          <w:tcPr>
            <w:tcW w:w="174"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70" w:right="0"/>
              <w:jc w:val="left"/>
              <w:rPr>
                <w:rFonts w:ascii="Arial" w:hAnsi="Arial" w:cs="Arial" w:eastAsia="Arial" w:hint="default"/>
                <w:sz w:val="22"/>
                <w:szCs w:val="22"/>
              </w:rPr>
            </w:pPr>
            <w:r>
              <w:rPr>
                <w:rFonts w:ascii="Arial"/>
                <w:sz w:val="22"/>
              </w:rPr>
              <w:t>45,862,804</w:t>
            </w:r>
          </w:p>
        </w:tc>
        <w:tc>
          <w:tcPr>
            <w:tcW w:w="14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2"/>
              <w:jc w:val="right"/>
              <w:rPr>
                <w:rFonts w:ascii="Arial" w:hAnsi="Arial" w:cs="Arial" w:eastAsia="Arial" w:hint="default"/>
                <w:sz w:val="22"/>
                <w:szCs w:val="22"/>
              </w:rPr>
            </w:pPr>
            <w:r>
              <w:rPr>
                <w:rFonts w:ascii="Arial"/>
                <w:w w:val="95"/>
                <w:sz w:val="22"/>
              </w:rPr>
              <w:t>1.25</w:t>
            </w:r>
            <w:r>
              <w:rPr>
                <w:rFonts w:ascii="Arial"/>
                <w:sz w:val="22"/>
              </w:rPr>
            </w:r>
          </w:p>
        </w:tc>
      </w:tr>
      <w:tr>
        <w:trPr>
          <w:trHeight w:val="286"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2"/>
                <w:szCs w:val="22"/>
              </w:rPr>
            </w:pPr>
            <w:r>
              <w:rPr>
                <w:rFonts w:ascii="Arial" w:hAnsi="Arial" w:cs="Arial" w:eastAsia="Arial" w:hint="default"/>
                <w:sz w:val="22"/>
                <w:szCs w:val="22"/>
              </w:rPr>
              <w:t>2-3</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40"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05" w:right="0"/>
              <w:jc w:val="left"/>
              <w:rPr>
                <w:rFonts w:ascii="Arial" w:hAnsi="Arial" w:cs="Arial" w:eastAsia="Arial" w:hint="default"/>
                <w:sz w:val="22"/>
                <w:szCs w:val="22"/>
              </w:rPr>
            </w:pPr>
            <w:r>
              <w:rPr>
                <w:rFonts w:ascii="Arial"/>
                <w:sz w:val="22"/>
              </w:rPr>
              <w:t>34,271,185</w:t>
            </w:r>
          </w:p>
        </w:tc>
        <w:tc>
          <w:tcPr>
            <w:tcW w:w="148"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
              <w:jc w:val="right"/>
              <w:rPr>
                <w:rFonts w:ascii="Arial" w:hAnsi="Arial" w:cs="Arial" w:eastAsia="Arial" w:hint="default"/>
                <w:sz w:val="22"/>
                <w:szCs w:val="22"/>
              </w:rPr>
            </w:pPr>
            <w:r>
              <w:rPr>
                <w:rFonts w:ascii="Arial"/>
                <w:w w:val="95"/>
                <w:sz w:val="22"/>
              </w:rPr>
              <w:t>0.82</w:t>
            </w:r>
            <w:r>
              <w:rPr>
                <w:rFonts w:ascii="Arial"/>
                <w:sz w:val="22"/>
              </w:rPr>
            </w:r>
          </w:p>
        </w:tc>
        <w:tc>
          <w:tcPr>
            <w:tcW w:w="174"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70" w:right="0"/>
              <w:jc w:val="left"/>
              <w:rPr>
                <w:rFonts w:ascii="Arial" w:hAnsi="Arial" w:cs="Arial" w:eastAsia="Arial" w:hint="default"/>
                <w:sz w:val="22"/>
                <w:szCs w:val="22"/>
              </w:rPr>
            </w:pPr>
            <w:r>
              <w:rPr>
                <w:rFonts w:ascii="Arial"/>
                <w:sz w:val="22"/>
              </w:rPr>
              <w:t>17,098,827</w:t>
            </w:r>
          </w:p>
        </w:tc>
        <w:tc>
          <w:tcPr>
            <w:tcW w:w="14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2"/>
              <w:jc w:val="right"/>
              <w:rPr>
                <w:rFonts w:ascii="Arial" w:hAnsi="Arial" w:cs="Arial" w:eastAsia="Arial" w:hint="default"/>
                <w:sz w:val="22"/>
                <w:szCs w:val="22"/>
              </w:rPr>
            </w:pPr>
            <w:r>
              <w:rPr>
                <w:rFonts w:ascii="Arial"/>
                <w:w w:val="95"/>
                <w:sz w:val="22"/>
              </w:rPr>
              <w:t>0.46</w:t>
            </w:r>
            <w:r>
              <w:rPr>
                <w:rFonts w:ascii="Arial"/>
                <w:sz w:val="22"/>
              </w:rPr>
            </w:r>
          </w:p>
        </w:tc>
      </w:tr>
      <w:tr>
        <w:trPr>
          <w:trHeight w:val="425"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2"/>
                <w:szCs w:val="22"/>
              </w:rPr>
            </w:pPr>
            <w:r>
              <w:rPr>
                <w:rFonts w:ascii="Arial" w:hAnsi="Arial" w:cs="Arial" w:eastAsia="Arial" w:hint="default"/>
                <w:sz w:val="22"/>
                <w:szCs w:val="22"/>
              </w:rPr>
              <w:t>3</w:t>
            </w:r>
            <w:r>
              <w:rPr>
                <w:rFonts w:ascii="Arial" w:hAnsi="Arial" w:cs="Arial" w:eastAsia="Arial" w:hint="default"/>
                <w:spacing w:val="-8"/>
                <w:sz w:val="22"/>
                <w:szCs w:val="22"/>
              </w:rPr>
              <w:t> </w:t>
            </w:r>
            <w:r>
              <w:rPr>
                <w:rFonts w:ascii="宋体" w:hAnsi="宋体" w:cs="宋体" w:eastAsia="宋体" w:hint="default"/>
                <w:sz w:val="22"/>
                <w:szCs w:val="22"/>
              </w:rPr>
              <w:t>年以上</w:t>
            </w:r>
          </w:p>
        </w:tc>
        <w:tc>
          <w:tcPr>
            <w:tcW w:w="140"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tabs>
                <w:tab w:pos="405" w:val="left" w:leader="none"/>
                <w:tab w:pos="1613" w:val="left" w:leader="none"/>
              </w:tabs>
              <w:spacing w:line="240" w:lineRule="auto" w:before="17"/>
              <w:ind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16,872,778</w:t>
              <w:tab/>
            </w:r>
            <w:r>
              <w:rPr>
                <w:rFonts w:ascii="Arial"/>
                <w:sz w:val="22"/>
              </w:rPr>
            </w:r>
          </w:p>
        </w:tc>
        <w:tc>
          <w:tcPr>
            <w:tcW w:w="148"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tabs>
                <w:tab w:pos="938" w:val="left" w:leader="none"/>
              </w:tabs>
              <w:spacing w:line="240" w:lineRule="auto" w:before="17"/>
              <w:ind w:right="2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0.39</w:t>
            </w:r>
            <w:r>
              <w:rPr>
                <w:rFonts w:ascii="Arial"/>
                <w:w w:val="95"/>
                <w:sz w:val="22"/>
              </w:rPr>
            </w:r>
            <w:r>
              <w:rPr>
                <w:rFonts w:ascii="Arial"/>
                <w:sz w:val="22"/>
              </w:rPr>
            </w:r>
          </w:p>
        </w:tc>
        <w:tc>
          <w:tcPr>
            <w:tcW w:w="174"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tabs>
                <w:tab w:pos="370" w:val="left" w:leader="none"/>
                <w:tab w:pos="1561" w:val="left" w:leader="none"/>
              </w:tabs>
              <w:spacing w:line="240" w:lineRule="auto" w:before="17"/>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13,879,927</w:t>
              <w:tab/>
            </w:r>
            <w:r>
              <w:rPr>
                <w:rFonts w:ascii="Arial"/>
                <w:sz w:val="22"/>
              </w:rPr>
            </w:r>
          </w:p>
        </w:tc>
        <w:tc>
          <w:tcPr>
            <w:tcW w:w="14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tabs>
                <w:tab w:pos="1064" w:val="left" w:leader="none"/>
                <w:tab w:pos="1557"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0.38</w:t>
            </w:r>
            <w:r>
              <w:rPr>
                <w:rFonts w:ascii="Arial"/>
                <w:sz w:val="22"/>
                <w:u w:val="single" w:color="000000"/>
              </w:rPr>
              <w:tab/>
            </w:r>
            <w:r>
              <w:rPr>
                <w:rFonts w:ascii="Arial"/>
                <w:sz w:val="22"/>
              </w:rPr>
            </w:r>
          </w:p>
        </w:tc>
      </w:tr>
      <w:tr>
        <w:trPr>
          <w:trHeight w:val="437"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40"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single" w:sz="17" w:space="0" w:color="000000"/>
              <w:right w:val="nil" w:sz="6" w:space="0" w:color="auto"/>
            </w:tcBorders>
          </w:tcPr>
          <w:p>
            <w:pPr>
              <w:pStyle w:val="TableParagraph"/>
              <w:spacing w:line="240" w:lineRule="auto" w:before="157"/>
              <w:ind w:left="100" w:right="0"/>
              <w:jc w:val="left"/>
              <w:rPr>
                <w:rFonts w:ascii="Arial" w:hAnsi="Arial" w:cs="Arial" w:eastAsia="Arial" w:hint="default"/>
                <w:sz w:val="22"/>
                <w:szCs w:val="22"/>
              </w:rPr>
            </w:pPr>
            <w:r>
              <w:rPr>
                <w:rFonts w:ascii="Arial"/>
                <w:sz w:val="22"/>
              </w:rPr>
              <w:t>4,169,984,192</w:t>
            </w:r>
          </w:p>
        </w:tc>
        <w:tc>
          <w:tcPr>
            <w:tcW w:w="148"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single" w:sz="17" w:space="0" w:color="000000"/>
              <w:right w:val="nil" w:sz="6" w:space="0" w:color="auto"/>
            </w:tcBorders>
          </w:tcPr>
          <w:p>
            <w:pPr>
              <w:pStyle w:val="TableParagraph"/>
              <w:spacing w:line="240" w:lineRule="auto" w:before="157"/>
              <w:ind w:right="25"/>
              <w:jc w:val="right"/>
              <w:rPr>
                <w:rFonts w:ascii="Arial" w:hAnsi="Arial" w:cs="Arial" w:eastAsia="Arial" w:hint="default"/>
                <w:sz w:val="22"/>
                <w:szCs w:val="22"/>
              </w:rPr>
            </w:pPr>
            <w:r>
              <w:rPr>
                <w:rFonts w:ascii="Arial"/>
                <w:w w:val="95"/>
                <w:sz w:val="22"/>
              </w:rPr>
              <w:t>100.00</w:t>
            </w:r>
            <w:r>
              <w:rPr>
                <w:rFonts w:ascii="Arial"/>
                <w:sz w:val="22"/>
              </w:rPr>
            </w:r>
          </w:p>
        </w:tc>
        <w:tc>
          <w:tcPr>
            <w:tcW w:w="174"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single" w:sz="17" w:space="0" w:color="000000"/>
              <w:right w:val="nil" w:sz="6" w:space="0" w:color="auto"/>
            </w:tcBorders>
          </w:tcPr>
          <w:p>
            <w:pPr>
              <w:pStyle w:val="TableParagraph"/>
              <w:spacing w:line="240" w:lineRule="auto" w:before="157"/>
              <w:ind w:left="66" w:right="0"/>
              <w:jc w:val="left"/>
              <w:rPr>
                <w:rFonts w:ascii="Arial" w:hAnsi="Arial" w:cs="Arial" w:eastAsia="Arial" w:hint="default"/>
                <w:sz w:val="22"/>
                <w:szCs w:val="22"/>
              </w:rPr>
            </w:pPr>
            <w:r>
              <w:rPr>
                <w:rFonts w:ascii="Arial"/>
                <w:sz w:val="22"/>
              </w:rPr>
              <w:t>3,689,114,396</w:t>
            </w:r>
          </w:p>
        </w:tc>
        <w:tc>
          <w:tcPr>
            <w:tcW w:w="14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17" w:space="0" w:color="000000"/>
              <w:right w:val="nil" w:sz="6" w:space="0" w:color="auto"/>
            </w:tcBorders>
          </w:tcPr>
          <w:p>
            <w:pPr>
              <w:pStyle w:val="TableParagraph"/>
              <w:spacing w:line="240" w:lineRule="auto" w:before="157"/>
              <w:ind w:right="62"/>
              <w:jc w:val="right"/>
              <w:rPr>
                <w:rFonts w:ascii="Arial" w:hAnsi="Arial" w:cs="Arial" w:eastAsia="Arial" w:hint="default"/>
                <w:sz w:val="22"/>
                <w:szCs w:val="22"/>
              </w:rPr>
            </w:pPr>
            <w:r>
              <w:rPr>
                <w:rFonts w:ascii="Arial"/>
                <w:w w:val="95"/>
                <w:sz w:val="22"/>
              </w:rPr>
              <w:t>100.00</w:t>
            </w:r>
            <w:r>
              <w:rPr>
                <w:rFonts w:ascii="Arial"/>
                <w:sz w:val="22"/>
              </w:rPr>
            </w:r>
          </w:p>
        </w:tc>
      </w:tr>
    </w:tbl>
    <w:p>
      <w:pPr>
        <w:spacing w:line="240" w:lineRule="auto" w:before="1"/>
        <w:rPr>
          <w:rFonts w:ascii="宋体" w:hAnsi="宋体" w:cs="宋体" w:eastAsia="宋体" w:hint="default"/>
          <w:sz w:val="14"/>
          <w:szCs w:val="14"/>
        </w:rPr>
      </w:pPr>
    </w:p>
    <w:p>
      <w:pPr>
        <w:pStyle w:val="BodyText"/>
        <w:spacing w:line="295" w:lineRule="exact" w:before="31"/>
        <w:ind w:left="570" w:right="0"/>
        <w:jc w:val="left"/>
      </w:pPr>
      <w:r>
        <w:rPr/>
        <w:t>于</w:t>
      </w:r>
      <w:r>
        <w:rPr>
          <w:spacing w:val="-56"/>
        </w:rPr>
        <w:t> </w:t>
      </w:r>
      <w:r>
        <w:rPr>
          <w:rFonts w:ascii="Arial" w:hAnsi="Arial" w:cs="Arial" w:eastAsia="Arial" w:hint="default"/>
        </w:rPr>
        <w:t>2012</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日，账龄超过</w:t>
      </w:r>
      <w:r>
        <w:rPr>
          <w:spacing w:val="-56"/>
        </w:rPr>
        <w:t> </w:t>
      </w:r>
      <w:r>
        <w:rPr>
          <w:rFonts w:ascii="Arial" w:hAnsi="Arial" w:cs="Arial" w:eastAsia="Arial" w:hint="default"/>
        </w:rPr>
        <w:t>1</w:t>
      </w:r>
      <w:r>
        <w:rPr>
          <w:rFonts w:ascii="Arial" w:hAnsi="Arial" w:cs="Arial" w:eastAsia="Arial" w:hint="default"/>
          <w:spacing w:val="-6"/>
        </w:rPr>
        <w:t> </w:t>
      </w:r>
      <w:r>
        <w:rPr/>
        <w:t>年的预付款项约人民币</w:t>
      </w:r>
      <w:r>
        <w:rPr>
          <w:spacing w:val="-54"/>
        </w:rPr>
        <w:t> </w:t>
      </w:r>
      <w:r>
        <w:rPr>
          <w:rFonts w:ascii="Arial" w:hAnsi="Arial" w:cs="Arial" w:eastAsia="Arial" w:hint="default"/>
        </w:rPr>
        <w:t>1.23</w:t>
      </w:r>
      <w:r>
        <w:rPr>
          <w:rFonts w:ascii="Arial" w:hAnsi="Arial" w:cs="Arial" w:eastAsia="Arial" w:hint="default"/>
          <w:spacing w:val="-7"/>
        </w:rPr>
        <w:t> </w:t>
      </w:r>
      <w:r>
        <w:rPr/>
        <w:t>亿元（</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pStyle w:val="BodyText"/>
        <w:spacing w:line="286" w:lineRule="exact" w:before="19"/>
        <w:ind w:left="570" w:right="107"/>
        <w:jc w:val="left"/>
      </w:pPr>
      <w:r>
        <w:rPr/>
        <w:t>约人民币</w:t>
      </w:r>
      <w:r>
        <w:rPr>
          <w:spacing w:val="-65"/>
        </w:rPr>
        <w:t> </w:t>
      </w:r>
      <w:r>
        <w:rPr>
          <w:rFonts w:ascii="Arial" w:hAnsi="Arial" w:cs="Arial" w:eastAsia="Arial" w:hint="default"/>
        </w:rPr>
        <w:t>0.77</w:t>
      </w:r>
      <w:r>
        <w:rPr>
          <w:rFonts w:ascii="Arial" w:hAnsi="Arial" w:cs="Arial" w:eastAsia="Arial" w:hint="default"/>
          <w:spacing w:val="-16"/>
        </w:rPr>
        <w:t> </w:t>
      </w:r>
      <w:r>
        <w:rPr>
          <w:spacing w:val="-4"/>
        </w:rPr>
        <w:t>亿元），主要为一些执行期限超过</w:t>
      </w:r>
      <w:r>
        <w:rPr>
          <w:spacing w:val="-64"/>
        </w:rPr>
        <w:t> </w:t>
      </w:r>
      <w:r>
        <w:rPr>
          <w:rFonts w:ascii="Arial" w:hAnsi="Arial" w:cs="Arial" w:eastAsia="Arial" w:hint="default"/>
        </w:rPr>
        <w:t>1</w:t>
      </w:r>
      <w:r>
        <w:rPr>
          <w:rFonts w:ascii="Arial" w:hAnsi="Arial" w:cs="Arial" w:eastAsia="Arial" w:hint="default"/>
          <w:spacing w:val="-16"/>
        </w:rPr>
        <w:t> </w:t>
      </w:r>
      <w:r>
        <w:rPr/>
        <w:t>年的预付购货款等，因为合同执行期限超过</w:t>
      </w:r>
      <w:r>
        <w:rPr>
          <w:w w:val="99"/>
        </w:rPr>
        <w:t> </w:t>
      </w:r>
      <w:r>
        <w:rPr/>
        <w:t>一年，该款项尚未结清。</w:t>
      </w:r>
    </w:p>
    <w:p>
      <w:pPr>
        <w:spacing w:after="0" w:line="286" w:lineRule="exact"/>
        <w:jc w:val="left"/>
        <w:sectPr>
          <w:headerReference w:type="default" r:id="rId86"/>
          <w:pgSz w:w="11910" w:h="16840"/>
          <w:pgMar w:header="1189" w:footer="457" w:top="4140" w:bottom="640" w:left="1260" w:right="920"/>
        </w:sectPr>
      </w:pPr>
    </w:p>
    <w:p>
      <w:pPr>
        <w:spacing w:line="240" w:lineRule="auto" w:before="1"/>
        <w:rPr>
          <w:rFonts w:ascii="宋体" w:hAnsi="宋体" w:cs="宋体" w:eastAsia="宋体" w:hint="default"/>
          <w:sz w:val="23"/>
          <w:szCs w:val="23"/>
        </w:rPr>
      </w:pPr>
    </w:p>
    <w:tbl>
      <w:tblPr>
        <w:tblW w:w="0" w:type="auto"/>
        <w:jc w:val="left"/>
        <w:tblInd w:w="382" w:type="dxa"/>
        <w:tblLayout w:type="fixed"/>
        <w:tblCellMar>
          <w:top w:w="0" w:type="dxa"/>
          <w:left w:w="0" w:type="dxa"/>
          <w:bottom w:w="0" w:type="dxa"/>
          <w:right w:w="0" w:type="dxa"/>
        </w:tblCellMar>
        <w:tblLook w:val="01E0"/>
      </w:tblPr>
      <w:tblGrid>
        <w:gridCol w:w="1991"/>
        <w:gridCol w:w="1800"/>
        <w:gridCol w:w="1261"/>
        <w:gridCol w:w="1080"/>
        <w:gridCol w:w="1740"/>
        <w:gridCol w:w="1478"/>
      </w:tblGrid>
      <w:tr>
        <w:trPr>
          <w:trHeight w:val="449" w:hRule="exact"/>
        </w:trPr>
        <w:tc>
          <w:tcPr>
            <w:tcW w:w="1991"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与本集团关系</w:t>
            </w:r>
          </w:p>
        </w:tc>
        <w:tc>
          <w:tcPr>
            <w:tcW w:w="1261" w:type="dxa"/>
            <w:tcBorders>
              <w:top w:val="nil" w:sz="6" w:space="0" w:color="auto"/>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4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80" w:type="dxa"/>
            <w:tcBorders>
              <w:top w:val="nil" w:sz="6" w:space="0" w:color="auto"/>
              <w:left w:val="nil" w:sz="6" w:space="0" w:color="auto"/>
              <w:bottom w:val="single" w:sz="6" w:space="0" w:color="000000"/>
              <w:right w:val="nil" w:sz="6" w:space="0" w:color="auto"/>
            </w:tcBorders>
          </w:tcPr>
          <w:p>
            <w:pPr>
              <w:pStyle w:val="TableParagraph"/>
              <w:spacing w:line="179" w:lineRule="exact"/>
              <w:ind w:left="164" w:right="0" w:firstLine="180"/>
              <w:jc w:val="left"/>
              <w:rPr>
                <w:rFonts w:ascii="宋体" w:hAnsi="宋体" w:cs="宋体" w:eastAsia="宋体" w:hint="default"/>
                <w:sz w:val="18"/>
                <w:szCs w:val="18"/>
              </w:rPr>
            </w:pPr>
            <w:r>
              <w:rPr>
                <w:rFonts w:ascii="宋体" w:hAnsi="宋体" w:cs="宋体" w:eastAsia="宋体" w:hint="default"/>
                <w:sz w:val="18"/>
                <w:szCs w:val="18"/>
              </w:rPr>
              <w:t>占预付款</w:t>
            </w:r>
          </w:p>
          <w:p>
            <w:pPr>
              <w:pStyle w:val="TableParagraph"/>
              <w:spacing w:line="234" w:lineRule="exact"/>
              <w:ind w:left="164" w:right="0"/>
              <w:jc w:val="left"/>
              <w:rPr>
                <w:rFonts w:ascii="宋体" w:hAnsi="宋体" w:cs="宋体" w:eastAsia="宋体" w:hint="default"/>
                <w:sz w:val="18"/>
                <w:szCs w:val="18"/>
              </w:rPr>
            </w:pPr>
            <w:r>
              <w:rPr>
                <w:rFonts w:ascii="宋体" w:hAnsi="宋体" w:cs="宋体" w:eastAsia="宋体" w:hint="default"/>
                <w:sz w:val="18"/>
                <w:szCs w:val="18"/>
              </w:rPr>
              <w:t>项总额比例</w:t>
            </w:r>
          </w:p>
        </w:tc>
        <w:tc>
          <w:tcPr>
            <w:tcW w:w="1740" w:type="dxa"/>
            <w:tcBorders>
              <w:top w:val="nil" w:sz="6" w:space="0" w:color="auto"/>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预付时间</w:t>
            </w:r>
          </w:p>
        </w:tc>
        <w:tc>
          <w:tcPr>
            <w:tcW w:w="1478" w:type="dxa"/>
            <w:tcBorders>
              <w:top w:val="nil" w:sz="6" w:space="0" w:color="auto"/>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65"/>
              <w:jc w:val="righ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58" w:hRule="exact"/>
        </w:trPr>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800"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261"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8" w:right="0"/>
              <w:jc w:val="left"/>
              <w:rPr>
                <w:rFonts w:ascii="Arial" w:hAnsi="Arial" w:cs="Arial" w:eastAsia="Arial" w:hint="default"/>
                <w:sz w:val="18"/>
                <w:szCs w:val="18"/>
              </w:rPr>
            </w:pPr>
            <w:r>
              <w:rPr>
                <w:rFonts w:ascii="Arial"/>
                <w:sz w:val="18"/>
              </w:rPr>
              <w:t>201,585,030</w:t>
            </w:r>
          </w:p>
        </w:tc>
        <w:tc>
          <w:tcPr>
            <w:tcW w:w="1080"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1"/>
              <w:jc w:val="right"/>
              <w:rPr>
                <w:rFonts w:ascii="Arial" w:hAnsi="Arial" w:cs="Arial" w:eastAsia="Arial" w:hint="default"/>
                <w:sz w:val="18"/>
                <w:szCs w:val="18"/>
              </w:rPr>
            </w:pPr>
            <w:r>
              <w:rPr>
                <w:rFonts w:ascii="Arial"/>
                <w:spacing w:val="-1"/>
                <w:sz w:val="18"/>
              </w:rPr>
              <w:t>4.83%</w:t>
            </w:r>
          </w:p>
        </w:tc>
        <w:tc>
          <w:tcPr>
            <w:tcW w:w="1740"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7"/>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p>
        </w:tc>
        <w:tc>
          <w:tcPr>
            <w:tcW w:w="1478"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78"/>
              <w:jc w:val="right"/>
              <w:rPr>
                <w:rFonts w:ascii="宋体" w:hAnsi="宋体" w:cs="宋体" w:eastAsia="宋体" w:hint="default"/>
                <w:sz w:val="18"/>
                <w:szCs w:val="18"/>
              </w:rPr>
            </w:pPr>
            <w:r>
              <w:rPr>
                <w:rFonts w:ascii="宋体" w:hAnsi="宋体" w:cs="宋体" w:eastAsia="宋体" w:hint="default"/>
                <w:sz w:val="18"/>
                <w:szCs w:val="18"/>
              </w:rPr>
              <w:t>约定业务未完成</w:t>
            </w:r>
          </w:p>
        </w:tc>
      </w:tr>
      <w:tr>
        <w:trPr>
          <w:trHeight w:val="233" w:hRule="exact"/>
        </w:trPr>
        <w:tc>
          <w:tcPr>
            <w:tcW w:w="1991"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800" w:type="dxa"/>
            <w:tcBorders>
              <w:top w:val="nil" w:sz="6" w:space="0" w:color="auto"/>
              <w:left w:val="nil" w:sz="6" w:space="0" w:color="auto"/>
              <w:bottom w:val="nil" w:sz="6" w:space="0" w:color="auto"/>
              <w:right w:val="nil" w:sz="6" w:space="0" w:color="auto"/>
            </w:tcBorders>
          </w:tcPr>
          <w:p>
            <w:pPr>
              <w:pStyle w:val="TableParagraph"/>
              <w:spacing w:line="195" w:lineRule="exact"/>
              <w:ind w:right="41"/>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8" w:right="0"/>
              <w:jc w:val="left"/>
              <w:rPr>
                <w:rFonts w:ascii="Arial" w:hAnsi="Arial" w:cs="Arial" w:eastAsia="Arial" w:hint="default"/>
                <w:sz w:val="18"/>
                <w:szCs w:val="18"/>
              </w:rPr>
            </w:pPr>
            <w:r>
              <w:rPr>
                <w:rFonts w:ascii="Arial"/>
                <w:sz w:val="18"/>
              </w:rPr>
              <w:t>23,590,240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
              <w:jc w:val="right"/>
              <w:rPr>
                <w:rFonts w:ascii="Arial" w:hAnsi="Arial" w:cs="Arial" w:eastAsia="Arial" w:hint="default"/>
                <w:sz w:val="18"/>
                <w:szCs w:val="18"/>
              </w:rPr>
            </w:pPr>
            <w:r>
              <w:rPr>
                <w:rFonts w:ascii="Arial"/>
                <w:spacing w:val="-1"/>
                <w:sz w:val="18"/>
              </w:rPr>
              <w:t>0.57%</w:t>
            </w:r>
          </w:p>
        </w:tc>
        <w:tc>
          <w:tcPr>
            <w:tcW w:w="1740" w:type="dxa"/>
            <w:tcBorders>
              <w:top w:val="nil" w:sz="6" w:space="0" w:color="auto"/>
              <w:left w:val="nil" w:sz="6" w:space="0" w:color="auto"/>
              <w:bottom w:val="nil" w:sz="6" w:space="0" w:color="auto"/>
              <w:right w:val="nil" w:sz="6" w:space="0" w:color="auto"/>
            </w:tcBorders>
          </w:tcPr>
          <w:p>
            <w:pPr>
              <w:pStyle w:val="TableParagraph"/>
              <w:spacing w:line="208" w:lineRule="exact"/>
              <w:ind w:right="137"/>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p>
        </w:tc>
        <w:tc>
          <w:tcPr>
            <w:tcW w:w="1478" w:type="dxa"/>
            <w:tcBorders>
              <w:top w:val="nil" w:sz="6" w:space="0" w:color="auto"/>
              <w:left w:val="nil" w:sz="6" w:space="0" w:color="auto"/>
              <w:bottom w:val="nil" w:sz="6" w:space="0" w:color="auto"/>
              <w:right w:val="nil" w:sz="6" w:space="0" w:color="auto"/>
            </w:tcBorders>
          </w:tcPr>
          <w:p>
            <w:pPr>
              <w:pStyle w:val="TableParagraph"/>
              <w:spacing w:line="195" w:lineRule="exact"/>
              <w:ind w:right="78"/>
              <w:jc w:val="right"/>
              <w:rPr>
                <w:rFonts w:ascii="宋体" w:hAnsi="宋体" w:cs="宋体" w:eastAsia="宋体" w:hint="default"/>
                <w:sz w:val="18"/>
                <w:szCs w:val="18"/>
              </w:rPr>
            </w:pPr>
            <w:r>
              <w:rPr>
                <w:rFonts w:ascii="宋体" w:hAnsi="宋体" w:cs="宋体" w:eastAsia="宋体" w:hint="default"/>
                <w:sz w:val="18"/>
                <w:szCs w:val="18"/>
              </w:rPr>
              <w:t>约定业务未完成</w:t>
            </w:r>
          </w:p>
        </w:tc>
      </w:tr>
      <w:tr>
        <w:trPr>
          <w:trHeight w:val="467" w:hRule="exact"/>
        </w:trPr>
        <w:tc>
          <w:tcPr>
            <w:tcW w:w="1991"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联通进出口有限公司</w:t>
            </w:r>
          </w:p>
          <w:p>
            <w:pPr>
              <w:pStyle w:val="TableParagraph"/>
              <w:spacing w:line="234" w:lineRule="exact"/>
              <w:ind w:left="200" w:right="0"/>
              <w:jc w:val="left"/>
              <w:rPr>
                <w:rFonts w:ascii="宋体" w:hAnsi="宋体" w:cs="宋体" w:eastAsia="宋体" w:hint="default"/>
                <w:sz w:val="18"/>
                <w:szCs w:val="18"/>
              </w:rPr>
            </w:pPr>
            <w:r>
              <w:rPr>
                <w:rFonts w:ascii="宋体" w:hAnsi="宋体" w:cs="宋体" w:eastAsia="宋体" w:hint="default"/>
                <w:sz w:val="18"/>
                <w:szCs w:val="18"/>
              </w:rPr>
              <w:t>（“联通进出口”）</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同受联通集团控制</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8" w:right="0"/>
              <w:jc w:val="left"/>
              <w:rPr>
                <w:rFonts w:ascii="Arial" w:hAnsi="Arial" w:cs="Arial" w:eastAsia="Arial" w:hint="default"/>
                <w:sz w:val="18"/>
                <w:szCs w:val="18"/>
              </w:rPr>
            </w:pPr>
            <w:r>
              <w:rPr>
                <w:rFonts w:ascii="Arial"/>
                <w:sz w:val="18"/>
              </w:rPr>
              <w:t>21,475,552</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Arial" w:hAnsi="Arial" w:cs="Arial" w:eastAsia="Arial" w:hint="default"/>
                <w:sz w:val="18"/>
                <w:szCs w:val="18"/>
              </w:rPr>
            </w:pPr>
            <w:r>
              <w:rPr>
                <w:rFonts w:ascii="Arial"/>
                <w:spacing w:val="-1"/>
                <w:sz w:val="18"/>
              </w:rPr>
              <w:t>0.52%</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37"/>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78"/>
              <w:jc w:val="right"/>
              <w:rPr>
                <w:rFonts w:ascii="宋体" w:hAnsi="宋体" w:cs="宋体" w:eastAsia="宋体" w:hint="default"/>
                <w:sz w:val="18"/>
                <w:szCs w:val="18"/>
              </w:rPr>
            </w:pPr>
            <w:r>
              <w:rPr>
                <w:rFonts w:ascii="宋体" w:hAnsi="宋体" w:cs="宋体" w:eastAsia="宋体" w:hint="default"/>
                <w:sz w:val="18"/>
                <w:szCs w:val="18"/>
              </w:rPr>
              <w:t>约定业务未完成</w:t>
            </w:r>
          </w:p>
        </w:tc>
      </w:tr>
      <w:tr>
        <w:trPr>
          <w:trHeight w:val="233" w:hRule="exact"/>
        </w:trPr>
        <w:tc>
          <w:tcPr>
            <w:tcW w:w="1991"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800" w:type="dxa"/>
            <w:tcBorders>
              <w:top w:val="nil" w:sz="6" w:space="0" w:color="auto"/>
              <w:left w:val="nil" w:sz="6" w:space="0" w:color="auto"/>
              <w:bottom w:val="nil" w:sz="6" w:space="0" w:color="auto"/>
              <w:right w:val="nil" w:sz="6" w:space="0" w:color="auto"/>
            </w:tcBorders>
          </w:tcPr>
          <w:p>
            <w:pPr>
              <w:pStyle w:val="TableParagraph"/>
              <w:spacing w:line="196" w:lineRule="exact"/>
              <w:ind w:right="41"/>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8" w:right="0"/>
              <w:jc w:val="left"/>
              <w:rPr>
                <w:rFonts w:ascii="Arial" w:hAnsi="Arial" w:cs="Arial" w:eastAsia="Arial" w:hint="default"/>
                <w:sz w:val="18"/>
                <w:szCs w:val="18"/>
              </w:rPr>
            </w:pPr>
            <w:r>
              <w:rPr>
                <w:rFonts w:ascii="Arial"/>
                <w:sz w:val="18"/>
              </w:rPr>
              <w:t>13,495,745</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
              <w:jc w:val="right"/>
              <w:rPr>
                <w:rFonts w:ascii="Arial" w:hAnsi="Arial" w:cs="Arial" w:eastAsia="Arial" w:hint="default"/>
                <w:sz w:val="18"/>
                <w:szCs w:val="18"/>
              </w:rPr>
            </w:pPr>
            <w:r>
              <w:rPr>
                <w:rFonts w:ascii="Arial"/>
                <w:spacing w:val="-1"/>
                <w:sz w:val="18"/>
              </w:rPr>
              <w:t>0.32%</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09" w:lineRule="exact"/>
              <w:ind w:right="137"/>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p>
        </w:tc>
        <w:tc>
          <w:tcPr>
            <w:tcW w:w="1478" w:type="dxa"/>
            <w:tcBorders>
              <w:top w:val="nil" w:sz="6" w:space="0" w:color="auto"/>
              <w:left w:val="nil" w:sz="6" w:space="0" w:color="auto"/>
              <w:bottom w:val="nil" w:sz="6" w:space="0" w:color="auto"/>
              <w:right w:val="nil" w:sz="6" w:space="0" w:color="auto"/>
            </w:tcBorders>
          </w:tcPr>
          <w:p>
            <w:pPr>
              <w:pStyle w:val="TableParagraph"/>
              <w:spacing w:line="196" w:lineRule="exact"/>
              <w:ind w:right="78"/>
              <w:jc w:val="right"/>
              <w:rPr>
                <w:rFonts w:ascii="宋体" w:hAnsi="宋体" w:cs="宋体" w:eastAsia="宋体" w:hint="default"/>
                <w:sz w:val="18"/>
                <w:szCs w:val="18"/>
              </w:rPr>
            </w:pPr>
            <w:r>
              <w:rPr>
                <w:rFonts w:ascii="宋体" w:hAnsi="宋体" w:cs="宋体" w:eastAsia="宋体" w:hint="default"/>
                <w:sz w:val="18"/>
                <w:szCs w:val="18"/>
              </w:rPr>
              <w:t>约定业务未完成</w:t>
            </w:r>
          </w:p>
        </w:tc>
      </w:tr>
      <w:tr>
        <w:trPr>
          <w:trHeight w:val="344" w:hRule="exact"/>
        </w:trPr>
        <w:tc>
          <w:tcPr>
            <w:tcW w:w="1991"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800" w:type="dxa"/>
            <w:tcBorders>
              <w:top w:val="nil" w:sz="6" w:space="0" w:color="auto"/>
              <w:left w:val="nil" w:sz="6" w:space="0" w:color="auto"/>
              <w:bottom w:val="nil" w:sz="6" w:space="0" w:color="auto"/>
              <w:right w:val="nil" w:sz="6" w:space="0" w:color="auto"/>
            </w:tcBorders>
          </w:tcPr>
          <w:p>
            <w:pPr>
              <w:pStyle w:val="TableParagraph"/>
              <w:spacing w:line="195" w:lineRule="exact"/>
              <w:ind w:right="41"/>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261" w:type="dxa"/>
            <w:tcBorders>
              <w:top w:val="nil" w:sz="6" w:space="0" w:color="auto"/>
              <w:left w:val="nil" w:sz="6" w:space="0" w:color="auto"/>
              <w:bottom w:val="nil" w:sz="6" w:space="0" w:color="auto"/>
              <w:right w:val="nil" w:sz="6" w:space="0" w:color="auto"/>
            </w:tcBorders>
          </w:tcPr>
          <w:p>
            <w:pPr>
              <w:pStyle w:val="TableParagraph"/>
              <w:tabs>
                <w:tab w:pos="388" w:val="left" w:leader="none"/>
                <w:tab w:pos="1261" w:val="left" w:leader="none"/>
              </w:tabs>
              <w:spacing w:line="240" w:lineRule="auto" w:before="14"/>
              <w:ind w:left="90"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8,430,700</w:t>
              <w:tab/>
            </w:r>
            <w:r>
              <w:rPr>
                <w:rFonts w:ascii="Arial"/>
                <w:sz w:val="18"/>
              </w:rPr>
            </w:r>
          </w:p>
        </w:tc>
        <w:tc>
          <w:tcPr>
            <w:tcW w:w="1080" w:type="dxa"/>
            <w:tcBorders>
              <w:top w:val="nil" w:sz="6" w:space="0" w:color="auto"/>
              <w:left w:val="nil" w:sz="6" w:space="0" w:color="auto"/>
              <w:bottom w:val="nil" w:sz="6" w:space="0" w:color="auto"/>
              <w:right w:val="nil" w:sz="6" w:space="0" w:color="auto"/>
            </w:tcBorders>
          </w:tcPr>
          <w:p>
            <w:pPr>
              <w:pStyle w:val="TableParagraph"/>
              <w:tabs>
                <w:tab w:pos="467" w:val="left" w:leader="none"/>
              </w:tabs>
              <w:spacing w:line="240" w:lineRule="auto" w:before="14"/>
              <w:ind w:right="1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0.20%</w:t>
            </w:r>
            <w:r>
              <w:rPr>
                <w:rFonts w:ascii="Arial"/>
                <w:spacing w:val="-1"/>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08" w:lineRule="exact"/>
              <w:ind w:right="137"/>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p>
        </w:tc>
        <w:tc>
          <w:tcPr>
            <w:tcW w:w="1478" w:type="dxa"/>
            <w:tcBorders>
              <w:top w:val="nil" w:sz="6" w:space="0" w:color="auto"/>
              <w:left w:val="nil" w:sz="6" w:space="0" w:color="auto"/>
              <w:bottom w:val="nil" w:sz="6" w:space="0" w:color="auto"/>
              <w:right w:val="nil" w:sz="6" w:space="0" w:color="auto"/>
            </w:tcBorders>
          </w:tcPr>
          <w:p>
            <w:pPr>
              <w:pStyle w:val="TableParagraph"/>
              <w:spacing w:line="195" w:lineRule="exact"/>
              <w:ind w:right="78"/>
              <w:jc w:val="right"/>
              <w:rPr>
                <w:rFonts w:ascii="宋体" w:hAnsi="宋体" w:cs="宋体" w:eastAsia="宋体" w:hint="default"/>
                <w:sz w:val="18"/>
                <w:szCs w:val="18"/>
              </w:rPr>
            </w:pPr>
            <w:r>
              <w:rPr>
                <w:rFonts w:ascii="宋体" w:hAnsi="宋体" w:cs="宋体" w:eastAsia="宋体" w:hint="default"/>
                <w:sz w:val="18"/>
                <w:szCs w:val="18"/>
              </w:rPr>
              <w:t>约定业务未完成</w:t>
            </w:r>
          </w:p>
        </w:tc>
      </w:tr>
      <w:tr>
        <w:trPr>
          <w:trHeight w:val="358" w:hRule="exact"/>
        </w:trPr>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0"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single" w:sz="17" w:space="0" w:color="000000"/>
              <w:right w:val="nil" w:sz="6" w:space="0" w:color="auto"/>
            </w:tcBorders>
          </w:tcPr>
          <w:p>
            <w:pPr>
              <w:pStyle w:val="TableParagraph"/>
              <w:spacing w:line="240" w:lineRule="auto" w:before="126"/>
              <w:ind w:left="188" w:right="0"/>
              <w:jc w:val="left"/>
              <w:rPr>
                <w:rFonts w:ascii="Arial" w:hAnsi="Arial" w:cs="Arial" w:eastAsia="Arial" w:hint="default"/>
                <w:sz w:val="18"/>
                <w:szCs w:val="18"/>
              </w:rPr>
            </w:pPr>
            <w:r>
              <w:rPr>
                <w:rFonts w:ascii="Arial"/>
                <w:sz w:val="18"/>
              </w:rPr>
              <w:t>268,577,267</w:t>
            </w:r>
          </w:p>
        </w:tc>
        <w:tc>
          <w:tcPr>
            <w:tcW w:w="1080" w:type="dxa"/>
            <w:tcBorders>
              <w:top w:val="nil" w:sz="6" w:space="0" w:color="auto"/>
              <w:left w:val="nil" w:sz="6" w:space="0" w:color="auto"/>
              <w:bottom w:val="single" w:sz="17" w:space="0" w:color="000000"/>
              <w:right w:val="nil" w:sz="6" w:space="0" w:color="auto"/>
            </w:tcBorders>
          </w:tcPr>
          <w:p>
            <w:pPr>
              <w:pStyle w:val="TableParagraph"/>
              <w:spacing w:line="240" w:lineRule="auto" w:before="126"/>
              <w:ind w:right="11"/>
              <w:jc w:val="right"/>
              <w:rPr>
                <w:rFonts w:ascii="Arial" w:hAnsi="Arial" w:cs="Arial" w:eastAsia="Arial" w:hint="default"/>
                <w:sz w:val="18"/>
                <w:szCs w:val="18"/>
              </w:rPr>
            </w:pPr>
            <w:r>
              <w:rPr>
                <w:rFonts w:ascii="Arial"/>
                <w:spacing w:val="-1"/>
                <w:sz w:val="18"/>
              </w:rPr>
              <w:t>6.44%</w:t>
            </w:r>
          </w:p>
        </w:tc>
        <w:tc>
          <w:tcPr>
            <w:tcW w:w="1740"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14"/>
          <w:szCs w:val="14"/>
        </w:rPr>
      </w:pPr>
    </w:p>
    <w:p>
      <w:pPr>
        <w:pStyle w:val="BodyText"/>
        <w:spacing w:line="284" w:lineRule="exact" w:before="61"/>
        <w:ind w:left="554" w:right="89" w:hanging="432"/>
        <w:jc w:val="left"/>
      </w:pPr>
      <w:r>
        <w:rPr>
          <w:rFonts w:ascii="Arial" w:hAnsi="Arial" w:cs="Arial" w:eastAsia="Arial" w:hint="default"/>
        </w:rPr>
        <w:t>(c)</w:t>
      </w:r>
      <w:r>
        <w:rPr>
          <w:rFonts w:ascii="Arial" w:hAnsi="Arial" w:cs="Arial" w:eastAsia="Arial" w:hint="default"/>
          <w:spacing w:val="46"/>
        </w:rPr>
        <w:t> </w:t>
      </w:r>
      <w:r>
        <w:rPr/>
        <w:t>于</w:t>
      </w:r>
      <w:r>
        <w:rPr>
          <w:spacing w:val="-58"/>
        </w:rPr>
        <w:t> </w:t>
      </w:r>
      <w:r>
        <w:rPr>
          <w:rFonts w:ascii="Arial" w:hAnsi="Arial" w:cs="Arial" w:eastAsia="Arial" w:hint="default"/>
        </w:rPr>
        <w:t>2012</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r>
        <w:rPr>
          <w:rFonts w:ascii="Arial" w:hAnsi="Arial" w:cs="Arial" w:eastAsia="Arial" w:hint="default"/>
          <w:spacing w:val="-9"/>
        </w:rPr>
        <w:t> </w:t>
      </w:r>
      <w:r>
        <w:rPr/>
        <w:t>日及</w:t>
      </w:r>
      <w:r>
        <w:rPr>
          <w:spacing w:val="-58"/>
        </w:rPr>
        <w:t> </w:t>
      </w:r>
      <w:r>
        <w:rPr>
          <w:rFonts w:ascii="Arial" w:hAnsi="Arial" w:cs="Arial" w:eastAsia="Arial" w:hint="default"/>
        </w:rPr>
        <w:t>2011</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r>
        <w:rPr>
          <w:rFonts w:ascii="Arial" w:hAnsi="Arial" w:cs="Arial" w:eastAsia="Arial" w:hint="default"/>
          <w:spacing w:val="-9"/>
        </w:rPr>
        <w:t> </w:t>
      </w:r>
      <w:r>
        <w:rPr/>
        <w:t>日，预付款项中无预付持有本公司</w:t>
      </w:r>
      <w:r>
        <w:rPr>
          <w:spacing w:val="-58"/>
        </w:rPr>
        <w:t> </w:t>
      </w:r>
      <w:r>
        <w:rPr>
          <w:rFonts w:ascii="Arial" w:hAnsi="Arial" w:cs="Arial" w:eastAsia="Arial" w:hint="default"/>
        </w:rPr>
        <w:t>5%</w:t>
      </w:r>
      <w:r>
        <w:rPr/>
        <w:t>（含</w:t>
      </w:r>
      <w:r>
        <w:rPr>
          <w:spacing w:val="-58"/>
        </w:rPr>
        <w:t> </w:t>
      </w:r>
      <w:r>
        <w:rPr>
          <w:rFonts w:ascii="Arial" w:hAnsi="Arial" w:cs="Arial" w:eastAsia="Arial" w:hint="default"/>
        </w:rPr>
        <w:t>5%</w:t>
      </w:r>
      <w:r>
        <w:rPr/>
        <w:t>）以</w:t>
      </w:r>
      <w:r>
        <w:rPr>
          <w:w w:val="99"/>
        </w:rPr>
        <w:t> </w:t>
      </w:r>
      <w:r>
        <w:rPr/>
        <w:t>上表决权股份股东的款项。</w:t>
      </w:r>
    </w:p>
    <w:p>
      <w:pPr>
        <w:spacing w:line="240" w:lineRule="auto" w:before="3"/>
        <w:rPr>
          <w:rFonts w:ascii="宋体" w:hAnsi="宋体" w:cs="宋体" w:eastAsia="宋体" w:hint="default"/>
          <w:sz w:val="17"/>
          <w:szCs w:val="17"/>
        </w:rPr>
      </w:pPr>
    </w:p>
    <w:p>
      <w:pPr>
        <w:pStyle w:val="BodyText"/>
        <w:spacing w:line="240" w:lineRule="auto"/>
        <w:ind w:left="122" w:right="89"/>
        <w:jc w:val="left"/>
      </w:pPr>
      <w:r>
        <w:rPr>
          <w:rFonts w:ascii="Arial" w:hAnsi="Arial" w:cs="Arial" w:eastAsia="Arial" w:hint="default"/>
        </w:rPr>
        <w:t>(d) </w:t>
      </w:r>
      <w:r>
        <w:rPr>
          <w:rFonts w:ascii="Arial" w:hAnsi="Arial" w:cs="Arial" w:eastAsia="Arial" w:hint="default"/>
          <w:spacing w:val="19"/>
        </w:rPr>
        <w:t> </w:t>
      </w:r>
      <w:r>
        <w:rPr/>
        <w:t>预付关联方的预付款项分析如下：</w:t>
      </w:r>
    </w:p>
    <w:p>
      <w:pPr>
        <w:spacing w:line="240" w:lineRule="auto" w:before="5"/>
        <w:rPr>
          <w:rFonts w:ascii="宋体" w:hAnsi="宋体" w:cs="宋体" w:eastAsia="宋体" w:hint="default"/>
          <w:sz w:val="24"/>
          <w:szCs w:val="24"/>
        </w:rPr>
      </w:pPr>
    </w:p>
    <w:tbl>
      <w:tblPr>
        <w:tblW w:w="0" w:type="auto"/>
        <w:jc w:val="left"/>
        <w:tblInd w:w="386" w:type="dxa"/>
        <w:tblLayout w:type="fixed"/>
        <w:tblCellMar>
          <w:top w:w="0" w:type="dxa"/>
          <w:left w:w="0" w:type="dxa"/>
          <w:bottom w:w="0" w:type="dxa"/>
          <w:right w:w="0" w:type="dxa"/>
        </w:tblCellMar>
        <w:tblLook w:val="01E0"/>
      </w:tblPr>
      <w:tblGrid>
        <w:gridCol w:w="2088"/>
        <w:gridCol w:w="1624"/>
        <w:gridCol w:w="1091"/>
        <w:gridCol w:w="1199"/>
        <w:gridCol w:w="574"/>
        <w:gridCol w:w="1119"/>
        <w:gridCol w:w="1021"/>
        <w:gridCol w:w="535"/>
      </w:tblGrid>
      <w:tr>
        <w:trPr>
          <w:trHeight w:val="215" w:hRule="exact"/>
        </w:trPr>
        <w:tc>
          <w:tcPr>
            <w:tcW w:w="6002" w:type="dxa"/>
            <w:gridSpan w:val="4"/>
            <w:tcBorders>
              <w:top w:val="nil" w:sz="6" w:space="0" w:color="auto"/>
              <w:left w:val="nil" w:sz="6" w:space="0" w:color="auto"/>
              <w:bottom w:val="nil" w:sz="6" w:space="0" w:color="auto"/>
              <w:right w:val="nil" w:sz="6" w:space="0" w:color="auto"/>
            </w:tcBorders>
          </w:tcPr>
          <w:p>
            <w:pPr>
              <w:pStyle w:val="TableParagraph"/>
              <w:spacing w:line="193" w:lineRule="exact"/>
              <w:ind w:right="120"/>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574" w:type="dxa"/>
            <w:tcBorders>
              <w:top w:val="nil" w:sz="6" w:space="0" w:color="auto"/>
              <w:left w:val="nil" w:sz="6" w:space="0" w:color="auto"/>
              <w:bottom w:val="single" w:sz="6" w:space="0" w:color="000000"/>
              <w:right w:val="nil" w:sz="6" w:space="0" w:color="auto"/>
            </w:tcBorders>
          </w:tcPr>
          <w:p>
            <w:pPr/>
          </w:p>
        </w:tc>
        <w:tc>
          <w:tcPr>
            <w:tcW w:w="2140" w:type="dxa"/>
            <w:gridSpan w:val="2"/>
            <w:tcBorders>
              <w:top w:val="nil" w:sz="6" w:space="0" w:color="auto"/>
              <w:left w:val="nil" w:sz="6" w:space="0" w:color="auto"/>
              <w:bottom w:val="single" w:sz="6" w:space="0" w:color="000000"/>
              <w:right w:val="nil" w:sz="6" w:space="0" w:color="auto"/>
            </w:tcBorders>
          </w:tcPr>
          <w:p>
            <w:pPr>
              <w:pStyle w:val="TableParagraph"/>
              <w:spacing w:line="193" w:lineRule="exact"/>
              <w:ind w:left="545"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535" w:type="dxa"/>
            <w:tcBorders>
              <w:top w:val="nil" w:sz="6" w:space="0" w:color="auto"/>
              <w:left w:val="nil" w:sz="6" w:space="0" w:color="auto"/>
              <w:bottom w:val="single" w:sz="6" w:space="0" w:color="000000"/>
              <w:right w:val="nil" w:sz="6" w:space="0" w:color="auto"/>
            </w:tcBorders>
          </w:tcPr>
          <w:p>
            <w:pPr/>
          </w:p>
        </w:tc>
      </w:tr>
      <w:tr>
        <w:trPr>
          <w:trHeight w:val="482" w:hRule="exact"/>
        </w:trPr>
        <w:tc>
          <w:tcPr>
            <w:tcW w:w="2088"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与本集团关系</w:t>
            </w:r>
          </w:p>
        </w:tc>
        <w:tc>
          <w:tcPr>
            <w:tcW w:w="1091" w:type="dxa"/>
            <w:tcBorders>
              <w:top w:val="single" w:sz="6" w:space="0" w:color="000000"/>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4"/>
              <w:jc w:val="center"/>
              <w:rPr>
                <w:rFonts w:ascii="宋体" w:hAnsi="宋体" w:cs="宋体" w:eastAsia="宋体" w:hint="default"/>
                <w:sz w:val="18"/>
                <w:szCs w:val="18"/>
              </w:rPr>
            </w:pPr>
            <w:r>
              <w:rPr>
                <w:rFonts w:ascii="宋体" w:hAnsi="宋体" w:cs="宋体" w:eastAsia="宋体" w:hint="default"/>
                <w:sz w:val="18"/>
                <w:szCs w:val="18"/>
              </w:rPr>
              <w:t>金额</w:t>
            </w:r>
          </w:p>
        </w:tc>
        <w:tc>
          <w:tcPr>
            <w:tcW w:w="1199"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313" w:right="0" w:hanging="180"/>
              <w:jc w:val="left"/>
              <w:rPr>
                <w:rFonts w:ascii="宋体" w:hAnsi="宋体" w:cs="宋体" w:eastAsia="宋体" w:hint="default"/>
                <w:sz w:val="18"/>
                <w:szCs w:val="18"/>
              </w:rPr>
            </w:pPr>
            <w:r>
              <w:rPr>
                <w:rFonts w:ascii="宋体" w:hAnsi="宋体" w:cs="宋体" w:eastAsia="宋体" w:hint="default"/>
                <w:sz w:val="18"/>
                <w:szCs w:val="18"/>
              </w:rPr>
              <w:t>占预付款</w:t>
            </w:r>
          </w:p>
          <w:p>
            <w:pPr>
              <w:pStyle w:val="TableParagraph"/>
              <w:spacing w:line="234" w:lineRule="exact"/>
              <w:ind w:left="313" w:right="0"/>
              <w:jc w:val="left"/>
              <w:rPr>
                <w:rFonts w:ascii="宋体" w:hAnsi="宋体" w:cs="宋体" w:eastAsia="宋体" w:hint="default"/>
                <w:sz w:val="18"/>
                <w:szCs w:val="18"/>
              </w:rPr>
            </w:pPr>
            <w:r>
              <w:rPr>
                <w:rFonts w:ascii="宋体" w:hAnsi="宋体" w:cs="宋体" w:eastAsia="宋体" w:hint="default"/>
                <w:sz w:val="18"/>
                <w:szCs w:val="18"/>
              </w:rPr>
              <w:t>项比例</w:t>
            </w:r>
          </w:p>
        </w:tc>
        <w:tc>
          <w:tcPr>
            <w:tcW w:w="574"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坏账</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119" w:type="dxa"/>
            <w:tcBorders>
              <w:top w:val="single" w:sz="6" w:space="0" w:color="000000"/>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21"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307" w:right="0" w:hanging="180"/>
              <w:jc w:val="left"/>
              <w:rPr>
                <w:rFonts w:ascii="宋体" w:hAnsi="宋体" w:cs="宋体" w:eastAsia="宋体" w:hint="default"/>
                <w:sz w:val="18"/>
                <w:szCs w:val="18"/>
              </w:rPr>
            </w:pPr>
            <w:r>
              <w:rPr>
                <w:rFonts w:ascii="宋体" w:hAnsi="宋体" w:cs="宋体" w:eastAsia="宋体" w:hint="default"/>
                <w:sz w:val="18"/>
                <w:szCs w:val="18"/>
              </w:rPr>
              <w:t>占预付款</w:t>
            </w:r>
          </w:p>
          <w:p>
            <w:pPr>
              <w:pStyle w:val="TableParagraph"/>
              <w:spacing w:line="234" w:lineRule="exact"/>
              <w:ind w:left="307" w:right="0"/>
              <w:jc w:val="left"/>
              <w:rPr>
                <w:rFonts w:ascii="宋体" w:hAnsi="宋体" w:cs="宋体" w:eastAsia="宋体" w:hint="default"/>
                <w:sz w:val="18"/>
                <w:szCs w:val="18"/>
              </w:rPr>
            </w:pPr>
            <w:r>
              <w:rPr>
                <w:rFonts w:ascii="宋体" w:hAnsi="宋体" w:cs="宋体" w:eastAsia="宋体" w:hint="default"/>
                <w:sz w:val="18"/>
                <w:szCs w:val="18"/>
              </w:rPr>
              <w:t>项比例</w:t>
            </w:r>
          </w:p>
        </w:tc>
        <w:tc>
          <w:tcPr>
            <w:tcW w:w="535"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173" w:right="0"/>
              <w:jc w:val="left"/>
              <w:rPr>
                <w:rFonts w:ascii="宋体" w:hAnsi="宋体" w:cs="宋体" w:eastAsia="宋体" w:hint="default"/>
                <w:sz w:val="18"/>
                <w:szCs w:val="18"/>
              </w:rPr>
            </w:pPr>
            <w:r>
              <w:rPr>
                <w:rFonts w:ascii="宋体" w:hAnsi="宋体" w:cs="宋体" w:eastAsia="宋体" w:hint="default"/>
                <w:sz w:val="18"/>
                <w:szCs w:val="18"/>
              </w:rPr>
              <w:t>坏账</w:t>
            </w:r>
          </w:p>
          <w:p>
            <w:pPr>
              <w:pStyle w:val="TableParagraph"/>
              <w:spacing w:line="234" w:lineRule="exact"/>
              <w:ind w:left="173" w:right="0"/>
              <w:jc w:val="left"/>
              <w:rPr>
                <w:rFonts w:ascii="宋体" w:hAnsi="宋体" w:cs="宋体" w:eastAsia="宋体" w:hint="default"/>
                <w:sz w:val="18"/>
                <w:szCs w:val="18"/>
              </w:rPr>
            </w:pPr>
            <w:r>
              <w:rPr>
                <w:rFonts w:ascii="宋体" w:hAnsi="宋体" w:cs="宋体" w:eastAsia="宋体" w:hint="default"/>
                <w:sz w:val="18"/>
                <w:szCs w:val="18"/>
              </w:rPr>
              <w:t>准备</w:t>
            </w:r>
          </w:p>
        </w:tc>
      </w:tr>
      <w:tr>
        <w:trPr>
          <w:trHeight w:val="665" w:hRule="exact"/>
        </w:trPr>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200" w:right="0"/>
              <w:jc w:val="left"/>
              <w:rPr>
                <w:rFonts w:ascii="宋体" w:hAnsi="宋体" w:cs="宋体" w:eastAsia="宋体" w:hint="default"/>
                <w:sz w:val="18"/>
                <w:szCs w:val="18"/>
              </w:rPr>
            </w:pPr>
            <w:r>
              <w:rPr>
                <w:rFonts w:ascii="宋体" w:hAnsi="宋体" w:cs="宋体" w:eastAsia="宋体" w:hint="default"/>
                <w:sz w:val="18"/>
                <w:szCs w:val="18"/>
              </w:rPr>
              <w:t>联通进出口</w:t>
            </w:r>
          </w:p>
        </w:tc>
        <w:tc>
          <w:tcPr>
            <w:tcW w:w="1624"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8" w:right="0"/>
              <w:jc w:val="left"/>
              <w:rPr>
                <w:rFonts w:ascii="宋体" w:hAnsi="宋体" w:cs="宋体" w:eastAsia="宋体" w:hint="default"/>
                <w:sz w:val="18"/>
                <w:szCs w:val="18"/>
              </w:rPr>
            </w:pPr>
            <w:r>
              <w:rPr>
                <w:rFonts w:ascii="宋体" w:hAnsi="宋体" w:cs="宋体" w:eastAsia="宋体" w:hint="default"/>
                <w:sz w:val="18"/>
                <w:szCs w:val="18"/>
              </w:rPr>
              <w:t>同受联通集团控制</w:t>
            </w:r>
          </w:p>
        </w:tc>
        <w:tc>
          <w:tcPr>
            <w:tcW w:w="1091"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76"/>
              <w:jc w:val="center"/>
              <w:rPr>
                <w:rFonts w:ascii="Arial" w:hAnsi="Arial" w:cs="Arial" w:eastAsia="Arial" w:hint="default"/>
                <w:sz w:val="18"/>
                <w:szCs w:val="18"/>
              </w:rPr>
            </w:pPr>
            <w:r>
              <w:rPr>
                <w:rFonts w:ascii="Arial"/>
                <w:sz w:val="18"/>
              </w:rPr>
              <w:t>21,475,552</w:t>
            </w:r>
          </w:p>
        </w:tc>
        <w:tc>
          <w:tcPr>
            <w:tcW w:w="1199"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43" w:right="0"/>
              <w:jc w:val="left"/>
              <w:rPr>
                <w:rFonts w:ascii="Arial" w:hAnsi="Arial" w:cs="Arial" w:eastAsia="Arial" w:hint="default"/>
                <w:sz w:val="18"/>
                <w:szCs w:val="18"/>
              </w:rPr>
            </w:pPr>
            <w:r>
              <w:rPr>
                <w:rFonts w:ascii="Arial"/>
                <w:sz w:val="18"/>
              </w:rPr>
              <w:t>0.52%</w:t>
            </w:r>
          </w:p>
        </w:tc>
        <w:tc>
          <w:tcPr>
            <w:tcW w:w="574"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9"/>
              <w:jc w:val="right"/>
              <w:rPr>
                <w:rFonts w:ascii="Arial" w:hAnsi="Arial" w:cs="Arial" w:eastAsia="Arial" w:hint="default"/>
                <w:sz w:val="18"/>
                <w:szCs w:val="18"/>
              </w:rPr>
            </w:pPr>
            <w:r>
              <w:rPr>
                <w:rFonts w:ascii="Arial"/>
                <w:w w:val="99"/>
                <w:sz w:val="18"/>
              </w:rPr>
              <w:t>-</w:t>
            </w:r>
            <w:r>
              <w:rPr>
                <w:rFonts w:ascii="Arial"/>
                <w:sz w:val="18"/>
              </w:rPr>
            </w:r>
          </w:p>
        </w:tc>
        <w:tc>
          <w:tcPr>
            <w:tcW w:w="1119"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6"/>
              <w:jc w:val="right"/>
              <w:rPr>
                <w:rFonts w:ascii="Arial" w:hAnsi="Arial" w:cs="Arial" w:eastAsia="Arial" w:hint="default"/>
                <w:sz w:val="18"/>
                <w:szCs w:val="18"/>
              </w:rPr>
            </w:pPr>
            <w:r>
              <w:rPr>
                <w:rFonts w:ascii="Arial"/>
                <w:spacing w:val="-1"/>
                <w:sz w:val="18"/>
              </w:rPr>
              <w:t>25,238,469</w:t>
            </w:r>
          </w:p>
        </w:tc>
        <w:tc>
          <w:tcPr>
            <w:tcW w:w="1021"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23" w:right="0"/>
              <w:jc w:val="left"/>
              <w:rPr>
                <w:rFonts w:ascii="Arial" w:hAnsi="Arial" w:cs="Arial" w:eastAsia="Arial" w:hint="default"/>
                <w:sz w:val="18"/>
                <w:szCs w:val="18"/>
              </w:rPr>
            </w:pPr>
            <w:r>
              <w:rPr>
                <w:rFonts w:ascii="Arial"/>
                <w:sz w:val="18"/>
              </w:rPr>
              <w:t>0.68%</w:t>
            </w:r>
          </w:p>
        </w:tc>
        <w:tc>
          <w:tcPr>
            <w:tcW w:w="535"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83" w:right="0"/>
              <w:jc w:val="left"/>
              <w:rPr>
                <w:rFonts w:ascii="Arial" w:hAnsi="Arial" w:cs="Arial" w:eastAsia="Arial" w:hint="default"/>
                <w:sz w:val="18"/>
                <w:szCs w:val="18"/>
              </w:rPr>
            </w:pPr>
            <w:r>
              <w:rPr>
                <w:rFonts w:ascii="Arial"/>
                <w:w w:val="99"/>
                <w:sz w:val="18"/>
              </w:rPr>
              <w:t>-</w:t>
            </w:r>
            <w:r>
              <w:rPr>
                <w:rFonts w:ascii="Arial"/>
                <w:sz w:val="18"/>
              </w:rPr>
            </w:r>
          </w:p>
        </w:tc>
      </w:tr>
      <w:tr>
        <w:trPr>
          <w:trHeight w:val="344" w:hRule="exact"/>
        </w:trPr>
        <w:tc>
          <w:tcPr>
            <w:tcW w:w="2088"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联通集团其他附属公司</w:t>
            </w:r>
          </w:p>
        </w:tc>
        <w:tc>
          <w:tcPr>
            <w:tcW w:w="1624" w:type="dxa"/>
            <w:tcBorders>
              <w:top w:val="nil" w:sz="6" w:space="0" w:color="auto"/>
              <w:left w:val="nil" w:sz="6" w:space="0" w:color="auto"/>
              <w:bottom w:val="nil" w:sz="6" w:space="0" w:color="auto"/>
              <w:right w:val="nil" w:sz="6" w:space="0" w:color="auto"/>
            </w:tcBorders>
          </w:tcPr>
          <w:p>
            <w:pPr>
              <w:pStyle w:val="TableParagraph"/>
              <w:spacing w:line="196" w:lineRule="exact"/>
              <w:ind w:left="28" w:right="0"/>
              <w:jc w:val="left"/>
              <w:rPr>
                <w:rFonts w:ascii="宋体" w:hAnsi="宋体" w:cs="宋体" w:eastAsia="宋体" w:hint="default"/>
                <w:sz w:val="18"/>
                <w:szCs w:val="18"/>
              </w:rPr>
            </w:pPr>
            <w:r>
              <w:rPr>
                <w:rFonts w:ascii="宋体" w:hAnsi="宋体" w:cs="宋体" w:eastAsia="宋体" w:hint="default"/>
                <w:sz w:val="18"/>
                <w:szCs w:val="18"/>
              </w:rPr>
              <w:t>同受联通集团控制</w:t>
            </w:r>
          </w:p>
        </w:tc>
        <w:tc>
          <w:tcPr>
            <w:tcW w:w="1091" w:type="dxa"/>
            <w:tcBorders>
              <w:top w:val="nil" w:sz="6" w:space="0" w:color="auto"/>
              <w:left w:val="nil" w:sz="6" w:space="0" w:color="auto"/>
              <w:bottom w:val="nil" w:sz="6" w:space="0" w:color="auto"/>
              <w:right w:val="nil" w:sz="6" w:space="0" w:color="auto"/>
            </w:tcBorders>
          </w:tcPr>
          <w:p>
            <w:pPr>
              <w:pStyle w:val="TableParagraph"/>
              <w:tabs>
                <w:tab w:pos="897" w:val="left" w:leader="none"/>
                <w:tab w:pos="1022" w:val="left" w:leader="none"/>
              </w:tabs>
              <w:spacing w:line="240" w:lineRule="auto" w:before="15"/>
              <w:ind w:right="66"/>
              <w:jc w:val="center"/>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199" w:type="dxa"/>
            <w:tcBorders>
              <w:top w:val="nil" w:sz="6" w:space="0" w:color="auto"/>
              <w:left w:val="nil" w:sz="6" w:space="0" w:color="auto"/>
              <w:bottom w:val="nil" w:sz="6" w:space="0" w:color="auto"/>
              <w:right w:val="nil" w:sz="6" w:space="0" w:color="auto"/>
            </w:tcBorders>
          </w:tcPr>
          <w:p>
            <w:pPr>
              <w:pStyle w:val="TableParagraph"/>
              <w:tabs>
                <w:tab w:pos="397" w:val="left" w:leader="none"/>
                <w:tab w:pos="896" w:val="left" w:leader="none"/>
                <w:tab w:pos="1620" w:val="left" w:leader="none"/>
              </w:tabs>
              <w:spacing w:line="240" w:lineRule="auto" w:before="15"/>
              <w:ind w:left="-13" w:right="-423"/>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r>
              <w:rPr>
                <w:rFonts w:ascii="Arial"/>
                <w:spacing w:val="20"/>
                <w:sz w:val="18"/>
              </w:rPr>
              <w:t> </w:t>
            </w:r>
            <w:r>
              <w:rPr>
                <w:rFonts w:ascii="Arial"/>
                <w:spacing w:val="20"/>
                <w:w w:val="100"/>
                <w:sz w:val="18"/>
              </w:rPr>
            </w:r>
            <w:r>
              <w:rPr>
                <w:rFonts w:ascii="Arial"/>
                <w:w w:val="100"/>
                <w:sz w:val="18"/>
                <w:u w:val="single" w:color="000000"/>
              </w:rPr>
              <w:t> </w:t>
            </w:r>
            <w:r>
              <w:rPr>
                <w:rFonts w:ascii="Arial"/>
                <w:sz w:val="18"/>
                <w:u w:val="single" w:color="000000"/>
              </w:rPr>
              <w:tab/>
            </w:r>
            <w:r>
              <w:rPr>
                <w:rFonts w:ascii="Arial"/>
                <w:sz w:val="18"/>
              </w:rPr>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9"/>
              <w:jc w:val="right"/>
              <w:rPr>
                <w:rFonts w:ascii="Arial" w:hAnsi="Arial" w:cs="Arial" w:eastAsia="Arial" w:hint="default"/>
                <w:sz w:val="18"/>
                <w:szCs w:val="18"/>
              </w:rPr>
            </w:pPr>
            <w:r>
              <w:rPr>
                <w:rFonts w:ascii="Arial"/>
                <w:w w:val="99"/>
                <w:sz w:val="18"/>
              </w:rPr>
            </w:r>
            <w:r>
              <w:rPr>
                <w:rFonts w:ascii="Arial"/>
                <w:w w:val="99"/>
                <w:sz w:val="18"/>
                <w:u w:val="single" w:color="000000"/>
              </w:rPr>
              <w:t>-</w:t>
            </w:r>
            <w:r>
              <w:rPr>
                <w:rFonts w:ascii="Arial"/>
                <w:w w:val="99"/>
                <w:sz w:val="18"/>
              </w:rPr>
            </w:r>
            <w:r>
              <w:rPr>
                <w:rFonts w:ascii="Arial"/>
                <w:sz w:val="18"/>
              </w:rPr>
            </w:r>
          </w:p>
        </w:tc>
        <w:tc>
          <w:tcPr>
            <w:tcW w:w="1119" w:type="dxa"/>
            <w:tcBorders>
              <w:top w:val="nil" w:sz="6" w:space="0" w:color="auto"/>
              <w:left w:val="nil" w:sz="6" w:space="0" w:color="auto"/>
              <w:bottom w:val="nil" w:sz="6" w:space="0" w:color="auto"/>
              <w:right w:val="nil" w:sz="6" w:space="0" w:color="auto"/>
            </w:tcBorders>
          </w:tcPr>
          <w:p>
            <w:pPr>
              <w:pStyle w:val="TableParagraph"/>
              <w:tabs>
                <w:tab w:pos="341" w:val="left" w:leader="none"/>
                <w:tab w:pos="1055" w:val="left" w:leader="none"/>
              </w:tabs>
              <w:spacing w:line="240" w:lineRule="auto" w:before="15"/>
              <w:ind w:left="-19" w:right="6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462,500</w:t>
              <w:tab/>
            </w:r>
            <w:r>
              <w:rPr>
                <w:rFonts w:ascii="Arial"/>
                <w:spacing w:val="-1"/>
                <w:sz w:val="18"/>
              </w:rPr>
            </w:r>
          </w:p>
        </w:tc>
        <w:tc>
          <w:tcPr>
            <w:tcW w:w="1021" w:type="dxa"/>
            <w:tcBorders>
              <w:top w:val="nil" w:sz="6" w:space="0" w:color="auto"/>
              <w:left w:val="nil" w:sz="6" w:space="0" w:color="auto"/>
              <w:bottom w:val="nil" w:sz="6" w:space="0" w:color="auto"/>
              <w:right w:val="nil" w:sz="6" w:space="0" w:color="auto"/>
            </w:tcBorders>
          </w:tcPr>
          <w:p>
            <w:pPr>
              <w:pStyle w:val="TableParagraph"/>
              <w:tabs>
                <w:tab w:pos="322" w:val="left" w:leader="none"/>
                <w:tab w:pos="1404" w:val="left" w:leader="none"/>
              </w:tabs>
              <w:spacing w:line="240" w:lineRule="auto" w:before="15"/>
              <w:ind w:left="-12" w:right="-384"/>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0.01%</w:t>
            </w:r>
            <w:r>
              <w:rPr>
                <w:rFonts w:ascii="Arial"/>
                <w:sz w:val="18"/>
              </w:rPr>
              <w:t> </w:t>
            </w:r>
            <w:r>
              <w:rPr>
                <w:rFonts w:ascii="Arial"/>
                <w:spacing w:val="19"/>
                <w:sz w:val="18"/>
              </w:rPr>
              <w:t> </w:t>
            </w:r>
            <w:r>
              <w:rPr>
                <w:rFonts w:ascii="Arial"/>
                <w:spacing w:val="19"/>
                <w:w w:val="100"/>
                <w:sz w:val="18"/>
              </w:rPr>
            </w:r>
            <w:r>
              <w:rPr>
                <w:rFonts w:ascii="Arial"/>
                <w:w w:val="100"/>
                <w:sz w:val="18"/>
                <w:u w:val="single" w:color="000000"/>
              </w:rPr>
              <w:t> </w:t>
            </w:r>
            <w:r>
              <w:rPr>
                <w:rFonts w:ascii="Arial"/>
                <w:sz w:val="18"/>
                <w:u w:val="single" w:color="000000"/>
              </w:rPr>
              <w:tab/>
            </w:r>
            <w:r>
              <w:rPr>
                <w:rFonts w:ascii="Arial"/>
                <w:sz w:val="18"/>
              </w:rPr>
            </w:r>
          </w:p>
        </w:tc>
        <w:tc>
          <w:tcPr>
            <w:tcW w:w="535" w:type="dxa"/>
            <w:tcBorders>
              <w:top w:val="nil" w:sz="6" w:space="0" w:color="auto"/>
              <w:left w:val="nil" w:sz="6" w:space="0" w:color="auto"/>
              <w:bottom w:val="nil" w:sz="6" w:space="0" w:color="auto"/>
              <w:right w:val="nil" w:sz="6" w:space="0" w:color="auto"/>
            </w:tcBorders>
          </w:tcPr>
          <w:p>
            <w:pPr>
              <w:pStyle w:val="TableParagraph"/>
              <w:tabs>
                <w:tab w:pos="534" w:val="left" w:leader="none"/>
              </w:tabs>
              <w:spacing w:line="240" w:lineRule="auto" w:before="15"/>
              <w:ind w:left="383" w:right="0"/>
              <w:jc w:val="left"/>
              <w:rPr>
                <w:rFonts w:ascii="Arial" w:hAnsi="Arial" w:cs="Arial" w:eastAsia="Arial" w:hint="default"/>
                <w:sz w:val="18"/>
                <w:szCs w:val="18"/>
              </w:rPr>
            </w:pPr>
            <w:r>
              <w:rPr>
                <w:rFonts w:ascii="Arial"/>
                <w:w w:val="99"/>
                <w:sz w:val="18"/>
              </w:rPr>
            </w:r>
            <w:r>
              <w:rPr>
                <w:rFonts w:ascii="Arial"/>
                <w:sz w:val="18"/>
                <w:u w:val="single" w:color="000000"/>
              </w:rPr>
              <w:t>-</w:t>
              <w:tab/>
            </w:r>
            <w:r>
              <w:rPr>
                <w:rFonts w:ascii="Arial"/>
                <w:sz w:val="18"/>
              </w:rPr>
            </w:r>
          </w:p>
        </w:tc>
      </w:tr>
      <w:tr>
        <w:trPr>
          <w:trHeight w:val="358" w:hRule="exact"/>
        </w:trPr>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4"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right="76"/>
              <w:jc w:val="center"/>
              <w:rPr>
                <w:rFonts w:ascii="Arial" w:hAnsi="Arial" w:cs="Arial" w:eastAsia="Arial" w:hint="default"/>
                <w:sz w:val="18"/>
                <w:szCs w:val="18"/>
              </w:rPr>
            </w:pPr>
            <w:r>
              <w:rPr>
                <w:rFonts w:ascii="Arial"/>
                <w:sz w:val="18"/>
              </w:rPr>
              <w:t>21,475,552</w:t>
            </w:r>
          </w:p>
        </w:tc>
        <w:tc>
          <w:tcPr>
            <w:tcW w:w="1199"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left="343" w:right="0"/>
              <w:jc w:val="left"/>
              <w:rPr>
                <w:rFonts w:ascii="Arial" w:hAnsi="Arial" w:cs="Arial" w:eastAsia="Arial" w:hint="default"/>
                <w:sz w:val="18"/>
                <w:szCs w:val="18"/>
              </w:rPr>
            </w:pPr>
            <w:r>
              <w:rPr>
                <w:rFonts w:ascii="Arial"/>
                <w:sz w:val="18"/>
              </w:rPr>
              <w:t>0.52%</w:t>
            </w:r>
          </w:p>
        </w:tc>
        <w:tc>
          <w:tcPr>
            <w:tcW w:w="574"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right="89"/>
              <w:jc w:val="right"/>
              <w:rPr>
                <w:rFonts w:ascii="Arial" w:hAnsi="Arial" w:cs="Arial" w:eastAsia="Arial" w:hint="default"/>
                <w:sz w:val="18"/>
                <w:szCs w:val="18"/>
              </w:rPr>
            </w:pPr>
            <w:r>
              <w:rPr>
                <w:rFonts w:ascii="Arial"/>
                <w:w w:val="99"/>
                <w:sz w:val="18"/>
              </w:rPr>
              <w:t>-</w:t>
            </w:r>
            <w:r>
              <w:rPr>
                <w:rFonts w:ascii="Arial"/>
                <w:sz w:val="18"/>
              </w:rPr>
            </w:r>
          </w:p>
        </w:tc>
        <w:tc>
          <w:tcPr>
            <w:tcW w:w="1119"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right="126"/>
              <w:jc w:val="right"/>
              <w:rPr>
                <w:rFonts w:ascii="Arial" w:hAnsi="Arial" w:cs="Arial" w:eastAsia="Arial" w:hint="default"/>
                <w:sz w:val="18"/>
                <w:szCs w:val="18"/>
              </w:rPr>
            </w:pPr>
            <w:r>
              <w:rPr>
                <w:rFonts w:ascii="Arial"/>
                <w:spacing w:val="-1"/>
                <w:sz w:val="18"/>
              </w:rPr>
              <w:t>25,700,969</w:t>
            </w:r>
          </w:p>
        </w:tc>
        <w:tc>
          <w:tcPr>
            <w:tcW w:w="1021"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left="323" w:right="0"/>
              <w:jc w:val="left"/>
              <w:rPr>
                <w:rFonts w:ascii="Arial" w:hAnsi="Arial" w:cs="Arial" w:eastAsia="Arial" w:hint="default"/>
                <w:sz w:val="18"/>
                <w:szCs w:val="18"/>
              </w:rPr>
            </w:pPr>
            <w:r>
              <w:rPr>
                <w:rFonts w:ascii="Arial"/>
                <w:sz w:val="18"/>
              </w:rPr>
              <w:t>0.69%</w:t>
            </w:r>
          </w:p>
        </w:tc>
        <w:tc>
          <w:tcPr>
            <w:tcW w:w="535"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left="383" w:right="0"/>
              <w:jc w:val="left"/>
              <w:rPr>
                <w:rFonts w:ascii="Arial" w:hAnsi="Arial" w:cs="Arial" w:eastAsia="Arial" w:hint="default"/>
                <w:sz w:val="18"/>
                <w:szCs w:val="18"/>
              </w:rPr>
            </w:pPr>
            <w:r>
              <w:rPr>
                <w:rFonts w:ascii="Arial"/>
                <w:w w:val="99"/>
                <w:sz w:val="18"/>
              </w:rPr>
              <w:t>-</w:t>
            </w:r>
            <w:r>
              <w:rPr>
                <w:rFonts w:ascii="Arial"/>
                <w:sz w:val="18"/>
              </w:rPr>
            </w:r>
          </w:p>
        </w:tc>
      </w:tr>
    </w:tbl>
    <w:p>
      <w:pPr>
        <w:spacing w:line="240" w:lineRule="auto" w:before="2"/>
        <w:rPr>
          <w:rFonts w:ascii="宋体" w:hAnsi="宋体" w:cs="宋体" w:eastAsia="宋体" w:hint="default"/>
          <w:sz w:val="14"/>
          <w:szCs w:val="14"/>
        </w:rPr>
      </w:pPr>
    </w:p>
    <w:p>
      <w:pPr>
        <w:pStyle w:val="BodyText"/>
        <w:spacing w:line="240" w:lineRule="auto" w:before="31"/>
        <w:ind w:left="122" w:right="89"/>
        <w:jc w:val="left"/>
      </w:pPr>
      <w:r>
        <w:rPr>
          <w:rFonts w:ascii="Arial" w:hAnsi="Arial" w:cs="Arial" w:eastAsia="Arial" w:hint="default"/>
        </w:rPr>
        <w:t>(e) </w:t>
      </w:r>
      <w:r>
        <w:rPr>
          <w:rFonts w:ascii="Arial" w:hAnsi="Arial" w:cs="Arial" w:eastAsia="Arial" w:hint="default"/>
          <w:spacing w:val="15"/>
        </w:rPr>
        <w:t> </w:t>
      </w:r>
      <w:r>
        <w:rPr/>
        <w:t>于</w:t>
      </w:r>
      <w:r>
        <w:rPr>
          <w:spacing w:val="-59"/>
        </w:rPr>
        <w:t> </w:t>
      </w:r>
      <w:r>
        <w:rPr>
          <w:rFonts w:ascii="Arial" w:hAnsi="Arial" w:cs="Arial" w:eastAsia="Arial" w:hint="default"/>
        </w:rPr>
        <w:t>2012</w:t>
      </w:r>
      <w:r>
        <w:rPr>
          <w:rFonts w:ascii="Arial" w:hAnsi="Arial" w:cs="Arial" w:eastAsia="Arial" w:hint="default"/>
          <w:spacing w:val="-10"/>
        </w:rPr>
        <w:t> </w:t>
      </w:r>
      <w:r>
        <w:rPr/>
        <w:t>年</w:t>
      </w:r>
      <w:r>
        <w:rPr>
          <w:spacing w:val="-59"/>
        </w:rPr>
        <w:t> </w:t>
      </w:r>
      <w:r>
        <w:rPr>
          <w:rFonts w:ascii="Arial" w:hAnsi="Arial" w:cs="Arial" w:eastAsia="Arial" w:hint="default"/>
        </w:rPr>
        <w:t>12</w:t>
      </w:r>
      <w:r>
        <w:rPr>
          <w:rFonts w:ascii="Arial" w:hAnsi="Arial" w:cs="Arial" w:eastAsia="Arial" w:hint="default"/>
          <w:spacing w:val="-10"/>
        </w:rPr>
        <w:t> </w:t>
      </w:r>
      <w:r>
        <w:rPr/>
        <w:t>月</w:t>
      </w:r>
      <w:r>
        <w:rPr>
          <w:spacing w:val="-59"/>
        </w:rPr>
        <w:t> </w:t>
      </w:r>
      <w:r>
        <w:rPr>
          <w:rFonts w:ascii="Arial" w:hAnsi="Arial" w:cs="Arial" w:eastAsia="Arial" w:hint="default"/>
        </w:rPr>
        <w:t>31</w:t>
      </w:r>
      <w:r>
        <w:rPr>
          <w:rFonts w:ascii="Arial" w:hAnsi="Arial" w:cs="Arial" w:eastAsia="Arial" w:hint="default"/>
          <w:spacing w:val="-10"/>
        </w:rPr>
        <w:t> </w:t>
      </w:r>
      <w:r>
        <w:rPr/>
        <w:t>日及</w:t>
      </w:r>
      <w:r>
        <w:rPr>
          <w:spacing w:val="-59"/>
        </w:rPr>
        <w:t> </w:t>
      </w:r>
      <w:r>
        <w:rPr>
          <w:rFonts w:ascii="Arial" w:hAnsi="Arial" w:cs="Arial" w:eastAsia="Arial" w:hint="default"/>
        </w:rPr>
        <w:t>2011</w:t>
      </w:r>
      <w:r>
        <w:rPr>
          <w:rFonts w:ascii="Arial" w:hAnsi="Arial" w:cs="Arial" w:eastAsia="Arial" w:hint="default"/>
          <w:spacing w:val="-10"/>
        </w:rPr>
        <w:t> </w:t>
      </w:r>
      <w:r>
        <w:rPr/>
        <w:t>年</w:t>
      </w:r>
      <w:r>
        <w:rPr>
          <w:spacing w:val="-59"/>
        </w:rPr>
        <w:t> </w:t>
      </w:r>
      <w:r>
        <w:rPr>
          <w:rFonts w:ascii="Arial" w:hAnsi="Arial" w:cs="Arial" w:eastAsia="Arial" w:hint="default"/>
        </w:rPr>
        <w:t>12</w:t>
      </w:r>
      <w:r>
        <w:rPr>
          <w:rFonts w:ascii="Arial" w:hAnsi="Arial" w:cs="Arial" w:eastAsia="Arial" w:hint="default"/>
          <w:spacing w:val="-10"/>
        </w:rPr>
        <w:t> </w:t>
      </w:r>
      <w:r>
        <w:rPr/>
        <w:t>月</w:t>
      </w:r>
      <w:r>
        <w:rPr>
          <w:spacing w:val="-59"/>
        </w:rPr>
        <w:t> </w:t>
      </w:r>
      <w:r>
        <w:rPr>
          <w:rFonts w:ascii="Arial" w:hAnsi="Arial" w:cs="Arial" w:eastAsia="Arial" w:hint="default"/>
        </w:rPr>
        <w:t>31</w:t>
      </w:r>
      <w:r>
        <w:rPr>
          <w:rFonts w:ascii="Arial" w:hAnsi="Arial" w:cs="Arial" w:eastAsia="Arial" w:hint="default"/>
          <w:spacing w:val="-10"/>
        </w:rPr>
        <w:t> </w:t>
      </w:r>
      <w:r>
        <w:rPr/>
        <w:t>日，本集团预付款项中以外币计价的余额并不重大。</w:t>
      </w:r>
    </w:p>
    <w:p>
      <w:pPr>
        <w:spacing w:after="0" w:line="240" w:lineRule="auto"/>
        <w:jc w:val="left"/>
        <w:sectPr>
          <w:headerReference w:type="default" r:id="rId87"/>
          <w:pgSz w:w="11910" w:h="16840"/>
          <w:pgMar w:header="1189" w:footer="457" w:top="4140" w:bottom="640" w:left="1260" w:right="800"/>
        </w:sectPr>
      </w:pPr>
    </w:p>
    <w:p>
      <w:pPr>
        <w:spacing w:line="240" w:lineRule="auto" w:before="1"/>
        <w:rPr>
          <w:rFonts w:ascii="宋体" w:hAnsi="宋体" w:cs="宋体" w:eastAsia="宋体" w:hint="default"/>
          <w:sz w:val="23"/>
          <w:szCs w:val="23"/>
        </w:rPr>
      </w:pPr>
    </w:p>
    <w:tbl>
      <w:tblPr>
        <w:tblW w:w="0" w:type="auto"/>
        <w:jc w:val="left"/>
        <w:tblInd w:w="335" w:type="dxa"/>
        <w:tblLayout w:type="fixed"/>
        <w:tblCellMar>
          <w:top w:w="0" w:type="dxa"/>
          <w:left w:w="0" w:type="dxa"/>
          <w:bottom w:w="0" w:type="dxa"/>
          <w:right w:w="0" w:type="dxa"/>
        </w:tblCellMar>
        <w:tblLook w:val="01E0"/>
      </w:tblPr>
      <w:tblGrid>
        <w:gridCol w:w="1541"/>
        <w:gridCol w:w="1283"/>
        <w:gridCol w:w="1305"/>
        <w:gridCol w:w="1313"/>
        <w:gridCol w:w="1312"/>
        <w:gridCol w:w="1282"/>
        <w:gridCol w:w="1228"/>
      </w:tblGrid>
      <w:tr>
        <w:trPr>
          <w:trHeight w:val="215" w:hRule="exact"/>
        </w:trPr>
        <w:tc>
          <w:tcPr>
            <w:tcW w:w="5442" w:type="dxa"/>
            <w:gridSpan w:val="4"/>
            <w:tcBorders>
              <w:top w:val="nil" w:sz="6" w:space="0" w:color="auto"/>
              <w:left w:val="nil" w:sz="6" w:space="0" w:color="auto"/>
              <w:bottom w:val="nil" w:sz="6" w:space="0" w:color="auto"/>
              <w:right w:val="nil" w:sz="6" w:space="0" w:color="auto"/>
            </w:tcBorders>
          </w:tcPr>
          <w:p>
            <w:pPr>
              <w:pStyle w:val="TableParagraph"/>
              <w:spacing w:line="193" w:lineRule="exact"/>
              <w:ind w:left="2677"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822" w:type="dxa"/>
            <w:gridSpan w:val="3"/>
            <w:tcBorders>
              <w:top w:val="nil" w:sz="6" w:space="0" w:color="auto"/>
              <w:left w:val="nil" w:sz="6" w:space="0" w:color="auto"/>
              <w:bottom w:val="single" w:sz="6" w:space="0" w:color="000000"/>
              <w:right w:val="nil" w:sz="6" w:space="0" w:color="auto"/>
            </w:tcBorders>
          </w:tcPr>
          <w:p>
            <w:pPr>
              <w:pStyle w:val="TableParagraph"/>
              <w:spacing w:line="193" w:lineRule="exact"/>
              <w:ind w:left="1134"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248" w:hRule="exact"/>
        </w:trPr>
        <w:tc>
          <w:tcPr>
            <w:tcW w:w="1541" w:type="dxa"/>
            <w:tcBorders>
              <w:top w:val="nil" w:sz="6" w:space="0" w:color="auto"/>
              <w:left w:val="nil" w:sz="6" w:space="0" w:color="auto"/>
              <w:bottom w:val="nil" w:sz="6" w:space="0" w:color="auto"/>
              <w:right w:val="nil" w:sz="6" w:space="0" w:color="auto"/>
            </w:tcBorders>
          </w:tcPr>
          <w:p>
            <w:pPr/>
          </w:p>
        </w:tc>
        <w:tc>
          <w:tcPr>
            <w:tcW w:w="1283" w:type="dxa"/>
            <w:tcBorders>
              <w:top w:val="single" w:sz="6" w:space="0" w:color="000000"/>
              <w:left w:val="nil" w:sz="6" w:space="0" w:color="auto"/>
              <w:bottom w:val="single" w:sz="6" w:space="0" w:color="000000"/>
              <w:right w:val="nil" w:sz="6" w:space="0" w:color="auto"/>
            </w:tcBorders>
          </w:tcPr>
          <w:p>
            <w:pPr>
              <w:pStyle w:val="TableParagraph"/>
              <w:spacing w:line="207" w:lineRule="exact"/>
              <w:ind w:right="102"/>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305" w:type="dxa"/>
            <w:tcBorders>
              <w:top w:val="single" w:sz="6" w:space="0" w:color="000000"/>
              <w:left w:val="nil" w:sz="6" w:space="0" w:color="auto"/>
              <w:bottom w:val="single" w:sz="6" w:space="0" w:color="000000"/>
              <w:right w:val="nil" w:sz="6" w:space="0" w:color="auto"/>
            </w:tcBorders>
          </w:tcPr>
          <w:p>
            <w:pPr>
              <w:pStyle w:val="TableParagraph"/>
              <w:spacing w:line="207" w:lineRule="exact"/>
              <w:ind w:right="52"/>
              <w:jc w:val="right"/>
              <w:rPr>
                <w:rFonts w:ascii="宋体" w:hAnsi="宋体" w:cs="宋体" w:eastAsia="宋体" w:hint="default"/>
                <w:sz w:val="18"/>
                <w:szCs w:val="18"/>
              </w:rPr>
            </w:pPr>
            <w:r>
              <w:rPr>
                <w:rFonts w:ascii="宋体" w:hAnsi="宋体" w:cs="宋体" w:eastAsia="宋体" w:hint="default"/>
                <w:sz w:val="18"/>
                <w:szCs w:val="18"/>
              </w:rPr>
              <w:t>存货跌价准备</w:t>
            </w:r>
          </w:p>
        </w:tc>
        <w:tc>
          <w:tcPr>
            <w:tcW w:w="1313" w:type="dxa"/>
            <w:tcBorders>
              <w:top w:val="single" w:sz="6" w:space="0" w:color="000000"/>
              <w:left w:val="nil" w:sz="6" w:space="0" w:color="auto"/>
              <w:bottom w:val="single" w:sz="6" w:space="0" w:color="000000"/>
              <w:right w:val="nil" w:sz="6" w:space="0" w:color="auto"/>
            </w:tcBorders>
          </w:tcPr>
          <w:p>
            <w:pPr>
              <w:pStyle w:val="TableParagraph"/>
              <w:spacing w:line="207" w:lineRule="exact"/>
              <w:ind w:right="70"/>
              <w:jc w:val="right"/>
              <w:rPr>
                <w:rFonts w:ascii="宋体" w:hAnsi="宋体" w:cs="宋体" w:eastAsia="宋体" w:hint="default"/>
                <w:sz w:val="18"/>
                <w:szCs w:val="18"/>
              </w:rPr>
            </w:pPr>
            <w:r>
              <w:rPr>
                <w:rFonts w:ascii="宋体" w:hAnsi="宋体" w:cs="宋体" w:eastAsia="宋体" w:hint="default"/>
                <w:sz w:val="18"/>
                <w:szCs w:val="18"/>
              </w:rPr>
              <w:t>账面价值</w:t>
            </w:r>
          </w:p>
        </w:tc>
        <w:tc>
          <w:tcPr>
            <w:tcW w:w="1312" w:type="dxa"/>
            <w:tcBorders>
              <w:top w:val="single" w:sz="6" w:space="0" w:color="000000"/>
              <w:left w:val="nil" w:sz="6" w:space="0" w:color="auto"/>
              <w:bottom w:val="single" w:sz="6" w:space="0" w:color="000000"/>
              <w:right w:val="nil" w:sz="6" w:space="0" w:color="auto"/>
            </w:tcBorders>
          </w:tcPr>
          <w:p>
            <w:pPr>
              <w:pStyle w:val="TableParagraph"/>
              <w:spacing w:line="207" w:lineRule="exact"/>
              <w:ind w:right="125"/>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282" w:type="dxa"/>
            <w:tcBorders>
              <w:top w:val="single" w:sz="6" w:space="0" w:color="000000"/>
              <w:left w:val="nil" w:sz="6" w:space="0" w:color="auto"/>
              <w:bottom w:val="single" w:sz="6" w:space="0" w:color="000000"/>
              <w:right w:val="nil" w:sz="6" w:space="0" w:color="auto"/>
            </w:tcBorders>
          </w:tcPr>
          <w:p>
            <w:pPr>
              <w:pStyle w:val="TableParagraph"/>
              <w:spacing w:line="207" w:lineRule="exact"/>
              <w:ind w:right="52"/>
              <w:jc w:val="right"/>
              <w:rPr>
                <w:rFonts w:ascii="宋体" w:hAnsi="宋体" w:cs="宋体" w:eastAsia="宋体" w:hint="default"/>
                <w:sz w:val="18"/>
                <w:szCs w:val="18"/>
              </w:rPr>
            </w:pPr>
            <w:r>
              <w:rPr>
                <w:rFonts w:ascii="宋体" w:hAnsi="宋体" w:cs="宋体" w:eastAsia="宋体" w:hint="default"/>
                <w:sz w:val="18"/>
                <w:szCs w:val="18"/>
              </w:rPr>
              <w:t>存货跌价准备</w:t>
            </w:r>
          </w:p>
        </w:tc>
        <w:tc>
          <w:tcPr>
            <w:tcW w:w="1228" w:type="dxa"/>
            <w:tcBorders>
              <w:top w:val="single" w:sz="6" w:space="0" w:color="000000"/>
              <w:left w:val="nil" w:sz="6" w:space="0" w:color="auto"/>
              <w:bottom w:val="single" w:sz="6" w:space="0" w:color="000000"/>
              <w:right w:val="nil" w:sz="6" w:space="0" w:color="auto"/>
            </w:tcBorders>
          </w:tcPr>
          <w:p>
            <w:pPr>
              <w:pStyle w:val="TableParagraph"/>
              <w:spacing w:line="207" w:lineRule="exact"/>
              <w:ind w:right="42"/>
              <w:jc w:val="right"/>
              <w:rPr>
                <w:rFonts w:ascii="宋体" w:hAnsi="宋体" w:cs="宋体" w:eastAsia="宋体" w:hint="default"/>
                <w:sz w:val="18"/>
                <w:szCs w:val="18"/>
              </w:rPr>
            </w:pPr>
            <w:r>
              <w:rPr>
                <w:rFonts w:ascii="宋体" w:hAnsi="宋体" w:cs="宋体" w:eastAsia="宋体" w:hint="default"/>
                <w:sz w:val="18"/>
                <w:szCs w:val="18"/>
              </w:rPr>
              <w:t>账面价值</w:t>
            </w:r>
          </w:p>
        </w:tc>
      </w:tr>
      <w:tr>
        <w:trPr>
          <w:trHeight w:val="692" w:hRule="exact"/>
        </w:trPr>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8" w:right="30" w:hanging="179"/>
              <w:jc w:val="left"/>
              <w:rPr>
                <w:rFonts w:ascii="宋体" w:hAnsi="宋体" w:cs="宋体" w:eastAsia="宋体" w:hint="default"/>
                <w:sz w:val="18"/>
                <w:szCs w:val="18"/>
              </w:rPr>
            </w:pPr>
            <w:r>
              <w:rPr>
                <w:rFonts w:ascii="宋体" w:hAnsi="宋体" w:cs="宋体" w:eastAsia="宋体" w:hint="default"/>
                <w:spacing w:val="6"/>
                <w:sz w:val="18"/>
                <w:szCs w:val="18"/>
              </w:rPr>
              <w:t>手机及其他通信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终端</w:t>
            </w:r>
          </w:p>
        </w:tc>
        <w:tc>
          <w:tcPr>
            <w:tcW w:w="1283"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75"/>
              <w:jc w:val="right"/>
              <w:rPr>
                <w:rFonts w:ascii="Arial" w:hAnsi="Arial" w:cs="Arial" w:eastAsia="Arial" w:hint="default"/>
                <w:sz w:val="18"/>
                <w:szCs w:val="18"/>
              </w:rPr>
            </w:pPr>
            <w:r>
              <w:rPr>
                <w:rFonts w:ascii="Arial"/>
                <w:spacing w:val="-1"/>
                <w:sz w:val="18"/>
              </w:rPr>
              <w:t>4,373,802,118</w:t>
            </w:r>
          </w:p>
        </w:tc>
        <w:tc>
          <w:tcPr>
            <w:tcW w:w="1305"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77" w:right="0"/>
              <w:jc w:val="left"/>
              <w:rPr>
                <w:rFonts w:ascii="Arial" w:hAnsi="Arial" w:cs="Arial" w:eastAsia="Arial" w:hint="default"/>
                <w:sz w:val="18"/>
                <w:szCs w:val="18"/>
              </w:rPr>
            </w:pPr>
            <w:r>
              <w:rPr>
                <w:rFonts w:ascii="Arial"/>
                <w:sz w:val="18"/>
              </w:rPr>
              <w:t>(186,321,870)</w:t>
            </w:r>
          </w:p>
        </w:tc>
        <w:tc>
          <w:tcPr>
            <w:tcW w:w="1313"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6"/>
              <w:jc w:val="right"/>
              <w:rPr>
                <w:rFonts w:ascii="Arial" w:hAnsi="Arial" w:cs="Arial" w:eastAsia="Arial" w:hint="default"/>
                <w:sz w:val="18"/>
                <w:szCs w:val="18"/>
              </w:rPr>
            </w:pPr>
            <w:r>
              <w:rPr>
                <w:rFonts w:ascii="Arial"/>
                <w:spacing w:val="-1"/>
                <w:sz w:val="18"/>
              </w:rPr>
              <w:t>4,187,480,248</w:t>
            </w:r>
          </w:p>
        </w:tc>
        <w:tc>
          <w:tcPr>
            <w:tcW w:w="1312"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86"/>
              <w:jc w:val="right"/>
              <w:rPr>
                <w:rFonts w:ascii="Arial" w:hAnsi="Arial" w:cs="Arial" w:eastAsia="Arial" w:hint="default"/>
                <w:sz w:val="18"/>
                <w:szCs w:val="18"/>
              </w:rPr>
            </w:pPr>
            <w:r>
              <w:rPr>
                <w:rFonts w:ascii="Arial"/>
                <w:spacing w:val="-1"/>
                <w:sz w:val="18"/>
              </w:rPr>
              <w:t>3,580,610,422</w:t>
            </w:r>
          </w:p>
        </w:tc>
        <w:tc>
          <w:tcPr>
            <w:tcW w:w="1282"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72"/>
              <w:jc w:val="right"/>
              <w:rPr>
                <w:rFonts w:ascii="Arial" w:hAnsi="Arial" w:cs="Arial" w:eastAsia="Arial" w:hint="default"/>
                <w:sz w:val="18"/>
                <w:szCs w:val="18"/>
              </w:rPr>
            </w:pPr>
            <w:r>
              <w:rPr>
                <w:rFonts w:ascii="Arial"/>
                <w:spacing w:val="-1"/>
                <w:sz w:val="18"/>
              </w:rPr>
              <w:t>(193,649,216)</w:t>
            </w:r>
          </w:p>
        </w:tc>
        <w:tc>
          <w:tcPr>
            <w:tcW w:w="1228"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pacing w:val="-1"/>
                <w:sz w:val="18"/>
              </w:rPr>
              <w:t>3,386,961,206</w:t>
            </w:r>
          </w:p>
        </w:tc>
      </w:tr>
      <w:tr>
        <w:trPr>
          <w:trHeight w:val="467" w:hRule="exact"/>
        </w:trPr>
        <w:tc>
          <w:tcPr>
            <w:tcW w:w="1541" w:type="dxa"/>
            <w:tcBorders>
              <w:top w:val="nil" w:sz="6" w:space="0" w:color="auto"/>
              <w:left w:val="nil" w:sz="6" w:space="0" w:color="auto"/>
              <w:bottom w:val="nil" w:sz="6" w:space="0" w:color="auto"/>
              <w:right w:val="nil" w:sz="6" w:space="0" w:color="auto"/>
            </w:tcBorders>
          </w:tcPr>
          <w:p>
            <w:pPr>
              <w:pStyle w:val="TableParagraph"/>
              <w:spacing w:line="201" w:lineRule="exact"/>
              <w:ind w:left="378" w:right="0" w:hanging="179"/>
              <w:jc w:val="left"/>
              <w:rPr>
                <w:rFonts w:ascii="宋体" w:hAnsi="宋体" w:cs="宋体" w:eastAsia="宋体" w:hint="default"/>
                <w:sz w:val="18"/>
                <w:szCs w:val="18"/>
              </w:rPr>
            </w:pPr>
            <w:r>
              <w:rPr>
                <w:rFonts w:ascii="Arial" w:hAnsi="Arial" w:cs="Arial" w:eastAsia="Arial" w:hint="default"/>
                <w:w w:val="100"/>
                <w:sz w:val="18"/>
                <w:szCs w:val="18"/>
              </w:rPr>
              <w:t>SIM</w:t>
            </w:r>
            <w:r>
              <w:rPr>
                <w:rFonts w:ascii="Arial" w:hAnsi="Arial" w:cs="Arial" w:eastAsia="Arial" w:hint="default"/>
                <w:spacing w:val="-6"/>
                <w:w w:val="100"/>
                <w:sz w:val="18"/>
                <w:szCs w:val="18"/>
              </w:rPr>
              <w:t> </w:t>
            </w:r>
            <w:r>
              <w:rPr>
                <w:rFonts w:ascii="宋体" w:hAnsi="宋体" w:cs="宋体" w:eastAsia="宋体" w:hint="default"/>
                <w:w w:val="100"/>
                <w:sz w:val="18"/>
                <w:szCs w:val="18"/>
              </w:rPr>
              <w:t>卡</w:t>
            </w:r>
            <w:r>
              <w:rPr>
                <w:rFonts w:ascii="宋体" w:hAnsi="宋体" w:cs="宋体" w:eastAsia="宋体" w:hint="default"/>
                <w:spacing w:val="-90"/>
                <w:w w:val="100"/>
                <w:sz w:val="18"/>
                <w:szCs w:val="18"/>
              </w:rPr>
              <w:t>、</w:t>
            </w:r>
            <w:r>
              <w:rPr>
                <w:rFonts w:ascii="Arial" w:hAnsi="Arial" w:cs="Arial" w:eastAsia="Arial" w:hint="default"/>
                <w:w w:val="100"/>
                <w:sz w:val="18"/>
                <w:szCs w:val="18"/>
              </w:rPr>
              <w:t>USIM</w:t>
            </w:r>
            <w:r>
              <w:rPr>
                <w:rFonts w:ascii="Arial" w:hAnsi="Arial" w:cs="Arial" w:eastAsia="Arial" w:hint="default"/>
                <w:spacing w:val="-6"/>
                <w:w w:val="100"/>
                <w:sz w:val="18"/>
                <w:szCs w:val="18"/>
              </w:rPr>
              <w:t> </w:t>
            </w:r>
            <w:r>
              <w:rPr>
                <w:rFonts w:ascii="宋体" w:hAnsi="宋体" w:cs="宋体" w:eastAsia="宋体" w:hint="default"/>
                <w:w w:val="100"/>
                <w:sz w:val="18"/>
                <w:szCs w:val="18"/>
              </w:rPr>
              <w:t>卡</w:t>
            </w:r>
          </w:p>
          <w:p>
            <w:pPr>
              <w:pStyle w:val="TableParagraph"/>
              <w:spacing w:line="228" w:lineRule="exact"/>
              <w:ind w:left="378" w:right="0"/>
              <w:jc w:val="left"/>
              <w:rPr>
                <w:rFonts w:ascii="宋体" w:hAnsi="宋体" w:cs="宋体" w:eastAsia="宋体" w:hint="default"/>
                <w:sz w:val="18"/>
                <w:szCs w:val="18"/>
              </w:rPr>
            </w:pPr>
            <w:r>
              <w:rPr>
                <w:rFonts w:ascii="宋体" w:hAnsi="宋体" w:cs="宋体" w:eastAsia="宋体" w:hint="default"/>
                <w:sz w:val="18"/>
                <w:szCs w:val="18"/>
              </w:rPr>
              <w:t>及预付电话卡</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5"/>
              <w:jc w:val="right"/>
              <w:rPr>
                <w:rFonts w:ascii="Arial" w:hAnsi="Arial" w:cs="Arial" w:eastAsia="Arial" w:hint="default"/>
                <w:sz w:val="18"/>
                <w:szCs w:val="18"/>
              </w:rPr>
            </w:pPr>
            <w:r>
              <w:rPr>
                <w:rFonts w:ascii="Arial"/>
                <w:spacing w:val="-1"/>
                <w:sz w:val="18"/>
              </w:rPr>
              <w:t>360,255,314</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8" w:right="0"/>
              <w:jc w:val="left"/>
              <w:rPr>
                <w:rFonts w:ascii="Arial" w:hAnsi="Arial" w:cs="Arial" w:eastAsia="Arial" w:hint="default"/>
                <w:sz w:val="18"/>
                <w:szCs w:val="18"/>
              </w:rPr>
            </w:pPr>
            <w:r>
              <w:rPr>
                <w:rFonts w:ascii="Arial"/>
                <w:sz w:val="18"/>
              </w:rPr>
              <w:t>(1,550,575)</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9"/>
              <w:jc w:val="right"/>
              <w:rPr>
                <w:rFonts w:ascii="Arial" w:hAnsi="Arial" w:cs="Arial" w:eastAsia="Arial" w:hint="default"/>
                <w:sz w:val="18"/>
                <w:szCs w:val="18"/>
              </w:rPr>
            </w:pPr>
            <w:r>
              <w:rPr>
                <w:rFonts w:ascii="Arial"/>
                <w:spacing w:val="-1"/>
                <w:sz w:val="18"/>
              </w:rPr>
              <w:t>358,704,739</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86"/>
              <w:jc w:val="right"/>
              <w:rPr>
                <w:rFonts w:ascii="Arial" w:hAnsi="Arial" w:cs="Arial" w:eastAsia="Arial" w:hint="default"/>
                <w:sz w:val="18"/>
                <w:szCs w:val="18"/>
              </w:rPr>
            </w:pPr>
            <w:r>
              <w:rPr>
                <w:rFonts w:ascii="Arial"/>
                <w:spacing w:val="-1"/>
                <w:sz w:val="18"/>
              </w:rPr>
              <w:t>298,568,797</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1"/>
              <w:jc w:val="right"/>
              <w:rPr>
                <w:rFonts w:ascii="Arial" w:hAnsi="Arial" w:cs="Arial" w:eastAsia="Arial" w:hint="default"/>
                <w:sz w:val="18"/>
                <w:szCs w:val="18"/>
              </w:rPr>
            </w:pPr>
            <w:r>
              <w:rPr>
                <w:rFonts w:ascii="Arial"/>
                <w:spacing w:val="-1"/>
                <w:sz w:val="18"/>
              </w:rPr>
              <w:t>(2,341,417)</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2"/>
              <w:jc w:val="right"/>
              <w:rPr>
                <w:rFonts w:ascii="Arial" w:hAnsi="Arial" w:cs="Arial" w:eastAsia="Arial" w:hint="default"/>
                <w:sz w:val="18"/>
                <w:szCs w:val="18"/>
              </w:rPr>
            </w:pPr>
            <w:r>
              <w:rPr>
                <w:rFonts w:ascii="Arial"/>
                <w:spacing w:val="-1"/>
                <w:sz w:val="18"/>
              </w:rPr>
              <w:t>296,227,380</w:t>
            </w:r>
          </w:p>
        </w:tc>
      </w:tr>
      <w:tr>
        <w:trPr>
          <w:trHeight w:val="233" w:hRule="exact"/>
        </w:trPr>
        <w:tc>
          <w:tcPr>
            <w:tcW w:w="1541"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备品备件</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5"/>
              <w:jc w:val="right"/>
              <w:rPr>
                <w:rFonts w:ascii="Arial" w:hAnsi="Arial" w:cs="Arial" w:eastAsia="Arial" w:hint="default"/>
                <w:sz w:val="18"/>
                <w:szCs w:val="18"/>
              </w:rPr>
            </w:pPr>
            <w:r>
              <w:rPr>
                <w:rFonts w:ascii="Arial"/>
                <w:spacing w:val="-1"/>
                <w:sz w:val="18"/>
              </w:rPr>
              <w:t>451,703,328</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5"/>
              <w:jc w:val="right"/>
              <w:rPr>
                <w:rFonts w:ascii="Arial" w:hAnsi="Arial" w:cs="Arial" w:eastAsia="Arial" w:hint="default"/>
                <w:sz w:val="18"/>
                <w:szCs w:val="18"/>
              </w:rPr>
            </w:pPr>
            <w:r>
              <w:rPr>
                <w:rFonts w:ascii="Arial"/>
                <w:spacing w:val="-1"/>
                <w:sz w:val="18"/>
              </w:rPr>
              <w:t>(453,682)</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9"/>
              <w:jc w:val="right"/>
              <w:rPr>
                <w:rFonts w:ascii="Arial" w:hAnsi="Arial" w:cs="Arial" w:eastAsia="Arial" w:hint="default"/>
                <w:sz w:val="18"/>
                <w:szCs w:val="18"/>
              </w:rPr>
            </w:pPr>
            <w:r>
              <w:rPr>
                <w:rFonts w:ascii="Arial"/>
                <w:spacing w:val="-1"/>
                <w:sz w:val="18"/>
              </w:rPr>
              <w:t>451,249,646</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6"/>
              <w:jc w:val="right"/>
              <w:rPr>
                <w:rFonts w:ascii="Arial" w:hAnsi="Arial" w:cs="Arial" w:eastAsia="Arial" w:hint="default"/>
                <w:sz w:val="18"/>
                <w:szCs w:val="18"/>
              </w:rPr>
            </w:pPr>
            <w:r>
              <w:rPr>
                <w:rFonts w:ascii="Arial"/>
                <w:spacing w:val="-1"/>
                <w:sz w:val="18"/>
              </w:rPr>
              <w:t>340,055,314</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1"/>
              <w:jc w:val="right"/>
              <w:rPr>
                <w:rFonts w:ascii="Arial" w:hAnsi="Arial" w:cs="Arial" w:eastAsia="Arial" w:hint="default"/>
                <w:sz w:val="18"/>
                <w:szCs w:val="18"/>
              </w:rPr>
            </w:pPr>
            <w:r>
              <w:rPr>
                <w:rFonts w:ascii="Arial"/>
                <w:spacing w:val="-1"/>
                <w:sz w:val="18"/>
              </w:rPr>
              <w:t>(51,841)</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3"/>
              <w:jc w:val="right"/>
              <w:rPr>
                <w:rFonts w:ascii="Arial" w:hAnsi="Arial" w:cs="Arial" w:eastAsia="Arial" w:hint="default"/>
                <w:sz w:val="18"/>
                <w:szCs w:val="18"/>
              </w:rPr>
            </w:pPr>
            <w:r>
              <w:rPr>
                <w:rFonts w:ascii="Arial"/>
                <w:spacing w:val="-1"/>
                <w:sz w:val="18"/>
              </w:rPr>
              <w:t>340,003,473</w:t>
            </w:r>
            <w:r>
              <w:rPr>
                <w:rFonts w:ascii="Arial"/>
                <w:sz w:val="18"/>
              </w:rPr>
            </w:r>
          </w:p>
        </w:tc>
      </w:tr>
      <w:tr>
        <w:trPr>
          <w:trHeight w:val="233" w:hRule="exact"/>
        </w:trPr>
        <w:tc>
          <w:tcPr>
            <w:tcW w:w="1541"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5"/>
              <w:jc w:val="right"/>
              <w:rPr>
                <w:rFonts w:ascii="Arial" w:hAnsi="Arial" w:cs="Arial" w:eastAsia="Arial" w:hint="default"/>
                <w:sz w:val="18"/>
                <w:szCs w:val="18"/>
              </w:rPr>
            </w:pPr>
            <w:r>
              <w:rPr>
                <w:rFonts w:ascii="Arial"/>
                <w:spacing w:val="-1"/>
                <w:sz w:val="18"/>
              </w:rPr>
              <w:t>722,446,500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5"/>
              <w:jc w:val="right"/>
              <w:rPr>
                <w:rFonts w:ascii="Arial" w:hAnsi="Arial" w:cs="Arial" w:eastAsia="Arial" w:hint="default"/>
                <w:sz w:val="18"/>
                <w:szCs w:val="18"/>
              </w:rPr>
            </w:pPr>
            <w:r>
              <w:rPr>
                <w:rFonts w:ascii="Arial"/>
                <w:w w:val="99"/>
                <w:sz w:val="18"/>
              </w:rPr>
              <w:t>-</w:t>
            </w:r>
            <w:r>
              <w:rPr>
                <w:rFonts w:ascii="Arial"/>
                <w:sz w:val="18"/>
              </w:rPr>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9"/>
              <w:jc w:val="right"/>
              <w:rPr>
                <w:rFonts w:ascii="Arial" w:hAnsi="Arial" w:cs="Arial" w:eastAsia="Arial" w:hint="default"/>
                <w:sz w:val="18"/>
                <w:szCs w:val="18"/>
              </w:rPr>
            </w:pPr>
            <w:r>
              <w:rPr>
                <w:rFonts w:ascii="Arial"/>
                <w:spacing w:val="-1"/>
                <w:sz w:val="18"/>
              </w:rPr>
              <w:t>722,446,500</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6"/>
              <w:jc w:val="right"/>
              <w:rPr>
                <w:rFonts w:ascii="Arial" w:hAnsi="Arial" w:cs="Arial" w:eastAsia="Arial" w:hint="default"/>
                <w:sz w:val="18"/>
                <w:szCs w:val="18"/>
              </w:rPr>
            </w:pPr>
            <w:r>
              <w:rPr>
                <w:rFonts w:ascii="Arial"/>
                <w:spacing w:val="-1"/>
                <w:sz w:val="18"/>
              </w:rPr>
              <w:t>546,590,033</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1"/>
              <w:jc w:val="right"/>
              <w:rPr>
                <w:rFonts w:ascii="Arial" w:hAnsi="Arial" w:cs="Arial" w:eastAsia="Arial" w:hint="default"/>
                <w:sz w:val="18"/>
                <w:szCs w:val="18"/>
              </w:rPr>
            </w:pPr>
            <w:r>
              <w:rPr>
                <w:rFonts w:ascii="Arial"/>
                <w:w w:val="99"/>
                <w:sz w:val="18"/>
              </w:rPr>
              <w:t>-</w:t>
            </w:r>
            <w:r>
              <w:rPr>
                <w:rFonts w:ascii="Arial"/>
                <w:sz w:val="18"/>
              </w:rPr>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2"/>
              <w:jc w:val="right"/>
              <w:rPr>
                <w:rFonts w:ascii="Arial" w:hAnsi="Arial" w:cs="Arial" w:eastAsia="Arial" w:hint="default"/>
                <w:sz w:val="18"/>
                <w:szCs w:val="18"/>
              </w:rPr>
            </w:pPr>
            <w:r>
              <w:rPr>
                <w:rFonts w:ascii="Arial"/>
                <w:spacing w:val="-1"/>
                <w:sz w:val="18"/>
              </w:rPr>
              <w:t>546,590,033</w:t>
            </w:r>
          </w:p>
        </w:tc>
      </w:tr>
      <w:tr>
        <w:trPr>
          <w:trHeight w:val="344" w:hRule="exact"/>
        </w:trPr>
        <w:tc>
          <w:tcPr>
            <w:tcW w:w="1541"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3" w:type="dxa"/>
            <w:tcBorders>
              <w:top w:val="nil" w:sz="6" w:space="0" w:color="auto"/>
              <w:left w:val="nil" w:sz="6" w:space="0" w:color="auto"/>
              <w:bottom w:val="nil" w:sz="6" w:space="0" w:color="auto"/>
              <w:right w:val="nil" w:sz="6" w:space="0" w:color="auto"/>
            </w:tcBorders>
          </w:tcPr>
          <w:p>
            <w:pPr>
              <w:pStyle w:val="TableParagraph"/>
              <w:tabs>
                <w:tab w:pos="304" w:val="left" w:leader="none"/>
              </w:tabs>
              <w:spacing w:line="240" w:lineRule="auto" w:before="14"/>
              <w:ind w:right="7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83,379,177</w:t>
            </w:r>
            <w:r>
              <w:rPr>
                <w:rFonts w:ascii="Arial"/>
                <w:spacing w:val="-1"/>
                <w:sz w:val="18"/>
              </w:rPr>
            </w:r>
          </w:p>
        </w:tc>
        <w:tc>
          <w:tcPr>
            <w:tcW w:w="1305" w:type="dxa"/>
            <w:tcBorders>
              <w:top w:val="nil" w:sz="6" w:space="0" w:color="auto"/>
              <w:left w:val="nil" w:sz="6" w:space="0" w:color="auto"/>
              <w:bottom w:val="nil" w:sz="6" w:space="0" w:color="auto"/>
              <w:right w:val="nil" w:sz="6" w:space="0" w:color="auto"/>
            </w:tcBorders>
          </w:tcPr>
          <w:p>
            <w:pPr>
              <w:pStyle w:val="TableParagraph"/>
              <w:tabs>
                <w:tab w:pos="1077" w:val="left" w:leader="none"/>
                <w:tab w:pos="1254" w:val="left" w:leader="none"/>
              </w:tabs>
              <w:spacing w:line="240" w:lineRule="auto" w:before="14"/>
              <w:ind w:left="42"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313" w:type="dxa"/>
            <w:tcBorders>
              <w:top w:val="nil" w:sz="6" w:space="0" w:color="auto"/>
              <w:left w:val="nil" w:sz="6" w:space="0" w:color="auto"/>
              <w:bottom w:val="nil" w:sz="6" w:space="0" w:color="auto"/>
              <w:right w:val="nil" w:sz="6" w:space="0" w:color="auto"/>
            </w:tcBorders>
          </w:tcPr>
          <w:p>
            <w:pPr>
              <w:pStyle w:val="TableParagraph"/>
              <w:tabs>
                <w:tab w:pos="274" w:val="left" w:leader="none"/>
              </w:tabs>
              <w:spacing w:line="240" w:lineRule="auto" w:before="14"/>
              <w:ind w:right="11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83,379,177</w:t>
            </w:r>
            <w:r>
              <w:rPr>
                <w:rFonts w:ascii="Arial"/>
                <w:spacing w:val="-1"/>
                <w:sz w:val="18"/>
              </w:rPr>
            </w:r>
          </w:p>
        </w:tc>
        <w:tc>
          <w:tcPr>
            <w:tcW w:w="1312" w:type="dxa"/>
            <w:tcBorders>
              <w:top w:val="nil" w:sz="6" w:space="0" w:color="auto"/>
              <w:left w:val="nil" w:sz="6" w:space="0" w:color="auto"/>
              <w:bottom w:val="nil" w:sz="6" w:space="0" w:color="auto"/>
              <w:right w:val="nil" w:sz="6" w:space="0" w:color="auto"/>
            </w:tcBorders>
          </w:tcPr>
          <w:p>
            <w:pPr>
              <w:pStyle w:val="TableParagraph"/>
              <w:tabs>
                <w:tab w:pos="314" w:val="left" w:leader="none"/>
              </w:tabs>
              <w:spacing w:line="240" w:lineRule="auto" w:before="14"/>
              <w:ind w:right="8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81,592,638</w:t>
            </w:r>
            <w:r>
              <w:rPr>
                <w:rFonts w:ascii="Arial"/>
                <w:spacing w:val="-1"/>
                <w:sz w:val="18"/>
              </w:rPr>
            </w:r>
          </w:p>
        </w:tc>
        <w:tc>
          <w:tcPr>
            <w:tcW w:w="1282" w:type="dxa"/>
            <w:tcBorders>
              <w:top w:val="nil" w:sz="6" w:space="0" w:color="auto"/>
              <w:left w:val="nil" w:sz="6" w:space="0" w:color="auto"/>
              <w:bottom w:val="nil" w:sz="6" w:space="0" w:color="auto"/>
              <w:right w:val="nil" w:sz="6" w:space="0" w:color="auto"/>
            </w:tcBorders>
          </w:tcPr>
          <w:p>
            <w:pPr>
              <w:pStyle w:val="TableParagraph"/>
              <w:tabs>
                <w:tab w:pos="1070" w:val="left" w:leader="none"/>
                <w:tab w:pos="1214" w:val="left" w:leader="none"/>
              </w:tabs>
              <w:spacing w:line="240" w:lineRule="auto" w:before="14"/>
              <w:ind w:right="4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228" w:type="dxa"/>
            <w:tcBorders>
              <w:top w:val="nil" w:sz="6" w:space="0" w:color="auto"/>
              <w:left w:val="nil" w:sz="6" w:space="0" w:color="auto"/>
              <w:bottom w:val="nil" w:sz="6" w:space="0" w:color="auto"/>
              <w:right w:val="nil" w:sz="6" w:space="0" w:color="auto"/>
            </w:tcBorders>
          </w:tcPr>
          <w:p>
            <w:pPr>
              <w:pStyle w:val="TableParagraph"/>
              <w:tabs>
                <w:tab w:pos="1202" w:val="left" w:leader="none"/>
              </w:tabs>
              <w:spacing w:line="240" w:lineRule="auto" w:before="1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3"/>
                <w:sz w:val="18"/>
                <w:u w:val="single" w:color="000000"/>
              </w:rPr>
              <w:t> </w:t>
            </w:r>
            <w:r>
              <w:rPr>
                <w:rFonts w:ascii="Arial"/>
                <w:spacing w:val="-1"/>
                <w:sz w:val="18"/>
                <w:u w:val="single" w:color="000000"/>
              </w:rPr>
              <w:t>81,592,638</w:t>
              <w:tab/>
            </w:r>
            <w:r>
              <w:rPr>
                <w:rFonts w:ascii="Arial"/>
                <w:spacing w:val="-1"/>
                <w:sz w:val="18"/>
              </w:rPr>
            </w:r>
          </w:p>
        </w:tc>
      </w:tr>
      <w:tr>
        <w:trPr>
          <w:trHeight w:val="358" w:hRule="exact"/>
        </w:trPr>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3" w:type="dxa"/>
            <w:tcBorders>
              <w:top w:val="nil" w:sz="6" w:space="0" w:color="auto"/>
              <w:left w:val="nil" w:sz="6" w:space="0" w:color="auto"/>
              <w:bottom w:val="single" w:sz="17" w:space="0" w:color="000000"/>
              <w:right w:val="nil" w:sz="6" w:space="0" w:color="auto"/>
            </w:tcBorders>
          </w:tcPr>
          <w:p>
            <w:pPr>
              <w:pStyle w:val="TableParagraph"/>
              <w:spacing w:line="240" w:lineRule="auto" w:before="126"/>
              <w:ind w:right="75"/>
              <w:jc w:val="right"/>
              <w:rPr>
                <w:rFonts w:ascii="Arial" w:hAnsi="Arial" w:cs="Arial" w:eastAsia="Arial" w:hint="default"/>
                <w:sz w:val="18"/>
                <w:szCs w:val="18"/>
              </w:rPr>
            </w:pPr>
            <w:r>
              <w:rPr>
                <w:rFonts w:ascii="Arial"/>
                <w:spacing w:val="-1"/>
                <w:sz w:val="18"/>
              </w:rPr>
              <w:t>5,991,586,437</w:t>
            </w:r>
          </w:p>
        </w:tc>
        <w:tc>
          <w:tcPr>
            <w:tcW w:w="1305" w:type="dxa"/>
            <w:tcBorders>
              <w:top w:val="nil" w:sz="6" w:space="0" w:color="auto"/>
              <w:left w:val="nil" w:sz="6" w:space="0" w:color="auto"/>
              <w:bottom w:val="single" w:sz="17" w:space="0" w:color="000000"/>
              <w:right w:val="nil" w:sz="6" w:space="0" w:color="auto"/>
            </w:tcBorders>
          </w:tcPr>
          <w:p>
            <w:pPr>
              <w:pStyle w:val="TableParagraph"/>
              <w:spacing w:line="240" w:lineRule="auto" w:before="126"/>
              <w:ind w:left="77" w:right="0"/>
              <w:jc w:val="left"/>
              <w:rPr>
                <w:rFonts w:ascii="Arial" w:hAnsi="Arial" w:cs="Arial" w:eastAsia="Arial" w:hint="default"/>
                <w:sz w:val="18"/>
                <w:szCs w:val="18"/>
              </w:rPr>
            </w:pPr>
            <w:r>
              <w:rPr>
                <w:rFonts w:ascii="Arial"/>
                <w:sz w:val="18"/>
              </w:rPr>
              <w:t>(188,326,127)</w:t>
            </w:r>
          </w:p>
        </w:tc>
        <w:tc>
          <w:tcPr>
            <w:tcW w:w="1313" w:type="dxa"/>
            <w:tcBorders>
              <w:top w:val="nil" w:sz="6" w:space="0" w:color="auto"/>
              <w:left w:val="nil" w:sz="6" w:space="0" w:color="auto"/>
              <w:bottom w:val="single" w:sz="17" w:space="0" w:color="000000"/>
              <w:right w:val="nil" w:sz="6" w:space="0" w:color="auto"/>
            </w:tcBorders>
          </w:tcPr>
          <w:p>
            <w:pPr>
              <w:pStyle w:val="TableParagraph"/>
              <w:spacing w:line="240" w:lineRule="auto" w:before="126"/>
              <w:ind w:right="106"/>
              <w:jc w:val="right"/>
              <w:rPr>
                <w:rFonts w:ascii="Arial" w:hAnsi="Arial" w:cs="Arial" w:eastAsia="Arial" w:hint="default"/>
                <w:sz w:val="18"/>
                <w:szCs w:val="18"/>
              </w:rPr>
            </w:pPr>
            <w:r>
              <w:rPr>
                <w:rFonts w:ascii="Arial"/>
                <w:spacing w:val="-1"/>
                <w:sz w:val="18"/>
              </w:rPr>
              <w:t>5,803,260,310</w:t>
            </w:r>
          </w:p>
        </w:tc>
        <w:tc>
          <w:tcPr>
            <w:tcW w:w="1312" w:type="dxa"/>
            <w:tcBorders>
              <w:top w:val="nil" w:sz="6" w:space="0" w:color="auto"/>
              <w:left w:val="nil" w:sz="6" w:space="0" w:color="auto"/>
              <w:bottom w:val="single" w:sz="17" w:space="0" w:color="000000"/>
              <w:right w:val="nil" w:sz="6" w:space="0" w:color="auto"/>
            </w:tcBorders>
          </w:tcPr>
          <w:p>
            <w:pPr>
              <w:pStyle w:val="TableParagraph"/>
              <w:spacing w:line="240" w:lineRule="auto" w:before="126"/>
              <w:ind w:right="86"/>
              <w:jc w:val="right"/>
              <w:rPr>
                <w:rFonts w:ascii="Arial" w:hAnsi="Arial" w:cs="Arial" w:eastAsia="Arial" w:hint="default"/>
                <w:sz w:val="18"/>
                <w:szCs w:val="18"/>
              </w:rPr>
            </w:pPr>
            <w:r>
              <w:rPr>
                <w:rFonts w:ascii="Arial"/>
                <w:spacing w:val="-1"/>
                <w:sz w:val="18"/>
              </w:rPr>
              <w:t>4,847,417,204</w:t>
            </w:r>
          </w:p>
        </w:tc>
        <w:tc>
          <w:tcPr>
            <w:tcW w:w="1282" w:type="dxa"/>
            <w:tcBorders>
              <w:top w:val="nil" w:sz="6" w:space="0" w:color="auto"/>
              <w:left w:val="nil" w:sz="6" w:space="0" w:color="auto"/>
              <w:bottom w:val="single" w:sz="17" w:space="0" w:color="000000"/>
              <w:right w:val="nil" w:sz="6" w:space="0" w:color="auto"/>
            </w:tcBorders>
          </w:tcPr>
          <w:p>
            <w:pPr>
              <w:pStyle w:val="TableParagraph"/>
              <w:spacing w:line="240" w:lineRule="auto" w:before="126"/>
              <w:ind w:right="72"/>
              <w:jc w:val="right"/>
              <w:rPr>
                <w:rFonts w:ascii="Arial" w:hAnsi="Arial" w:cs="Arial" w:eastAsia="Arial" w:hint="default"/>
                <w:sz w:val="18"/>
                <w:szCs w:val="18"/>
              </w:rPr>
            </w:pPr>
            <w:r>
              <w:rPr>
                <w:rFonts w:ascii="Arial"/>
                <w:spacing w:val="-1"/>
                <w:sz w:val="18"/>
              </w:rPr>
              <w:t>(196,042,474)</w:t>
            </w:r>
          </w:p>
        </w:tc>
        <w:tc>
          <w:tcPr>
            <w:tcW w:w="1228" w:type="dxa"/>
            <w:tcBorders>
              <w:top w:val="nil" w:sz="6" w:space="0" w:color="auto"/>
              <w:left w:val="nil" w:sz="6" w:space="0" w:color="auto"/>
              <w:bottom w:val="single" w:sz="17" w:space="0" w:color="000000"/>
              <w:right w:val="nil" w:sz="6" w:space="0" w:color="auto"/>
            </w:tcBorders>
          </w:tcPr>
          <w:p>
            <w:pPr>
              <w:pStyle w:val="TableParagraph"/>
              <w:spacing w:line="240" w:lineRule="auto" w:before="126"/>
              <w:ind w:right="21"/>
              <w:jc w:val="right"/>
              <w:rPr>
                <w:rFonts w:ascii="Arial" w:hAnsi="Arial" w:cs="Arial" w:eastAsia="Arial" w:hint="default"/>
                <w:sz w:val="18"/>
                <w:szCs w:val="18"/>
              </w:rPr>
            </w:pPr>
            <w:r>
              <w:rPr>
                <w:rFonts w:ascii="Arial"/>
                <w:spacing w:val="-1"/>
                <w:sz w:val="18"/>
              </w:rPr>
              <w:t>4,651,374,730</w:t>
            </w:r>
          </w:p>
        </w:tc>
      </w:tr>
    </w:tbl>
    <w:p>
      <w:pPr>
        <w:spacing w:line="240" w:lineRule="auto" w:before="2"/>
        <w:rPr>
          <w:rFonts w:ascii="宋体" w:hAnsi="宋体" w:cs="宋体" w:eastAsia="宋体" w:hint="default"/>
          <w:sz w:val="14"/>
          <w:szCs w:val="14"/>
        </w:rPr>
      </w:pPr>
    </w:p>
    <w:p>
      <w:pPr>
        <w:pStyle w:val="BodyText"/>
        <w:spacing w:line="240" w:lineRule="auto" w:before="31"/>
        <w:ind w:left="102" w:right="0"/>
        <w:jc w:val="left"/>
      </w:pPr>
      <w:r>
        <w:rPr>
          <w:rFonts w:ascii="Arial" w:hAnsi="Arial" w:cs="Arial" w:eastAsia="Arial" w:hint="default"/>
        </w:rPr>
        <w:t>(b)  </w:t>
      </w:r>
      <w:r>
        <w:rPr/>
        <w:t>存货跌价准备分析如下：</w:t>
      </w:r>
    </w:p>
    <w:p>
      <w:pPr>
        <w:spacing w:line="240" w:lineRule="auto" w:before="8"/>
        <w:rPr>
          <w:rFonts w:ascii="宋体" w:hAnsi="宋体" w:cs="宋体" w:eastAsia="宋体" w:hint="default"/>
          <w:sz w:val="22"/>
          <w:szCs w:val="22"/>
        </w:rPr>
      </w:pPr>
    </w:p>
    <w:tbl>
      <w:tblPr>
        <w:tblW w:w="0" w:type="auto"/>
        <w:jc w:val="left"/>
        <w:tblInd w:w="362" w:type="dxa"/>
        <w:tblLayout w:type="fixed"/>
        <w:tblCellMar>
          <w:top w:w="0" w:type="dxa"/>
          <w:left w:w="0" w:type="dxa"/>
          <w:bottom w:w="0" w:type="dxa"/>
          <w:right w:w="0" w:type="dxa"/>
        </w:tblCellMar>
        <w:tblLook w:val="01E0"/>
      </w:tblPr>
      <w:tblGrid>
        <w:gridCol w:w="2975"/>
        <w:gridCol w:w="1648"/>
        <w:gridCol w:w="1458"/>
        <w:gridCol w:w="1530"/>
        <w:gridCol w:w="1616"/>
      </w:tblGrid>
      <w:tr>
        <w:trPr>
          <w:trHeight w:val="449" w:hRule="exact"/>
        </w:trPr>
        <w:tc>
          <w:tcPr>
            <w:tcW w:w="2975"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single" w:sz="6" w:space="0" w:color="000000"/>
              <w:right w:val="nil" w:sz="6" w:space="0" w:color="auto"/>
            </w:tcBorders>
          </w:tcPr>
          <w:p>
            <w:pPr>
              <w:pStyle w:val="TableParagraph"/>
              <w:spacing w:line="186" w:lineRule="exact"/>
              <w:ind w:left="998"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728"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58"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本年计提</w:t>
            </w:r>
          </w:p>
        </w:tc>
        <w:tc>
          <w:tcPr>
            <w:tcW w:w="1530"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本年转销</w:t>
            </w:r>
          </w:p>
        </w:tc>
        <w:tc>
          <w:tcPr>
            <w:tcW w:w="1616" w:type="dxa"/>
            <w:tcBorders>
              <w:top w:val="nil" w:sz="6" w:space="0" w:color="auto"/>
              <w:left w:val="nil" w:sz="6" w:space="0" w:color="auto"/>
              <w:bottom w:val="single" w:sz="6" w:space="0" w:color="000000"/>
              <w:right w:val="nil" w:sz="6" w:space="0" w:color="auto"/>
            </w:tcBorders>
          </w:tcPr>
          <w:p>
            <w:pPr>
              <w:pStyle w:val="TableParagraph"/>
              <w:spacing w:line="186" w:lineRule="exact"/>
              <w:ind w:left="969"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699"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626" w:hRule="exact"/>
        </w:trPr>
        <w:tc>
          <w:tcPr>
            <w:tcW w:w="297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手机及其他通信终端</w:t>
            </w:r>
          </w:p>
        </w:tc>
        <w:tc>
          <w:tcPr>
            <w:tcW w:w="1648"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67"/>
              <w:jc w:val="right"/>
              <w:rPr>
                <w:rFonts w:ascii="Arial" w:hAnsi="Arial" w:cs="Arial" w:eastAsia="Arial" w:hint="default"/>
                <w:sz w:val="18"/>
                <w:szCs w:val="18"/>
              </w:rPr>
            </w:pPr>
            <w:r>
              <w:rPr>
                <w:rFonts w:ascii="Arial"/>
                <w:spacing w:val="-1"/>
                <w:sz w:val="18"/>
              </w:rPr>
              <w:t>(193,649,216)</w:t>
            </w:r>
          </w:p>
        </w:tc>
        <w:tc>
          <w:tcPr>
            <w:tcW w:w="1458"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58"/>
              <w:jc w:val="right"/>
              <w:rPr>
                <w:rFonts w:ascii="Arial" w:hAnsi="Arial" w:cs="Arial" w:eastAsia="Arial" w:hint="default"/>
                <w:sz w:val="18"/>
                <w:szCs w:val="18"/>
              </w:rPr>
            </w:pPr>
            <w:r>
              <w:rPr>
                <w:rFonts w:ascii="Arial"/>
                <w:spacing w:val="-1"/>
                <w:sz w:val="18"/>
              </w:rPr>
              <w:t>(139,796,950)</w:t>
            </w:r>
          </w:p>
        </w:tc>
        <w:tc>
          <w:tcPr>
            <w:tcW w:w="1530"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72"/>
              <w:jc w:val="right"/>
              <w:rPr>
                <w:rFonts w:ascii="Arial" w:hAnsi="Arial" w:cs="Arial" w:eastAsia="Arial" w:hint="default"/>
                <w:sz w:val="18"/>
                <w:szCs w:val="18"/>
              </w:rPr>
            </w:pPr>
            <w:r>
              <w:rPr>
                <w:rFonts w:ascii="Arial"/>
                <w:spacing w:val="-1"/>
                <w:sz w:val="18"/>
              </w:rPr>
              <w:t>147,124,296</w:t>
            </w:r>
          </w:p>
        </w:tc>
        <w:tc>
          <w:tcPr>
            <w:tcW w:w="161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99"/>
              <w:jc w:val="right"/>
              <w:rPr>
                <w:rFonts w:ascii="Arial" w:hAnsi="Arial" w:cs="Arial" w:eastAsia="Arial" w:hint="default"/>
                <w:sz w:val="18"/>
                <w:szCs w:val="18"/>
              </w:rPr>
            </w:pPr>
            <w:r>
              <w:rPr>
                <w:rFonts w:ascii="Arial"/>
                <w:spacing w:val="-1"/>
                <w:sz w:val="18"/>
              </w:rPr>
              <w:t>(186,321,870)</w:t>
            </w:r>
          </w:p>
        </w:tc>
      </w:tr>
      <w:tr>
        <w:trPr>
          <w:trHeight w:val="287" w:hRule="exact"/>
        </w:trPr>
        <w:tc>
          <w:tcPr>
            <w:tcW w:w="2975"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宋体" w:hAnsi="宋体" w:cs="宋体" w:eastAsia="宋体" w:hint="default"/>
                <w:sz w:val="18"/>
                <w:szCs w:val="18"/>
              </w:rPr>
            </w:pPr>
            <w:r>
              <w:rPr>
                <w:rFonts w:ascii="Arial" w:hAnsi="Arial" w:cs="Arial" w:eastAsia="Arial" w:hint="default"/>
                <w:sz w:val="18"/>
                <w:szCs w:val="18"/>
              </w:rPr>
              <w:t>SIM </w:t>
            </w:r>
            <w:r>
              <w:rPr>
                <w:rFonts w:ascii="宋体" w:hAnsi="宋体" w:cs="宋体" w:eastAsia="宋体" w:hint="default"/>
                <w:sz w:val="18"/>
                <w:szCs w:val="18"/>
              </w:rPr>
              <w:t>卡、</w:t>
            </w:r>
            <w:r>
              <w:rPr>
                <w:rFonts w:ascii="Arial" w:hAnsi="Arial" w:cs="Arial" w:eastAsia="Arial" w:hint="default"/>
                <w:sz w:val="18"/>
                <w:szCs w:val="18"/>
              </w:rPr>
              <w:t>UIM</w:t>
            </w:r>
            <w:r>
              <w:rPr>
                <w:rFonts w:ascii="Arial" w:hAnsi="Arial" w:cs="Arial" w:eastAsia="Arial" w:hint="default"/>
                <w:spacing w:val="-11"/>
                <w:sz w:val="18"/>
                <w:szCs w:val="18"/>
              </w:rPr>
              <w:t> </w:t>
            </w:r>
            <w:r>
              <w:rPr>
                <w:rFonts w:ascii="宋体" w:hAnsi="宋体" w:cs="宋体" w:eastAsia="宋体" w:hint="default"/>
                <w:sz w:val="18"/>
                <w:szCs w:val="18"/>
              </w:rPr>
              <w:t>卡及预付电话卡</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7"/>
              <w:jc w:val="right"/>
              <w:rPr>
                <w:rFonts w:ascii="Arial" w:hAnsi="Arial" w:cs="Arial" w:eastAsia="Arial" w:hint="default"/>
                <w:sz w:val="18"/>
                <w:szCs w:val="18"/>
              </w:rPr>
            </w:pPr>
            <w:r>
              <w:rPr>
                <w:rFonts w:ascii="Arial"/>
                <w:spacing w:val="-1"/>
                <w:sz w:val="18"/>
              </w:rPr>
              <w:t>(2,341,417)</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8"/>
              <w:jc w:val="right"/>
              <w:rPr>
                <w:rFonts w:ascii="Arial" w:hAnsi="Arial" w:cs="Arial" w:eastAsia="Arial" w:hint="default"/>
                <w:sz w:val="18"/>
                <w:szCs w:val="18"/>
              </w:rPr>
            </w:pPr>
            <w:r>
              <w:rPr>
                <w:rFonts w:ascii="Arial"/>
                <w:spacing w:val="-1"/>
                <w:sz w:val="18"/>
              </w:rPr>
              <w:t>(1,643,862)</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2"/>
              <w:jc w:val="right"/>
              <w:rPr>
                <w:rFonts w:ascii="Arial" w:hAnsi="Arial" w:cs="Arial" w:eastAsia="Arial" w:hint="default"/>
                <w:sz w:val="18"/>
                <w:szCs w:val="18"/>
              </w:rPr>
            </w:pPr>
            <w:r>
              <w:rPr>
                <w:rFonts w:ascii="Arial"/>
                <w:spacing w:val="-1"/>
                <w:sz w:val="18"/>
              </w:rPr>
              <w:t>2,434,704</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8"/>
              <w:jc w:val="right"/>
              <w:rPr>
                <w:rFonts w:ascii="Arial" w:hAnsi="Arial" w:cs="Arial" w:eastAsia="Arial" w:hint="default"/>
                <w:sz w:val="18"/>
                <w:szCs w:val="18"/>
              </w:rPr>
            </w:pPr>
            <w:r>
              <w:rPr>
                <w:rFonts w:ascii="Arial"/>
                <w:spacing w:val="-1"/>
                <w:sz w:val="18"/>
              </w:rPr>
              <w:t>(1,550,575)</w:t>
            </w:r>
          </w:p>
        </w:tc>
      </w:tr>
      <w:tr>
        <w:trPr>
          <w:trHeight w:val="455" w:hRule="exact"/>
        </w:trPr>
        <w:tc>
          <w:tcPr>
            <w:tcW w:w="2975"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宋体" w:hAnsi="宋体" w:cs="宋体" w:eastAsia="宋体" w:hint="default"/>
                <w:sz w:val="18"/>
                <w:szCs w:val="18"/>
              </w:rPr>
            </w:pPr>
            <w:r>
              <w:rPr>
                <w:rFonts w:ascii="宋体" w:hAnsi="宋体" w:cs="宋体" w:eastAsia="宋体" w:hint="default"/>
                <w:sz w:val="18"/>
                <w:szCs w:val="18"/>
              </w:rPr>
              <w:t>备品备件</w:t>
            </w:r>
          </w:p>
        </w:tc>
        <w:tc>
          <w:tcPr>
            <w:tcW w:w="1648" w:type="dxa"/>
            <w:tcBorders>
              <w:top w:val="nil" w:sz="6" w:space="0" w:color="auto"/>
              <w:left w:val="nil" w:sz="6" w:space="0" w:color="auto"/>
              <w:bottom w:val="nil" w:sz="6" w:space="0" w:color="auto"/>
              <w:right w:val="nil" w:sz="6" w:space="0" w:color="auto"/>
            </w:tcBorders>
          </w:tcPr>
          <w:p>
            <w:pPr>
              <w:pStyle w:val="TableParagraph"/>
              <w:tabs>
                <w:tab w:pos="908" w:val="left" w:leader="none"/>
                <w:tab w:pos="1647" w:val="left" w:leader="none"/>
              </w:tabs>
              <w:spacing w:line="240" w:lineRule="auto" w:before="49"/>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(51,841)</w:t>
              <w:tab/>
            </w:r>
            <w:r>
              <w:rPr>
                <w:rFonts w:ascii="Arial"/>
                <w:spacing w:val="-1"/>
                <w:sz w:val="18"/>
              </w:rPr>
            </w:r>
          </w:p>
        </w:tc>
        <w:tc>
          <w:tcPr>
            <w:tcW w:w="1458" w:type="dxa"/>
            <w:tcBorders>
              <w:top w:val="nil" w:sz="6" w:space="0" w:color="auto"/>
              <w:left w:val="nil" w:sz="6" w:space="0" w:color="auto"/>
              <w:bottom w:val="nil" w:sz="6" w:space="0" w:color="auto"/>
              <w:right w:val="nil" w:sz="6" w:space="0" w:color="auto"/>
            </w:tcBorders>
          </w:tcPr>
          <w:p>
            <w:pPr>
              <w:pStyle w:val="TableParagraph"/>
              <w:tabs>
                <w:tab w:pos="543" w:val="left" w:leader="none"/>
                <w:tab w:pos="1373" w:val="left" w:leader="none"/>
              </w:tabs>
              <w:spacing w:line="240" w:lineRule="auto" w:before="49"/>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(403,842)</w:t>
              <w:tab/>
            </w:r>
            <w:r>
              <w:rPr>
                <w:rFonts w:ascii="Arial"/>
                <w:spacing w:val="-1"/>
                <w:sz w:val="18"/>
              </w:rPr>
            </w:r>
          </w:p>
        </w:tc>
        <w:tc>
          <w:tcPr>
            <w:tcW w:w="1530" w:type="dxa"/>
            <w:tcBorders>
              <w:top w:val="nil" w:sz="6" w:space="0" w:color="auto"/>
              <w:left w:val="nil" w:sz="6" w:space="0" w:color="auto"/>
              <w:bottom w:val="nil" w:sz="6" w:space="0" w:color="auto"/>
              <w:right w:val="nil" w:sz="6" w:space="0" w:color="auto"/>
            </w:tcBorders>
          </w:tcPr>
          <w:p>
            <w:pPr>
              <w:pStyle w:val="TableParagraph"/>
              <w:tabs>
                <w:tab w:pos="920" w:val="left" w:leader="none"/>
                <w:tab w:pos="1444" w:val="left" w:leader="none"/>
              </w:tabs>
              <w:spacing w:line="240" w:lineRule="auto" w:before="49"/>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2,001</w:t>
              <w:tab/>
            </w:r>
            <w:r>
              <w:rPr>
                <w:rFonts w:ascii="Arial"/>
                <w:spacing w:val="-1"/>
                <w:sz w:val="18"/>
              </w:rPr>
            </w:r>
          </w:p>
        </w:tc>
        <w:tc>
          <w:tcPr>
            <w:tcW w:w="1616" w:type="dxa"/>
            <w:tcBorders>
              <w:top w:val="nil" w:sz="6" w:space="0" w:color="auto"/>
              <w:left w:val="nil" w:sz="6" w:space="0" w:color="auto"/>
              <w:bottom w:val="nil" w:sz="6" w:space="0" w:color="auto"/>
              <w:right w:val="nil" w:sz="6" w:space="0" w:color="auto"/>
            </w:tcBorders>
          </w:tcPr>
          <w:p>
            <w:pPr>
              <w:pStyle w:val="TableParagraph"/>
              <w:tabs>
                <w:tab w:pos="661" w:val="left" w:leader="none"/>
                <w:tab w:pos="1531" w:val="left" w:leader="none"/>
              </w:tabs>
              <w:spacing w:line="240" w:lineRule="auto" w:before="49"/>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(453,682)</w:t>
              <w:tab/>
            </w:r>
            <w:r>
              <w:rPr>
                <w:rFonts w:ascii="Arial"/>
                <w:spacing w:val="-1"/>
                <w:sz w:val="18"/>
              </w:rPr>
            </w:r>
          </w:p>
        </w:tc>
      </w:tr>
      <w:tr>
        <w:trPr>
          <w:trHeight w:val="435" w:hRule="exact"/>
        </w:trPr>
        <w:tc>
          <w:tcPr>
            <w:tcW w:w="2975"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48" w:type="dxa"/>
            <w:tcBorders>
              <w:top w:val="nil" w:sz="6" w:space="0" w:color="auto"/>
              <w:left w:val="nil" w:sz="6" w:space="0" w:color="auto"/>
              <w:bottom w:val="single" w:sz="17"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67"/>
              <w:jc w:val="right"/>
              <w:rPr>
                <w:rFonts w:ascii="Arial" w:hAnsi="Arial" w:cs="Arial" w:eastAsia="Arial" w:hint="default"/>
                <w:sz w:val="18"/>
                <w:szCs w:val="18"/>
              </w:rPr>
            </w:pPr>
            <w:r>
              <w:rPr>
                <w:rFonts w:ascii="Arial"/>
                <w:spacing w:val="-1"/>
                <w:sz w:val="18"/>
              </w:rPr>
              <w:t>(196,042,474)</w:t>
            </w:r>
          </w:p>
        </w:tc>
        <w:tc>
          <w:tcPr>
            <w:tcW w:w="1458" w:type="dxa"/>
            <w:tcBorders>
              <w:top w:val="nil" w:sz="6" w:space="0" w:color="auto"/>
              <w:left w:val="nil" w:sz="6" w:space="0" w:color="auto"/>
              <w:bottom w:val="single" w:sz="17"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8"/>
              <w:jc w:val="right"/>
              <w:rPr>
                <w:rFonts w:ascii="Arial" w:hAnsi="Arial" w:cs="Arial" w:eastAsia="Arial" w:hint="default"/>
                <w:sz w:val="18"/>
                <w:szCs w:val="18"/>
              </w:rPr>
            </w:pPr>
            <w:r>
              <w:rPr>
                <w:rFonts w:ascii="Arial"/>
                <w:spacing w:val="-1"/>
                <w:sz w:val="18"/>
              </w:rPr>
              <w:t>(141,844,654)</w:t>
            </w:r>
          </w:p>
        </w:tc>
        <w:tc>
          <w:tcPr>
            <w:tcW w:w="1530" w:type="dxa"/>
            <w:tcBorders>
              <w:top w:val="nil" w:sz="6" w:space="0" w:color="auto"/>
              <w:left w:val="nil" w:sz="6" w:space="0" w:color="auto"/>
              <w:bottom w:val="single" w:sz="17"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2"/>
              <w:jc w:val="right"/>
              <w:rPr>
                <w:rFonts w:ascii="Arial" w:hAnsi="Arial" w:cs="Arial" w:eastAsia="Arial" w:hint="default"/>
                <w:sz w:val="18"/>
                <w:szCs w:val="18"/>
              </w:rPr>
            </w:pPr>
            <w:r>
              <w:rPr>
                <w:rFonts w:ascii="Arial"/>
                <w:spacing w:val="-1"/>
                <w:sz w:val="18"/>
              </w:rPr>
              <w:t>149,561,001</w:t>
            </w:r>
          </w:p>
        </w:tc>
        <w:tc>
          <w:tcPr>
            <w:tcW w:w="1616" w:type="dxa"/>
            <w:tcBorders>
              <w:top w:val="nil" w:sz="6" w:space="0" w:color="auto"/>
              <w:left w:val="nil" w:sz="6" w:space="0" w:color="auto"/>
              <w:bottom w:val="single" w:sz="17"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18"/>
                <w:szCs w:val="18"/>
              </w:rPr>
            </w:pPr>
            <w:r>
              <w:rPr>
                <w:rFonts w:ascii="Arial"/>
                <w:spacing w:val="-1"/>
                <w:sz w:val="18"/>
              </w:rPr>
              <w:t>(188,326,127)</w:t>
            </w:r>
          </w:p>
        </w:tc>
      </w:tr>
    </w:tbl>
    <w:p>
      <w:pPr>
        <w:spacing w:line="240" w:lineRule="auto" w:before="2"/>
        <w:rPr>
          <w:rFonts w:ascii="宋体" w:hAnsi="宋体" w:cs="宋体" w:eastAsia="宋体" w:hint="default"/>
          <w:sz w:val="14"/>
          <w:szCs w:val="14"/>
        </w:rPr>
      </w:pPr>
    </w:p>
    <w:p>
      <w:pPr>
        <w:pStyle w:val="BodyText"/>
        <w:spacing w:line="286" w:lineRule="exact" w:before="60"/>
        <w:ind w:left="508" w:right="0" w:hanging="406"/>
        <w:jc w:val="left"/>
      </w:pPr>
      <w:r>
        <w:rPr>
          <w:rFonts w:ascii="Arial" w:hAnsi="Arial" w:cs="Arial" w:eastAsia="Arial" w:hint="default"/>
        </w:rPr>
        <w:t>(c) </w:t>
      </w:r>
      <w:r>
        <w:rPr/>
        <w:t>存货跌价准备的计提主要是因为存货陈旧过时或销售价格下降。本年原计提的存货跌价准备的</w:t>
      </w:r>
      <w:r>
        <w:rPr>
          <w:spacing w:val="-96"/>
        </w:rPr>
        <w:t> </w:t>
      </w:r>
      <w:r>
        <w:rPr>
          <w:spacing w:val="-96"/>
        </w:rPr>
      </w:r>
      <w:r>
        <w:rPr/>
        <w:t>转销是由于部分在以前年度已计提跌价准备的存货于本年出售而转出相应已计提的跌价准备。</w:t>
      </w:r>
    </w:p>
    <w:p>
      <w:pPr>
        <w:spacing w:after="0" w:line="286" w:lineRule="exact"/>
        <w:jc w:val="left"/>
        <w:sectPr>
          <w:headerReference w:type="default" r:id="rId88"/>
          <w:pgSz w:w="11910" w:h="16840"/>
          <w:pgMar w:header="1189" w:footer="457" w:top="4140" w:bottom="640" w:left="1280" w:right="920"/>
        </w:sectPr>
      </w:pPr>
    </w:p>
    <w:p>
      <w:pPr>
        <w:spacing w:line="240" w:lineRule="auto" w:before="9"/>
        <w:rPr>
          <w:rFonts w:ascii="宋体" w:hAnsi="宋体" w:cs="宋体" w:eastAsia="宋体" w:hint="default"/>
          <w:sz w:val="16"/>
          <w:szCs w:val="16"/>
        </w:rPr>
      </w:pPr>
    </w:p>
    <w:p>
      <w:pPr>
        <w:pStyle w:val="BodyText"/>
        <w:spacing w:line="240" w:lineRule="auto" w:before="31"/>
        <w:ind w:left="116" w:right="0"/>
        <w:jc w:val="left"/>
      </w:pPr>
      <w:r>
        <w:rPr>
          <w:rFonts w:ascii="Arial" w:hAnsi="Arial" w:cs="Arial" w:eastAsia="Arial" w:hint="default"/>
        </w:rPr>
        <w:t>7</w:t>
      </w:r>
      <w:r>
        <w:rPr/>
        <w:t>、</w:t>
      </w:r>
      <w:r>
        <w:rPr>
          <w:spacing w:val="-50"/>
        </w:rPr>
        <w:t> </w:t>
      </w:r>
      <w:r>
        <w:rPr/>
        <w:t>其他流动资产</w:t>
      </w:r>
    </w:p>
    <w:p>
      <w:pPr>
        <w:spacing w:line="240" w:lineRule="auto" w:before="3"/>
        <w:rPr>
          <w:rFonts w:ascii="宋体" w:hAnsi="宋体" w:cs="宋体" w:eastAsia="宋体" w:hint="default"/>
          <w:sz w:val="23"/>
          <w:szCs w:val="23"/>
        </w:rPr>
      </w:pPr>
    </w:p>
    <w:tbl>
      <w:tblPr>
        <w:tblW w:w="0" w:type="auto"/>
        <w:jc w:val="left"/>
        <w:tblInd w:w="362" w:type="dxa"/>
        <w:tblLayout w:type="fixed"/>
        <w:tblCellMar>
          <w:top w:w="0" w:type="dxa"/>
          <w:left w:w="0" w:type="dxa"/>
          <w:bottom w:w="0" w:type="dxa"/>
          <w:right w:w="0" w:type="dxa"/>
        </w:tblCellMar>
        <w:tblLook w:val="01E0"/>
      </w:tblPr>
      <w:tblGrid>
        <w:gridCol w:w="4459"/>
        <w:gridCol w:w="2302"/>
        <w:gridCol w:w="263"/>
        <w:gridCol w:w="2213"/>
      </w:tblGrid>
      <w:tr>
        <w:trPr>
          <w:trHeight w:val="261" w:hRule="exact"/>
        </w:trPr>
        <w:tc>
          <w:tcPr>
            <w:tcW w:w="4459"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single" w:sz="6" w:space="0" w:color="000000"/>
              <w:right w:val="nil" w:sz="6" w:space="0" w:color="auto"/>
            </w:tcBorders>
          </w:tcPr>
          <w:p>
            <w:pPr>
              <w:pStyle w:val="TableParagraph"/>
              <w:spacing w:line="235" w:lineRule="exact"/>
              <w:ind w:left="279" w:right="0"/>
              <w:jc w:val="lef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63"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single" w:sz="6" w:space="0" w:color="000000"/>
              <w:right w:val="nil" w:sz="6" w:space="0" w:color="auto"/>
            </w:tcBorders>
          </w:tcPr>
          <w:p>
            <w:pPr>
              <w:pStyle w:val="TableParagraph"/>
              <w:spacing w:line="235" w:lineRule="exact"/>
              <w:ind w:right="25"/>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8" w:hRule="exact"/>
        </w:trPr>
        <w:tc>
          <w:tcPr>
            <w:tcW w:w="445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预缴企业所得税</w:t>
            </w:r>
          </w:p>
        </w:tc>
        <w:tc>
          <w:tcPr>
            <w:tcW w:w="230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14"/>
              <w:jc w:val="right"/>
              <w:rPr>
                <w:rFonts w:ascii="Arial" w:hAnsi="Arial" w:cs="Arial" w:eastAsia="Arial" w:hint="default"/>
                <w:sz w:val="22"/>
                <w:szCs w:val="22"/>
              </w:rPr>
            </w:pPr>
            <w:r>
              <w:rPr>
                <w:rFonts w:ascii="Arial"/>
                <w:w w:val="95"/>
                <w:sz w:val="22"/>
              </w:rPr>
              <w:t>42,280,444</w:t>
            </w:r>
            <w:r>
              <w:rPr>
                <w:rFonts w:ascii="Arial"/>
                <w:sz w:val="22"/>
              </w:rPr>
            </w:r>
          </w:p>
        </w:tc>
        <w:tc>
          <w:tcPr>
            <w:tcW w:w="263" w:type="dxa"/>
            <w:tcBorders>
              <w:top w:val="nil" w:sz="6" w:space="0" w:color="auto"/>
              <w:left w:val="nil" w:sz="6" w:space="0" w:color="auto"/>
              <w:bottom w:val="nil" w:sz="6" w:space="0" w:color="auto"/>
              <w:right w:val="nil" w:sz="6" w:space="0" w:color="auto"/>
            </w:tcBorders>
          </w:tcPr>
          <w:p>
            <w:pPr/>
          </w:p>
        </w:tc>
        <w:tc>
          <w:tcPr>
            <w:tcW w:w="2213"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14"/>
              <w:jc w:val="right"/>
              <w:rPr>
                <w:rFonts w:ascii="Arial" w:hAnsi="Arial" w:cs="Arial" w:eastAsia="Arial" w:hint="default"/>
                <w:sz w:val="22"/>
                <w:szCs w:val="22"/>
              </w:rPr>
            </w:pPr>
            <w:r>
              <w:rPr>
                <w:rFonts w:ascii="Arial"/>
                <w:w w:val="95"/>
                <w:sz w:val="22"/>
              </w:rPr>
              <w:t>696,047,622</w:t>
            </w:r>
            <w:r>
              <w:rPr>
                <w:rFonts w:ascii="Arial"/>
                <w:sz w:val="22"/>
              </w:rPr>
            </w:r>
          </w:p>
        </w:tc>
      </w:tr>
      <w:tr>
        <w:trPr>
          <w:trHeight w:val="436" w:hRule="exact"/>
        </w:trPr>
        <w:tc>
          <w:tcPr>
            <w:tcW w:w="4459"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银行理财产品（注）</w:t>
            </w:r>
          </w:p>
        </w:tc>
        <w:tc>
          <w:tcPr>
            <w:tcW w:w="2302" w:type="dxa"/>
            <w:tcBorders>
              <w:top w:val="nil" w:sz="6" w:space="0" w:color="auto"/>
              <w:left w:val="nil" w:sz="6" w:space="0" w:color="auto"/>
              <w:bottom w:val="nil" w:sz="6" w:space="0" w:color="auto"/>
              <w:right w:val="nil" w:sz="6" w:space="0" w:color="auto"/>
            </w:tcBorders>
          </w:tcPr>
          <w:p>
            <w:pPr>
              <w:pStyle w:val="TableParagraph"/>
              <w:tabs>
                <w:tab w:pos="962" w:val="left" w:leader="none"/>
                <w:tab w:pos="2301"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112,000,000</w:t>
            </w:r>
            <w:r>
              <w:rPr>
                <w:rFonts w:ascii="Arial"/>
                <w:sz w:val="22"/>
                <w:u w:val="single" w:color="000000"/>
              </w:rPr>
              <w:tab/>
            </w:r>
            <w:r>
              <w:rPr>
                <w:rFonts w:ascii="Arial"/>
                <w:sz w:val="22"/>
              </w:rPr>
            </w:r>
          </w:p>
        </w:tc>
        <w:tc>
          <w:tcPr>
            <w:tcW w:w="263"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tabs>
                <w:tab w:pos="2014" w:val="left" w:leader="none"/>
                <w:tab w:pos="2205"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sz w:val="22"/>
                <w:u w:val="single" w:color="000000"/>
              </w:rPr>
              <w:tab/>
            </w:r>
            <w:r>
              <w:rPr>
                <w:rFonts w:ascii="Arial"/>
                <w:sz w:val="22"/>
              </w:rPr>
            </w:r>
          </w:p>
        </w:tc>
      </w:tr>
      <w:tr>
        <w:trPr>
          <w:trHeight w:val="446" w:hRule="exact"/>
        </w:trPr>
        <w:tc>
          <w:tcPr>
            <w:tcW w:w="4459"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02" w:type="dxa"/>
            <w:tcBorders>
              <w:top w:val="nil" w:sz="6" w:space="0" w:color="auto"/>
              <w:left w:val="nil" w:sz="6" w:space="0" w:color="auto"/>
              <w:bottom w:val="single" w:sz="17" w:space="0" w:color="000000"/>
              <w:right w:val="nil" w:sz="6" w:space="0" w:color="auto"/>
            </w:tcBorders>
          </w:tcPr>
          <w:p>
            <w:pPr>
              <w:pStyle w:val="TableParagraph"/>
              <w:spacing w:line="240" w:lineRule="auto" w:before="167"/>
              <w:ind w:right="112"/>
              <w:jc w:val="right"/>
              <w:rPr>
                <w:rFonts w:ascii="Arial" w:hAnsi="Arial" w:cs="Arial" w:eastAsia="Arial" w:hint="default"/>
                <w:sz w:val="22"/>
                <w:szCs w:val="22"/>
              </w:rPr>
            </w:pPr>
            <w:r>
              <w:rPr>
                <w:rFonts w:ascii="Arial"/>
                <w:w w:val="95"/>
                <w:sz w:val="22"/>
              </w:rPr>
              <w:t>154,280,444</w:t>
            </w:r>
            <w:r>
              <w:rPr>
                <w:rFonts w:ascii="Arial"/>
                <w:sz w:val="22"/>
              </w:rPr>
            </w:r>
          </w:p>
        </w:tc>
        <w:tc>
          <w:tcPr>
            <w:tcW w:w="263"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single" w:sz="17" w:space="0" w:color="000000"/>
              <w:right w:val="nil" w:sz="6" w:space="0" w:color="auto"/>
            </w:tcBorders>
          </w:tcPr>
          <w:p>
            <w:pPr>
              <w:pStyle w:val="TableParagraph"/>
              <w:spacing w:line="240" w:lineRule="auto" w:before="167"/>
              <w:ind w:right="114"/>
              <w:jc w:val="right"/>
              <w:rPr>
                <w:rFonts w:ascii="Arial" w:hAnsi="Arial" w:cs="Arial" w:eastAsia="Arial" w:hint="default"/>
                <w:sz w:val="22"/>
                <w:szCs w:val="22"/>
              </w:rPr>
            </w:pPr>
            <w:r>
              <w:rPr>
                <w:rFonts w:ascii="Arial"/>
                <w:w w:val="95"/>
                <w:sz w:val="22"/>
              </w:rPr>
              <w:t>696,047,622</w:t>
            </w:r>
            <w:r>
              <w:rPr>
                <w:rFonts w:ascii="Arial"/>
                <w:sz w:val="22"/>
              </w:rPr>
            </w:r>
          </w:p>
        </w:tc>
      </w:tr>
    </w:tbl>
    <w:p>
      <w:pPr>
        <w:spacing w:line="240" w:lineRule="auto" w:before="2"/>
        <w:rPr>
          <w:rFonts w:ascii="宋体" w:hAnsi="宋体" w:cs="宋体" w:eastAsia="宋体" w:hint="default"/>
          <w:sz w:val="14"/>
          <w:szCs w:val="14"/>
        </w:rPr>
      </w:pPr>
    </w:p>
    <w:p>
      <w:pPr>
        <w:pStyle w:val="BodyText"/>
        <w:spacing w:line="230" w:lineRule="auto" w:before="42"/>
        <w:ind w:left="974" w:right="145" w:hanging="431"/>
        <w:jc w:val="both"/>
      </w:pPr>
      <w:r>
        <w:rPr>
          <w:w w:val="95"/>
        </w:rPr>
        <w:t>注：该银行理财产品为本集团所属个别子公司与银行签署的保本浮动型银行理财产品，被记录</w:t>
      </w:r>
      <w:r>
        <w:rPr>
          <w:spacing w:val="16"/>
          <w:w w:val="95"/>
        </w:rPr>
        <w:t> </w:t>
      </w:r>
      <w:r>
        <w:rPr/>
        <w:t>于其他流动资产中。于</w:t>
      </w:r>
      <w:r>
        <w:rPr>
          <w:spacing w:val="-57"/>
        </w:rPr>
        <w:t> </w:t>
      </w:r>
      <w:r>
        <w:rPr>
          <w:rFonts w:ascii="Arial" w:hAnsi="Arial" w:cs="Arial" w:eastAsia="Arial" w:hint="default"/>
        </w:rPr>
        <w:t>2012</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r>
        <w:rPr>
          <w:rFonts w:ascii="Arial" w:hAnsi="Arial" w:cs="Arial" w:eastAsia="Arial" w:hint="default"/>
          <w:spacing w:val="-9"/>
        </w:rPr>
        <w:t> </w:t>
      </w:r>
      <w:r>
        <w:rPr/>
        <w:t>日，该等银行理财产品的账面价值与其公允价值</w:t>
      </w:r>
      <w:r>
        <w:rPr>
          <w:w w:val="99"/>
        </w:rPr>
        <w:t> </w:t>
      </w:r>
      <w:r>
        <w:rPr/>
        <w:t>接近。</w:t>
      </w:r>
    </w:p>
    <w:p>
      <w:pPr>
        <w:spacing w:line="240" w:lineRule="auto" w:before="4"/>
        <w:rPr>
          <w:rFonts w:ascii="宋体" w:hAnsi="宋体" w:cs="宋体" w:eastAsia="宋体" w:hint="default"/>
          <w:sz w:val="19"/>
          <w:szCs w:val="19"/>
        </w:rPr>
      </w:pPr>
    </w:p>
    <w:p>
      <w:pPr>
        <w:pStyle w:val="BodyText"/>
        <w:spacing w:line="240" w:lineRule="auto"/>
        <w:ind w:left="116" w:right="0"/>
        <w:jc w:val="left"/>
      </w:pPr>
      <w:r>
        <w:rPr>
          <w:rFonts w:ascii="Arial" w:hAnsi="Arial" w:cs="Arial" w:eastAsia="Arial" w:hint="default"/>
        </w:rPr>
        <w:t>8</w:t>
      </w:r>
      <w:r>
        <w:rPr/>
        <w:t>、</w:t>
      </w:r>
      <w:r>
        <w:rPr>
          <w:spacing w:val="-53"/>
        </w:rPr>
        <w:t> </w:t>
      </w:r>
      <w:r>
        <w:rPr/>
        <w:t>可供出售金融资产</w:t>
      </w:r>
    </w:p>
    <w:p>
      <w:pPr>
        <w:spacing w:line="240" w:lineRule="auto" w:before="2"/>
        <w:rPr>
          <w:rFonts w:ascii="宋体" w:hAnsi="宋体" w:cs="宋体" w:eastAsia="宋体" w:hint="default"/>
          <w:sz w:val="23"/>
          <w:szCs w:val="23"/>
        </w:rPr>
      </w:pPr>
    </w:p>
    <w:tbl>
      <w:tblPr>
        <w:tblW w:w="0" w:type="auto"/>
        <w:jc w:val="left"/>
        <w:tblInd w:w="362" w:type="dxa"/>
        <w:tblLayout w:type="fixed"/>
        <w:tblCellMar>
          <w:top w:w="0" w:type="dxa"/>
          <w:left w:w="0" w:type="dxa"/>
          <w:bottom w:w="0" w:type="dxa"/>
          <w:right w:w="0" w:type="dxa"/>
        </w:tblCellMar>
        <w:tblLook w:val="01E0"/>
      </w:tblPr>
      <w:tblGrid>
        <w:gridCol w:w="4459"/>
        <w:gridCol w:w="2302"/>
        <w:gridCol w:w="263"/>
        <w:gridCol w:w="2213"/>
      </w:tblGrid>
      <w:tr>
        <w:trPr>
          <w:trHeight w:val="260" w:hRule="exact"/>
        </w:trPr>
        <w:tc>
          <w:tcPr>
            <w:tcW w:w="4459"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single" w:sz="6" w:space="0" w:color="000000"/>
              <w:right w:val="nil" w:sz="6" w:space="0" w:color="auto"/>
            </w:tcBorders>
          </w:tcPr>
          <w:p>
            <w:pPr>
              <w:pStyle w:val="TableParagraph"/>
              <w:spacing w:line="235" w:lineRule="exact"/>
              <w:ind w:left="279" w:right="0"/>
              <w:jc w:val="lef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63"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single" w:sz="6" w:space="0" w:color="000000"/>
              <w:right w:val="nil" w:sz="6" w:space="0" w:color="auto"/>
            </w:tcBorders>
          </w:tcPr>
          <w:p>
            <w:pPr>
              <w:pStyle w:val="TableParagraph"/>
              <w:spacing w:line="235" w:lineRule="exact"/>
              <w:ind w:right="25"/>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9" w:hRule="exact"/>
        </w:trPr>
        <w:tc>
          <w:tcPr>
            <w:tcW w:w="445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对交通银行的股票投资（注</w:t>
            </w:r>
            <w:r>
              <w:rPr>
                <w:rFonts w:ascii="宋体" w:hAnsi="宋体" w:cs="宋体" w:eastAsia="宋体" w:hint="default"/>
                <w:spacing w:val="-60"/>
                <w:sz w:val="22"/>
                <w:szCs w:val="22"/>
              </w:rPr>
              <w:t> </w:t>
            </w:r>
            <w:r>
              <w:rPr>
                <w:rFonts w:ascii="Arial" w:hAnsi="Arial" w:cs="Arial" w:eastAsia="Arial" w:hint="default"/>
                <w:sz w:val="22"/>
                <w:szCs w:val="22"/>
              </w:rPr>
              <w:t>1</w:t>
            </w:r>
            <w:r>
              <w:rPr>
                <w:rFonts w:ascii="宋体" w:hAnsi="宋体" w:cs="宋体" w:eastAsia="宋体" w:hint="default"/>
                <w:sz w:val="22"/>
                <w:szCs w:val="22"/>
              </w:rPr>
              <w:t>）</w:t>
            </w:r>
          </w:p>
        </w:tc>
        <w:tc>
          <w:tcPr>
            <w:tcW w:w="2302"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12"/>
              <w:jc w:val="right"/>
              <w:rPr>
                <w:rFonts w:ascii="Arial" w:hAnsi="Arial" w:cs="Arial" w:eastAsia="Arial" w:hint="default"/>
                <w:sz w:val="22"/>
                <w:szCs w:val="22"/>
              </w:rPr>
            </w:pPr>
            <w:r>
              <w:rPr>
                <w:rFonts w:ascii="Arial"/>
                <w:w w:val="95"/>
                <w:sz w:val="22"/>
              </w:rPr>
              <w:t>125,398,595</w:t>
            </w:r>
            <w:r>
              <w:rPr>
                <w:rFonts w:ascii="Arial"/>
                <w:sz w:val="22"/>
              </w:rPr>
            </w:r>
          </w:p>
        </w:tc>
        <w:tc>
          <w:tcPr>
            <w:tcW w:w="263" w:type="dxa"/>
            <w:tcBorders>
              <w:top w:val="nil" w:sz="6" w:space="0" w:color="auto"/>
              <w:left w:val="nil" w:sz="6" w:space="0" w:color="auto"/>
              <w:bottom w:val="nil" w:sz="6" w:space="0" w:color="auto"/>
              <w:right w:val="nil" w:sz="6" w:space="0" w:color="auto"/>
            </w:tcBorders>
          </w:tcPr>
          <w:p>
            <w:pPr/>
          </w:p>
        </w:tc>
        <w:tc>
          <w:tcPr>
            <w:tcW w:w="2213"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14"/>
              <w:jc w:val="right"/>
              <w:rPr>
                <w:rFonts w:ascii="Arial" w:hAnsi="Arial" w:cs="Arial" w:eastAsia="Arial" w:hint="default"/>
                <w:sz w:val="22"/>
                <w:szCs w:val="22"/>
              </w:rPr>
            </w:pPr>
            <w:r>
              <w:rPr>
                <w:rFonts w:ascii="Arial"/>
                <w:w w:val="95"/>
                <w:sz w:val="22"/>
              </w:rPr>
              <w:t>113,721,803</w:t>
            </w:r>
            <w:r>
              <w:rPr>
                <w:rFonts w:ascii="Arial"/>
                <w:sz w:val="22"/>
              </w:rPr>
            </w:r>
          </w:p>
        </w:tc>
      </w:tr>
      <w:tr>
        <w:trPr>
          <w:trHeight w:val="293" w:hRule="exact"/>
        </w:trPr>
        <w:tc>
          <w:tcPr>
            <w:tcW w:w="4459"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z w:val="22"/>
                <w:szCs w:val="22"/>
              </w:rPr>
              <w:t>对西班牙电信的股票投资（注</w:t>
            </w:r>
            <w:r>
              <w:rPr>
                <w:rFonts w:ascii="宋体" w:hAnsi="宋体" w:cs="宋体" w:eastAsia="宋体" w:hint="default"/>
                <w:spacing w:val="-60"/>
                <w:sz w:val="22"/>
                <w:szCs w:val="22"/>
              </w:rPr>
              <w:t> </w:t>
            </w:r>
            <w:r>
              <w:rPr>
                <w:rFonts w:ascii="Arial" w:hAnsi="Arial" w:cs="Arial" w:eastAsia="Arial" w:hint="default"/>
                <w:sz w:val="22"/>
                <w:szCs w:val="22"/>
              </w:rPr>
              <w:t>2</w:t>
            </w:r>
            <w:r>
              <w:rPr>
                <w:rFonts w:ascii="宋体" w:hAnsi="宋体" w:cs="宋体" w:eastAsia="宋体" w:hint="default"/>
                <w:sz w:val="22"/>
                <w:szCs w:val="22"/>
              </w:rPr>
              <w:t>）</w:t>
            </w:r>
          </w:p>
        </w:tc>
        <w:tc>
          <w:tcPr>
            <w:tcW w:w="2302" w:type="dxa"/>
            <w:tcBorders>
              <w:top w:val="nil" w:sz="6" w:space="0" w:color="auto"/>
              <w:left w:val="nil" w:sz="6" w:space="0" w:color="auto"/>
              <w:bottom w:val="nil" w:sz="6" w:space="0" w:color="auto"/>
              <w:right w:val="nil" w:sz="6" w:space="0" w:color="auto"/>
            </w:tcBorders>
          </w:tcPr>
          <w:p>
            <w:pPr>
              <w:pStyle w:val="TableParagraph"/>
              <w:tabs>
                <w:tab w:pos="778" w:val="left" w:leader="none"/>
                <w:tab w:pos="2301"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5,441,715,056</w:t>
              <w:tab/>
            </w:r>
            <w:r>
              <w:rPr>
                <w:rFonts w:ascii="Arial"/>
                <w:spacing w:val="-1"/>
                <w:sz w:val="22"/>
              </w:rPr>
            </w:r>
          </w:p>
        </w:tc>
        <w:tc>
          <w:tcPr>
            <w:tcW w:w="263"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tabs>
                <w:tab w:pos="681" w:val="left" w:leader="none"/>
                <w:tab w:pos="2205"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6,837,384,523</w:t>
              <w:tab/>
            </w:r>
            <w:r>
              <w:rPr>
                <w:rFonts w:ascii="Arial"/>
                <w:spacing w:val="-1"/>
                <w:sz w:val="22"/>
              </w:rPr>
            </w:r>
          </w:p>
        </w:tc>
      </w:tr>
      <w:tr>
        <w:trPr>
          <w:trHeight w:val="419" w:hRule="exact"/>
        </w:trPr>
        <w:tc>
          <w:tcPr>
            <w:tcW w:w="4459"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2"/>
                <w:szCs w:val="22"/>
              </w:rPr>
            </w:pPr>
            <w:r>
              <w:rPr>
                <w:rFonts w:ascii="宋体" w:hAnsi="宋体" w:cs="宋体" w:eastAsia="宋体" w:hint="default"/>
                <w:sz w:val="22"/>
                <w:szCs w:val="22"/>
              </w:rPr>
              <w:t>可供出售权益工具小计</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14"/>
              <w:jc w:val="right"/>
              <w:rPr>
                <w:rFonts w:ascii="Arial" w:hAnsi="Arial" w:cs="Arial" w:eastAsia="Arial" w:hint="default"/>
                <w:sz w:val="22"/>
                <w:szCs w:val="22"/>
              </w:rPr>
            </w:pPr>
            <w:r>
              <w:rPr>
                <w:rFonts w:ascii="Arial"/>
                <w:spacing w:val="-1"/>
                <w:sz w:val="22"/>
              </w:rPr>
              <w:t>5,567,113,651</w:t>
            </w:r>
          </w:p>
        </w:tc>
        <w:tc>
          <w:tcPr>
            <w:tcW w:w="263"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16"/>
              <w:jc w:val="right"/>
              <w:rPr>
                <w:rFonts w:ascii="Arial" w:hAnsi="Arial" w:cs="Arial" w:eastAsia="Arial" w:hint="default"/>
                <w:sz w:val="22"/>
                <w:szCs w:val="22"/>
              </w:rPr>
            </w:pPr>
            <w:r>
              <w:rPr>
                <w:rFonts w:ascii="Arial"/>
                <w:w w:val="95"/>
                <w:sz w:val="22"/>
              </w:rPr>
              <w:t>6,951,106,326</w:t>
            </w:r>
            <w:r>
              <w:rPr>
                <w:rFonts w:ascii="Arial"/>
                <w:sz w:val="22"/>
              </w:rPr>
            </w:r>
          </w:p>
        </w:tc>
      </w:tr>
      <w:tr>
        <w:trPr>
          <w:trHeight w:val="545" w:hRule="exact"/>
        </w:trPr>
        <w:tc>
          <w:tcPr>
            <w:tcW w:w="445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00" w:right="0"/>
              <w:jc w:val="left"/>
              <w:rPr>
                <w:rFonts w:ascii="宋体" w:hAnsi="宋体" w:cs="宋体" w:eastAsia="宋体" w:hint="default"/>
                <w:sz w:val="22"/>
                <w:szCs w:val="22"/>
              </w:rPr>
            </w:pPr>
            <w:r>
              <w:rPr>
                <w:rFonts w:ascii="宋体" w:hAnsi="宋体" w:cs="宋体" w:eastAsia="宋体" w:hint="default"/>
                <w:sz w:val="22"/>
                <w:szCs w:val="22"/>
              </w:rPr>
              <w:t>减：减值准备</w:t>
            </w:r>
          </w:p>
        </w:tc>
        <w:tc>
          <w:tcPr>
            <w:tcW w:w="2302" w:type="dxa"/>
            <w:tcBorders>
              <w:top w:val="nil" w:sz="6" w:space="0" w:color="auto"/>
              <w:left w:val="nil" w:sz="6" w:space="0" w:color="auto"/>
              <w:bottom w:val="nil" w:sz="6" w:space="0" w:color="auto"/>
              <w:right w:val="nil" w:sz="6" w:space="0" w:color="auto"/>
            </w:tcBorders>
          </w:tcPr>
          <w:p>
            <w:pPr>
              <w:pStyle w:val="TableParagraph"/>
              <w:tabs>
                <w:tab w:pos="2112" w:val="left" w:leader="none"/>
                <w:tab w:pos="2301" w:val="left" w:leader="none"/>
              </w:tabs>
              <w:spacing w:line="240" w:lineRule="auto" w:before="143"/>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sz w:val="22"/>
                <w:u w:val="single" w:color="000000"/>
              </w:rPr>
              <w:tab/>
            </w:r>
            <w:r>
              <w:rPr>
                <w:rFonts w:ascii="Arial"/>
                <w:sz w:val="22"/>
              </w:rPr>
            </w:r>
          </w:p>
        </w:tc>
        <w:tc>
          <w:tcPr>
            <w:tcW w:w="263"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tabs>
                <w:tab w:pos="2014" w:val="left" w:leader="none"/>
                <w:tab w:pos="2205" w:val="left" w:leader="none"/>
              </w:tabs>
              <w:spacing w:line="240" w:lineRule="auto" w:before="143"/>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sz w:val="22"/>
                <w:u w:val="single" w:color="000000"/>
              </w:rPr>
              <w:tab/>
            </w:r>
            <w:r>
              <w:rPr>
                <w:rFonts w:ascii="Arial"/>
                <w:sz w:val="22"/>
              </w:rPr>
            </w:r>
          </w:p>
        </w:tc>
      </w:tr>
      <w:tr>
        <w:trPr>
          <w:trHeight w:val="431" w:hRule="exact"/>
        </w:trPr>
        <w:tc>
          <w:tcPr>
            <w:tcW w:w="445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02"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14"/>
              <w:jc w:val="right"/>
              <w:rPr>
                <w:rFonts w:ascii="Arial" w:hAnsi="Arial" w:cs="Arial" w:eastAsia="Arial" w:hint="default"/>
                <w:sz w:val="22"/>
                <w:szCs w:val="22"/>
              </w:rPr>
            </w:pPr>
            <w:r>
              <w:rPr>
                <w:rFonts w:ascii="Arial"/>
                <w:spacing w:val="-1"/>
                <w:sz w:val="22"/>
              </w:rPr>
              <w:t>5,567,113,651</w:t>
            </w:r>
          </w:p>
        </w:tc>
        <w:tc>
          <w:tcPr>
            <w:tcW w:w="263"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15"/>
              <w:jc w:val="right"/>
              <w:rPr>
                <w:rFonts w:ascii="Arial" w:hAnsi="Arial" w:cs="Arial" w:eastAsia="Arial" w:hint="default"/>
                <w:sz w:val="22"/>
                <w:szCs w:val="22"/>
              </w:rPr>
            </w:pPr>
            <w:r>
              <w:rPr>
                <w:rFonts w:ascii="Arial"/>
                <w:spacing w:val="-1"/>
                <w:sz w:val="22"/>
              </w:rPr>
              <w:t>6,951,106,326</w:t>
            </w:r>
          </w:p>
        </w:tc>
      </w:tr>
    </w:tbl>
    <w:p>
      <w:pPr>
        <w:spacing w:line="240" w:lineRule="auto" w:before="1"/>
        <w:rPr>
          <w:rFonts w:ascii="宋体" w:hAnsi="宋体" w:cs="宋体" w:eastAsia="宋体" w:hint="default"/>
          <w:sz w:val="14"/>
          <w:szCs w:val="14"/>
        </w:rPr>
      </w:pPr>
    </w:p>
    <w:p>
      <w:pPr>
        <w:pStyle w:val="BodyText"/>
        <w:spacing w:line="235" w:lineRule="auto" w:before="37"/>
        <w:ind w:left="1191" w:right="126" w:hanging="667"/>
        <w:jc w:val="both"/>
      </w:pPr>
      <w:r>
        <w:rPr/>
        <w:t>注</w:t>
      </w:r>
      <w:r>
        <w:rPr>
          <w:spacing w:val="-7"/>
        </w:rPr>
        <w:t> </w:t>
      </w:r>
      <w:r>
        <w:rPr>
          <w:rFonts w:ascii="Arial" w:hAnsi="Arial" w:cs="Arial" w:eastAsia="Arial" w:hint="default"/>
        </w:rPr>
        <w:t>1</w:t>
      </w:r>
      <w:r>
        <w:rPr/>
        <w:t>：本公司的子公司中讯设计院持有的交通银行股份有限公司（“交通银行”）的股票在上</w:t>
      </w:r>
      <w:r>
        <w:rPr>
          <w:w w:val="99"/>
        </w:rPr>
        <w:t> </w:t>
      </w:r>
      <w:r>
        <w:rPr/>
        <w:t>海证券交易所上市交易，故其股票有活跃市场之报价，其股票的公允价值也能够可靠计</w:t>
      </w:r>
      <w:r>
        <w:rPr>
          <w:w w:val="99"/>
        </w:rPr>
        <w:t> </w:t>
      </w:r>
      <w:r>
        <w:rPr/>
        <w:t>量。另外，本集团并非为短期交易目的而持有该股票，所以本集团将持有的对交通银行</w:t>
      </w:r>
      <w:r>
        <w:rPr>
          <w:w w:val="99"/>
        </w:rPr>
        <w:t> </w:t>
      </w:r>
      <w:r>
        <w:rPr/>
        <w:t>股票的投资划分为可供出售金融资产。</w:t>
      </w:r>
    </w:p>
    <w:p>
      <w:pPr>
        <w:spacing w:line="240" w:lineRule="auto" w:before="8"/>
        <w:rPr>
          <w:rFonts w:ascii="宋体" w:hAnsi="宋体" w:cs="宋体" w:eastAsia="宋体" w:hint="default"/>
          <w:sz w:val="15"/>
          <w:szCs w:val="15"/>
        </w:rPr>
      </w:pPr>
    </w:p>
    <w:p>
      <w:pPr>
        <w:pStyle w:val="BodyText"/>
        <w:spacing w:line="295" w:lineRule="exact"/>
        <w:ind w:left="1191" w:right="0"/>
        <w:jc w:val="left"/>
      </w:pPr>
      <w:r>
        <w:rPr/>
        <w:t>于 </w:t>
      </w:r>
      <w:r>
        <w:rPr>
          <w:rFonts w:ascii="Arial" w:hAnsi="Arial" w:cs="Arial" w:eastAsia="Arial" w:hint="default"/>
        </w:rPr>
        <w:t>2012 </w:t>
      </w:r>
      <w:r>
        <w:rPr/>
        <w:t>年 </w:t>
      </w:r>
      <w:r>
        <w:rPr>
          <w:rFonts w:ascii="Arial" w:hAnsi="Arial" w:cs="Arial" w:eastAsia="Arial" w:hint="default"/>
        </w:rPr>
        <w:t>12 </w:t>
      </w:r>
      <w:r>
        <w:rPr/>
        <w:t>月 </w:t>
      </w:r>
      <w:r>
        <w:rPr>
          <w:rFonts w:ascii="Arial" w:hAnsi="Arial" w:cs="Arial" w:eastAsia="Arial" w:hint="default"/>
        </w:rPr>
        <w:t>31 </w:t>
      </w:r>
      <w:r>
        <w:rPr/>
        <w:t>日，中讯设计院持有交通银行普通股股票 </w:t>
      </w:r>
      <w:r>
        <w:rPr>
          <w:rFonts w:ascii="Arial" w:hAnsi="Arial" w:cs="Arial" w:eastAsia="Arial" w:hint="default"/>
        </w:rPr>
        <w:t>25,384,331  </w:t>
      </w:r>
      <w:r>
        <w:rPr>
          <w:rFonts w:ascii="Arial" w:hAnsi="Arial" w:cs="Arial" w:eastAsia="Arial" w:hint="default"/>
          <w:spacing w:val="6"/>
        </w:rPr>
        <w:t> </w:t>
      </w:r>
      <w:r>
        <w:rPr/>
        <w:t>股，其中</w:t>
      </w:r>
    </w:p>
    <w:p>
      <w:pPr>
        <w:pStyle w:val="BodyText"/>
        <w:spacing w:line="285" w:lineRule="exact"/>
        <w:ind w:left="1191" w:right="0"/>
        <w:jc w:val="left"/>
      </w:pPr>
      <w:r>
        <w:rPr>
          <w:rFonts w:ascii="Arial" w:hAnsi="Arial" w:cs="Arial" w:eastAsia="Arial" w:hint="default"/>
        </w:rPr>
        <w:t>20,066,665</w:t>
      </w:r>
      <w:r>
        <w:rPr>
          <w:rFonts w:ascii="Arial" w:hAnsi="Arial" w:cs="Arial" w:eastAsia="Arial" w:hint="default"/>
          <w:spacing w:val="-8"/>
        </w:rPr>
        <w:t> </w:t>
      </w:r>
      <w:r>
        <w:rPr/>
        <w:t>股为初始投资，投资成本为每股人民币</w:t>
      </w:r>
      <w:r>
        <w:rPr>
          <w:spacing w:val="-54"/>
        </w:rPr>
        <w:t> </w:t>
      </w:r>
      <w:r>
        <w:rPr>
          <w:rFonts w:ascii="Arial" w:hAnsi="Arial" w:cs="Arial" w:eastAsia="Arial" w:hint="default"/>
        </w:rPr>
        <w:t>1.83</w:t>
      </w:r>
      <w:r>
        <w:rPr>
          <w:rFonts w:ascii="Arial" w:hAnsi="Arial" w:cs="Arial" w:eastAsia="Arial" w:hint="default"/>
          <w:spacing w:val="-7"/>
        </w:rPr>
        <w:t> </w:t>
      </w:r>
      <w:r>
        <w:rPr/>
        <w:t>元；</w:t>
      </w:r>
      <w:r>
        <w:rPr>
          <w:rFonts w:ascii="Arial" w:hAnsi="Arial" w:cs="Arial" w:eastAsia="Arial" w:hint="default"/>
        </w:rPr>
        <w:t>3,010,000</w:t>
      </w:r>
      <w:r>
        <w:rPr>
          <w:rFonts w:ascii="Arial" w:hAnsi="Arial" w:cs="Arial" w:eastAsia="Arial" w:hint="default"/>
          <w:spacing w:val="-7"/>
        </w:rPr>
        <w:t> </w:t>
      </w:r>
      <w:r>
        <w:rPr/>
        <w:t>股为</w:t>
      </w:r>
      <w:r>
        <w:rPr>
          <w:spacing w:val="-56"/>
        </w:rPr>
        <w:t> </w:t>
      </w:r>
      <w:r>
        <w:rPr>
          <w:rFonts w:ascii="Arial" w:hAnsi="Arial" w:cs="Arial" w:eastAsia="Arial" w:hint="default"/>
        </w:rPr>
        <w:t>2010</w:t>
      </w:r>
      <w:r>
        <w:rPr>
          <w:rFonts w:ascii="Arial" w:hAnsi="Arial" w:cs="Arial" w:eastAsia="Arial" w:hint="default"/>
          <w:spacing w:val="-7"/>
        </w:rPr>
        <w:t> </w:t>
      </w:r>
      <w:r>
        <w:rPr/>
        <w:t>年度</w:t>
      </w:r>
    </w:p>
    <w:p>
      <w:pPr>
        <w:pStyle w:val="BodyText"/>
        <w:spacing w:line="285" w:lineRule="exact"/>
        <w:ind w:left="1191" w:right="0"/>
        <w:jc w:val="left"/>
        <w:rPr>
          <w:rFonts w:ascii="Arial" w:hAnsi="Arial" w:cs="Arial" w:eastAsia="Arial" w:hint="default"/>
        </w:rPr>
      </w:pPr>
      <w:r>
        <w:rPr/>
        <w:t>中讯设计院因交通银行配股获得的股份，配股价为每股人民币</w:t>
      </w:r>
      <w:r>
        <w:rPr>
          <w:spacing w:val="-72"/>
        </w:rPr>
        <w:t> </w:t>
      </w:r>
      <w:r>
        <w:rPr>
          <w:rFonts w:ascii="Arial" w:hAnsi="Arial" w:cs="Arial" w:eastAsia="Arial" w:hint="default"/>
        </w:rPr>
        <w:t>4.5</w:t>
      </w:r>
      <w:r>
        <w:rPr>
          <w:rFonts w:ascii="Arial" w:hAnsi="Arial" w:cs="Arial" w:eastAsia="Arial" w:hint="default"/>
          <w:spacing w:val="-25"/>
        </w:rPr>
        <w:t> </w:t>
      </w:r>
      <w:r>
        <w:rPr>
          <w:spacing w:val="-9"/>
        </w:rPr>
        <w:t>元；剩余的</w:t>
      </w:r>
      <w:r>
        <w:rPr>
          <w:spacing w:val="-74"/>
        </w:rPr>
        <w:t> </w:t>
      </w:r>
      <w:r>
        <w:rPr>
          <w:rFonts w:ascii="Arial" w:hAnsi="Arial" w:cs="Arial" w:eastAsia="Arial" w:hint="default"/>
        </w:rPr>
        <w:t>2,307,666</w:t>
      </w:r>
    </w:p>
    <w:p>
      <w:pPr>
        <w:pStyle w:val="BodyText"/>
        <w:spacing w:line="286" w:lineRule="exact"/>
        <w:ind w:left="1191" w:right="0"/>
        <w:jc w:val="left"/>
      </w:pPr>
      <w:r>
        <w:rPr/>
        <w:t>股为</w:t>
      </w:r>
      <w:r>
        <w:rPr>
          <w:spacing w:val="-65"/>
        </w:rPr>
        <w:t> </w:t>
      </w:r>
      <w:r>
        <w:rPr>
          <w:rFonts w:ascii="Arial" w:hAnsi="Arial" w:cs="Arial" w:eastAsia="Arial" w:hint="default"/>
        </w:rPr>
        <w:t>2011</w:t>
      </w:r>
      <w:r>
        <w:rPr>
          <w:rFonts w:ascii="Arial" w:hAnsi="Arial" w:cs="Arial" w:eastAsia="Arial" w:hint="default"/>
          <w:spacing w:val="-16"/>
        </w:rPr>
        <w:t> </w:t>
      </w:r>
      <w:r>
        <w:rPr/>
        <w:t>年度中讯设计院获得的交通银行按每</w:t>
      </w:r>
      <w:r>
        <w:rPr>
          <w:spacing w:val="-63"/>
        </w:rPr>
        <w:t> </w:t>
      </w:r>
      <w:r>
        <w:rPr>
          <w:rFonts w:ascii="Arial" w:hAnsi="Arial" w:cs="Arial" w:eastAsia="Arial" w:hint="default"/>
        </w:rPr>
        <w:t>10</w:t>
      </w:r>
      <w:r>
        <w:rPr>
          <w:rFonts w:ascii="Arial" w:hAnsi="Arial" w:cs="Arial" w:eastAsia="Arial" w:hint="default"/>
          <w:spacing w:val="-16"/>
        </w:rPr>
        <w:t> </w:t>
      </w:r>
      <w:r>
        <w:rPr/>
        <w:t>股送</w:t>
      </w:r>
      <w:r>
        <w:rPr>
          <w:spacing w:val="-65"/>
        </w:rPr>
        <w:t> </w:t>
      </w:r>
      <w:r>
        <w:rPr>
          <w:rFonts w:ascii="Arial" w:hAnsi="Arial" w:cs="Arial" w:eastAsia="Arial" w:hint="default"/>
        </w:rPr>
        <w:t>1</w:t>
      </w:r>
      <w:r>
        <w:rPr>
          <w:rFonts w:ascii="Arial" w:hAnsi="Arial" w:cs="Arial" w:eastAsia="Arial" w:hint="default"/>
          <w:spacing w:val="-18"/>
        </w:rPr>
        <w:t> </w:t>
      </w:r>
      <w:r>
        <w:rPr/>
        <w:t>股的比例向全体股东派发的股</w:t>
      </w:r>
    </w:p>
    <w:p>
      <w:pPr>
        <w:pStyle w:val="BodyText"/>
        <w:spacing w:line="286" w:lineRule="exact"/>
        <w:ind w:left="1191" w:right="0"/>
        <w:jc w:val="left"/>
      </w:pPr>
      <w:r>
        <w:rPr/>
        <w:t>票股利。于</w:t>
      </w:r>
      <w:r>
        <w:rPr>
          <w:spacing w:val="-57"/>
        </w:rPr>
        <w:t> </w:t>
      </w:r>
      <w:r>
        <w:rPr>
          <w:rFonts w:ascii="Arial" w:hAnsi="Arial" w:cs="Arial" w:eastAsia="Arial" w:hint="default"/>
        </w:rPr>
        <w:t>2012</w:t>
      </w:r>
      <w:r>
        <w:rPr>
          <w:rFonts w:ascii="Arial" w:hAnsi="Arial" w:cs="Arial" w:eastAsia="Arial" w:hint="default"/>
          <w:spacing w:val="-9"/>
        </w:rPr>
        <w:t> </w:t>
      </w:r>
      <w:r>
        <w:rPr/>
        <w:t>年度，中讯设计院持有的交通银行股票市价从年初每股人民币</w:t>
      </w:r>
      <w:r>
        <w:rPr>
          <w:spacing w:val="-55"/>
        </w:rPr>
        <w:t> </w:t>
      </w:r>
      <w:r>
        <w:rPr>
          <w:rFonts w:ascii="Arial" w:hAnsi="Arial" w:cs="Arial" w:eastAsia="Arial" w:hint="default"/>
        </w:rPr>
        <w:t>4.48</w:t>
      </w:r>
      <w:r>
        <w:rPr>
          <w:rFonts w:ascii="Arial" w:hAnsi="Arial" w:cs="Arial" w:eastAsia="Arial" w:hint="default"/>
          <w:spacing w:val="-8"/>
        </w:rPr>
        <w:t> </w:t>
      </w:r>
      <w:r>
        <w:rPr/>
        <w:t>元</w:t>
      </w:r>
    </w:p>
    <w:p>
      <w:pPr>
        <w:pStyle w:val="BodyText"/>
        <w:spacing w:line="286" w:lineRule="exact"/>
        <w:ind w:left="1191" w:right="0"/>
        <w:jc w:val="left"/>
      </w:pPr>
      <w:r>
        <w:rPr/>
        <w:t>上升至年末的每股人民币</w:t>
      </w:r>
      <w:r>
        <w:rPr>
          <w:spacing w:val="-54"/>
        </w:rPr>
        <w:t> </w:t>
      </w:r>
      <w:r>
        <w:rPr>
          <w:rFonts w:ascii="Arial" w:hAnsi="Arial" w:cs="Arial" w:eastAsia="Arial" w:hint="default"/>
        </w:rPr>
        <w:t>4.94</w:t>
      </w:r>
      <w:r>
        <w:rPr>
          <w:rFonts w:ascii="Arial" w:hAnsi="Arial" w:cs="Arial" w:eastAsia="Arial" w:hint="default"/>
          <w:spacing w:val="-6"/>
        </w:rPr>
        <w:t> </w:t>
      </w:r>
      <w:r>
        <w:rPr>
          <w:spacing w:val="-3"/>
        </w:rPr>
        <w:t>元，导致公允价值增加约人民币</w:t>
      </w:r>
      <w:r>
        <w:rPr>
          <w:spacing w:val="-54"/>
        </w:rPr>
        <w:t> </w:t>
      </w:r>
      <w:r>
        <w:rPr>
          <w:rFonts w:ascii="Arial" w:hAnsi="Arial" w:cs="Arial" w:eastAsia="Arial" w:hint="default"/>
        </w:rPr>
        <w:t>1,168</w:t>
      </w:r>
      <w:r>
        <w:rPr>
          <w:rFonts w:ascii="Arial" w:hAnsi="Arial" w:cs="Arial" w:eastAsia="Arial" w:hint="default"/>
          <w:spacing w:val="-6"/>
        </w:rPr>
        <w:t> </w:t>
      </w:r>
      <w:r>
        <w:rPr>
          <w:spacing w:val="-4"/>
        </w:rPr>
        <w:t>万元。该等公允价</w:t>
      </w:r>
    </w:p>
    <w:p>
      <w:pPr>
        <w:pStyle w:val="BodyText"/>
        <w:spacing w:line="284" w:lineRule="exact" w:before="20"/>
        <w:ind w:left="1191" w:right="106"/>
        <w:jc w:val="left"/>
      </w:pPr>
      <w:r>
        <w:rPr/>
        <w:t>值变动金额在扣除所得税影响后的净额按持股比例计算约人民币</w:t>
      </w:r>
      <w:r>
        <w:rPr>
          <w:spacing w:val="-57"/>
        </w:rPr>
        <w:t> </w:t>
      </w:r>
      <w:r>
        <w:rPr>
          <w:rFonts w:ascii="Arial" w:hAnsi="Arial" w:cs="Arial" w:eastAsia="Arial" w:hint="default"/>
        </w:rPr>
        <w:t>336</w:t>
      </w:r>
      <w:r>
        <w:rPr>
          <w:rFonts w:ascii="Arial" w:hAnsi="Arial" w:cs="Arial" w:eastAsia="Arial" w:hint="default"/>
          <w:spacing w:val="-10"/>
        </w:rPr>
        <w:t> </w:t>
      </w:r>
      <w:r>
        <w:rPr/>
        <w:t>万元被计入本集团</w:t>
      </w:r>
      <w:r>
        <w:rPr>
          <w:w w:val="99"/>
        </w:rPr>
        <w:t> </w:t>
      </w:r>
      <w:r>
        <w:rPr/>
        <w:t>的资本公积（见附注五</w:t>
      </w:r>
      <w:r>
        <w:rPr>
          <w:rFonts w:ascii="Arial" w:hAnsi="Arial" w:cs="Arial" w:eastAsia="Arial" w:hint="default"/>
        </w:rPr>
        <w:t>(32)</w:t>
      </w:r>
      <w:r>
        <w:rPr/>
        <w:t>）。</w:t>
      </w:r>
    </w:p>
    <w:p>
      <w:pPr>
        <w:spacing w:after="0" w:line="284" w:lineRule="exact"/>
        <w:jc w:val="left"/>
        <w:sectPr>
          <w:headerReference w:type="default" r:id="rId89"/>
          <w:pgSz w:w="11910" w:h="16840"/>
          <w:pgMar w:header="1189" w:footer="457" w:top="3040" w:bottom="640" w:left="1280" w:right="920"/>
        </w:sectPr>
      </w:pPr>
    </w:p>
    <w:p>
      <w:pPr>
        <w:spacing w:line="240" w:lineRule="auto" w:before="9"/>
        <w:rPr>
          <w:rFonts w:ascii="宋体" w:hAnsi="宋体" w:cs="宋体" w:eastAsia="宋体" w:hint="default"/>
          <w:sz w:val="16"/>
          <w:szCs w:val="16"/>
        </w:rPr>
      </w:pPr>
    </w:p>
    <w:p>
      <w:pPr>
        <w:pStyle w:val="BodyText"/>
        <w:spacing w:line="240" w:lineRule="auto" w:before="31"/>
        <w:ind w:left="116" w:right="0"/>
        <w:jc w:val="left"/>
      </w:pPr>
      <w:r>
        <w:rPr>
          <w:rFonts w:ascii="Arial" w:hAnsi="Arial" w:cs="Arial" w:eastAsia="Arial" w:hint="default"/>
        </w:rPr>
        <w:t>8</w:t>
      </w:r>
      <w:r>
        <w:rPr/>
        <w:t>、</w:t>
      </w:r>
      <w:r>
        <w:rPr>
          <w:spacing w:val="-55"/>
        </w:rPr>
        <w:t> </w:t>
      </w:r>
      <w:r>
        <w:rPr/>
        <w:t>可供出售金融资产（续）</w:t>
      </w:r>
    </w:p>
    <w:p>
      <w:pPr>
        <w:pStyle w:val="BodyText"/>
        <w:spacing w:line="232" w:lineRule="auto" w:before="197"/>
        <w:ind w:left="1164" w:right="212" w:hanging="604"/>
        <w:jc w:val="both"/>
      </w:pPr>
      <w:r>
        <w:rPr/>
        <w:t>注</w:t>
      </w:r>
      <w:r>
        <w:rPr>
          <w:spacing w:val="-81"/>
        </w:rPr>
        <w:t> </w:t>
      </w:r>
      <w:r>
        <w:rPr>
          <w:rFonts w:ascii="Arial" w:hAnsi="Arial" w:cs="Arial" w:eastAsia="Arial" w:hint="default"/>
        </w:rPr>
        <w:t>2</w:t>
      </w:r>
      <w:r>
        <w:rPr/>
        <w:t>：如附注二</w:t>
      </w:r>
      <w:r>
        <w:rPr>
          <w:rFonts w:ascii="Arial" w:hAnsi="Arial" w:cs="Arial" w:eastAsia="Arial" w:hint="default"/>
        </w:rPr>
        <w:t>(32)(b)(iii)</w:t>
      </w:r>
      <w:r>
        <w:rPr/>
        <w:t>所述，联通红筹公司持有的西班牙电信股票在马德里证券交易所上市</w:t>
      </w:r>
      <w:r>
        <w:rPr>
          <w:w w:val="99"/>
        </w:rPr>
        <w:t> </w:t>
      </w:r>
      <w:r>
        <w:rPr/>
        <w:t>交易，故其股票有活跃市场之报价，其股票的公允价值也能够可靠计量。另外，本集团</w:t>
      </w:r>
      <w:r>
        <w:rPr>
          <w:w w:val="99"/>
        </w:rPr>
        <w:t> </w:t>
      </w:r>
      <w:r>
        <w:rPr/>
        <w:t>并非为短期交易目的而持有该股票，所以本集团将持有的对西班牙电信股票的投资划分</w:t>
      </w:r>
      <w:r>
        <w:rPr>
          <w:w w:val="99"/>
        </w:rPr>
        <w:t> </w:t>
      </w:r>
      <w:r>
        <w:rPr/>
        <w:t>为非货币性外币可供出售金融资产。其中第一次投资的初始投资成本约人民币 </w:t>
      </w:r>
      <w:r>
        <w:rPr>
          <w:rFonts w:ascii="Arial" w:hAnsi="Arial" w:cs="Arial" w:eastAsia="Arial" w:hint="default"/>
        </w:rPr>
        <w:t>79.52</w:t>
      </w:r>
      <w:r>
        <w:rPr>
          <w:rFonts w:ascii="Arial" w:hAnsi="Arial" w:cs="Arial" w:eastAsia="Arial" w:hint="default"/>
          <w:spacing w:val="-8"/>
        </w:rPr>
        <w:t> </w:t>
      </w:r>
      <w:r>
        <w:rPr/>
        <w:t>亿</w:t>
      </w:r>
    </w:p>
    <w:p>
      <w:pPr>
        <w:pStyle w:val="BodyText"/>
        <w:spacing w:line="232" w:lineRule="auto"/>
        <w:ind w:left="1164" w:right="0"/>
        <w:jc w:val="left"/>
      </w:pPr>
      <w:r>
        <w:rPr/>
        <w:t>元，第二次投资的初始投资成本约人民币</w:t>
      </w:r>
      <w:r>
        <w:rPr>
          <w:spacing w:val="-57"/>
        </w:rPr>
        <w:t> </w:t>
      </w:r>
      <w:r>
        <w:rPr>
          <w:rFonts w:ascii="Arial" w:hAnsi="Arial" w:cs="Arial" w:eastAsia="Arial" w:hint="default"/>
        </w:rPr>
        <w:t>33.67</w:t>
      </w:r>
      <w:r>
        <w:rPr>
          <w:rFonts w:ascii="Arial" w:hAnsi="Arial" w:cs="Arial" w:eastAsia="Arial" w:hint="default"/>
          <w:spacing w:val="-9"/>
        </w:rPr>
        <w:t> </w:t>
      </w:r>
      <w:r>
        <w:rPr/>
        <w:t>亿元。于</w:t>
      </w:r>
      <w:r>
        <w:rPr>
          <w:spacing w:val="-58"/>
        </w:rPr>
        <w:t> </w:t>
      </w:r>
      <w:r>
        <w:rPr>
          <w:rFonts w:ascii="Arial" w:hAnsi="Arial" w:cs="Arial" w:eastAsia="Arial" w:hint="default"/>
        </w:rPr>
        <w:t>2012</w:t>
      </w:r>
      <w:r>
        <w:rPr>
          <w:rFonts w:ascii="Arial" w:hAnsi="Arial" w:cs="Arial" w:eastAsia="Arial" w:hint="default"/>
          <w:spacing w:val="-10"/>
        </w:rPr>
        <w:t> </w:t>
      </w:r>
      <w:r>
        <w:rPr/>
        <w:t>年</w:t>
      </w:r>
      <w:r>
        <w:rPr>
          <w:spacing w:val="-59"/>
        </w:rPr>
        <w:t> </w:t>
      </w:r>
      <w:r>
        <w:rPr>
          <w:rFonts w:ascii="Arial" w:hAnsi="Arial" w:cs="Arial" w:eastAsia="Arial" w:hint="default"/>
        </w:rPr>
        <w:t>5</w:t>
      </w:r>
      <w:r>
        <w:rPr>
          <w:rFonts w:ascii="Arial" w:hAnsi="Arial" w:cs="Arial" w:eastAsia="Arial" w:hint="default"/>
          <w:spacing w:val="-10"/>
        </w:rPr>
        <w:t> </w:t>
      </w:r>
      <w:r>
        <w:rPr/>
        <w:t>月</w:t>
      </w:r>
      <w:r>
        <w:rPr>
          <w:spacing w:val="-59"/>
        </w:rPr>
        <w:t> </w:t>
      </w:r>
      <w:r>
        <w:rPr>
          <w:rFonts w:ascii="Arial" w:hAnsi="Arial" w:cs="Arial" w:eastAsia="Arial" w:hint="default"/>
        </w:rPr>
        <w:t>14</w:t>
      </w:r>
      <w:r>
        <w:rPr>
          <w:rFonts w:ascii="Arial" w:hAnsi="Arial" w:cs="Arial" w:eastAsia="Arial" w:hint="default"/>
          <w:spacing w:val="-10"/>
        </w:rPr>
        <w:t> </w:t>
      </w:r>
      <w:r>
        <w:rPr/>
        <w:t>日，西班牙电</w:t>
      </w:r>
      <w:r>
        <w:rPr>
          <w:w w:val="99"/>
        </w:rPr>
        <w:t> </w:t>
      </w:r>
      <w:r>
        <w:rPr/>
        <w:t>信宣告派发现金股利以及可选结算方式的股利收益权。上述股利收益权有三种可选结算</w:t>
      </w:r>
      <w:r>
        <w:rPr>
          <w:spacing w:val="-58"/>
        </w:rPr>
        <w:t> </w:t>
      </w:r>
      <w:r>
        <w:rPr>
          <w:spacing w:val="-58"/>
        </w:rPr>
      </w:r>
      <w:r>
        <w:rPr/>
        <w:t>方式，包括</w:t>
      </w:r>
      <w:r>
        <w:rPr>
          <w:rFonts w:ascii="Arial" w:hAnsi="Arial" w:cs="Arial" w:eastAsia="Arial" w:hint="default"/>
        </w:rPr>
        <w:t>(1)</w:t>
      </w:r>
      <w:r>
        <w:rPr>
          <w:rFonts w:ascii="Arial" w:hAnsi="Arial" w:cs="Arial" w:eastAsia="Arial" w:hint="default"/>
          <w:spacing w:val="47"/>
        </w:rPr>
        <w:t> </w:t>
      </w:r>
      <w:r>
        <w:rPr/>
        <w:t>以每</w:t>
      </w:r>
      <w:r>
        <w:rPr>
          <w:spacing w:val="-50"/>
        </w:rPr>
        <w:t> </w:t>
      </w:r>
      <w:r>
        <w:rPr>
          <w:rFonts w:ascii="Arial" w:hAnsi="Arial" w:cs="Arial" w:eastAsia="Arial" w:hint="default"/>
        </w:rPr>
        <w:t>38</w:t>
      </w:r>
      <w:r>
        <w:rPr>
          <w:rFonts w:ascii="Arial" w:hAnsi="Arial" w:cs="Arial" w:eastAsia="Arial" w:hint="default"/>
          <w:spacing w:val="-1"/>
        </w:rPr>
        <w:t> </w:t>
      </w:r>
      <w:r>
        <w:rPr/>
        <w:t>股送</w:t>
      </w:r>
      <w:r>
        <w:rPr>
          <w:spacing w:val="-50"/>
        </w:rPr>
        <w:t> </w:t>
      </w:r>
      <w:r>
        <w:rPr>
          <w:rFonts w:ascii="Arial" w:hAnsi="Arial" w:cs="Arial" w:eastAsia="Arial" w:hint="default"/>
        </w:rPr>
        <w:t>1</w:t>
      </w:r>
      <w:r>
        <w:rPr>
          <w:rFonts w:ascii="Arial" w:hAnsi="Arial" w:cs="Arial" w:eastAsia="Arial" w:hint="default"/>
          <w:spacing w:val="-1"/>
        </w:rPr>
        <w:t> </w:t>
      </w:r>
      <w:r>
        <w:rPr/>
        <w:t>股的比例获得股票股利、</w:t>
      </w:r>
      <w:r>
        <w:rPr>
          <w:rFonts w:ascii="Arial" w:hAnsi="Arial" w:cs="Arial" w:eastAsia="Arial" w:hint="default"/>
        </w:rPr>
        <w:t>(2)</w:t>
      </w:r>
      <w:r>
        <w:rPr>
          <w:rFonts w:ascii="Arial" w:hAnsi="Arial" w:cs="Arial" w:eastAsia="Arial" w:hint="default"/>
          <w:spacing w:val="48"/>
        </w:rPr>
        <w:t> </w:t>
      </w:r>
      <w:r>
        <w:rPr/>
        <w:t>以每股</w:t>
      </w:r>
      <w:r>
        <w:rPr>
          <w:spacing w:val="-50"/>
        </w:rPr>
        <w:t> </w:t>
      </w:r>
      <w:r>
        <w:rPr>
          <w:rFonts w:ascii="Arial" w:hAnsi="Arial" w:cs="Arial" w:eastAsia="Arial" w:hint="default"/>
        </w:rPr>
        <w:t>0.285</w:t>
      </w:r>
      <w:r>
        <w:rPr>
          <w:rFonts w:ascii="Arial" w:hAnsi="Arial" w:cs="Arial" w:eastAsia="Arial" w:hint="default"/>
          <w:spacing w:val="-1"/>
        </w:rPr>
        <w:t> </w:t>
      </w:r>
      <w:r>
        <w:rPr/>
        <w:t>欧元的价格由</w:t>
      </w:r>
      <w:r>
        <w:rPr>
          <w:w w:val="99"/>
        </w:rPr>
        <w:t> </w:t>
      </w:r>
      <w:r>
        <w:rPr>
          <w:w w:val="99"/>
        </w:rPr>
        <w:t>西班牙电信回购该股利收益权以及</w:t>
      </w:r>
      <w:r>
        <w:rPr>
          <w:rFonts w:ascii="Arial" w:hAnsi="Arial" w:cs="Arial" w:eastAsia="Arial" w:hint="default"/>
          <w:w w:val="99"/>
        </w:rPr>
        <w:t>(3) </w:t>
      </w:r>
      <w:r>
        <w:rPr>
          <w:spacing w:val="-5"/>
          <w:w w:val="99"/>
        </w:rPr>
        <w:t>向市场出售该股利收益权。联通红筹公司选择以股</w:t>
      </w:r>
      <w:r>
        <w:rPr>
          <w:spacing w:val="-103"/>
          <w:w w:val="99"/>
        </w:rPr>
        <w:t> </w:t>
      </w:r>
      <w:r>
        <w:rPr>
          <w:spacing w:val="-103"/>
          <w:w w:val="99"/>
        </w:rPr>
      </w:r>
      <w:r>
        <w:rPr>
          <w:spacing w:val="-3"/>
        </w:rPr>
        <w:t>票股利方式进行结算，从而取得</w:t>
      </w:r>
      <w:r>
        <w:rPr>
          <w:spacing w:val="-61"/>
        </w:rPr>
        <w:t> </w:t>
      </w:r>
      <w:r>
        <w:rPr>
          <w:rFonts w:ascii="Arial" w:hAnsi="Arial" w:cs="Arial" w:eastAsia="Arial" w:hint="default"/>
        </w:rPr>
        <w:t>165</w:t>
      </w:r>
      <w:r>
        <w:rPr>
          <w:rFonts w:ascii="Arial" w:hAnsi="Arial" w:cs="Arial" w:eastAsia="Arial" w:hint="default"/>
          <w:spacing w:val="-13"/>
        </w:rPr>
        <w:t> </w:t>
      </w:r>
      <w:r>
        <w:rPr/>
        <w:t>万股西班牙电信股份，公允价值约为人民币</w:t>
      </w:r>
      <w:r>
        <w:rPr>
          <w:spacing w:val="-59"/>
        </w:rPr>
        <w:t> </w:t>
      </w:r>
      <w:r>
        <w:rPr>
          <w:rFonts w:ascii="Arial" w:hAnsi="Arial" w:cs="Arial" w:eastAsia="Arial" w:hint="default"/>
        </w:rPr>
        <w:t>1.46</w:t>
      </w:r>
      <w:r>
        <w:rPr>
          <w:rFonts w:ascii="Arial" w:hAnsi="Arial" w:cs="Arial" w:eastAsia="Arial" w:hint="default"/>
          <w:spacing w:val="-13"/>
        </w:rPr>
        <w:t> </w:t>
      </w:r>
      <w:r>
        <w:rPr/>
        <w:t>亿</w:t>
      </w:r>
      <w:r>
        <w:rPr>
          <w:w w:val="99"/>
        </w:rPr>
        <w:t> </w:t>
      </w:r>
      <w:r>
        <w:rPr/>
        <w:t>元。对于上述股利收益权，除股票股利外，西班牙电信股东还可选择相当于现金股利的</w:t>
      </w:r>
      <w:r>
        <w:rPr>
          <w:spacing w:val="-64"/>
        </w:rPr>
        <w:t> </w:t>
      </w:r>
      <w:r>
        <w:rPr>
          <w:spacing w:val="-64"/>
        </w:rPr>
      </w:r>
      <w:r>
        <w:rPr/>
        <w:t>替代结算方式，故管理层认为上述以股票股利方式结算的西班牙电信股票可视同通过现</w:t>
      </w:r>
      <w:r>
        <w:rPr>
          <w:spacing w:val="-64"/>
        </w:rPr>
        <w:t> </w:t>
      </w:r>
      <w:r>
        <w:rPr>
          <w:spacing w:val="-64"/>
        </w:rPr>
      </w:r>
      <w:r>
        <w:rPr>
          <w:spacing w:val="-2"/>
        </w:rPr>
        <w:t>金股利方式收到股利后购买的西班牙电信股票，其公允价值被确认为可供出售金融资产，</w:t>
      </w:r>
      <w:r>
        <w:rPr>
          <w:spacing w:val="-89"/>
        </w:rPr>
        <w:t> </w:t>
      </w:r>
      <w:r>
        <w:rPr>
          <w:spacing w:val="-89"/>
        </w:rPr>
      </w:r>
      <w:r>
        <w:rPr/>
        <w:t>并于利润表内确认相应的投资收益。</w:t>
      </w:r>
    </w:p>
    <w:p>
      <w:pPr>
        <w:spacing w:line="240" w:lineRule="auto" w:before="2"/>
        <w:rPr>
          <w:rFonts w:ascii="宋体" w:hAnsi="宋体" w:cs="宋体" w:eastAsia="宋体" w:hint="default"/>
          <w:sz w:val="19"/>
          <w:szCs w:val="19"/>
        </w:rPr>
      </w:pPr>
    </w:p>
    <w:p>
      <w:pPr>
        <w:pStyle w:val="BodyText"/>
        <w:spacing w:line="295" w:lineRule="exact"/>
        <w:ind w:left="1164" w:right="0"/>
        <w:jc w:val="left"/>
      </w:pPr>
      <w:r>
        <w:rPr/>
        <w:t>于</w:t>
      </w:r>
      <w:r>
        <w:rPr>
          <w:spacing w:val="-69"/>
        </w:rPr>
        <w:t> </w:t>
      </w:r>
      <w:r>
        <w:rPr>
          <w:rFonts w:ascii="Arial" w:hAnsi="Arial" w:cs="Arial" w:eastAsia="Arial" w:hint="default"/>
        </w:rPr>
        <w:t>2012</w:t>
      </w:r>
      <w:r>
        <w:rPr>
          <w:rFonts w:ascii="Arial" w:hAnsi="Arial" w:cs="Arial" w:eastAsia="Arial" w:hint="default"/>
          <w:spacing w:val="-20"/>
        </w:rPr>
        <w:t> </w:t>
      </w:r>
      <w:r>
        <w:rPr/>
        <w:t>年度，该可供出售权益工具的公允价值变动减少约人民币</w:t>
      </w:r>
      <w:r>
        <w:rPr>
          <w:spacing w:val="-69"/>
        </w:rPr>
        <w:t> </w:t>
      </w:r>
      <w:r>
        <w:rPr>
          <w:rFonts w:ascii="Arial" w:hAnsi="Arial" w:cs="Arial" w:eastAsia="Arial" w:hint="default"/>
        </w:rPr>
        <w:t>15.42</w:t>
      </w:r>
      <w:r>
        <w:rPr>
          <w:rFonts w:ascii="Arial" w:hAnsi="Arial" w:cs="Arial" w:eastAsia="Arial" w:hint="default"/>
          <w:spacing w:val="-19"/>
        </w:rPr>
        <w:t> </w:t>
      </w:r>
      <w:r>
        <w:rPr>
          <w:spacing w:val="-7"/>
        </w:rPr>
        <w:t>亿元，扣除所得</w:t>
      </w:r>
    </w:p>
    <w:p>
      <w:pPr>
        <w:pStyle w:val="BodyText"/>
        <w:spacing w:line="286" w:lineRule="exact" w:before="19"/>
        <w:ind w:left="1164" w:right="204"/>
        <w:jc w:val="left"/>
      </w:pPr>
      <w:r>
        <w:rPr/>
        <w:t>税影响后的净额按持股比例计算约人民币</w:t>
      </w:r>
      <w:r>
        <w:rPr>
          <w:spacing w:val="-73"/>
        </w:rPr>
        <w:t> </w:t>
      </w:r>
      <w:r>
        <w:rPr>
          <w:rFonts w:ascii="Arial" w:hAnsi="Arial" w:cs="Arial" w:eastAsia="Arial" w:hint="default"/>
        </w:rPr>
        <w:t>3.92</w:t>
      </w:r>
      <w:r>
        <w:rPr>
          <w:rFonts w:ascii="Arial" w:hAnsi="Arial" w:cs="Arial" w:eastAsia="Arial" w:hint="default"/>
          <w:spacing w:val="-26"/>
        </w:rPr>
        <w:t> </w:t>
      </w:r>
      <w:r>
        <w:rPr/>
        <w:t>亿元被计入本集团资本公积项下（见附注</w:t>
      </w:r>
      <w:r>
        <w:rPr>
          <w:w w:val="99"/>
        </w:rPr>
        <w:t> </w:t>
      </w:r>
      <w:r>
        <w:rPr/>
        <w:t>五</w:t>
      </w:r>
      <w:r>
        <w:rPr>
          <w:rFonts w:ascii="Arial" w:hAnsi="Arial" w:cs="Arial" w:eastAsia="Arial" w:hint="default"/>
        </w:rPr>
        <w:t>(32)</w:t>
      </w:r>
      <w:r>
        <w:rPr/>
        <w:t>）。</w:t>
      </w:r>
    </w:p>
    <w:p>
      <w:pPr>
        <w:pStyle w:val="BodyText"/>
        <w:spacing w:line="240" w:lineRule="auto" w:before="178"/>
        <w:ind w:left="130" w:right="0"/>
        <w:jc w:val="left"/>
      </w:pPr>
      <w:r>
        <w:rPr>
          <w:rFonts w:ascii="Arial" w:hAnsi="Arial" w:cs="Arial" w:eastAsia="Arial" w:hint="default"/>
        </w:rPr>
        <w:t>9</w:t>
      </w:r>
      <w:r>
        <w:rPr/>
        <w:t>、长期股权投资</w:t>
      </w:r>
    </w:p>
    <w:p>
      <w:pPr>
        <w:spacing w:line="240" w:lineRule="auto" w:before="8"/>
        <w:rPr>
          <w:rFonts w:ascii="宋体" w:hAnsi="宋体" w:cs="宋体" w:eastAsia="宋体" w:hint="default"/>
          <w:sz w:val="19"/>
          <w:szCs w:val="19"/>
        </w:rPr>
      </w:pPr>
    </w:p>
    <w:tbl>
      <w:tblPr>
        <w:tblW w:w="0" w:type="auto"/>
        <w:jc w:val="left"/>
        <w:tblInd w:w="253" w:type="dxa"/>
        <w:tblLayout w:type="fixed"/>
        <w:tblCellMar>
          <w:top w:w="0" w:type="dxa"/>
          <w:left w:w="0" w:type="dxa"/>
          <w:bottom w:w="0" w:type="dxa"/>
          <w:right w:w="0" w:type="dxa"/>
        </w:tblCellMar>
        <w:tblLook w:val="01E0"/>
      </w:tblPr>
      <w:tblGrid>
        <w:gridCol w:w="3755"/>
        <w:gridCol w:w="2716"/>
        <w:gridCol w:w="384"/>
        <w:gridCol w:w="2430"/>
      </w:tblGrid>
      <w:tr>
        <w:trPr>
          <w:trHeight w:val="261" w:hRule="exact"/>
        </w:trPr>
        <w:tc>
          <w:tcPr>
            <w:tcW w:w="3755" w:type="dxa"/>
            <w:tcBorders>
              <w:top w:val="nil" w:sz="6" w:space="0" w:color="auto"/>
              <w:left w:val="nil" w:sz="6" w:space="0" w:color="auto"/>
              <w:bottom w:val="nil" w:sz="6" w:space="0" w:color="auto"/>
              <w:right w:val="nil" w:sz="6" w:space="0" w:color="auto"/>
            </w:tcBorders>
          </w:tcPr>
          <w:p>
            <w:pPr/>
          </w:p>
        </w:tc>
        <w:tc>
          <w:tcPr>
            <w:tcW w:w="2716" w:type="dxa"/>
            <w:tcBorders>
              <w:top w:val="nil" w:sz="6" w:space="0" w:color="auto"/>
              <w:left w:val="nil" w:sz="6" w:space="0" w:color="auto"/>
              <w:bottom w:val="single" w:sz="6" w:space="0" w:color="000000"/>
              <w:right w:val="nil" w:sz="6" w:space="0" w:color="auto"/>
            </w:tcBorders>
          </w:tcPr>
          <w:p>
            <w:pPr>
              <w:pStyle w:val="TableParagraph"/>
              <w:spacing w:line="235" w:lineRule="exact"/>
              <w:ind w:right="107"/>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384" w:type="dxa"/>
            <w:tcBorders>
              <w:top w:val="nil" w:sz="6" w:space="0" w:color="auto"/>
              <w:left w:val="nil" w:sz="6" w:space="0" w:color="auto"/>
              <w:bottom w:val="nil" w:sz="6" w:space="0" w:color="auto"/>
              <w:right w:val="nil" w:sz="6" w:space="0" w:color="auto"/>
            </w:tcBorders>
          </w:tcPr>
          <w:p>
            <w:pPr/>
          </w:p>
        </w:tc>
        <w:tc>
          <w:tcPr>
            <w:tcW w:w="2430" w:type="dxa"/>
            <w:tcBorders>
              <w:top w:val="nil" w:sz="6" w:space="0" w:color="auto"/>
              <w:left w:val="nil" w:sz="6" w:space="0" w:color="auto"/>
              <w:bottom w:val="single" w:sz="6" w:space="0" w:color="000000"/>
              <w:right w:val="nil" w:sz="6" w:space="0" w:color="auto"/>
            </w:tcBorders>
          </w:tcPr>
          <w:p>
            <w:pPr>
              <w:pStyle w:val="TableParagraph"/>
              <w:spacing w:line="235" w:lineRule="exact"/>
              <w:ind w:left="407"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9" w:hRule="exact"/>
        </w:trPr>
        <w:tc>
          <w:tcPr>
            <w:tcW w:w="37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Arial" w:hAnsi="Arial" w:cs="Arial" w:eastAsia="Arial" w:hint="default"/>
                <w:sz w:val="22"/>
                <w:szCs w:val="22"/>
              </w:rPr>
            </w:pPr>
            <w:r>
              <w:rPr>
                <w:rFonts w:ascii="宋体" w:hAnsi="宋体" w:cs="宋体" w:eastAsia="宋体" w:hint="default"/>
                <w:sz w:val="22"/>
                <w:szCs w:val="22"/>
              </w:rPr>
              <w:t>联营企业</w:t>
            </w:r>
            <w:r>
              <w:rPr>
                <w:rFonts w:ascii="Arial" w:hAnsi="Arial" w:cs="Arial" w:eastAsia="Arial" w:hint="default"/>
                <w:sz w:val="22"/>
                <w:szCs w:val="22"/>
              </w:rPr>
              <w:t>(a)</w:t>
            </w:r>
          </w:p>
        </w:tc>
        <w:tc>
          <w:tcPr>
            <w:tcW w:w="2716"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382" w:right="0"/>
              <w:jc w:val="left"/>
              <w:rPr>
                <w:rFonts w:ascii="Arial" w:hAnsi="Arial" w:cs="Arial" w:eastAsia="Arial" w:hint="default"/>
                <w:sz w:val="22"/>
                <w:szCs w:val="22"/>
              </w:rPr>
            </w:pPr>
            <w:r>
              <w:rPr>
                <w:rFonts w:ascii="Arial"/>
                <w:sz w:val="22"/>
              </w:rPr>
              <w:t>26,234,156</w:t>
            </w:r>
          </w:p>
        </w:tc>
        <w:tc>
          <w:tcPr>
            <w:tcW w:w="384" w:type="dxa"/>
            <w:tcBorders>
              <w:top w:val="nil" w:sz="6" w:space="0" w:color="auto"/>
              <w:left w:val="nil" w:sz="6" w:space="0" w:color="auto"/>
              <w:bottom w:val="nil" w:sz="6" w:space="0" w:color="auto"/>
              <w:right w:val="nil" w:sz="6" w:space="0" w:color="auto"/>
            </w:tcBorders>
          </w:tcPr>
          <w:p>
            <w:pPr/>
          </w:p>
        </w:tc>
        <w:tc>
          <w:tcPr>
            <w:tcW w:w="243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82" w:right="0"/>
              <w:jc w:val="left"/>
              <w:rPr>
                <w:rFonts w:ascii="Arial" w:hAnsi="Arial" w:cs="Arial" w:eastAsia="Arial" w:hint="default"/>
                <w:sz w:val="22"/>
                <w:szCs w:val="22"/>
              </w:rPr>
            </w:pPr>
            <w:r>
              <w:rPr>
                <w:rFonts w:ascii="Arial"/>
                <w:sz w:val="22"/>
              </w:rPr>
              <w:t>23,735,217</w:t>
            </w:r>
          </w:p>
        </w:tc>
      </w:tr>
      <w:tr>
        <w:trPr>
          <w:trHeight w:val="304" w:hRule="exact"/>
        </w:trPr>
        <w:tc>
          <w:tcPr>
            <w:tcW w:w="3755"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Arial" w:hAnsi="Arial" w:cs="Arial" w:eastAsia="Arial" w:hint="default"/>
                <w:sz w:val="22"/>
                <w:szCs w:val="22"/>
              </w:rPr>
            </w:pPr>
            <w:r>
              <w:rPr>
                <w:rFonts w:ascii="宋体" w:hAnsi="宋体" w:cs="宋体" w:eastAsia="宋体" w:hint="default"/>
                <w:sz w:val="22"/>
                <w:szCs w:val="22"/>
              </w:rPr>
              <w:t>其他长期股权投资</w:t>
            </w:r>
            <w:r>
              <w:rPr>
                <w:rFonts w:ascii="Arial" w:hAnsi="Arial" w:cs="Arial" w:eastAsia="Arial" w:hint="default"/>
                <w:sz w:val="22"/>
                <w:szCs w:val="22"/>
              </w:rPr>
              <w:t>(b)</w:t>
            </w:r>
          </w:p>
        </w:tc>
        <w:tc>
          <w:tcPr>
            <w:tcW w:w="2716" w:type="dxa"/>
            <w:tcBorders>
              <w:top w:val="nil" w:sz="6" w:space="0" w:color="auto"/>
              <w:left w:val="nil" w:sz="6" w:space="0" w:color="auto"/>
              <w:bottom w:val="nil" w:sz="6" w:space="0" w:color="auto"/>
              <w:right w:val="nil" w:sz="6" w:space="0" w:color="auto"/>
            </w:tcBorders>
          </w:tcPr>
          <w:p>
            <w:pPr>
              <w:pStyle w:val="TableParagraph"/>
              <w:tabs>
                <w:tab w:pos="1382" w:val="left" w:leader="none"/>
                <w:tab w:pos="2715" w:val="left" w:leader="none"/>
              </w:tabs>
              <w:spacing w:line="240" w:lineRule="auto" w:before="18"/>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23,730,271</w:t>
            </w:r>
            <w:r>
              <w:rPr>
                <w:rFonts w:ascii="Arial"/>
                <w:sz w:val="22"/>
                <w:u w:val="single" w:color="000000"/>
              </w:rPr>
              <w:tab/>
            </w:r>
            <w:r>
              <w:rPr>
                <w:rFonts w:ascii="Arial"/>
                <w:sz w:val="22"/>
              </w:rPr>
            </w:r>
          </w:p>
        </w:tc>
        <w:tc>
          <w:tcPr>
            <w:tcW w:w="384" w:type="dxa"/>
            <w:tcBorders>
              <w:top w:val="nil" w:sz="6" w:space="0" w:color="auto"/>
              <w:left w:val="nil" w:sz="6" w:space="0" w:color="auto"/>
              <w:bottom w:val="nil" w:sz="6" w:space="0" w:color="auto"/>
              <w:right w:val="nil" w:sz="6" w:space="0" w:color="auto"/>
            </w:tcBorders>
          </w:tcPr>
          <w:p>
            <w:pPr/>
          </w:p>
        </w:tc>
        <w:tc>
          <w:tcPr>
            <w:tcW w:w="2430" w:type="dxa"/>
            <w:tcBorders>
              <w:top w:val="nil" w:sz="6" w:space="0" w:color="auto"/>
              <w:left w:val="nil" w:sz="6" w:space="0" w:color="auto"/>
              <w:bottom w:val="nil" w:sz="6" w:space="0" w:color="auto"/>
              <w:right w:val="nil" w:sz="6" w:space="0" w:color="auto"/>
            </w:tcBorders>
          </w:tcPr>
          <w:p>
            <w:pPr>
              <w:pStyle w:val="TableParagraph"/>
              <w:tabs>
                <w:tab w:pos="1181" w:val="left" w:leader="none"/>
                <w:tab w:pos="2429" w:val="left" w:leader="none"/>
              </w:tabs>
              <w:spacing w:line="240" w:lineRule="auto" w:before="17"/>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23,730,271</w:t>
              <w:tab/>
            </w:r>
            <w:r>
              <w:rPr>
                <w:rFonts w:ascii="Arial"/>
                <w:sz w:val="22"/>
              </w:rPr>
            </w:r>
          </w:p>
        </w:tc>
      </w:tr>
      <w:tr>
        <w:trPr>
          <w:trHeight w:val="403" w:hRule="exact"/>
        </w:trPr>
        <w:tc>
          <w:tcPr>
            <w:tcW w:w="64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229"/>
              <w:jc w:val="right"/>
              <w:rPr>
                <w:rFonts w:ascii="Arial" w:hAnsi="Arial" w:cs="Arial" w:eastAsia="Arial" w:hint="default"/>
                <w:sz w:val="22"/>
                <w:szCs w:val="22"/>
              </w:rPr>
            </w:pPr>
            <w:r>
              <w:rPr>
                <w:rFonts w:ascii="Arial"/>
                <w:w w:val="95"/>
                <w:sz w:val="22"/>
              </w:rPr>
              <w:t>49,964,427</w:t>
            </w:r>
            <w:r>
              <w:rPr>
                <w:rFonts w:ascii="Arial"/>
                <w:sz w:val="22"/>
              </w:rPr>
            </w:r>
          </w:p>
        </w:tc>
        <w:tc>
          <w:tcPr>
            <w:tcW w:w="384" w:type="dxa"/>
            <w:tcBorders>
              <w:top w:val="nil" w:sz="6" w:space="0" w:color="auto"/>
              <w:left w:val="nil" w:sz="6" w:space="0" w:color="auto"/>
              <w:bottom w:val="nil" w:sz="6" w:space="0" w:color="auto"/>
              <w:right w:val="nil" w:sz="6" w:space="0" w:color="auto"/>
            </w:tcBorders>
          </w:tcPr>
          <w:p>
            <w:pP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182" w:right="0"/>
              <w:jc w:val="left"/>
              <w:rPr>
                <w:rFonts w:ascii="Arial" w:hAnsi="Arial" w:cs="Arial" w:eastAsia="Arial" w:hint="default"/>
                <w:sz w:val="22"/>
                <w:szCs w:val="22"/>
              </w:rPr>
            </w:pPr>
            <w:r>
              <w:rPr>
                <w:rFonts w:ascii="Arial"/>
                <w:sz w:val="22"/>
              </w:rPr>
              <w:t>47,465,488</w:t>
            </w:r>
          </w:p>
        </w:tc>
      </w:tr>
      <w:tr>
        <w:trPr>
          <w:trHeight w:val="520" w:hRule="exact"/>
        </w:trPr>
        <w:tc>
          <w:tcPr>
            <w:tcW w:w="375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00" w:right="0"/>
              <w:jc w:val="left"/>
              <w:rPr>
                <w:rFonts w:ascii="宋体" w:hAnsi="宋体" w:cs="宋体" w:eastAsia="宋体" w:hint="default"/>
                <w:sz w:val="22"/>
                <w:szCs w:val="22"/>
              </w:rPr>
            </w:pPr>
            <w:r>
              <w:rPr>
                <w:rFonts w:ascii="宋体" w:hAnsi="宋体" w:cs="宋体" w:eastAsia="宋体" w:hint="default"/>
                <w:sz w:val="22"/>
                <w:szCs w:val="22"/>
              </w:rPr>
              <w:t>减：长期股权投资减值准备</w:t>
            </w:r>
          </w:p>
        </w:tc>
        <w:tc>
          <w:tcPr>
            <w:tcW w:w="2716" w:type="dxa"/>
            <w:tcBorders>
              <w:top w:val="nil" w:sz="6" w:space="0" w:color="auto"/>
              <w:left w:val="nil" w:sz="6" w:space="0" w:color="auto"/>
              <w:bottom w:val="nil" w:sz="6" w:space="0" w:color="auto"/>
              <w:right w:val="nil" w:sz="6" w:space="0" w:color="auto"/>
            </w:tcBorders>
          </w:tcPr>
          <w:p>
            <w:pPr>
              <w:pStyle w:val="TableParagraph"/>
              <w:tabs>
                <w:tab w:pos="2411" w:val="left" w:leader="none"/>
                <w:tab w:pos="2715" w:val="left" w:leader="none"/>
              </w:tabs>
              <w:spacing w:line="240" w:lineRule="auto" w:before="144"/>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sz w:val="22"/>
                <w:u w:val="single" w:color="000000"/>
              </w:rPr>
              <w:tab/>
            </w:r>
            <w:r>
              <w:rPr>
                <w:rFonts w:ascii="Arial"/>
                <w:sz w:val="22"/>
              </w:rPr>
            </w:r>
          </w:p>
        </w:tc>
        <w:tc>
          <w:tcPr>
            <w:tcW w:w="384" w:type="dxa"/>
            <w:tcBorders>
              <w:top w:val="nil" w:sz="6" w:space="0" w:color="auto"/>
              <w:left w:val="nil" w:sz="6" w:space="0" w:color="auto"/>
              <w:bottom w:val="nil" w:sz="6" w:space="0" w:color="auto"/>
              <w:right w:val="nil" w:sz="6" w:space="0" w:color="auto"/>
            </w:tcBorders>
          </w:tcPr>
          <w:p>
            <w:pPr/>
          </w:p>
        </w:tc>
        <w:tc>
          <w:tcPr>
            <w:tcW w:w="2430" w:type="dxa"/>
            <w:tcBorders>
              <w:top w:val="nil" w:sz="6" w:space="0" w:color="auto"/>
              <w:left w:val="nil" w:sz="6" w:space="0" w:color="auto"/>
              <w:bottom w:val="nil" w:sz="6" w:space="0" w:color="auto"/>
              <w:right w:val="nil" w:sz="6" w:space="0" w:color="auto"/>
            </w:tcBorders>
          </w:tcPr>
          <w:p>
            <w:pPr>
              <w:pStyle w:val="TableParagraph"/>
              <w:tabs>
                <w:tab w:pos="2210" w:val="left" w:leader="none"/>
                <w:tab w:pos="2429" w:val="left" w:leader="none"/>
              </w:tabs>
              <w:spacing w:line="240" w:lineRule="auto" w:before="144"/>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w:t>
              <w:tab/>
            </w:r>
            <w:r>
              <w:rPr>
                <w:rFonts w:ascii="Arial"/>
                <w:sz w:val="22"/>
              </w:rPr>
            </w:r>
          </w:p>
        </w:tc>
      </w:tr>
      <w:tr>
        <w:trPr>
          <w:trHeight w:val="405" w:hRule="exact"/>
        </w:trPr>
        <w:tc>
          <w:tcPr>
            <w:tcW w:w="375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716"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left="1382" w:right="0"/>
              <w:jc w:val="left"/>
              <w:rPr>
                <w:rFonts w:ascii="Arial" w:hAnsi="Arial" w:cs="Arial" w:eastAsia="Arial" w:hint="default"/>
                <w:sz w:val="22"/>
                <w:szCs w:val="22"/>
              </w:rPr>
            </w:pPr>
            <w:r>
              <w:rPr>
                <w:rFonts w:ascii="Arial"/>
                <w:sz w:val="22"/>
              </w:rPr>
              <w:t>49,964,427</w:t>
            </w:r>
          </w:p>
        </w:tc>
        <w:tc>
          <w:tcPr>
            <w:tcW w:w="384" w:type="dxa"/>
            <w:tcBorders>
              <w:top w:val="nil" w:sz="6" w:space="0" w:color="auto"/>
              <w:left w:val="nil" w:sz="6" w:space="0" w:color="auto"/>
              <w:bottom w:val="nil" w:sz="6" w:space="0" w:color="auto"/>
              <w:right w:val="nil" w:sz="6" w:space="0" w:color="auto"/>
            </w:tcBorders>
          </w:tcPr>
          <w:p>
            <w:pPr/>
          </w:p>
        </w:tc>
        <w:tc>
          <w:tcPr>
            <w:tcW w:w="2430"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left="1182" w:right="0"/>
              <w:jc w:val="left"/>
              <w:rPr>
                <w:rFonts w:ascii="Arial" w:hAnsi="Arial" w:cs="Arial" w:eastAsia="Arial" w:hint="default"/>
                <w:sz w:val="22"/>
                <w:szCs w:val="22"/>
              </w:rPr>
            </w:pPr>
            <w:r>
              <w:rPr>
                <w:rFonts w:ascii="Arial"/>
                <w:sz w:val="22"/>
              </w:rPr>
              <w:t>47,465,488</w:t>
            </w:r>
          </w:p>
        </w:tc>
      </w:tr>
    </w:tbl>
    <w:p>
      <w:pPr>
        <w:spacing w:after="0" w:line="240" w:lineRule="auto"/>
        <w:jc w:val="left"/>
        <w:rPr>
          <w:rFonts w:ascii="Arial" w:hAnsi="Arial" w:cs="Arial" w:eastAsia="Arial" w:hint="default"/>
          <w:sz w:val="22"/>
          <w:szCs w:val="22"/>
        </w:rPr>
        <w:sectPr>
          <w:headerReference w:type="default" r:id="rId90"/>
          <w:pgSz w:w="11910" w:h="16840"/>
          <w:pgMar w:header="1189" w:footer="457" w:top="3040" w:bottom="640" w:left="1280" w:right="820"/>
        </w:sectPr>
      </w:pPr>
    </w:p>
    <w:p>
      <w:pPr>
        <w:spacing w:line="240" w:lineRule="auto" w:before="9"/>
        <w:rPr>
          <w:rFonts w:ascii="宋体" w:hAnsi="宋体" w:cs="宋体" w:eastAsia="宋体" w:hint="default"/>
          <w:sz w:val="16"/>
          <w:szCs w:val="16"/>
        </w:rPr>
      </w:pPr>
    </w:p>
    <w:p>
      <w:pPr>
        <w:pStyle w:val="BodyText"/>
        <w:spacing w:line="424" w:lineRule="auto" w:before="31"/>
        <w:ind w:left="565" w:right="10348" w:hanging="423"/>
        <w:jc w:val="left"/>
      </w:pPr>
      <w:r>
        <w:rPr>
          <w:rFonts w:ascii="Arial" w:hAnsi="Arial" w:cs="Arial" w:eastAsia="Arial" w:hint="default"/>
        </w:rPr>
        <w:t>9</w:t>
      </w:r>
      <w:r>
        <w:rPr/>
        <w:t>、</w:t>
      </w:r>
      <w:r>
        <w:rPr>
          <w:spacing w:val="-31"/>
        </w:rPr>
        <w:t> </w:t>
      </w:r>
      <w:r>
        <w:rPr/>
        <w:t>长期股权投资（续）</w:t>
      </w:r>
      <w:r>
        <w:rPr>
          <w:w w:val="99"/>
        </w:rPr>
        <w:t> </w:t>
      </w:r>
      <w:r>
        <w:rPr/>
        <w:t>本集团不存在长期股权投资变现的重大限制。</w:t>
      </w:r>
    </w:p>
    <w:p>
      <w:pPr>
        <w:pStyle w:val="BodyText"/>
        <w:spacing w:line="240" w:lineRule="auto" w:before="34"/>
        <w:ind w:left="143" w:right="10348"/>
        <w:jc w:val="left"/>
      </w:pPr>
      <w:r>
        <w:rPr>
          <w:rFonts w:ascii="Arial" w:hAnsi="Arial" w:cs="Arial" w:eastAsia="Arial" w:hint="default"/>
        </w:rPr>
        <w:t>(a) </w:t>
      </w:r>
      <w:r>
        <w:rPr>
          <w:rFonts w:ascii="Arial" w:hAnsi="Arial" w:cs="Arial" w:eastAsia="Arial" w:hint="default"/>
          <w:spacing w:val="29"/>
        </w:rPr>
        <w:t> </w:t>
      </w:r>
      <w:r>
        <w:rPr/>
        <w:t>联营企业</w:t>
      </w:r>
    </w:p>
    <w:p>
      <w:pPr>
        <w:spacing w:line="240" w:lineRule="auto" w:before="9"/>
        <w:rPr>
          <w:rFonts w:ascii="宋体" w:hAnsi="宋体" w:cs="宋体" w:eastAsia="宋体" w:hint="default"/>
          <w:sz w:val="22"/>
          <w:szCs w:val="22"/>
        </w:rPr>
      </w:pPr>
    </w:p>
    <w:tbl>
      <w:tblPr>
        <w:tblW w:w="0" w:type="auto"/>
        <w:jc w:val="left"/>
        <w:tblInd w:w="395" w:type="dxa"/>
        <w:tblLayout w:type="fixed"/>
        <w:tblCellMar>
          <w:top w:w="0" w:type="dxa"/>
          <w:left w:w="0" w:type="dxa"/>
          <w:bottom w:w="0" w:type="dxa"/>
          <w:right w:w="0" w:type="dxa"/>
        </w:tblCellMar>
        <w:tblLook w:val="01E0"/>
      </w:tblPr>
      <w:tblGrid>
        <w:gridCol w:w="2720"/>
        <w:gridCol w:w="767"/>
        <w:gridCol w:w="1035"/>
        <w:gridCol w:w="1104"/>
        <w:gridCol w:w="948"/>
        <w:gridCol w:w="1048"/>
        <w:gridCol w:w="1057"/>
        <w:gridCol w:w="681"/>
        <w:gridCol w:w="1090"/>
        <w:gridCol w:w="610"/>
        <w:gridCol w:w="675"/>
        <w:gridCol w:w="1181"/>
        <w:gridCol w:w="991"/>
        <w:gridCol w:w="899"/>
      </w:tblGrid>
      <w:tr>
        <w:trPr>
          <w:trHeight w:val="215" w:hRule="exact"/>
        </w:trPr>
        <w:tc>
          <w:tcPr>
            <w:tcW w:w="8679" w:type="dxa"/>
            <w:gridSpan w:val="7"/>
            <w:tcBorders>
              <w:top w:val="nil" w:sz="6" w:space="0" w:color="auto"/>
              <w:left w:val="nil" w:sz="6" w:space="0" w:color="auto"/>
              <w:bottom w:val="nil" w:sz="6" w:space="0" w:color="auto"/>
              <w:right w:val="nil" w:sz="6" w:space="0" w:color="auto"/>
            </w:tcBorders>
          </w:tcPr>
          <w:p>
            <w:pPr>
              <w:pStyle w:val="TableParagraph"/>
              <w:spacing w:line="180" w:lineRule="exact"/>
              <w:ind w:right="699"/>
              <w:jc w:val="right"/>
              <w:rPr>
                <w:rFonts w:ascii="宋体" w:hAnsi="宋体" w:cs="宋体" w:eastAsia="宋体" w:hint="default"/>
                <w:sz w:val="18"/>
                <w:szCs w:val="18"/>
              </w:rPr>
            </w:pPr>
            <w:r>
              <w:rPr>
                <w:rFonts w:ascii="宋体" w:hAnsi="宋体" w:cs="宋体" w:eastAsia="宋体" w:hint="default"/>
                <w:sz w:val="18"/>
                <w:szCs w:val="18"/>
              </w:rPr>
              <w:t>本年增减变动</w:t>
            </w:r>
          </w:p>
        </w:tc>
        <w:tc>
          <w:tcPr>
            <w:tcW w:w="681" w:type="dxa"/>
            <w:tcBorders>
              <w:top w:val="nil" w:sz="6" w:space="0" w:color="auto"/>
              <w:left w:val="nil" w:sz="6" w:space="0" w:color="auto"/>
              <w:bottom w:val="single" w:sz="6" w:space="0" w:color="000000"/>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610" w:type="dxa"/>
            <w:vMerge w:val="restart"/>
            <w:tcBorders>
              <w:top w:val="nil" w:sz="6" w:space="0" w:color="auto"/>
              <w:left w:val="nil" w:sz="6" w:space="0" w:color="auto"/>
              <w:right w:val="nil" w:sz="6" w:space="0" w:color="auto"/>
            </w:tcBorders>
          </w:tcPr>
          <w:p>
            <w:pPr>
              <w:pStyle w:val="TableParagraph"/>
              <w:spacing w:line="234" w:lineRule="exact" w:before="8"/>
              <w:ind w:left="187" w:right="60"/>
              <w:jc w:val="left"/>
              <w:rPr>
                <w:rFonts w:ascii="宋体" w:hAnsi="宋体" w:cs="宋体" w:eastAsia="宋体" w:hint="default"/>
                <w:sz w:val="18"/>
                <w:szCs w:val="18"/>
              </w:rPr>
            </w:pPr>
            <w:r>
              <w:rPr>
                <w:rFonts w:ascii="宋体" w:hAnsi="宋体" w:cs="宋体" w:eastAsia="宋体" w:hint="default"/>
                <w:sz w:val="18"/>
                <w:szCs w:val="18"/>
              </w:rPr>
              <w:t>持股 比例</w:t>
            </w:r>
          </w:p>
          <w:p>
            <w:pPr>
              <w:pStyle w:val="TableParagraph"/>
              <w:spacing w:line="240" w:lineRule="auto" w:before="4"/>
              <w:ind w:left="267" w:right="0"/>
              <w:jc w:val="left"/>
              <w:rPr>
                <w:rFonts w:ascii="Arial" w:hAnsi="Arial" w:cs="Arial" w:eastAsia="Arial" w:hint="default"/>
                <w:sz w:val="18"/>
                <w:szCs w:val="18"/>
              </w:rPr>
            </w:pPr>
            <w:r>
              <w:rPr>
                <w:rFonts w:ascii="Arial"/>
                <w:sz w:val="18"/>
              </w:rPr>
              <w:t>(%)</w:t>
            </w:r>
          </w:p>
        </w:tc>
        <w:tc>
          <w:tcPr>
            <w:tcW w:w="675" w:type="dxa"/>
            <w:vMerge w:val="restart"/>
            <w:tcBorders>
              <w:top w:val="nil" w:sz="6" w:space="0" w:color="auto"/>
              <w:left w:val="nil" w:sz="6" w:space="0" w:color="auto"/>
              <w:right w:val="nil" w:sz="6" w:space="0" w:color="auto"/>
            </w:tcBorders>
          </w:tcPr>
          <w:p>
            <w:pPr>
              <w:pStyle w:val="TableParagraph"/>
              <w:spacing w:line="234" w:lineRule="exact" w:before="8"/>
              <w:ind w:left="242" w:right="69" w:hanging="180"/>
              <w:jc w:val="left"/>
              <w:rPr>
                <w:rFonts w:ascii="宋体" w:hAnsi="宋体" w:cs="宋体" w:eastAsia="宋体" w:hint="default"/>
                <w:sz w:val="18"/>
                <w:szCs w:val="18"/>
              </w:rPr>
            </w:pPr>
            <w:r>
              <w:rPr>
                <w:rFonts w:ascii="宋体" w:hAnsi="宋体" w:cs="宋体" w:eastAsia="宋体" w:hint="default"/>
                <w:sz w:val="18"/>
                <w:szCs w:val="18"/>
              </w:rPr>
              <w:t>表决权 比例</w:t>
            </w:r>
          </w:p>
          <w:p>
            <w:pPr>
              <w:pStyle w:val="TableParagraph"/>
              <w:spacing w:line="240" w:lineRule="auto" w:before="4"/>
              <w:ind w:left="323" w:right="0"/>
              <w:jc w:val="left"/>
              <w:rPr>
                <w:rFonts w:ascii="Arial" w:hAnsi="Arial" w:cs="Arial" w:eastAsia="Arial" w:hint="default"/>
                <w:sz w:val="18"/>
                <w:szCs w:val="18"/>
              </w:rPr>
            </w:pPr>
            <w:r>
              <w:rPr>
                <w:rFonts w:ascii="Arial"/>
                <w:sz w:val="18"/>
              </w:rPr>
              <w:t>(%)</w:t>
            </w:r>
          </w:p>
        </w:tc>
        <w:tc>
          <w:tcPr>
            <w:tcW w:w="1181" w:type="dxa"/>
            <w:vMerge w:val="restart"/>
            <w:tcBorders>
              <w:top w:val="nil" w:sz="6" w:space="0" w:color="auto"/>
              <w:left w:val="nil" w:sz="6" w:space="0" w:color="auto"/>
              <w:right w:val="nil" w:sz="6" w:space="0" w:color="auto"/>
            </w:tcBorders>
          </w:tcPr>
          <w:p>
            <w:pPr>
              <w:pStyle w:val="TableParagraph"/>
              <w:spacing w:line="194" w:lineRule="exact"/>
              <w:ind w:left="71" w:right="0"/>
              <w:jc w:val="left"/>
              <w:rPr>
                <w:rFonts w:ascii="宋体" w:hAnsi="宋体" w:cs="宋体" w:eastAsia="宋体" w:hint="default"/>
                <w:sz w:val="18"/>
                <w:szCs w:val="18"/>
              </w:rPr>
            </w:pPr>
            <w:r>
              <w:rPr>
                <w:rFonts w:ascii="宋体" w:hAnsi="宋体" w:cs="宋体" w:eastAsia="宋体" w:hint="default"/>
                <w:sz w:val="18"/>
                <w:szCs w:val="18"/>
              </w:rPr>
              <w:t>持股比例与表</w:t>
            </w:r>
          </w:p>
          <w:p>
            <w:pPr>
              <w:pStyle w:val="TableParagraph"/>
              <w:spacing w:line="233" w:lineRule="exact"/>
              <w:ind w:left="71" w:right="0"/>
              <w:jc w:val="left"/>
              <w:rPr>
                <w:rFonts w:ascii="宋体" w:hAnsi="宋体" w:cs="宋体" w:eastAsia="宋体" w:hint="default"/>
                <w:sz w:val="18"/>
                <w:szCs w:val="18"/>
              </w:rPr>
            </w:pPr>
            <w:r>
              <w:rPr>
                <w:rFonts w:ascii="宋体" w:hAnsi="宋体" w:cs="宋体" w:eastAsia="宋体" w:hint="default"/>
                <w:sz w:val="18"/>
                <w:szCs w:val="18"/>
              </w:rPr>
              <w:t>决权比例不一</w:t>
            </w:r>
          </w:p>
          <w:p>
            <w:pPr>
              <w:pStyle w:val="TableParagraph"/>
              <w:spacing w:line="234" w:lineRule="exact"/>
              <w:ind w:left="431" w:right="0"/>
              <w:jc w:val="left"/>
              <w:rPr>
                <w:rFonts w:ascii="宋体" w:hAnsi="宋体" w:cs="宋体" w:eastAsia="宋体" w:hint="default"/>
                <w:sz w:val="18"/>
                <w:szCs w:val="18"/>
              </w:rPr>
            </w:pPr>
            <w:r>
              <w:rPr>
                <w:rFonts w:ascii="宋体" w:hAnsi="宋体" w:cs="宋体" w:eastAsia="宋体" w:hint="default"/>
                <w:sz w:val="18"/>
                <w:szCs w:val="18"/>
              </w:rPr>
              <w:t>致的说明</w:t>
            </w:r>
          </w:p>
        </w:tc>
        <w:tc>
          <w:tcPr>
            <w:tcW w:w="991" w:type="dxa"/>
            <w:tcBorders>
              <w:top w:val="nil" w:sz="6" w:space="0" w:color="auto"/>
              <w:left w:val="nil" w:sz="6" w:space="0" w:color="auto"/>
              <w:bottom w:val="nil" w:sz="6" w:space="0" w:color="auto"/>
              <w:right w:val="nil" w:sz="6" w:space="0" w:color="auto"/>
            </w:tcBorders>
          </w:tcPr>
          <w:p>
            <w:pPr/>
          </w:p>
        </w:tc>
        <w:tc>
          <w:tcPr>
            <w:tcW w:w="899" w:type="dxa"/>
            <w:tcBorders>
              <w:top w:val="nil" w:sz="6" w:space="0" w:color="auto"/>
              <w:left w:val="nil" w:sz="6" w:space="0" w:color="auto"/>
              <w:bottom w:val="nil" w:sz="6" w:space="0" w:color="auto"/>
              <w:right w:val="nil" w:sz="6" w:space="0" w:color="auto"/>
            </w:tcBorders>
          </w:tcPr>
          <w:p>
            <w:pPr/>
          </w:p>
        </w:tc>
      </w:tr>
      <w:tr>
        <w:trPr>
          <w:trHeight w:val="482" w:hRule="exact"/>
        </w:trPr>
        <w:tc>
          <w:tcPr>
            <w:tcW w:w="34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73"/>
              <w:jc w:val="right"/>
              <w:rPr>
                <w:rFonts w:ascii="宋体" w:hAnsi="宋体" w:cs="宋体" w:eastAsia="宋体" w:hint="default"/>
                <w:sz w:val="18"/>
                <w:szCs w:val="18"/>
              </w:rPr>
            </w:pPr>
            <w:r>
              <w:rPr>
                <w:rFonts w:ascii="宋体" w:hAnsi="宋体" w:cs="宋体" w:eastAsia="宋体" w:hint="default"/>
                <w:sz w:val="18"/>
                <w:szCs w:val="18"/>
              </w:rPr>
              <w:t>核算方法</w:t>
            </w:r>
          </w:p>
        </w:tc>
        <w:tc>
          <w:tcPr>
            <w:tcW w:w="1035" w:type="dxa"/>
            <w:tcBorders>
              <w:top w:val="nil" w:sz="6" w:space="0" w:color="auto"/>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65"/>
              <w:jc w:val="right"/>
              <w:rPr>
                <w:rFonts w:ascii="宋体" w:hAnsi="宋体" w:cs="宋体" w:eastAsia="宋体" w:hint="default"/>
                <w:sz w:val="18"/>
                <w:szCs w:val="18"/>
              </w:rPr>
            </w:pPr>
            <w:r>
              <w:rPr>
                <w:rFonts w:ascii="宋体" w:hAnsi="宋体" w:cs="宋体" w:eastAsia="宋体" w:hint="default"/>
                <w:sz w:val="18"/>
                <w:szCs w:val="18"/>
              </w:rPr>
              <w:t>投资成本</w:t>
            </w:r>
          </w:p>
        </w:tc>
        <w:tc>
          <w:tcPr>
            <w:tcW w:w="1104" w:type="dxa"/>
            <w:tcBorders>
              <w:top w:val="nil" w:sz="6" w:space="0" w:color="auto"/>
              <w:left w:val="nil" w:sz="6" w:space="0" w:color="auto"/>
              <w:bottom w:val="single" w:sz="6" w:space="0" w:color="000000"/>
              <w:right w:val="nil" w:sz="6" w:space="0" w:color="auto"/>
            </w:tcBorders>
          </w:tcPr>
          <w:p>
            <w:pPr>
              <w:pStyle w:val="TableParagraph"/>
              <w:spacing w:line="219" w:lineRule="exact"/>
              <w:ind w:left="368"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98"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48"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124" w:right="0" w:firstLine="180"/>
              <w:jc w:val="left"/>
              <w:rPr>
                <w:rFonts w:ascii="宋体" w:hAnsi="宋体" w:cs="宋体" w:eastAsia="宋体" w:hint="default"/>
                <w:sz w:val="18"/>
                <w:szCs w:val="18"/>
              </w:rPr>
            </w:pPr>
            <w:r>
              <w:rPr>
                <w:rFonts w:ascii="宋体" w:hAnsi="宋体" w:cs="宋体" w:eastAsia="宋体" w:hint="default"/>
                <w:sz w:val="18"/>
                <w:szCs w:val="18"/>
              </w:rPr>
              <w:t>追加或</w:t>
            </w:r>
          </w:p>
          <w:p>
            <w:pPr>
              <w:pStyle w:val="TableParagraph"/>
              <w:spacing w:line="234" w:lineRule="exact"/>
              <w:ind w:left="124"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048"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按权益法调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整的净损益</w:t>
            </w:r>
          </w:p>
        </w:tc>
        <w:tc>
          <w:tcPr>
            <w:tcW w:w="1057"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224" w:right="0" w:hanging="180"/>
              <w:jc w:val="left"/>
              <w:rPr>
                <w:rFonts w:ascii="宋体" w:hAnsi="宋体" w:cs="宋体" w:eastAsia="宋体" w:hint="default"/>
                <w:sz w:val="18"/>
                <w:szCs w:val="18"/>
              </w:rPr>
            </w:pPr>
            <w:r>
              <w:rPr>
                <w:rFonts w:ascii="宋体" w:hAnsi="宋体" w:cs="宋体" w:eastAsia="宋体" w:hint="default"/>
                <w:sz w:val="18"/>
                <w:szCs w:val="18"/>
              </w:rPr>
              <w:t>宣告分派的</w:t>
            </w:r>
          </w:p>
          <w:p>
            <w:pPr>
              <w:pStyle w:val="TableParagraph"/>
              <w:spacing w:line="234" w:lineRule="exact"/>
              <w:ind w:left="224" w:right="0"/>
              <w:jc w:val="left"/>
              <w:rPr>
                <w:rFonts w:ascii="宋体" w:hAnsi="宋体" w:cs="宋体" w:eastAsia="宋体" w:hint="default"/>
                <w:sz w:val="18"/>
                <w:szCs w:val="18"/>
              </w:rPr>
            </w:pPr>
            <w:r>
              <w:rPr>
                <w:rFonts w:ascii="宋体" w:hAnsi="宋体" w:cs="宋体" w:eastAsia="宋体" w:hint="default"/>
                <w:sz w:val="18"/>
                <w:szCs w:val="18"/>
              </w:rPr>
              <w:t>现金股利</w:t>
            </w:r>
          </w:p>
        </w:tc>
        <w:tc>
          <w:tcPr>
            <w:tcW w:w="681"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其他权</w:t>
            </w:r>
          </w:p>
          <w:p>
            <w:pPr>
              <w:pStyle w:val="TableParagraph"/>
              <w:spacing w:line="234" w:lineRule="exact"/>
              <w:ind w:left="112" w:right="0"/>
              <w:jc w:val="left"/>
              <w:rPr>
                <w:rFonts w:ascii="宋体" w:hAnsi="宋体" w:cs="宋体" w:eastAsia="宋体" w:hint="default"/>
                <w:sz w:val="18"/>
                <w:szCs w:val="18"/>
              </w:rPr>
            </w:pPr>
            <w:r>
              <w:rPr>
                <w:rFonts w:ascii="宋体" w:hAnsi="宋体" w:cs="宋体" w:eastAsia="宋体" w:hint="default"/>
                <w:sz w:val="18"/>
                <w:szCs w:val="18"/>
              </w:rPr>
              <w:t>益变动</w:t>
            </w:r>
          </w:p>
        </w:tc>
        <w:tc>
          <w:tcPr>
            <w:tcW w:w="1090" w:type="dxa"/>
            <w:tcBorders>
              <w:top w:val="nil" w:sz="6" w:space="0" w:color="auto"/>
              <w:left w:val="nil" w:sz="6" w:space="0" w:color="auto"/>
              <w:bottom w:val="single" w:sz="6" w:space="0" w:color="000000"/>
              <w:right w:val="nil" w:sz="6" w:space="0" w:color="auto"/>
            </w:tcBorders>
          </w:tcPr>
          <w:p>
            <w:pPr>
              <w:pStyle w:val="TableParagraph"/>
              <w:spacing w:line="219" w:lineRule="exact"/>
              <w:ind w:left="435"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1" w:lineRule="exact"/>
              <w:ind w:left="16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610" w:type="dxa"/>
            <w:vMerge/>
            <w:tcBorders>
              <w:left w:val="nil" w:sz="6" w:space="0" w:color="auto"/>
              <w:bottom w:val="single" w:sz="6" w:space="0" w:color="000000"/>
              <w:right w:val="nil" w:sz="6" w:space="0" w:color="auto"/>
            </w:tcBorders>
          </w:tcPr>
          <w:p>
            <w:pPr/>
          </w:p>
        </w:tc>
        <w:tc>
          <w:tcPr>
            <w:tcW w:w="675" w:type="dxa"/>
            <w:vMerge/>
            <w:tcBorders>
              <w:left w:val="nil" w:sz="6" w:space="0" w:color="auto"/>
              <w:bottom w:val="single" w:sz="6" w:space="0" w:color="000000"/>
              <w:right w:val="nil" w:sz="6" w:space="0" w:color="auto"/>
            </w:tcBorders>
          </w:tcPr>
          <w:p>
            <w:pPr/>
          </w:p>
        </w:tc>
        <w:tc>
          <w:tcPr>
            <w:tcW w:w="1181" w:type="dxa"/>
            <w:vMerge/>
            <w:tcBorders>
              <w:left w:val="nil" w:sz="6" w:space="0" w:color="auto"/>
              <w:bottom w:val="single" w:sz="6" w:space="0" w:color="000000"/>
              <w:right w:val="nil" w:sz="6" w:space="0" w:color="auto"/>
            </w:tcBorders>
          </w:tcPr>
          <w:p>
            <w:pPr/>
          </w:p>
        </w:tc>
        <w:tc>
          <w:tcPr>
            <w:tcW w:w="991" w:type="dxa"/>
            <w:tcBorders>
              <w:top w:val="nil" w:sz="6" w:space="0" w:color="auto"/>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49"/>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899" w:type="dxa"/>
            <w:tcBorders>
              <w:top w:val="nil" w:sz="6" w:space="0" w:color="auto"/>
              <w:left w:val="nil" w:sz="6" w:space="0" w:color="auto"/>
              <w:bottom w:val="single" w:sz="6" w:space="0" w:color="000000"/>
              <w:right w:val="nil" w:sz="6" w:space="0" w:color="auto"/>
            </w:tcBorders>
          </w:tcPr>
          <w:p>
            <w:pPr>
              <w:pStyle w:val="TableParagraph"/>
              <w:spacing w:line="232" w:lineRule="exact" w:before="2"/>
              <w:ind w:left="149" w:right="26"/>
              <w:jc w:val="left"/>
              <w:rPr>
                <w:rFonts w:ascii="宋体" w:hAnsi="宋体" w:cs="宋体" w:eastAsia="宋体" w:hint="default"/>
                <w:sz w:val="18"/>
                <w:szCs w:val="18"/>
              </w:rPr>
            </w:pPr>
            <w:r>
              <w:rPr>
                <w:rFonts w:ascii="宋体" w:hAnsi="宋体" w:cs="宋体" w:eastAsia="宋体" w:hint="default"/>
                <w:sz w:val="18"/>
                <w:szCs w:val="18"/>
              </w:rPr>
              <w:t>本年计提 减值准备</w:t>
            </w:r>
          </w:p>
        </w:tc>
      </w:tr>
      <w:tr>
        <w:trPr>
          <w:trHeight w:val="472" w:hRule="exact"/>
        </w:trPr>
        <w:tc>
          <w:tcPr>
            <w:tcW w:w="272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w w:val="95"/>
                <w:sz w:val="18"/>
                <w:szCs w:val="18"/>
              </w:rPr>
              <w:t>广联视通新媒体有限公司（注）</w:t>
            </w:r>
          </w:p>
        </w:tc>
        <w:tc>
          <w:tcPr>
            <w:tcW w:w="767"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035"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6"/>
              <w:jc w:val="right"/>
              <w:rPr>
                <w:rFonts w:ascii="Arial" w:hAnsi="Arial" w:cs="Arial" w:eastAsia="Arial" w:hint="default"/>
                <w:sz w:val="18"/>
                <w:szCs w:val="18"/>
              </w:rPr>
            </w:pPr>
            <w:r>
              <w:rPr>
                <w:rFonts w:ascii="Arial"/>
                <w:spacing w:val="-1"/>
                <w:sz w:val="18"/>
              </w:rPr>
              <w:t>25,000,000</w:t>
            </w:r>
          </w:p>
        </w:tc>
        <w:tc>
          <w:tcPr>
            <w:tcW w:w="1104"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8" w:right="0"/>
              <w:jc w:val="left"/>
              <w:rPr>
                <w:rFonts w:ascii="Arial" w:hAnsi="Arial" w:cs="Arial" w:eastAsia="Arial" w:hint="default"/>
                <w:sz w:val="18"/>
                <w:szCs w:val="18"/>
              </w:rPr>
            </w:pPr>
            <w:r>
              <w:rPr>
                <w:rFonts w:ascii="Arial"/>
                <w:sz w:val="18"/>
              </w:rPr>
              <w:t>23,735,217</w:t>
            </w:r>
          </w:p>
        </w:tc>
        <w:tc>
          <w:tcPr>
            <w:tcW w:w="948" w:type="dxa"/>
            <w:tcBorders>
              <w:top w:val="single" w:sz="6"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12"/>
              <w:jc w:val="right"/>
              <w:rPr>
                <w:rFonts w:ascii="Arial" w:hAnsi="Arial" w:cs="Arial" w:eastAsia="Arial" w:hint="default"/>
                <w:sz w:val="18"/>
                <w:szCs w:val="18"/>
              </w:rPr>
            </w:pPr>
            <w:r>
              <w:rPr>
                <w:rFonts w:ascii="Arial"/>
                <w:w w:val="99"/>
                <w:sz w:val="18"/>
              </w:rPr>
              <w:t>-</w:t>
            </w:r>
            <w:r>
              <w:rPr>
                <w:rFonts w:ascii="Arial"/>
                <w:sz w:val="18"/>
              </w:rPr>
            </w:r>
          </w:p>
        </w:tc>
        <w:tc>
          <w:tcPr>
            <w:tcW w:w="1048" w:type="dxa"/>
            <w:tcBorders>
              <w:top w:val="single" w:sz="6"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5" w:right="0"/>
              <w:jc w:val="left"/>
              <w:rPr>
                <w:rFonts w:ascii="Arial" w:hAnsi="Arial" w:cs="Arial" w:eastAsia="Arial" w:hint="default"/>
                <w:sz w:val="18"/>
                <w:szCs w:val="18"/>
              </w:rPr>
            </w:pPr>
            <w:r>
              <w:rPr>
                <w:rFonts w:ascii="Arial"/>
                <w:sz w:val="18"/>
              </w:rPr>
              <w:t>2,498,939</w:t>
            </w:r>
          </w:p>
        </w:tc>
        <w:tc>
          <w:tcPr>
            <w:tcW w:w="1057" w:type="dxa"/>
            <w:tcBorders>
              <w:top w:val="single" w:sz="6"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13"/>
              <w:jc w:val="right"/>
              <w:rPr>
                <w:rFonts w:ascii="Arial" w:hAnsi="Arial" w:cs="Arial" w:eastAsia="Arial" w:hint="default"/>
                <w:sz w:val="18"/>
                <w:szCs w:val="18"/>
              </w:rPr>
            </w:pPr>
            <w:r>
              <w:rPr>
                <w:rFonts w:ascii="Arial"/>
                <w:w w:val="99"/>
                <w:sz w:val="18"/>
              </w:rPr>
              <w:t>-</w:t>
            </w:r>
            <w:r>
              <w:rPr>
                <w:rFonts w:ascii="Arial"/>
                <w:sz w:val="18"/>
              </w:rPr>
            </w:r>
          </w:p>
        </w:tc>
        <w:tc>
          <w:tcPr>
            <w:tcW w:w="681" w:type="dxa"/>
            <w:tcBorders>
              <w:top w:val="single" w:sz="6"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090" w:type="dxa"/>
            <w:tcBorders>
              <w:top w:val="single" w:sz="6"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Arial" w:hAnsi="Arial" w:cs="Arial" w:eastAsia="Arial" w:hint="default"/>
                <w:sz w:val="18"/>
                <w:szCs w:val="18"/>
              </w:rPr>
            </w:pPr>
            <w:r>
              <w:rPr>
                <w:rFonts w:ascii="Arial"/>
                <w:sz w:val="18"/>
              </w:rPr>
              <w:t>26,234,156</w:t>
            </w:r>
          </w:p>
        </w:tc>
        <w:tc>
          <w:tcPr>
            <w:tcW w:w="610"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97" w:right="0"/>
              <w:jc w:val="left"/>
              <w:rPr>
                <w:rFonts w:ascii="Arial" w:hAnsi="Arial" w:cs="Arial" w:eastAsia="Arial" w:hint="default"/>
                <w:sz w:val="18"/>
                <w:szCs w:val="18"/>
              </w:rPr>
            </w:pPr>
            <w:r>
              <w:rPr>
                <w:rFonts w:ascii="Arial"/>
                <w:sz w:val="18"/>
              </w:rPr>
              <w:t>49</w:t>
            </w:r>
          </w:p>
        </w:tc>
        <w:tc>
          <w:tcPr>
            <w:tcW w:w="675"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58" w:right="0"/>
              <w:jc w:val="left"/>
              <w:rPr>
                <w:rFonts w:ascii="Arial" w:hAnsi="Arial" w:cs="Arial" w:eastAsia="Arial" w:hint="default"/>
                <w:sz w:val="18"/>
                <w:szCs w:val="18"/>
              </w:rPr>
            </w:pPr>
            <w:r>
              <w:rPr>
                <w:rFonts w:ascii="Arial"/>
                <w:sz w:val="18"/>
              </w:rPr>
              <w:t>49</w:t>
            </w:r>
          </w:p>
        </w:tc>
        <w:tc>
          <w:tcPr>
            <w:tcW w:w="1181"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8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6"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56"/>
              <w:jc w:val="right"/>
              <w:rPr>
                <w:rFonts w:ascii="Arial" w:hAnsi="Arial" w:cs="Arial" w:eastAsia="Arial" w:hint="default"/>
                <w:sz w:val="18"/>
                <w:szCs w:val="18"/>
              </w:rPr>
            </w:pPr>
            <w:r>
              <w:rPr>
                <w:rFonts w:ascii="Arial"/>
                <w:w w:val="99"/>
                <w:sz w:val="18"/>
              </w:rPr>
              <w:t>-</w:t>
            </w:r>
            <w:r>
              <w:rPr>
                <w:rFonts w:ascii="Arial"/>
                <w:sz w:val="18"/>
              </w:rPr>
            </w:r>
          </w:p>
        </w:tc>
        <w:tc>
          <w:tcPr>
            <w:tcW w:w="899" w:type="dxa"/>
            <w:tcBorders>
              <w:top w:val="single" w:sz="6"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5"/>
              <w:jc w:val="right"/>
              <w:rPr>
                <w:rFonts w:ascii="Arial" w:hAnsi="Arial" w:cs="Arial" w:eastAsia="Arial" w:hint="default"/>
                <w:sz w:val="18"/>
                <w:szCs w:val="18"/>
              </w:rPr>
            </w:pPr>
            <w:r>
              <w:rPr>
                <w:rFonts w:ascii="Arial"/>
                <w:w w:val="99"/>
                <w:sz w:val="18"/>
              </w:rPr>
              <w:t>-</w:t>
            </w:r>
            <w:r>
              <w:rPr>
                <w:rFonts w:ascii="Arial"/>
                <w:sz w:val="18"/>
              </w:rPr>
            </w:r>
          </w:p>
        </w:tc>
      </w:tr>
    </w:tbl>
    <w:p>
      <w:pPr>
        <w:spacing w:line="240" w:lineRule="auto" w:before="2"/>
        <w:rPr>
          <w:rFonts w:ascii="宋体" w:hAnsi="宋体" w:cs="宋体" w:eastAsia="宋体" w:hint="default"/>
          <w:sz w:val="14"/>
          <w:szCs w:val="14"/>
        </w:rPr>
      </w:pPr>
    </w:p>
    <w:p>
      <w:pPr>
        <w:pStyle w:val="BodyText"/>
        <w:spacing w:line="295" w:lineRule="exact" w:before="31"/>
        <w:ind w:left="557" w:right="0"/>
        <w:jc w:val="left"/>
      </w:pPr>
      <w:r>
        <w:rPr/>
        <w:t>注：于</w:t>
      </w:r>
      <w:r>
        <w:rPr>
          <w:spacing w:val="-59"/>
        </w:rPr>
        <w:t> </w:t>
      </w:r>
      <w:r>
        <w:rPr>
          <w:rFonts w:ascii="Arial" w:hAnsi="Arial" w:cs="Arial" w:eastAsia="Arial" w:hint="default"/>
        </w:rPr>
        <w:t>2010</w:t>
      </w:r>
      <w:r>
        <w:rPr>
          <w:rFonts w:ascii="Arial" w:hAnsi="Arial" w:cs="Arial" w:eastAsia="Arial" w:hint="default"/>
          <w:spacing w:val="-10"/>
        </w:rPr>
        <w:t> </w:t>
      </w:r>
      <w:r>
        <w:rPr/>
        <w:t>年</w:t>
      </w:r>
      <w:r>
        <w:rPr>
          <w:spacing w:val="-59"/>
        </w:rPr>
        <w:t> </w:t>
      </w:r>
      <w:r>
        <w:rPr>
          <w:rFonts w:ascii="Arial" w:hAnsi="Arial" w:cs="Arial" w:eastAsia="Arial" w:hint="default"/>
        </w:rPr>
        <w:t>1</w:t>
      </w:r>
      <w:r>
        <w:rPr>
          <w:rFonts w:ascii="Arial" w:hAnsi="Arial" w:cs="Arial" w:eastAsia="Arial" w:hint="default"/>
          <w:spacing w:val="-10"/>
        </w:rPr>
        <w:t> </w:t>
      </w:r>
      <w:r>
        <w:rPr/>
        <w:t>月</w:t>
      </w:r>
      <w:r>
        <w:rPr>
          <w:spacing w:val="-59"/>
        </w:rPr>
        <w:t> </w:t>
      </w:r>
      <w:r>
        <w:rPr>
          <w:rFonts w:ascii="Arial" w:hAnsi="Arial" w:cs="Arial" w:eastAsia="Arial" w:hint="default"/>
        </w:rPr>
        <w:t>21</w:t>
      </w:r>
      <w:r>
        <w:rPr>
          <w:rFonts w:ascii="Arial" w:hAnsi="Arial" w:cs="Arial" w:eastAsia="Arial" w:hint="default"/>
          <w:spacing w:val="-10"/>
        </w:rPr>
        <w:t> </w:t>
      </w:r>
      <w:r>
        <w:rPr/>
        <w:t>日，本集团所属联通运营公司与辽宁广播电视台共同出资设立了广联视通新媒体有限公司（“广联视通”），广联视通注册资本</w:t>
      </w:r>
    </w:p>
    <w:p>
      <w:pPr>
        <w:pStyle w:val="BodyText"/>
        <w:spacing w:line="285" w:lineRule="exact"/>
        <w:ind w:left="999" w:right="0"/>
        <w:jc w:val="left"/>
      </w:pPr>
      <w:r>
        <w:rPr/>
        <w:t>为人民币</w:t>
      </w:r>
      <w:r>
        <w:rPr>
          <w:spacing w:val="-58"/>
        </w:rPr>
        <w:t> </w:t>
      </w:r>
      <w:r>
        <w:rPr>
          <w:rFonts w:ascii="Arial" w:hAnsi="Arial" w:cs="Arial" w:eastAsia="Arial" w:hint="default"/>
        </w:rPr>
        <w:t>5,000</w:t>
      </w:r>
      <w:r>
        <w:rPr>
          <w:rFonts w:ascii="Arial" w:hAnsi="Arial" w:cs="Arial" w:eastAsia="Arial" w:hint="default"/>
          <w:spacing w:val="-8"/>
        </w:rPr>
        <w:t> </w:t>
      </w:r>
      <w:r>
        <w:rPr/>
        <w:t>万元，分别由联通运营公司和辽宁广播电视台各出资人民币</w:t>
      </w:r>
      <w:r>
        <w:rPr>
          <w:spacing w:val="-55"/>
        </w:rPr>
        <w:t> </w:t>
      </w:r>
      <w:r>
        <w:rPr>
          <w:rFonts w:ascii="Arial" w:hAnsi="Arial" w:cs="Arial" w:eastAsia="Arial" w:hint="default"/>
        </w:rPr>
        <w:t>2,500</w:t>
      </w:r>
      <w:r>
        <w:rPr>
          <w:rFonts w:ascii="Arial" w:hAnsi="Arial" w:cs="Arial" w:eastAsia="Arial" w:hint="default"/>
          <w:spacing w:val="-9"/>
        </w:rPr>
        <w:t> </w:t>
      </w:r>
      <w:r>
        <w:rPr/>
        <w:t>万元并分别持有</w:t>
      </w:r>
      <w:r>
        <w:rPr>
          <w:spacing w:val="-58"/>
        </w:rPr>
        <w:t> </w:t>
      </w:r>
      <w:r>
        <w:rPr>
          <w:rFonts w:ascii="Arial" w:hAnsi="Arial" w:cs="Arial" w:eastAsia="Arial" w:hint="default"/>
        </w:rPr>
        <w:t>50%</w:t>
      </w:r>
      <w:r>
        <w:rPr/>
        <w:t>的股权。于</w:t>
      </w:r>
      <w:r>
        <w:rPr>
          <w:spacing w:val="-57"/>
        </w:rPr>
        <w:t> </w:t>
      </w:r>
      <w:r>
        <w:rPr>
          <w:rFonts w:ascii="Arial" w:hAnsi="Arial" w:cs="Arial" w:eastAsia="Arial" w:hint="default"/>
        </w:rPr>
        <w:t>2011</w:t>
      </w:r>
      <w:r>
        <w:rPr>
          <w:rFonts w:ascii="Arial" w:hAnsi="Arial" w:cs="Arial" w:eastAsia="Arial" w:hint="default"/>
          <w:spacing w:val="-9"/>
        </w:rPr>
        <w:t> </w:t>
      </w:r>
      <w:r>
        <w:rPr/>
        <w:t>年</w:t>
      </w:r>
      <w:r>
        <w:rPr>
          <w:spacing w:val="-58"/>
        </w:rPr>
        <w:t> </w:t>
      </w:r>
      <w:r>
        <w:rPr>
          <w:rFonts w:ascii="Arial" w:hAnsi="Arial" w:cs="Arial" w:eastAsia="Arial" w:hint="default"/>
        </w:rPr>
        <w:t>3</w:t>
      </w:r>
      <w:r>
        <w:rPr>
          <w:rFonts w:ascii="Arial" w:hAnsi="Arial" w:cs="Arial" w:eastAsia="Arial" w:hint="default"/>
          <w:spacing w:val="-9"/>
        </w:rPr>
        <w:t> </w:t>
      </w:r>
      <w:r>
        <w:rPr/>
        <w:t>月</w:t>
      </w:r>
      <w:r>
        <w:rPr>
          <w:spacing w:val="-58"/>
        </w:rPr>
        <w:t> </w:t>
      </w:r>
      <w:r>
        <w:rPr>
          <w:rFonts w:ascii="Arial" w:hAnsi="Arial" w:cs="Arial" w:eastAsia="Arial" w:hint="default"/>
        </w:rPr>
        <w:t>20</w:t>
      </w:r>
      <w:r>
        <w:rPr>
          <w:rFonts w:ascii="Arial" w:hAnsi="Arial" w:cs="Arial" w:eastAsia="Arial" w:hint="default"/>
          <w:spacing w:val="-9"/>
        </w:rPr>
        <w:t> </w:t>
      </w:r>
      <w:r>
        <w:rPr/>
        <w:t>日，根据广联视</w:t>
      </w:r>
    </w:p>
    <w:p>
      <w:pPr>
        <w:pStyle w:val="BodyText"/>
        <w:spacing w:line="286" w:lineRule="exact" w:before="18"/>
        <w:ind w:left="999" w:right="0"/>
        <w:jc w:val="left"/>
      </w:pPr>
      <w:r>
        <w:rPr/>
        <w:t>通股东会决议，经联通运营公司与辽宁广播电视台一致同意对广联视通增加注册资本</w:t>
      </w:r>
      <w:r>
        <w:rPr>
          <w:spacing w:val="-65"/>
        </w:rPr>
        <w:t> </w:t>
      </w:r>
      <w:r>
        <w:rPr>
          <w:rFonts w:ascii="Arial" w:hAnsi="Arial" w:cs="Arial" w:eastAsia="Arial" w:hint="default"/>
        </w:rPr>
        <w:t>1,020,408</w:t>
      </w:r>
      <w:r>
        <w:rPr>
          <w:rFonts w:ascii="Arial" w:hAnsi="Arial" w:cs="Arial" w:eastAsia="Arial" w:hint="default"/>
          <w:spacing w:val="-16"/>
        </w:rPr>
        <w:t> </w:t>
      </w:r>
      <w:r>
        <w:rPr>
          <w:spacing w:val="-3"/>
        </w:rPr>
        <w:t>元，新增注册资本全部由辽宁广播电视台承担。此次</w:t>
      </w:r>
      <w:r>
        <w:rPr>
          <w:w w:val="99"/>
        </w:rPr>
        <w:t> </w:t>
      </w:r>
      <w:r>
        <w:rPr/>
        <w:t>辽宁广播电视台增资后，联通运营公司对广联视通持股比例由</w:t>
      </w:r>
      <w:r>
        <w:rPr>
          <w:spacing w:val="-62"/>
        </w:rPr>
        <w:t> </w:t>
      </w:r>
      <w:r>
        <w:rPr>
          <w:rFonts w:ascii="Arial" w:hAnsi="Arial" w:cs="Arial" w:eastAsia="Arial" w:hint="default"/>
        </w:rPr>
        <w:t>50%</w:t>
      </w:r>
      <w:r>
        <w:rPr/>
        <w:t>下降至</w:t>
      </w:r>
      <w:r>
        <w:rPr>
          <w:spacing w:val="-65"/>
        </w:rPr>
        <w:t> </w:t>
      </w:r>
      <w:r>
        <w:rPr>
          <w:rFonts w:ascii="Arial" w:hAnsi="Arial" w:cs="Arial" w:eastAsia="Arial" w:hint="default"/>
        </w:rPr>
        <w:t>49%</w:t>
      </w:r>
      <w:r>
        <w:rPr/>
        <w:t>，故广联视通成为本集团的联营企业。</w:t>
      </w:r>
    </w:p>
    <w:p>
      <w:pPr>
        <w:spacing w:after="0" w:line="286" w:lineRule="exact"/>
        <w:jc w:val="left"/>
        <w:sectPr>
          <w:headerReference w:type="default" r:id="rId91"/>
          <w:footerReference w:type="default" r:id="rId92"/>
          <w:pgSz w:w="16840" w:h="11910" w:orient="landscape"/>
          <w:pgMar w:header="1189" w:footer="458" w:top="3040" w:bottom="640" w:left="460" w:right="1040"/>
          <w:pgNumType w:start="110"/>
        </w:sectPr>
      </w:pPr>
    </w:p>
    <w:p>
      <w:pPr>
        <w:spacing w:line="240" w:lineRule="auto" w:before="2"/>
        <w:rPr>
          <w:rFonts w:ascii="宋体" w:hAnsi="宋体" w:cs="宋体" w:eastAsia="宋体" w:hint="default"/>
          <w:sz w:val="13"/>
          <w:szCs w:val="13"/>
        </w:rPr>
      </w:pPr>
    </w:p>
    <w:p>
      <w:pPr>
        <w:pStyle w:val="BodyText"/>
        <w:spacing w:line="240" w:lineRule="auto" w:before="31"/>
        <w:ind w:left="143" w:right="0"/>
        <w:jc w:val="left"/>
      </w:pPr>
      <w:r>
        <w:rPr>
          <w:rFonts w:ascii="Arial" w:hAnsi="Arial" w:cs="Arial" w:eastAsia="Arial" w:hint="default"/>
        </w:rPr>
        <w:t>9</w:t>
      </w:r>
      <w:r>
        <w:rPr/>
        <w:t>、</w:t>
      </w:r>
      <w:r>
        <w:rPr>
          <w:spacing w:val="-43"/>
        </w:rPr>
        <w:t> </w:t>
      </w:r>
      <w:r>
        <w:rPr/>
        <w:t>长期股权投资（续）</w:t>
      </w:r>
    </w:p>
    <w:p>
      <w:pPr>
        <w:spacing w:line="240" w:lineRule="auto" w:before="13"/>
        <w:rPr>
          <w:rFonts w:ascii="宋体" w:hAnsi="宋体" w:cs="宋体" w:eastAsia="宋体" w:hint="default"/>
          <w:sz w:val="17"/>
          <w:szCs w:val="17"/>
        </w:rPr>
      </w:pPr>
    </w:p>
    <w:p>
      <w:pPr>
        <w:pStyle w:val="BodyText"/>
        <w:spacing w:line="240" w:lineRule="auto"/>
        <w:ind w:left="143" w:right="0"/>
        <w:jc w:val="left"/>
      </w:pPr>
      <w:r>
        <w:rPr>
          <w:rFonts w:ascii="Arial" w:hAnsi="Arial" w:cs="Arial" w:eastAsia="Arial" w:hint="default"/>
        </w:rPr>
        <w:t>(b) </w:t>
      </w:r>
      <w:r>
        <w:rPr>
          <w:rFonts w:ascii="Arial" w:hAnsi="Arial" w:cs="Arial" w:eastAsia="Arial" w:hint="default"/>
          <w:spacing w:val="19"/>
        </w:rPr>
        <w:t> </w:t>
      </w:r>
      <w:r>
        <w:rPr/>
        <w:t>其他长期股权投资</w:t>
      </w:r>
    </w:p>
    <w:p>
      <w:pPr>
        <w:spacing w:line="240" w:lineRule="auto" w:before="8"/>
        <w:rPr>
          <w:rFonts w:ascii="宋体" w:hAnsi="宋体" w:cs="宋体" w:eastAsia="宋体" w:hint="default"/>
          <w:sz w:val="22"/>
          <w:szCs w:val="22"/>
        </w:rPr>
      </w:pPr>
    </w:p>
    <w:tbl>
      <w:tblPr>
        <w:tblW w:w="0" w:type="auto"/>
        <w:jc w:val="left"/>
        <w:tblInd w:w="385" w:type="dxa"/>
        <w:tblLayout w:type="fixed"/>
        <w:tblCellMar>
          <w:top w:w="0" w:type="dxa"/>
          <w:left w:w="0" w:type="dxa"/>
          <w:bottom w:w="0" w:type="dxa"/>
          <w:right w:w="0" w:type="dxa"/>
        </w:tblCellMar>
        <w:tblLook w:val="01E0"/>
      </w:tblPr>
      <w:tblGrid>
        <w:gridCol w:w="3143"/>
        <w:gridCol w:w="720"/>
        <w:gridCol w:w="108"/>
        <w:gridCol w:w="1008"/>
        <w:gridCol w:w="108"/>
        <w:gridCol w:w="1260"/>
        <w:gridCol w:w="108"/>
        <w:gridCol w:w="964"/>
        <w:gridCol w:w="1260"/>
        <w:gridCol w:w="818"/>
        <w:gridCol w:w="108"/>
        <w:gridCol w:w="717"/>
        <w:gridCol w:w="112"/>
        <w:gridCol w:w="1216"/>
        <w:gridCol w:w="900"/>
        <w:gridCol w:w="954"/>
        <w:gridCol w:w="108"/>
        <w:gridCol w:w="1322"/>
      </w:tblGrid>
      <w:tr>
        <w:trPr>
          <w:trHeight w:val="683" w:hRule="exact"/>
        </w:trPr>
        <w:tc>
          <w:tcPr>
            <w:tcW w:w="3143"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4" w:right="11"/>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08"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投资成本</w:t>
            </w:r>
          </w:p>
        </w:tc>
        <w:tc>
          <w:tcPr>
            <w:tcW w:w="10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1" w:lineRule="exact"/>
              <w:ind w:left="605"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33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08"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260"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1" w:lineRule="exact"/>
              <w:ind w:left="58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313"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818" w:type="dxa"/>
            <w:tcBorders>
              <w:top w:val="nil" w:sz="6" w:space="0" w:color="auto"/>
              <w:left w:val="nil" w:sz="6" w:space="0" w:color="auto"/>
              <w:bottom w:val="single" w:sz="6" w:space="0" w:color="000000"/>
              <w:right w:val="nil" w:sz="6" w:space="0" w:color="auto"/>
            </w:tcBorders>
          </w:tcPr>
          <w:p>
            <w:pPr>
              <w:pStyle w:val="TableParagraph"/>
              <w:spacing w:line="179" w:lineRule="exact"/>
              <w:ind w:left="96" w:right="0"/>
              <w:jc w:val="center"/>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exact"/>
              <w:ind w:left="97" w:right="0"/>
              <w:jc w:val="center"/>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p>
            <w:pPr>
              <w:pStyle w:val="TableParagraph"/>
              <w:spacing w:line="241" w:lineRule="exact"/>
              <w:ind w:left="117"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Arial" w:hAnsi="Arial" w:cs="Arial" w:eastAsia="Arial" w:hint="default"/>
                <w:sz w:val="18"/>
                <w:szCs w:val="18"/>
              </w:rPr>
              <w:t>1</w:t>
            </w:r>
            <w:r>
              <w:rPr>
                <w:rFonts w:ascii="宋体" w:hAnsi="宋体" w:cs="宋体" w:eastAsia="宋体" w:hint="default"/>
                <w:sz w:val="18"/>
                <w:szCs w:val="18"/>
              </w:rPr>
              <w:t>）</w:t>
            </w:r>
          </w:p>
        </w:tc>
        <w:tc>
          <w:tcPr>
            <w:tcW w:w="108"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single" w:sz="6" w:space="0" w:color="000000"/>
              <w:right w:val="nil" w:sz="6" w:space="0" w:color="auto"/>
            </w:tcBorders>
          </w:tcPr>
          <w:p>
            <w:pPr>
              <w:pStyle w:val="TableParagraph"/>
              <w:spacing w:line="179" w:lineRule="exact"/>
              <w:ind w:left="28" w:right="0" w:firstLine="50"/>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40" w:lineRule="exact"/>
              <w:ind w:left="28"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p>
            <w:pPr>
              <w:pStyle w:val="TableParagraph"/>
              <w:spacing w:line="241" w:lineRule="exact"/>
              <w:ind w:left="10"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Arial" w:hAnsi="Arial" w:cs="Arial" w:eastAsia="Arial" w:hint="default"/>
                <w:sz w:val="18"/>
                <w:szCs w:val="18"/>
              </w:rPr>
              <w:t>1</w:t>
            </w:r>
            <w:r>
              <w:rPr>
                <w:rFonts w:ascii="宋体" w:hAnsi="宋体" w:cs="宋体" w:eastAsia="宋体" w:hint="default"/>
                <w:sz w:val="18"/>
                <w:szCs w:val="18"/>
              </w:rPr>
              <w:t>）</w:t>
            </w:r>
          </w:p>
        </w:tc>
        <w:tc>
          <w:tcPr>
            <w:tcW w:w="112"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single" w:sz="6" w:space="0" w:color="000000"/>
              <w:right w:val="nil" w:sz="6" w:space="0" w:color="auto"/>
            </w:tcBorders>
          </w:tcPr>
          <w:p>
            <w:pPr>
              <w:pStyle w:val="TableParagraph"/>
              <w:spacing w:line="179" w:lineRule="exact"/>
              <w:ind w:left="106" w:right="0"/>
              <w:jc w:val="left"/>
              <w:rPr>
                <w:rFonts w:ascii="宋体" w:hAnsi="宋体" w:cs="宋体" w:eastAsia="宋体" w:hint="default"/>
                <w:sz w:val="18"/>
                <w:szCs w:val="18"/>
              </w:rPr>
            </w:pPr>
            <w:r>
              <w:rPr>
                <w:rFonts w:ascii="宋体" w:hAnsi="宋体" w:cs="宋体" w:eastAsia="宋体" w:hint="default"/>
                <w:sz w:val="18"/>
                <w:szCs w:val="18"/>
              </w:rPr>
              <w:t>持股比例与表</w:t>
            </w:r>
          </w:p>
          <w:p>
            <w:pPr>
              <w:pStyle w:val="TableParagraph"/>
              <w:spacing w:line="233" w:lineRule="exact"/>
              <w:ind w:left="106" w:right="0"/>
              <w:jc w:val="left"/>
              <w:rPr>
                <w:rFonts w:ascii="宋体" w:hAnsi="宋体" w:cs="宋体" w:eastAsia="宋体" w:hint="default"/>
                <w:sz w:val="18"/>
                <w:szCs w:val="18"/>
              </w:rPr>
            </w:pPr>
            <w:r>
              <w:rPr>
                <w:rFonts w:ascii="宋体" w:hAnsi="宋体" w:cs="宋体" w:eastAsia="宋体" w:hint="default"/>
                <w:sz w:val="18"/>
                <w:szCs w:val="18"/>
              </w:rPr>
              <w:t>决权比例不一</w:t>
            </w:r>
          </w:p>
          <w:p>
            <w:pPr>
              <w:pStyle w:val="TableParagraph"/>
              <w:spacing w:line="234" w:lineRule="exact"/>
              <w:ind w:left="466" w:right="0"/>
              <w:jc w:val="left"/>
              <w:rPr>
                <w:rFonts w:ascii="宋体" w:hAnsi="宋体" w:cs="宋体" w:eastAsia="宋体" w:hint="default"/>
                <w:sz w:val="18"/>
                <w:szCs w:val="18"/>
              </w:rPr>
            </w:pPr>
            <w:r>
              <w:rPr>
                <w:rFonts w:ascii="宋体" w:hAnsi="宋体" w:cs="宋体" w:eastAsia="宋体" w:hint="default"/>
                <w:sz w:val="18"/>
                <w:szCs w:val="18"/>
              </w:rPr>
              <w:t>致的说明</w:t>
            </w:r>
          </w:p>
        </w:tc>
        <w:tc>
          <w:tcPr>
            <w:tcW w:w="900"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954" w:type="dxa"/>
            <w:tcBorders>
              <w:top w:val="nil" w:sz="6" w:space="0" w:color="auto"/>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2" w:lineRule="exact"/>
              <w:ind w:left="194" w:right="37"/>
              <w:jc w:val="left"/>
              <w:rPr>
                <w:rFonts w:ascii="宋体" w:hAnsi="宋体" w:cs="宋体" w:eastAsia="宋体" w:hint="default"/>
                <w:sz w:val="18"/>
                <w:szCs w:val="18"/>
              </w:rPr>
            </w:pPr>
            <w:r>
              <w:rPr>
                <w:rFonts w:ascii="宋体" w:hAnsi="宋体" w:cs="宋体" w:eastAsia="宋体" w:hint="default"/>
                <w:sz w:val="18"/>
                <w:szCs w:val="18"/>
              </w:rPr>
              <w:t>本年计提 减值准备</w:t>
            </w:r>
          </w:p>
        </w:tc>
        <w:tc>
          <w:tcPr>
            <w:tcW w:w="108"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2" w:lineRule="exact"/>
              <w:ind w:left="33" w:right="26" w:firstLine="540"/>
              <w:jc w:val="left"/>
              <w:rPr>
                <w:rFonts w:ascii="宋体" w:hAnsi="宋体" w:cs="宋体" w:eastAsia="宋体" w:hint="default"/>
                <w:sz w:val="18"/>
                <w:szCs w:val="18"/>
              </w:rPr>
            </w:pPr>
            <w:r>
              <w:rPr>
                <w:rFonts w:ascii="宋体" w:hAnsi="宋体" w:cs="宋体" w:eastAsia="宋体" w:hint="default"/>
                <w:sz w:val="18"/>
                <w:szCs w:val="18"/>
              </w:rPr>
              <w:t>本年宣告 分派的现金股利</w:t>
            </w:r>
          </w:p>
        </w:tc>
      </w:tr>
      <w:tr>
        <w:trPr>
          <w:trHeight w:val="458"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广东发展银行（注</w:t>
            </w:r>
            <w:r>
              <w:rPr>
                <w:rFonts w:ascii="宋体" w:hAnsi="宋体" w:cs="宋体" w:eastAsia="宋体" w:hint="default"/>
                <w:spacing w:val="-48"/>
                <w:sz w:val="18"/>
                <w:szCs w:val="18"/>
              </w:rPr>
              <w:t> </w:t>
            </w:r>
            <w:r>
              <w:rPr>
                <w:rFonts w:ascii="Arial" w:hAnsi="Arial" w:cs="Arial" w:eastAsia="Arial" w:hint="default"/>
                <w:sz w:val="18"/>
                <w:szCs w:val="18"/>
              </w:rPr>
              <w:t>2</w:t>
            </w:r>
            <w:r>
              <w:rPr>
                <w:rFonts w:ascii="宋体" w:hAnsi="宋体" w:cs="宋体" w:eastAsia="宋体" w:hint="default"/>
                <w:sz w:val="18"/>
                <w:szCs w:val="18"/>
              </w:rPr>
              <w:t>）</w:t>
            </w:r>
          </w:p>
        </w:tc>
        <w:tc>
          <w:tcPr>
            <w:tcW w:w="720"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08" w:type="dxa"/>
            <w:tcBorders>
              <w:top w:val="nil" w:sz="6" w:space="0" w:color="auto"/>
              <w:left w:val="nil" w:sz="6" w:space="0" w:color="auto"/>
              <w:bottom w:val="nil" w:sz="6" w:space="0" w:color="auto"/>
              <w:right w:val="nil" w:sz="6" w:space="0" w:color="auto"/>
            </w:tcBorders>
          </w:tcPr>
          <w:p>
            <w:pPr/>
          </w:p>
        </w:tc>
        <w:tc>
          <w:tcPr>
            <w:tcW w:w="1008"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71"/>
              <w:jc w:val="right"/>
              <w:rPr>
                <w:rFonts w:ascii="Arial" w:hAnsi="Arial" w:cs="Arial" w:eastAsia="Arial" w:hint="default"/>
                <w:sz w:val="18"/>
                <w:szCs w:val="18"/>
              </w:rPr>
            </w:pPr>
            <w:r>
              <w:rPr>
                <w:rFonts w:ascii="Arial"/>
                <w:spacing w:val="-1"/>
                <w:sz w:val="18"/>
              </w:rPr>
              <w:t>19,730,271</w:t>
            </w:r>
          </w:p>
        </w:tc>
        <w:tc>
          <w:tcPr>
            <w:tcW w:w="108" w:type="dxa"/>
            <w:tcBorders>
              <w:top w:val="nil" w:sz="6" w:space="0" w:color="auto"/>
              <w:left w:val="nil" w:sz="6" w:space="0" w:color="auto"/>
              <w:bottom w:val="nil" w:sz="6" w:space="0" w:color="auto"/>
              <w:right w:val="nil" w:sz="6" w:space="0" w:color="auto"/>
            </w:tcBorders>
          </w:tcPr>
          <w:p>
            <w:pPr/>
          </w:p>
        </w:tc>
        <w:tc>
          <w:tcPr>
            <w:tcW w:w="1260"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59" w:right="0"/>
              <w:jc w:val="left"/>
              <w:rPr>
                <w:rFonts w:ascii="Arial" w:hAnsi="Arial" w:cs="Arial" w:eastAsia="Arial" w:hint="default"/>
                <w:sz w:val="18"/>
                <w:szCs w:val="18"/>
              </w:rPr>
            </w:pPr>
            <w:r>
              <w:rPr>
                <w:rFonts w:ascii="Arial"/>
                <w:sz w:val="18"/>
              </w:rPr>
              <w:t>19,730,271</w:t>
            </w:r>
          </w:p>
        </w:tc>
        <w:tc>
          <w:tcPr>
            <w:tcW w:w="108" w:type="dxa"/>
            <w:tcBorders>
              <w:top w:val="nil" w:sz="6" w:space="0" w:color="auto"/>
              <w:left w:val="nil" w:sz="6" w:space="0" w:color="auto"/>
              <w:bottom w:val="nil" w:sz="6" w:space="0" w:color="auto"/>
              <w:right w:val="nil" w:sz="6" w:space="0" w:color="auto"/>
            </w:tcBorders>
          </w:tcPr>
          <w:p>
            <w:pPr/>
          </w:p>
        </w:tc>
        <w:tc>
          <w:tcPr>
            <w:tcW w:w="964"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89"/>
              <w:jc w:val="right"/>
              <w:rPr>
                <w:rFonts w:ascii="Arial" w:hAnsi="Arial" w:cs="Arial" w:eastAsia="Arial" w:hint="default"/>
                <w:sz w:val="18"/>
                <w:szCs w:val="18"/>
              </w:rPr>
            </w:pPr>
            <w:r>
              <w:rPr>
                <w:rFonts w:ascii="Arial"/>
                <w:w w:val="99"/>
                <w:sz w:val="18"/>
              </w:rPr>
              <w:t>-</w:t>
            </w:r>
            <w:r>
              <w:rPr>
                <w:rFonts w:ascii="Arial"/>
                <w:sz w:val="18"/>
              </w:rPr>
            </w:r>
          </w:p>
        </w:tc>
        <w:tc>
          <w:tcPr>
            <w:tcW w:w="1260"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77" w:right="0"/>
              <w:jc w:val="left"/>
              <w:rPr>
                <w:rFonts w:ascii="Arial" w:hAnsi="Arial" w:cs="Arial" w:eastAsia="Arial" w:hint="default"/>
                <w:sz w:val="18"/>
                <w:szCs w:val="18"/>
              </w:rPr>
            </w:pPr>
            <w:r>
              <w:rPr>
                <w:rFonts w:ascii="Arial"/>
                <w:sz w:val="18"/>
              </w:rPr>
              <w:t>19,730,271</w:t>
            </w:r>
          </w:p>
        </w:tc>
        <w:tc>
          <w:tcPr>
            <w:tcW w:w="818"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6"/>
              <w:jc w:val="right"/>
              <w:rPr>
                <w:rFonts w:ascii="Arial" w:hAnsi="Arial" w:cs="Arial" w:eastAsia="Arial" w:hint="default"/>
                <w:sz w:val="18"/>
                <w:szCs w:val="18"/>
              </w:rPr>
            </w:pPr>
            <w:r>
              <w:rPr>
                <w:rFonts w:ascii="Arial"/>
                <w:spacing w:val="-1"/>
                <w:sz w:val="18"/>
              </w:rPr>
              <w:t>0.05</w:t>
            </w:r>
          </w:p>
        </w:tc>
        <w:tc>
          <w:tcPr>
            <w:tcW w:w="108" w:type="dxa"/>
            <w:tcBorders>
              <w:top w:val="nil" w:sz="6" w:space="0" w:color="auto"/>
              <w:left w:val="nil" w:sz="6" w:space="0" w:color="auto"/>
              <w:bottom w:val="nil" w:sz="6" w:space="0" w:color="auto"/>
              <w:right w:val="nil" w:sz="6" w:space="0" w:color="auto"/>
            </w:tcBorders>
          </w:tcPr>
          <w:p>
            <w:pPr/>
          </w:p>
        </w:tc>
        <w:tc>
          <w:tcPr>
            <w:tcW w:w="717"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6"/>
              <w:jc w:val="right"/>
              <w:rPr>
                <w:rFonts w:ascii="Arial" w:hAnsi="Arial" w:cs="Arial" w:eastAsia="Arial" w:hint="default"/>
                <w:sz w:val="18"/>
                <w:szCs w:val="18"/>
              </w:rPr>
            </w:pPr>
            <w:r>
              <w:rPr>
                <w:rFonts w:ascii="Arial"/>
                <w:spacing w:val="-1"/>
                <w:sz w:val="18"/>
              </w:rPr>
              <w:t>0.05</w:t>
            </w:r>
          </w:p>
        </w:tc>
        <w:tc>
          <w:tcPr>
            <w:tcW w:w="112" w:type="dxa"/>
            <w:tcBorders>
              <w:top w:val="nil" w:sz="6" w:space="0" w:color="auto"/>
              <w:left w:val="nil" w:sz="6" w:space="0" w:color="auto"/>
              <w:bottom w:val="nil" w:sz="6" w:space="0" w:color="auto"/>
              <w:right w:val="nil" w:sz="6" w:space="0" w:color="auto"/>
            </w:tcBorders>
          </w:tcPr>
          <w:p>
            <w:pPr/>
          </w:p>
        </w:tc>
        <w:tc>
          <w:tcPr>
            <w:tcW w:w="1216"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不适用</w:t>
            </w:r>
          </w:p>
        </w:tc>
        <w:tc>
          <w:tcPr>
            <w:tcW w:w="900"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89"/>
              <w:jc w:val="right"/>
              <w:rPr>
                <w:rFonts w:ascii="Arial" w:hAnsi="Arial" w:cs="Arial" w:eastAsia="Arial" w:hint="default"/>
                <w:sz w:val="18"/>
                <w:szCs w:val="18"/>
              </w:rPr>
            </w:pPr>
            <w:r>
              <w:rPr>
                <w:rFonts w:ascii="Arial"/>
                <w:w w:val="99"/>
                <w:sz w:val="18"/>
              </w:rPr>
              <w:t>-</w:t>
            </w:r>
            <w:r>
              <w:rPr>
                <w:rFonts w:ascii="Arial"/>
                <w:sz w:val="18"/>
              </w:rPr>
            </w:r>
          </w:p>
        </w:tc>
        <w:tc>
          <w:tcPr>
            <w:tcW w:w="954"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7"/>
              <w:jc w:val="right"/>
              <w:rPr>
                <w:rFonts w:ascii="Arial" w:hAnsi="Arial" w:cs="Arial" w:eastAsia="Arial" w:hint="default"/>
                <w:sz w:val="18"/>
                <w:szCs w:val="18"/>
              </w:rPr>
            </w:pPr>
            <w:r>
              <w:rPr>
                <w:rFonts w:ascii="Arial"/>
                <w:w w:val="99"/>
                <w:sz w:val="18"/>
              </w:rPr>
              <w:t>-</w:t>
            </w:r>
            <w:r>
              <w:rPr>
                <w:rFonts w:ascii="Arial"/>
                <w:sz w:val="18"/>
              </w:rPr>
            </w:r>
          </w:p>
        </w:tc>
        <w:tc>
          <w:tcPr>
            <w:tcW w:w="108" w:type="dxa"/>
            <w:tcBorders>
              <w:top w:val="nil" w:sz="6" w:space="0" w:color="auto"/>
              <w:left w:val="nil" w:sz="6" w:space="0" w:color="auto"/>
              <w:bottom w:val="nil" w:sz="6" w:space="0" w:color="auto"/>
              <w:right w:val="nil" w:sz="6" w:space="0" w:color="auto"/>
            </w:tcBorders>
          </w:tcPr>
          <w:p>
            <w:pPr/>
          </w:p>
        </w:tc>
        <w:tc>
          <w:tcPr>
            <w:tcW w:w="1322"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43"/>
              <w:jc w:val="right"/>
              <w:rPr>
                <w:rFonts w:ascii="Arial" w:hAnsi="Arial" w:cs="Arial" w:eastAsia="Arial" w:hint="default"/>
                <w:sz w:val="18"/>
                <w:szCs w:val="18"/>
              </w:rPr>
            </w:pPr>
            <w:r>
              <w:rPr>
                <w:rFonts w:ascii="Arial"/>
                <w:w w:val="99"/>
                <w:sz w:val="18"/>
              </w:rPr>
              <w:t>-</w:t>
            </w:r>
            <w:r>
              <w:rPr>
                <w:rFonts w:ascii="Arial"/>
                <w:sz w:val="18"/>
              </w:rPr>
            </w:r>
          </w:p>
        </w:tc>
      </w:tr>
      <w:tr>
        <w:trPr>
          <w:trHeight w:val="467"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195" w:lineRule="exact"/>
              <w:ind w:left="210" w:right="0"/>
              <w:jc w:val="left"/>
              <w:rPr>
                <w:rFonts w:ascii="宋体" w:hAnsi="宋体" w:cs="宋体" w:eastAsia="宋体" w:hint="default"/>
                <w:sz w:val="18"/>
                <w:szCs w:val="18"/>
              </w:rPr>
            </w:pPr>
            <w:r>
              <w:rPr>
                <w:rFonts w:ascii="宋体" w:hAnsi="宋体" w:cs="宋体" w:eastAsia="宋体" w:hint="default"/>
                <w:sz w:val="18"/>
                <w:szCs w:val="18"/>
              </w:rPr>
              <w:t>重庆重邮信科股份有限公司</w:t>
            </w:r>
          </w:p>
          <w:p>
            <w:pPr>
              <w:pStyle w:val="TableParagraph"/>
              <w:spacing w:line="248" w:lineRule="exact"/>
              <w:ind w:left="406" w:right="0"/>
              <w:jc w:val="left"/>
              <w:rPr>
                <w:rFonts w:ascii="宋体" w:hAnsi="宋体" w:cs="宋体" w:eastAsia="宋体" w:hint="default"/>
                <w:sz w:val="18"/>
                <w:szCs w:val="18"/>
              </w:rPr>
            </w:pPr>
            <w:r>
              <w:rPr>
                <w:rFonts w:ascii="宋体" w:hAnsi="宋体" w:cs="宋体" w:eastAsia="宋体" w:hint="default"/>
                <w:sz w:val="18"/>
                <w:szCs w:val="18"/>
              </w:rPr>
              <w:t>（“重庆重邮信科”）（注</w:t>
            </w:r>
            <w:r>
              <w:rPr>
                <w:rFonts w:ascii="宋体" w:hAnsi="宋体" w:cs="宋体" w:eastAsia="宋体" w:hint="default"/>
                <w:spacing w:val="-47"/>
                <w:sz w:val="18"/>
                <w:szCs w:val="18"/>
              </w:rPr>
              <w:t> </w:t>
            </w:r>
            <w:r>
              <w:rPr>
                <w:rFonts w:ascii="Arial" w:hAnsi="Arial" w:cs="Arial" w:eastAsia="Arial" w:hint="default"/>
                <w:sz w:val="18"/>
                <w:szCs w:val="18"/>
              </w:rPr>
              <w:t>2</w:t>
            </w:r>
            <w:r>
              <w:rPr>
                <w:rFonts w:ascii="宋体" w:hAnsi="宋体" w:cs="宋体" w:eastAsia="宋体" w:hint="default"/>
                <w:sz w:val="18"/>
                <w:szCs w:val="18"/>
              </w:rPr>
              <w:t>）</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08"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0"/>
              <w:jc w:val="right"/>
              <w:rPr>
                <w:rFonts w:ascii="Arial" w:hAnsi="Arial" w:cs="Arial" w:eastAsia="Arial" w:hint="default"/>
                <w:sz w:val="18"/>
                <w:szCs w:val="18"/>
              </w:rPr>
            </w:pPr>
            <w:r>
              <w:rPr>
                <w:rFonts w:ascii="Arial"/>
                <w:spacing w:val="-1"/>
                <w:sz w:val="18"/>
              </w:rPr>
              <w:t>3,000,000</w:t>
            </w:r>
          </w:p>
        </w:tc>
        <w:tc>
          <w:tcPr>
            <w:tcW w:w="10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7"/>
              <w:jc w:val="right"/>
              <w:rPr>
                <w:rFonts w:ascii="Arial" w:hAnsi="Arial" w:cs="Arial" w:eastAsia="Arial" w:hint="default"/>
                <w:sz w:val="18"/>
                <w:szCs w:val="18"/>
              </w:rPr>
            </w:pPr>
            <w:r>
              <w:rPr>
                <w:rFonts w:ascii="Arial"/>
                <w:spacing w:val="-1"/>
                <w:sz w:val="18"/>
              </w:rPr>
              <w:t>3,000,000</w:t>
            </w:r>
          </w:p>
        </w:tc>
        <w:tc>
          <w:tcPr>
            <w:tcW w:w="108"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89"/>
              <w:jc w:val="right"/>
              <w:rPr>
                <w:rFonts w:ascii="Arial" w:hAnsi="Arial" w:cs="Arial" w:eastAsia="Arial" w:hint="default"/>
                <w:sz w:val="18"/>
                <w:szCs w:val="18"/>
              </w:rPr>
            </w:pPr>
            <w:r>
              <w:rPr>
                <w:rFonts w:ascii="Arial"/>
                <w:w w:val="99"/>
                <w:sz w:val="18"/>
              </w:rPr>
              <w:t>-</w:t>
            </w:r>
            <w:r>
              <w:rPr>
                <w:rFonts w:ascii="Arial"/>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9"/>
              <w:jc w:val="right"/>
              <w:rPr>
                <w:rFonts w:ascii="Arial" w:hAnsi="Arial" w:cs="Arial" w:eastAsia="Arial" w:hint="default"/>
                <w:sz w:val="18"/>
                <w:szCs w:val="18"/>
              </w:rPr>
            </w:pPr>
            <w:r>
              <w:rPr>
                <w:rFonts w:ascii="Arial"/>
                <w:spacing w:val="-1"/>
                <w:sz w:val="18"/>
              </w:rPr>
              <w:t>3,000,000</w:t>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6"/>
              <w:jc w:val="right"/>
              <w:rPr>
                <w:rFonts w:ascii="Arial" w:hAnsi="Arial" w:cs="Arial" w:eastAsia="Arial" w:hint="default"/>
                <w:sz w:val="18"/>
                <w:szCs w:val="18"/>
              </w:rPr>
            </w:pPr>
            <w:r>
              <w:rPr>
                <w:rFonts w:ascii="Arial"/>
                <w:spacing w:val="-1"/>
                <w:sz w:val="18"/>
              </w:rPr>
              <w:t>0.34</w:t>
            </w:r>
          </w:p>
        </w:tc>
        <w:tc>
          <w:tcPr>
            <w:tcW w:w="108"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6"/>
              <w:jc w:val="right"/>
              <w:rPr>
                <w:rFonts w:ascii="Arial" w:hAnsi="Arial" w:cs="Arial" w:eastAsia="Arial" w:hint="default"/>
                <w:sz w:val="18"/>
                <w:szCs w:val="18"/>
              </w:rPr>
            </w:pPr>
            <w:r>
              <w:rPr>
                <w:rFonts w:ascii="Arial"/>
                <w:spacing w:val="-1"/>
                <w:sz w:val="18"/>
              </w:rPr>
              <w:t>0.34</w:t>
            </w:r>
          </w:p>
        </w:tc>
        <w:tc>
          <w:tcPr>
            <w:tcW w:w="112"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不适用</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89"/>
              <w:jc w:val="right"/>
              <w:rPr>
                <w:rFonts w:ascii="Arial" w:hAnsi="Arial" w:cs="Arial" w:eastAsia="Arial" w:hint="default"/>
                <w:sz w:val="18"/>
                <w:szCs w:val="18"/>
              </w:rPr>
            </w:pPr>
            <w:r>
              <w:rPr>
                <w:rFonts w:ascii="Arial"/>
                <w:w w:val="99"/>
                <w:sz w:val="18"/>
              </w:rPr>
              <w:t>-</w:t>
            </w:r>
            <w:r>
              <w:rPr>
                <w:rFonts w:ascii="Arial"/>
                <w:sz w:val="18"/>
              </w:rPr>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7"/>
              <w:jc w:val="right"/>
              <w:rPr>
                <w:rFonts w:ascii="Arial" w:hAnsi="Arial" w:cs="Arial" w:eastAsia="Arial" w:hint="default"/>
                <w:sz w:val="18"/>
                <w:szCs w:val="18"/>
              </w:rPr>
            </w:pPr>
            <w:r>
              <w:rPr>
                <w:rFonts w:ascii="Arial"/>
                <w:w w:val="99"/>
                <w:sz w:val="18"/>
              </w:rPr>
              <w:t>-</w:t>
            </w:r>
            <w:r>
              <w:rPr>
                <w:rFonts w:ascii="Arial"/>
                <w:sz w:val="18"/>
              </w:rPr>
            </w:r>
          </w:p>
        </w:tc>
        <w:tc>
          <w:tcPr>
            <w:tcW w:w="108"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3"/>
              <w:jc w:val="right"/>
              <w:rPr>
                <w:rFonts w:ascii="Arial" w:hAnsi="Arial" w:cs="Arial" w:eastAsia="Arial" w:hint="default"/>
                <w:sz w:val="18"/>
                <w:szCs w:val="18"/>
              </w:rPr>
            </w:pPr>
            <w:r>
              <w:rPr>
                <w:rFonts w:ascii="Arial"/>
                <w:w w:val="99"/>
                <w:sz w:val="18"/>
              </w:rPr>
              <w:t>-</w:t>
            </w:r>
            <w:r>
              <w:rPr>
                <w:rFonts w:ascii="Arial"/>
                <w:sz w:val="18"/>
              </w:rPr>
            </w:r>
          </w:p>
        </w:tc>
      </w:tr>
      <w:tr>
        <w:trPr>
          <w:trHeight w:val="578"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195" w:lineRule="exact"/>
              <w:ind w:left="179" w:right="0"/>
              <w:jc w:val="center"/>
              <w:rPr>
                <w:rFonts w:ascii="宋体" w:hAnsi="宋体" w:cs="宋体" w:eastAsia="宋体" w:hint="default"/>
                <w:sz w:val="18"/>
                <w:szCs w:val="18"/>
              </w:rPr>
            </w:pPr>
            <w:r>
              <w:rPr>
                <w:rFonts w:ascii="宋体" w:hAnsi="宋体" w:cs="宋体" w:eastAsia="宋体" w:hint="default"/>
                <w:sz w:val="18"/>
                <w:szCs w:val="18"/>
              </w:rPr>
              <w:t>自贡盐都一卡通信息化有限责任公司</w:t>
            </w:r>
          </w:p>
          <w:p>
            <w:pPr>
              <w:pStyle w:val="TableParagraph"/>
              <w:spacing w:line="248" w:lineRule="exact"/>
              <w:ind w:left="315" w:right="0"/>
              <w:jc w:val="center"/>
              <w:rPr>
                <w:rFonts w:ascii="宋体" w:hAnsi="宋体" w:cs="宋体" w:eastAsia="宋体" w:hint="default"/>
                <w:sz w:val="18"/>
                <w:szCs w:val="18"/>
              </w:rPr>
            </w:pPr>
            <w:r>
              <w:rPr>
                <w:rFonts w:ascii="宋体" w:hAnsi="宋体" w:cs="宋体" w:eastAsia="宋体" w:hint="default"/>
                <w:sz w:val="18"/>
                <w:szCs w:val="18"/>
              </w:rPr>
              <w:t>（“自贡一卡通公司”）（注</w:t>
            </w:r>
            <w:r>
              <w:rPr>
                <w:rFonts w:ascii="宋体" w:hAnsi="宋体" w:cs="宋体" w:eastAsia="宋体" w:hint="default"/>
                <w:spacing w:val="-48"/>
                <w:sz w:val="18"/>
                <w:szCs w:val="18"/>
              </w:rPr>
              <w:t> </w:t>
            </w:r>
            <w:r>
              <w:rPr>
                <w:rFonts w:ascii="Arial" w:hAnsi="Arial" w:cs="Arial" w:eastAsia="Arial" w:hint="default"/>
                <w:sz w:val="18"/>
                <w:szCs w:val="18"/>
              </w:rPr>
              <w:t>2</w:t>
            </w:r>
            <w:r>
              <w:rPr>
                <w:rFonts w:ascii="宋体" w:hAnsi="宋体" w:cs="宋体" w:eastAsia="宋体" w:hint="default"/>
                <w:sz w:val="18"/>
                <w:szCs w:val="18"/>
              </w:rPr>
              <w:t>）</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08"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0"/>
              <w:jc w:val="right"/>
              <w:rPr>
                <w:rFonts w:ascii="Arial" w:hAnsi="Arial" w:cs="Arial" w:eastAsia="Arial" w:hint="default"/>
                <w:sz w:val="18"/>
                <w:szCs w:val="18"/>
              </w:rPr>
            </w:pPr>
            <w:r>
              <w:rPr>
                <w:rFonts w:ascii="Arial"/>
                <w:spacing w:val="-1"/>
                <w:sz w:val="18"/>
              </w:rPr>
              <w:t>1,000,000</w:t>
            </w:r>
          </w:p>
        </w:tc>
        <w:tc>
          <w:tcPr>
            <w:tcW w:w="10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359" w:val="left" w:leader="none"/>
                <w:tab w:pos="1259" w:val="left" w:leader="none"/>
              </w:tabs>
              <w:spacing w:line="240" w:lineRule="auto"/>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1,000,000</w:t>
              <w:tab/>
            </w:r>
            <w:r>
              <w:rPr>
                <w:rFonts w:ascii="Arial"/>
                <w:spacing w:val="-1"/>
                <w:sz w:val="18"/>
              </w:rPr>
            </w:r>
          </w:p>
        </w:tc>
        <w:tc>
          <w:tcPr>
            <w:tcW w:w="108"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812" w:val="left" w:leader="none"/>
              </w:tabs>
              <w:spacing w:line="240" w:lineRule="auto"/>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279" w:val="left" w:leader="none"/>
                <w:tab w:pos="1161" w:val="left" w:leader="none"/>
              </w:tabs>
              <w:spacing w:line="240" w:lineRule="auto"/>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1,000,000</w:t>
              <w:tab/>
            </w:r>
            <w:r>
              <w:rPr>
                <w:rFonts w:ascii="Arial"/>
                <w:spacing w:val="-1"/>
                <w:sz w:val="18"/>
              </w:rPr>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6"/>
              <w:jc w:val="right"/>
              <w:rPr>
                <w:rFonts w:ascii="Arial" w:hAnsi="Arial" w:cs="Arial" w:eastAsia="Arial" w:hint="default"/>
                <w:sz w:val="18"/>
                <w:szCs w:val="18"/>
              </w:rPr>
            </w:pPr>
            <w:r>
              <w:rPr>
                <w:rFonts w:ascii="Arial"/>
                <w:spacing w:val="-1"/>
                <w:sz w:val="18"/>
              </w:rPr>
              <w:t>5.00</w:t>
            </w:r>
          </w:p>
        </w:tc>
        <w:tc>
          <w:tcPr>
            <w:tcW w:w="108"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6"/>
              <w:jc w:val="right"/>
              <w:rPr>
                <w:rFonts w:ascii="Arial" w:hAnsi="Arial" w:cs="Arial" w:eastAsia="Arial" w:hint="default"/>
                <w:sz w:val="18"/>
                <w:szCs w:val="18"/>
              </w:rPr>
            </w:pPr>
            <w:r>
              <w:rPr>
                <w:rFonts w:ascii="Arial"/>
                <w:spacing w:val="-1"/>
                <w:sz w:val="18"/>
              </w:rPr>
              <w:t>5.00</w:t>
            </w:r>
          </w:p>
        </w:tc>
        <w:tc>
          <w:tcPr>
            <w:tcW w:w="112"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不适用</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650" w:val="left" w:leader="none"/>
                <w:tab w:pos="801" w:val="left" w:leader="none"/>
              </w:tabs>
              <w:spacing w:line="240" w:lineRule="auto"/>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686" w:val="left" w:leader="none"/>
                <w:tab w:pos="855" w:val="left" w:leader="none"/>
              </w:tabs>
              <w:spacing w:line="240" w:lineRule="auto"/>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08"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1117" w:val="left" w:leader="none"/>
                <w:tab w:pos="1322" w:val="left" w:leader="none"/>
              </w:tabs>
              <w:spacing w:line="240" w:lineRule="auto"/>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r>
      <w:tr>
        <w:trPr>
          <w:trHeight w:val="358"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0"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17" w:space="0" w:color="000000"/>
              <w:right w:val="nil" w:sz="6" w:space="0" w:color="auto"/>
            </w:tcBorders>
          </w:tcPr>
          <w:p>
            <w:pPr>
              <w:pStyle w:val="TableParagraph"/>
              <w:spacing w:line="240" w:lineRule="auto" w:before="126"/>
              <w:ind w:left="259" w:right="0"/>
              <w:jc w:val="left"/>
              <w:rPr>
                <w:rFonts w:ascii="Arial" w:hAnsi="Arial" w:cs="Arial" w:eastAsia="Arial" w:hint="default"/>
                <w:sz w:val="18"/>
                <w:szCs w:val="18"/>
              </w:rPr>
            </w:pPr>
            <w:r>
              <w:rPr>
                <w:rFonts w:ascii="Arial"/>
                <w:sz w:val="18"/>
              </w:rPr>
              <w:t>23,730,271</w:t>
            </w:r>
          </w:p>
        </w:tc>
        <w:tc>
          <w:tcPr>
            <w:tcW w:w="108"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single" w:sz="17" w:space="0" w:color="000000"/>
              <w:right w:val="nil" w:sz="6" w:space="0" w:color="auto"/>
            </w:tcBorders>
          </w:tcPr>
          <w:p>
            <w:pPr>
              <w:pStyle w:val="TableParagraph"/>
              <w:spacing w:line="240" w:lineRule="auto" w:before="126"/>
              <w:ind w:right="89"/>
              <w:jc w:val="right"/>
              <w:rPr>
                <w:rFonts w:ascii="Arial" w:hAnsi="Arial" w:cs="Arial" w:eastAsia="Arial" w:hint="default"/>
                <w:sz w:val="18"/>
                <w:szCs w:val="18"/>
              </w:rPr>
            </w:pPr>
            <w:r>
              <w:rPr>
                <w:rFonts w:ascii="Arial"/>
                <w:w w:val="99"/>
                <w:sz w:val="18"/>
              </w:rPr>
              <w:t>-</w:t>
            </w:r>
            <w:r>
              <w:rPr>
                <w:rFonts w:ascii="Arial"/>
                <w:sz w:val="18"/>
              </w:rPr>
            </w:r>
          </w:p>
        </w:tc>
        <w:tc>
          <w:tcPr>
            <w:tcW w:w="1260" w:type="dxa"/>
            <w:tcBorders>
              <w:top w:val="nil" w:sz="6" w:space="0" w:color="auto"/>
              <w:left w:val="nil" w:sz="6" w:space="0" w:color="auto"/>
              <w:bottom w:val="single" w:sz="17" w:space="0" w:color="000000"/>
              <w:right w:val="nil" w:sz="6" w:space="0" w:color="auto"/>
            </w:tcBorders>
          </w:tcPr>
          <w:p>
            <w:pPr>
              <w:pStyle w:val="TableParagraph"/>
              <w:spacing w:line="240" w:lineRule="auto" w:before="126"/>
              <w:ind w:left="277" w:right="0"/>
              <w:jc w:val="left"/>
              <w:rPr>
                <w:rFonts w:ascii="Arial" w:hAnsi="Arial" w:cs="Arial" w:eastAsia="Arial" w:hint="default"/>
                <w:sz w:val="18"/>
                <w:szCs w:val="18"/>
              </w:rPr>
            </w:pPr>
            <w:r>
              <w:rPr>
                <w:rFonts w:ascii="Arial"/>
                <w:sz w:val="18"/>
              </w:rPr>
              <w:t>23,730,271</w:t>
            </w:r>
          </w:p>
        </w:tc>
        <w:tc>
          <w:tcPr>
            <w:tcW w:w="818"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single" w:sz="17" w:space="0" w:color="000000"/>
              <w:right w:val="nil" w:sz="6" w:space="0" w:color="auto"/>
            </w:tcBorders>
          </w:tcPr>
          <w:p>
            <w:pPr>
              <w:pStyle w:val="TableParagraph"/>
              <w:spacing w:line="240" w:lineRule="auto" w:before="126"/>
              <w:ind w:right="89"/>
              <w:jc w:val="right"/>
              <w:rPr>
                <w:rFonts w:ascii="Arial" w:hAnsi="Arial" w:cs="Arial" w:eastAsia="Arial" w:hint="default"/>
                <w:sz w:val="18"/>
                <w:szCs w:val="18"/>
              </w:rPr>
            </w:pPr>
            <w:r>
              <w:rPr>
                <w:rFonts w:ascii="Arial"/>
                <w:w w:val="99"/>
                <w:sz w:val="18"/>
              </w:rPr>
              <w:t>-</w:t>
            </w:r>
            <w:r>
              <w:rPr>
                <w:rFonts w:ascii="Arial"/>
                <w:sz w:val="18"/>
              </w:rPr>
            </w:r>
          </w:p>
        </w:tc>
        <w:tc>
          <w:tcPr>
            <w:tcW w:w="954" w:type="dxa"/>
            <w:tcBorders>
              <w:top w:val="nil" w:sz="6" w:space="0" w:color="auto"/>
              <w:left w:val="nil" w:sz="6" w:space="0" w:color="auto"/>
              <w:bottom w:val="single" w:sz="17" w:space="0" w:color="000000"/>
              <w:right w:val="nil" w:sz="6" w:space="0" w:color="auto"/>
            </w:tcBorders>
          </w:tcPr>
          <w:p>
            <w:pPr>
              <w:pStyle w:val="TableParagraph"/>
              <w:spacing w:line="240" w:lineRule="auto" w:before="126"/>
              <w:ind w:right="107"/>
              <w:jc w:val="right"/>
              <w:rPr>
                <w:rFonts w:ascii="Arial" w:hAnsi="Arial" w:cs="Arial" w:eastAsia="Arial" w:hint="default"/>
                <w:sz w:val="18"/>
                <w:szCs w:val="18"/>
              </w:rPr>
            </w:pPr>
            <w:r>
              <w:rPr>
                <w:rFonts w:ascii="Arial"/>
                <w:w w:val="99"/>
                <w:sz w:val="18"/>
              </w:rPr>
              <w:t>-</w:t>
            </w:r>
            <w:r>
              <w:rPr>
                <w:rFonts w:ascii="Arial"/>
                <w:sz w:val="18"/>
              </w:rPr>
            </w:r>
          </w:p>
        </w:tc>
        <w:tc>
          <w:tcPr>
            <w:tcW w:w="108"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single" w:sz="17" w:space="0" w:color="000000"/>
              <w:right w:val="nil" w:sz="6" w:space="0" w:color="auto"/>
            </w:tcBorders>
          </w:tcPr>
          <w:p>
            <w:pPr>
              <w:pStyle w:val="TableParagraph"/>
              <w:spacing w:line="240" w:lineRule="auto" w:before="126"/>
              <w:ind w:right="143"/>
              <w:jc w:val="right"/>
              <w:rPr>
                <w:rFonts w:ascii="Arial" w:hAnsi="Arial" w:cs="Arial" w:eastAsia="Arial" w:hint="default"/>
                <w:sz w:val="18"/>
                <w:szCs w:val="18"/>
              </w:rPr>
            </w:pPr>
            <w:r>
              <w:rPr>
                <w:rFonts w:ascii="Arial"/>
                <w:w w:val="99"/>
                <w:sz w:val="18"/>
              </w:rPr>
              <w:t>-</w:t>
            </w:r>
            <w:r>
              <w:rPr>
                <w:rFonts w:ascii="Arial"/>
                <w:sz w:val="18"/>
              </w:rPr>
            </w:r>
          </w:p>
        </w:tc>
      </w:tr>
    </w:tbl>
    <w:p>
      <w:pPr>
        <w:spacing w:line="240" w:lineRule="auto" w:before="2"/>
        <w:rPr>
          <w:rFonts w:ascii="宋体" w:hAnsi="宋体" w:cs="宋体" w:eastAsia="宋体" w:hint="default"/>
          <w:sz w:val="14"/>
          <w:szCs w:val="14"/>
        </w:rPr>
      </w:pPr>
    </w:p>
    <w:p>
      <w:pPr>
        <w:pStyle w:val="BodyText"/>
        <w:spacing w:line="286" w:lineRule="exact" w:before="60"/>
        <w:ind w:left="1143" w:right="0" w:hanging="574"/>
        <w:jc w:val="left"/>
      </w:pPr>
      <w:r>
        <w:rPr>
          <w:w w:val="95"/>
        </w:rPr>
        <w:t>注 </w:t>
      </w:r>
      <w:r>
        <w:rPr>
          <w:rFonts w:ascii="Arial" w:hAnsi="Arial" w:cs="Arial" w:eastAsia="Arial" w:hint="default"/>
          <w:w w:val="95"/>
        </w:rPr>
        <w:t>1</w:t>
      </w:r>
      <w:r>
        <w:rPr>
          <w:w w:val="95"/>
        </w:rPr>
        <w:t>：上述持股比例及表决权比例指本公司所属子公司中讯设计院直接持有广东发展银行和重庆重邮信科股份以及本公司所属子公司联通运营公司直接持</w:t>
      </w:r>
      <w:r>
        <w:rPr>
          <w:spacing w:val="77"/>
          <w:w w:val="95"/>
        </w:rPr>
        <w:t> </w:t>
      </w:r>
      <w:r>
        <w:rPr>
          <w:spacing w:val="77"/>
          <w:w w:val="95"/>
        </w:rPr>
      </w:r>
      <w:r>
        <w:rPr/>
        <w:t>有自贡一卡通公司股份的比例。</w:t>
      </w:r>
    </w:p>
    <w:p>
      <w:pPr>
        <w:spacing w:line="240" w:lineRule="auto" w:before="2"/>
        <w:rPr>
          <w:rFonts w:ascii="宋体" w:hAnsi="宋体" w:cs="宋体" w:eastAsia="宋体" w:hint="default"/>
          <w:sz w:val="17"/>
          <w:szCs w:val="17"/>
        </w:rPr>
      </w:pPr>
    </w:p>
    <w:p>
      <w:pPr>
        <w:pStyle w:val="BodyText"/>
        <w:spacing w:line="294" w:lineRule="exact"/>
        <w:ind w:left="560" w:right="0"/>
        <w:jc w:val="left"/>
        <w:rPr>
          <w:rFonts w:ascii="Arial" w:hAnsi="Arial" w:cs="Arial" w:eastAsia="Arial" w:hint="default"/>
        </w:rPr>
      </w:pPr>
      <w:r>
        <w:rPr/>
        <w:t>注</w:t>
      </w:r>
      <w:r>
        <w:rPr>
          <w:spacing w:val="-57"/>
        </w:rPr>
        <w:t> </w:t>
      </w:r>
      <w:r>
        <w:rPr>
          <w:rFonts w:ascii="Arial" w:hAnsi="Arial" w:cs="Arial" w:eastAsia="Arial" w:hint="default"/>
        </w:rPr>
        <w:t>2</w:t>
      </w:r>
      <w:r>
        <w:rPr/>
        <w:t>：于</w:t>
      </w:r>
      <w:r>
        <w:rPr>
          <w:spacing w:val="-57"/>
        </w:rPr>
        <w:t> </w:t>
      </w:r>
      <w:r>
        <w:rPr>
          <w:rFonts w:ascii="Arial" w:hAnsi="Arial" w:cs="Arial" w:eastAsia="Arial" w:hint="default"/>
        </w:rPr>
        <w:t>2012</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8"/>
        </w:rPr>
        <w:t> </w:t>
      </w:r>
      <w:r>
        <w:rPr>
          <w:rFonts w:ascii="Arial" w:hAnsi="Arial" w:cs="Arial" w:eastAsia="Arial" w:hint="default"/>
        </w:rPr>
        <w:t>31</w:t>
      </w:r>
      <w:r>
        <w:rPr>
          <w:rFonts w:ascii="Arial" w:hAnsi="Arial" w:cs="Arial" w:eastAsia="Arial" w:hint="default"/>
          <w:spacing w:val="-8"/>
        </w:rPr>
        <w:t> </w:t>
      </w:r>
      <w:r>
        <w:rPr/>
        <w:t>日，因本集团对被投资单位广东发展银行、重庆重邮信科以及自贡一卡通公司均不具有控制、共同控制或重大影响，且对这</w:t>
      </w:r>
      <w:r>
        <w:rPr>
          <w:spacing w:val="-55"/>
        </w:rPr>
        <w:t> </w:t>
      </w:r>
      <w:r>
        <w:rPr>
          <w:rFonts w:ascii="Arial" w:hAnsi="Arial" w:cs="Arial" w:eastAsia="Arial" w:hint="default"/>
        </w:rPr>
        <w:t>3</w:t>
      </w:r>
    </w:p>
    <w:p>
      <w:pPr>
        <w:pStyle w:val="BodyText"/>
        <w:spacing w:line="294" w:lineRule="exact"/>
        <w:ind w:left="1179" w:right="0"/>
        <w:jc w:val="left"/>
      </w:pPr>
      <w:r>
        <w:rPr/>
        <w:t>家被投资单位的长期股权投资不存在活跃市场报价、其公允价值也不能可靠计量，故本集团采用成本法核算对</w:t>
      </w:r>
      <w:r>
        <w:rPr>
          <w:spacing w:val="-63"/>
        </w:rPr>
        <w:t> </w:t>
      </w:r>
      <w:r>
        <w:rPr>
          <w:rFonts w:ascii="Arial" w:hAnsi="Arial" w:cs="Arial" w:eastAsia="Arial" w:hint="default"/>
        </w:rPr>
        <w:t>3</w:t>
      </w:r>
      <w:r>
        <w:rPr>
          <w:rFonts w:ascii="Arial" w:hAnsi="Arial" w:cs="Arial" w:eastAsia="Arial" w:hint="default"/>
          <w:spacing w:val="-18"/>
        </w:rPr>
        <w:t> </w:t>
      </w:r>
      <w:r>
        <w:rPr/>
        <w:t>家被投资单位的长期股权投资。</w:t>
      </w:r>
    </w:p>
    <w:p>
      <w:pPr>
        <w:spacing w:after="0" w:line="294" w:lineRule="exact"/>
        <w:jc w:val="left"/>
        <w:sectPr>
          <w:pgSz w:w="16840" w:h="11910" w:orient="landscape"/>
          <w:pgMar w:header="1189" w:footer="458" w:top="3040" w:bottom="640" w:left="460" w:right="940"/>
        </w:sectPr>
      </w:pPr>
    </w:p>
    <w:p>
      <w:pPr>
        <w:spacing w:line="240" w:lineRule="auto" w:before="9"/>
        <w:rPr>
          <w:rFonts w:ascii="宋体" w:hAnsi="宋体" w:cs="宋体" w:eastAsia="宋体" w:hint="default"/>
          <w:sz w:val="16"/>
          <w:szCs w:val="16"/>
        </w:rPr>
      </w:pPr>
    </w:p>
    <w:p>
      <w:pPr>
        <w:pStyle w:val="BodyText"/>
        <w:spacing w:line="240" w:lineRule="auto" w:before="31"/>
        <w:ind w:left="102" w:right="0"/>
        <w:jc w:val="left"/>
      </w:pPr>
      <w:r>
        <w:rPr>
          <w:rFonts w:ascii="Arial" w:hAnsi="Arial" w:cs="Arial" w:eastAsia="Arial" w:hint="default"/>
        </w:rPr>
        <w:t>10</w:t>
      </w:r>
      <w:r>
        <w:rPr/>
        <w:t>、固定资产</w:t>
      </w:r>
    </w:p>
    <w:p>
      <w:pPr>
        <w:spacing w:line="240" w:lineRule="auto" w:before="8"/>
        <w:rPr>
          <w:rFonts w:ascii="宋体" w:hAnsi="宋体" w:cs="宋体" w:eastAsia="宋体" w:hint="default"/>
          <w:sz w:val="22"/>
          <w:szCs w:val="22"/>
        </w:rPr>
      </w:pPr>
    </w:p>
    <w:tbl>
      <w:tblPr>
        <w:tblW w:w="0" w:type="auto"/>
        <w:jc w:val="left"/>
        <w:tblInd w:w="290" w:type="dxa"/>
        <w:tblLayout w:type="fixed"/>
        <w:tblCellMar>
          <w:top w:w="0" w:type="dxa"/>
          <w:left w:w="0" w:type="dxa"/>
          <w:bottom w:w="0" w:type="dxa"/>
          <w:right w:w="0" w:type="dxa"/>
        </w:tblCellMar>
        <w:tblLook w:val="01E0"/>
      </w:tblPr>
      <w:tblGrid>
        <w:gridCol w:w="1667"/>
        <w:gridCol w:w="1746"/>
        <w:gridCol w:w="1613"/>
        <w:gridCol w:w="1466"/>
        <w:gridCol w:w="1476"/>
        <w:gridCol w:w="1666"/>
      </w:tblGrid>
      <w:tr>
        <w:trPr>
          <w:trHeight w:val="644" w:hRule="exact"/>
        </w:trPr>
        <w:tc>
          <w:tcPr>
            <w:tcW w:w="1667"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27" w:lineRule="exact"/>
              <w:ind w:left="1083" w:right="0"/>
              <w:jc w:val="left"/>
              <w:rPr>
                <w:rFonts w:ascii="宋体" w:hAnsi="宋体" w:cs="宋体" w:eastAsia="宋体" w:hint="default"/>
                <w:sz w:val="17"/>
                <w:szCs w:val="17"/>
              </w:rPr>
            </w:pPr>
            <w:r>
              <w:rPr>
                <w:rFonts w:ascii="Arial" w:hAnsi="Arial" w:cs="Arial" w:eastAsia="Arial" w:hint="default"/>
                <w:sz w:val="17"/>
                <w:szCs w:val="17"/>
              </w:rPr>
              <w:t>2011</w:t>
            </w:r>
            <w:r>
              <w:rPr>
                <w:rFonts w:ascii="Arial" w:hAnsi="Arial" w:cs="Arial" w:eastAsia="Arial" w:hint="default"/>
                <w:spacing w:val="-5"/>
                <w:sz w:val="17"/>
                <w:szCs w:val="17"/>
              </w:rPr>
              <w:t> </w:t>
            </w:r>
            <w:r>
              <w:rPr>
                <w:rFonts w:ascii="宋体" w:hAnsi="宋体" w:cs="宋体" w:eastAsia="宋体" w:hint="default"/>
                <w:sz w:val="17"/>
                <w:szCs w:val="17"/>
              </w:rPr>
              <w:t>年</w:t>
            </w:r>
          </w:p>
          <w:p>
            <w:pPr>
              <w:pStyle w:val="TableParagraph"/>
              <w:spacing w:line="227" w:lineRule="exact"/>
              <w:ind w:left="828" w:right="0"/>
              <w:jc w:val="left"/>
              <w:rPr>
                <w:rFonts w:ascii="宋体" w:hAnsi="宋体" w:cs="宋体" w:eastAsia="宋体" w:hint="default"/>
                <w:sz w:val="17"/>
                <w:szCs w:val="17"/>
              </w:rPr>
            </w:pPr>
            <w:r>
              <w:rPr>
                <w:rFonts w:ascii="Arial" w:hAnsi="Arial" w:cs="Arial" w:eastAsia="Arial" w:hint="default"/>
                <w:sz w:val="17"/>
                <w:szCs w:val="17"/>
              </w:rPr>
              <w:t>12</w:t>
            </w:r>
            <w:r>
              <w:rPr>
                <w:rFonts w:ascii="Arial" w:hAnsi="Arial" w:cs="Arial" w:eastAsia="Arial" w:hint="default"/>
                <w:spacing w:val="-6"/>
                <w:sz w:val="17"/>
                <w:szCs w:val="17"/>
              </w:rPr>
              <w:t> </w:t>
            </w:r>
            <w:r>
              <w:rPr>
                <w:rFonts w:ascii="宋体" w:hAnsi="宋体" w:cs="宋体" w:eastAsia="宋体" w:hint="default"/>
                <w:sz w:val="17"/>
                <w:szCs w:val="17"/>
              </w:rPr>
              <w:t>月</w:t>
            </w:r>
            <w:r>
              <w:rPr>
                <w:rFonts w:ascii="宋体" w:hAnsi="宋体" w:cs="宋体" w:eastAsia="宋体" w:hint="default"/>
                <w:spacing w:val="-43"/>
                <w:sz w:val="17"/>
                <w:szCs w:val="17"/>
              </w:rPr>
              <w:t> </w:t>
            </w:r>
            <w:r>
              <w:rPr>
                <w:rFonts w:ascii="Arial" w:hAnsi="Arial" w:cs="Arial" w:eastAsia="Arial" w:hint="default"/>
                <w:sz w:val="17"/>
                <w:szCs w:val="17"/>
              </w:rPr>
              <w:t>31</w:t>
            </w:r>
            <w:r>
              <w:rPr>
                <w:rFonts w:ascii="Arial" w:hAnsi="Arial" w:cs="Arial" w:eastAsia="Arial" w:hint="default"/>
                <w:spacing w:val="-6"/>
                <w:sz w:val="17"/>
                <w:szCs w:val="17"/>
              </w:rPr>
              <w:t> </w:t>
            </w:r>
            <w:r>
              <w:rPr>
                <w:rFonts w:ascii="宋体" w:hAnsi="宋体" w:cs="宋体" w:eastAsia="宋体" w:hint="default"/>
                <w:sz w:val="17"/>
                <w:szCs w:val="17"/>
              </w:rPr>
              <w:t>日</w:t>
            </w:r>
          </w:p>
        </w:tc>
        <w:tc>
          <w:tcPr>
            <w:tcW w:w="1613" w:type="dxa"/>
            <w:tcBorders>
              <w:top w:val="nil" w:sz="6" w:space="0" w:color="auto"/>
              <w:left w:val="nil" w:sz="6" w:space="0" w:color="auto"/>
              <w:bottom w:val="single" w:sz="6" w:space="0" w:color="000000"/>
              <w:right w:val="nil" w:sz="6" w:space="0" w:color="auto"/>
            </w:tcBorders>
          </w:tcPr>
          <w:p>
            <w:pPr>
              <w:pStyle w:val="TableParagraph"/>
              <w:spacing w:line="170" w:lineRule="exact"/>
              <w:ind w:left="70" w:right="0"/>
              <w:jc w:val="center"/>
              <w:rPr>
                <w:rFonts w:ascii="宋体" w:hAnsi="宋体" w:cs="宋体" w:eastAsia="宋体" w:hint="default"/>
                <w:sz w:val="17"/>
                <w:szCs w:val="17"/>
              </w:rPr>
            </w:pPr>
            <w:r>
              <w:rPr>
                <w:rFonts w:ascii="宋体" w:hAnsi="宋体" w:cs="宋体" w:eastAsia="宋体" w:hint="default"/>
                <w:sz w:val="17"/>
                <w:szCs w:val="17"/>
              </w:rPr>
              <w:t>联通新时空</w:t>
            </w:r>
          </w:p>
          <w:p>
            <w:pPr>
              <w:pStyle w:val="TableParagraph"/>
              <w:spacing w:line="220" w:lineRule="exact"/>
              <w:ind w:left="70" w:right="0"/>
              <w:jc w:val="center"/>
              <w:rPr>
                <w:rFonts w:ascii="宋体" w:hAnsi="宋体" w:cs="宋体" w:eastAsia="宋体" w:hint="default"/>
                <w:sz w:val="17"/>
                <w:szCs w:val="17"/>
              </w:rPr>
            </w:pPr>
            <w:r>
              <w:rPr>
                <w:rFonts w:ascii="宋体" w:hAnsi="宋体" w:cs="宋体" w:eastAsia="宋体" w:hint="default"/>
                <w:sz w:val="17"/>
                <w:szCs w:val="17"/>
              </w:rPr>
              <w:t>资产收购转入</w:t>
            </w:r>
          </w:p>
          <w:p>
            <w:pPr>
              <w:pStyle w:val="TableParagraph"/>
              <w:spacing w:line="233" w:lineRule="exact"/>
              <w:ind w:left="32" w:right="0"/>
              <w:jc w:val="center"/>
              <w:rPr>
                <w:rFonts w:ascii="宋体" w:hAnsi="宋体" w:cs="宋体" w:eastAsia="宋体" w:hint="default"/>
                <w:sz w:val="17"/>
                <w:szCs w:val="17"/>
              </w:rPr>
            </w:pPr>
            <w:r>
              <w:rPr>
                <w:rFonts w:ascii="宋体" w:hAnsi="宋体" w:cs="宋体" w:eastAsia="宋体" w:hint="default"/>
                <w:sz w:val="17"/>
                <w:szCs w:val="17"/>
              </w:rPr>
              <w:t>（附注二</w:t>
            </w:r>
            <w:r>
              <w:rPr>
                <w:rFonts w:ascii="Arial" w:hAnsi="Arial" w:cs="Arial" w:eastAsia="Arial" w:hint="default"/>
                <w:sz w:val="17"/>
                <w:szCs w:val="17"/>
              </w:rPr>
              <w:t>(1)(a)</w:t>
            </w:r>
            <w:r>
              <w:rPr>
                <w:rFonts w:ascii="宋体" w:hAnsi="宋体" w:cs="宋体" w:eastAsia="宋体" w:hint="default"/>
                <w:sz w:val="17"/>
                <w:szCs w:val="17"/>
              </w:rPr>
              <w:t>）</w:t>
            </w:r>
          </w:p>
        </w:tc>
        <w:tc>
          <w:tcPr>
            <w:tcW w:w="1466"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654" w:right="0"/>
              <w:jc w:val="left"/>
              <w:rPr>
                <w:rFonts w:ascii="宋体" w:hAnsi="宋体" w:cs="宋体" w:eastAsia="宋体" w:hint="default"/>
                <w:sz w:val="17"/>
                <w:szCs w:val="17"/>
              </w:rPr>
            </w:pPr>
            <w:r>
              <w:rPr>
                <w:rFonts w:ascii="宋体" w:hAnsi="宋体" w:cs="宋体" w:eastAsia="宋体" w:hint="default"/>
                <w:sz w:val="17"/>
                <w:szCs w:val="17"/>
              </w:rPr>
              <w:t>本年增加</w:t>
            </w:r>
          </w:p>
        </w:tc>
        <w:tc>
          <w:tcPr>
            <w:tcW w:w="1476"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68"/>
              <w:jc w:val="right"/>
              <w:rPr>
                <w:rFonts w:ascii="宋体" w:hAnsi="宋体" w:cs="宋体" w:eastAsia="宋体" w:hint="default"/>
                <w:sz w:val="17"/>
                <w:szCs w:val="17"/>
              </w:rPr>
            </w:pPr>
            <w:r>
              <w:rPr>
                <w:rFonts w:ascii="宋体" w:hAnsi="宋体" w:cs="宋体" w:eastAsia="宋体" w:hint="default"/>
                <w:sz w:val="17"/>
                <w:szCs w:val="17"/>
              </w:rPr>
              <w:t>本年减少</w:t>
            </w:r>
          </w:p>
        </w:tc>
        <w:tc>
          <w:tcPr>
            <w:tcW w:w="1666" w:type="dxa"/>
            <w:tcBorders>
              <w:top w:val="nil" w:sz="6" w:space="0" w:color="auto"/>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27" w:lineRule="exact"/>
              <w:ind w:left="991" w:right="0"/>
              <w:jc w:val="left"/>
              <w:rPr>
                <w:rFonts w:ascii="宋体" w:hAnsi="宋体" w:cs="宋体" w:eastAsia="宋体" w:hint="default"/>
                <w:sz w:val="17"/>
                <w:szCs w:val="17"/>
              </w:rPr>
            </w:pPr>
            <w:r>
              <w:rPr>
                <w:rFonts w:ascii="Arial" w:hAnsi="Arial" w:cs="Arial" w:eastAsia="Arial" w:hint="default"/>
                <w:sz w:val="17"/>
                <w:szCs w:val="17"/>
              </w:rPr>
              <w:t>2012</w:t>
            </w:r>
            <w:r>
              <w:rPr>
                <w:rFonts w:ascii="Arial" w:hAnsi="Arial" w:cs="Arial" w:eastAsia="Arial" w:hint="default"/>
                <w:spacing w:val="-5"/>
                <w:sz w:val="17"/>
                <w:szCs w:val="17"/>
              </w:rPr>
              <w:t> </w:t>
            </w:r>
            <w:r>
              <w:rPr>
                <w:rFonts w:ascii="宋体" w:hAnsi="宋体" w:cs="宋体" w:eastAsia="宋体" w:hint="default"/>
                <w:sz w:val="17"/>
                <w:szCs w:val="17"/>
              </w:rPr>
              <w:t>年</w:t>
            </w:r>
          </w:p>
          <w:p>
            <w:pPr>
              <w:pStyle w:val="TableParagraph"/>
              <w:spacing w:line="227" w:lineRule="exact"/>
              <w:ind w:left="735" w:right="0"/>
              <w:jc w:val="left"/>
              <w:rPr>
                <w:rFonts w:ascii="宋体" w:hAnsi="宋体" w:cs="宋体" w:eastAsia="宋体" w:hint="default"/>
                <w:sz w:val="17"/>
                <w:szCs w:val="17"/>
              </w:rPr>
            </w:pPr>
            <w:r>
              <w:rPr>
                <w:rFonts w:ascii="Arial" w:hAnsi="Arial" w:cs="Arial" w:eastAsia="Arial" w:hint="default"/>
                <w:sz w:val="17"/>
                <w:szCs w:val="17"/>
              </w:rPr>
              <w:t>12</w:t>
            </w:r>
            <w:r>
              <w:rPr>
                <w:rFonts w:ascii="Arial" w:hAnsi="Arial" w:cs="Arial" w:eastAsia="Arial" w:hint="default"/>
                <w:spacing w:val="-6"/>
                <w:sz w:val="17"/>
                <w:szCs w:val="17"/>
              </w:rPr>
              <w:t> </w:t>
            </w:r>
            <w:r>
              <w:rPr>
                <w:rFonts w:ascii="宋体" w:hAnsi="宋体" w:cs="宋体" w:eastAsia="宋体" w:hint="default"/>
                <w:sz w:val="17"/>
                <w:szCs w:val="17"/>
              </w:rPr>
              <w:t>月</w:t>
            </w:r>
            <w:r>
              <w:rPr>
                <w:rFonts w:ascii="宋体" w:hAnsi="宋体" w:cs="宋体" w:eastAsia="宋体" w:hint="default"/>
                <w:spacing w:val="-43"/>
                <w:sz w:val="17"/>
                <w:szCs w:val="17"/>
              </w:rPr>
              <w:t> </w:t>
            </w:r>
            <w:r>
              <w:rPr>
                <w:rFonts w:ascii="Arial" w:hAnsi="Arial" w:cs="Arial" w:eastAsia="Arial" w:hint="default"/>
                <w:sz w:val="17"/>
                <w:szCs w:val="17"/>
              </w:rPr>
              <w:t>31</w:t>
            </w:r>
            <w:r>
              <w:rPr>
                <w:rFonts w:ascii="Arial" w:hAnsi="Arial" w:cs="Arial" w:eastAsia="Arial" w:hint="default"/>
                <w:spacing w:val="-6"/>
                <w:sz w:val="17"/>
                <w:szCs w:val="17"/>
              </w:rPr>
              <w:t> </w:t>
            </w:r>
            <w:r>
              <w:rPr>
                <w:rFonts w:ascii="宋体" w:hAnsi="宋体" w:cs="宋体" w:eastAsia="宋体" w:hint="default"/>
                <w:sz w:val="17"/>
                <w:szCs w:val="17"/>
              </w:rPr>
              <w:t>日</w:t>
            </w:r>
          </w:p>
        </w:tc>
      </w:tr>
      <w:tr>
        <w:trPr>
          <w:trHeight w:val="423"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00" w:right="0"/>
              <w:jc w:val="left"/>
              <w:rPr>
                <w:rFonts w:ascii="宋体" w:hAnsi="宋体" w:cs="宋体" w:eastAsia="宋体" w:hint="default"/>
                <w:sz w:val="17"/>
                <w:szCs w:val="17"/>
              </w:rPr>
            </w:pPr>
            <w:r>
              <w:rPr>
                <w:rFonts w:ascii="宋体" w:hAnsi="宋体" w:cs="宋体" w:eastAsia="宋体" w:hint="default"/>
                <w:sz w:val="17"/>
                <w:szCs w:val="17"/>
              </w:rPr>
              <w:t>原价</w:t>
            </w:r>
          </w:p>
        </w:tc>
        <w:tc>
          <w:tcPr>
            <w:tcW w:w="1746" w:type="dxa"/>
            <w:tcBorders>
              <w:top w:val="single" w:sz="6" w:space="0" w:color="000000"/>
              <w:left w:val="nil" w:sz="6" w:space="0" w:color="auto"/>
              <w:bottom w:val="nil" w:sz="6" w:space="0" w:color="auto"/>
              <w:right w:val="nil" w:sz="6" w:space="0" w:color="auto"/>
            </w:tcBorders>
          </w:tcPr>
          <w:p>
            <w:pPr/>
          </w:p>
        </w:tc>
        <w:tc>
          <w:tcPr>
            <w:tcW w:w="1613" w:type="dxa"/>
            <w:tcBorders>
              <w:top w:val="single" w:sz="6" w:space="0" w:color="000000"/>
              <w:left w:val="nil" w:sz="6" w:space="0" w:color="auto"/>
              <w:bottom w:val="nil" w:sz="6" w:space="0" w:color="auto"/>
              <w:right w:val="nil" w:sz="6" w:space="0" w:color="auto"/>
            </w:tcBorders>
          </w:tcPr>
          <w:p>
            <w:pPr/>
          </w:p>
        </w:tc>
        <w:tc>
          <w:tcPr>
            <w:tcW w:w="1466" w:type="dxa"/>
            <w:tcBorders>
              <w:top w:val="single" w:sz="6" w:space="0" w:color="000000"/>
              <w:left w:val="nil" w:sz="6" w:space="0" w:color="auto"/>
              <w:bottom w:val="nil" w:sz="6" w:space="0" w:color="auto"/>
              <w:right w:val="nil" w:sz="6" w:space="0" w:color="auto"/>
            </w:tcBorders>
          </w:tcPr>
          <w:p>
            <w:pPr/>
          </w:p>
        </w:tc>
        <w:tc>
          <w:tcPr>
            <w:tcW w:w="1476" w:type="dxa"/>
            <w:tcBorders>
              <w:top w:val="single" w:sz="6" w:space="0" w:color="000000"/>
              <w:left w:val="nil" w:sz="6" w:space="0" w:color="auto"/>
              <w:bottom w:val="nil" w:sz="6" w:space="0" w:color="auto"/>
              <w:right w:val="nil" w:sz="6" w:space="0" w:color="auto"/>
            </w:tcBorders>
          </w:tcPr>
          <w:p>
            <w:pPr/>
          </w:p>
        </w:tc>
        <w:tc>
          <w:tcPr>
            <w:tcW w:w="1666" w:type="dxa"/>
            <w:tcBorders>
              <w:top w:val="single" w:sz="6" w:space="0" w:color="000000"/>
              <w:left w:val="nil" w:sz="6" w:space="0" w:color="auto"/>
              <w:bottom w:val="nil" w:sz="6" w:space="0" w:color="auto"/>
              <w:right w:val="nil" w:sz="6" w:space="0" w:color="auto"/>
            </w:tcBorders>
          </w:tcPr>
          <w:p>
            <w:pPr/>
          </w:p>
        </w:tc>
      </w:tr>
      <w:tr>
        <w:trPr>
          <w:trHeight w:val="230"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195" w:lineRule="exact"/>
              <w:ind w:left="398" w:right="0"/>
              <w:jc w:val="left"/>
              <w:rPr>
                <w:rFonts w:ascii="宋体" w:hAnsi="宋体" w:cs="宋体" w:eastAsia="宋体" w:hint="default"/>
                <w:sz w:val="17"/>
                <w:szCs w:val="17"/>
              </w:rPr>
            </w:pPr>
            <w:r>
              <w:rPr>
                <w:rFonts w:ascii="宋体" w:hAnsi="宋体" w:cs="宋体" w:eastAsia="宋体" w:hint="default"/>
                <w:sz w:val="17"/>
                <w:szCs w:val="17"/>
              </w:rPr>
              <w:t>房屋建筑物</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6"/>
              <w:jc w:val="right"/>
              <w:rPr>
                <w:rFonts w:ascii="Arial" w:hAnsi="Arial" w:cs="Arial" w:eastAsia="Arial" w:hint="default"/>
                <w:sz w:val="17"/>
                <w:szCs w:val="17"/>
              </w:rPr>
            </w:pPr>
            <w:r>
              <w:rPr>
                <w:rFonts w:ascii="Arial"/>
                <w:spacing w:val="-1"/>
                <w:sz w:val="17"/>
              </w:rPr>
              <w:t>57,252,175,887</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97" w:right="0"/>
              <w:jc w:val="left"/>
              <w:rPr>
                <w:rFonts w:ascii="Arial" w:hAnsi="Arial" w:cs="Arial" w:eastAsia="Arial" w:hint="default"/>
                <w:sz w:val="17"/>
                <w:szCs w:val="17"/>
              </w:rPr>
            </w:pPr>
            <w:r>
              <w:rPr>
                <w:rFonts w:ascii="Arial"/>
                <w:sz w:val="17"/>
              </w:rPr>
              <w:t>19,528,086</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51" w:right="0"/>
              <w:jc w:val="left"/>
              <w:rPr>
                <w:rFonts w:ascii="Arial" w:hAnsi="Arial" w:cs="Arial" w:eastAsia="Arial" w:hint="default"/>
                <w:sz w:val="17"/>
                <w:szCs w:val="17"/>
              </w:rPr>
            </w:pPr>
            <w:r>
              <w:rPr>
                <w:rFonts w:ascii="Arial"/>
                <w:sz w:val="17"/>
              </w:rPr>
              <w:t>4,042,191,841</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1"/>
              <w:jc w:val="right"/>
              <w:rPr>
                <w:rFonts w:ascii="Arial" w:hAnsi="Arial" w:cs="Arial" w:eastAsia="Arial" w:hint="default"/>
                <w:sz w:val="17"/>
                <w:szCs w:val="17"/>
              </w:rPr>
            </w:pPr>
            <w:r>
              <w:rPr>
                <w:rFonts w:ascii="Arial"/>
                <w:spacing w:val="-1"/>
                <w:sz w:val="17"/>
              </w:rPr>
              <w:t>(69,566,011)</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6"/>
              <w:jc w:val="right"/>
              <w:rPr>
                <w:rFonts w:ascii="Arial" w:hAnsi="Arial" w:cs="Arial" w:eastAsia="Arial" w:hint="default"/>
                <w:sz w:val="17"/>
                <w:szCs w:val="17"/>
              </w:rPr>
            </w:pPr>
            <w:r>
              <w:rPr>
                <w:rFonts w:ascii="Arial"/>
                <w:spacing w:val="-1"/>
                <w:sz w:val="17"/>
              </w:rPr>
              <w:t>61,244,329,803</w:t>
            </w:r>
          </w:p>
        </w:tc>
      </w:tr>
      <w:tr>
        <w:trPr>
          <w:trHeight w:val="221"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185" w:lineRule="exact"/>
              <w:ind w:left="398" w:right="0"/>
              <w:jc w:val="left"/>
              <w:rPr>
                <w:rFonts w:ascii="宋体" w:hAnsi="宋体" w:cs="宋体" w:eastAsia="宋体" w:hint="default"/>
                <w:sz w:val="17"/>
                <w:szCs w:val="17"/>
              </w:rPr>
            </w:pPr>
            <w:r>
              <w:rPr>
                <w:rFonts w:ascii="宋体" w:hAnsi="宋体" w:cs="宋体" w:eastAsia="宋体" w:hint="default"/>
                <w:sz w:val="17"/>
                <w:szCs w:val="17"/>
              </w:rPr>
              <w:t>通信设备</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8"/>
              <w:jc w:val="right"/>
              <w:rPr>
                <w:rFonts w:ascii="Arial" w:hAnsi="Arial" w:cs="Arial" w:eastAsia="Arial" w:hint="default"/>
                <w:sz w:val="17"/>
                <w:szCs w:val="17"/>
              </w:rPr>
            </w:pPr>
            <w:r>
              <w:rPr>
                <w:rFonts w:ascii="Arial"/>
                <w:spacing w:val="-1"/>
                <w:sz w:val="17"/>
              </w:rPr>
              <w:t>692,092,292,267</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66" w:right="0"/>
              <w:jc w:val="left"/>
              <w:rPr>
                <w:rFonts w:ascii="Arial" w:hAnsi="Arial" w:cs="Arial" w:eastAsia="Arial" w:hint="default"/>
                <w:sz w:val="17"/>
                <w:szCs w:val="17"/>
              </w:rPr>
            </w:pPr>
            <w:r>
              <w:rPr>
                <w:rFonts w:ascii="Arial"/>
                <w:sz w:val="17"/>
              </w:rPr>
              <w:t>11,917,616,995</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57" w:right="0"/>
              <w:jc w:val="left"/>
              <w:rPr>
                <w:rFonts w:ascii="Arial" w:hAnsi="Arial" w:cs="Arial" w:eastAsia="Arial" w:hint="default"/>
                <w:sz w:val="17"/>
                <w:szCs w:val="17"/>
              </w:rPr>
            </w:pPr>
            <w:r>
              <w:rPr>
                <w:rFonts w:ascii="Arial"/>
                <w:sz w:val="17"/>
              </w:rPr>
              <w:t>82,281,089,976</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57" w:right="0"/>
              <w:jc w:val="left"/>
              <w:rPr>
                <w:rFonts w:ascii="Arial" w:hAnsi="Arial" w:cs="Arial" w:eastAsia="Arial" w:hint="default"/>
                <w:sz w:val="17"/>
                <w:szCs w:val="17"/>
              </w:rPr>
            </w:pPr>
            <w:r>
              <w:rPr>
                <w:rFonts w:ascii="Arial"/>
                <w:sz w:val="17"/>
              </w:rPr>
              <w:t>(12,388,072,902)</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98" w:right="0"/>
              <w:jc w:val="left"/>
              <w:rPr>
                <w:rFonts w:ascii="Arial" w:hAnsi="Arial" w:cs="Arial" w:eastAsia="Arial" w:hint="default"/>
                <w:sz w:val="17"/>
                <w:szCs w:val="17"/>
              </w:rPr>
            </w:pPr>
            <w:r>
              <w:rPr>
                <w:rFonts w:ascii="Arial"/>
                <w:sz w:val="17"/>
              </w:rPr>
              <w:t>773,902,926,336</w:t>
            </w:r>
          </w:p>
        </w:tc>
      </w:tr>
      <w:tr>
        <w:trPr>
          <w:trHeight w:val="228"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185" w:lineRule="exact"/>
              <w:ind w:right="75"/>
              <w:jc w:val="right"/>
              <w:rPr>
                <w:rFonts w:ascii="宋体" w:hAnsi="宋体" w:cs="宋体" w:eastAsia="宋体" w:hint="default"/>
                <w:sz w:val="17"/>
                <w:szCs w:val="17"/>
              </w:rPr>
            </w:pPr>
            <w:r>
              <w:rPr>
                <w:rFonts w:ascii="宋体" w:hAnsi="宋体" w:cs="宋体" w:eastAsia="宋体" w:hint="default"/>
                <w:spacing w:val="-1"/>
                <w:sz w:val="17"/>
                <w:szCs w:val="17"/>
              </w:rPr>
              <w:t>办公设备及其他</w:t>
            </w:r>
          </w:p>
        </w:tc>
        <w:tc>
          <w:tcPr>
            <w:tcW w:w="1746" w:type="dxa"/>
            <w:tcBorders>
              <w:top w:val="nil" w:sz="6" w:space="0" w:color="auto"/>
              <w:left w:val="nil" w:sz="6" w:space="0" w:color="auto"/>
              <w:bottom w:val="nil" w:sz="6" w:space="0" w:color="auto"/>
              <w:right w:val="nil" w:sz="6" w:space="0" w:color="auto"/>
            </w:tcBorders>
          </w:tcPr>
          <w:p>
            <w:pPr>
              <w:pStyle w:val="TableParagraph"/>
              <w:tabs>
                <w:tab w:pos="473" w:val="left" w:leader="none"/>
                <w:tab w:pos="1745" w:val="left" w:leader="none"/>
              </w:tabs>
              <w:spacing w:line="240" w:lineRule="auto" w:before="14"/>
              <w:ind w:right="0"/>
              <w:jc w:val="lef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t>44,038,344,051</w:t>
              <w:tab/>
            </w:r>
            <w:r>
              <w:rPr>
                <w:rFonts w:ascii="Arial"/>
                <w:sz w:val="17"/>
              </w:rPr>
            </w:r>
          </w:p>
        </w:tc>
        <w:tc>
          <w:tcPr>
            <w:tcW w:w="1613" w:type="dxa"/>
            <w:tcBorders>
              <w:top w:val="nil" w:sz="6" w:space="0" w:color="auto"/>
              <w:left w:val="nil" w:sz="6" w:space="0" w:color="auto"/>
              <w:bottom w:val="nil" w:sz="6" w:space="0" w:color="auto"/>
              <w:right w:val="nil" w:sz="6" w:space="0" w:color="auto"/>
            </w:tcBorders>
          </w:tcPr>
          <w:p>
            <w:pPr>
              <w:pStyle w:val="TableParagraph"/>
              <w:tabs>
                <w:tab w:pos="502" w:val="left" w:leader="none"/>
                <w:tab w:pos="1864" w:val="left" w:leader="none"/>
              </w:tabs>
              <w:spacing w:line="240" w:lineRule="auto" w:before="14"/>
              <w:ind w:left="90" w:right="-252"/>
              <w:jc w:val="lef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t>153,181,225</w:t>
              <w:tab/>
            </w:r>
            <w:r>
              <w:rPr>
                <w:rFonts w:ascii="Arial"/>
                <w:sz w:val="17"/>
              </w:rPr>
            </w:r>
          </w:p>
        </w:tc>
        <w:tc>
          <w:tcPr>
            <w:tcW w:w="1466" w:type="dxa"/>
            <w:tcBorders>
              <w:top w:val="nil" w:sz="6" w:space="0" w:color="auto"/>
              <w:left w:val="nil" w:sz="6" w:space="0" w:color="auto"/>
              <w:bottom w:val="nil" w:sz="6" w:space="0" w:color="auto"/>
              <w:right w:val="nil" w:sz="6" w:space="0" w:color="auto"/>
            </w:tcBorders>
          </w:tcPr>
          <w:p>
            <w:pPr>
              <w:pStyle w:val="TableParagraph"/>
              <w:tabs>
                <w:tab w:pos="1213" w:val="left" w:leader="none"/>
              </w:tabs>
              <w:spacing w:line="240" w:lineRule="auto" w:before="14"/>
              <w:ind w:right="0"/>
              <w:jc w:val="right"/>
              <w:rPr>
                <w:rFonts w:ascii="Arial" w:hAnsi="Arial" w:cs="Arial" w:eastAsia="Arial" w:hint="default"/>
                <w:sz w:val="17"/>
                <w:szCs w:val="17"/>
              </w:rPr>
            </w:pPr>
            <w:r>
              <w:rPr>
                <w:rFonts w:ascii="Arial"/>
                <w:w w:val="100"/>
                <w:sz w:val="17"/>
              </w:rPr>
            </w:r>
            <w:r>
              <w:rPr>
                <w:rFonts w:ascii="Arial"/>
                <w:spacing w:val="-1"/>
                <w:sz w:val="17"/>
                <w:u w:val="single" w:color="000000"/>
              </w:rPr>
              <w:t>1,689,383,553</w:t>
              <w:tab/>
            </w:r>
            <w:r>
              <w:rPr>
                <w:rFonts w:ascii="Arial"/>
                <w:spacing w:val="-1"/>
                <w:sz w:val="17"/>
              </w:rPr>
            </w:r>
          </w:p>
        </w:tc>
        <w:tc>
          <w:tcPr>
            <w:tcW w:w="1476" w:type="dxa"/>
            <w:tcBorders>
              <w:top w:val="nil" w:sz="6" w:space="0" w:color="auto"/>
              <w:left w:val="nil" w:sz="6" w:space="0" w:color="auto"/>
              <w:bottom w:val="nil" w:sz="6" w:space="0" w:color="auto"/>
              <w:right w:val="nil" w:sz="6" w:space="0" w:color="auto"/>
            </w:tcBorders>
          </w:tcPr>
          <w:p>
            <w:pPr>
              <w:pStyle w:val="TableParagraph"/>
              <w:tabs>
                <w:tab w:pos="392" w:val="left" w:leader="none"/>
              </w:tabs>
              <w:spacing w:line="240" w:lineRule="auto" w:before="14"/>
              <w:ind w:left="90" w:right="0"/>
              <w:jc w:val="lef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t>(620,271,022)</w:t>
            </w:r>
            <w:r>
              <w:rPr>
                <w:rFonts w:ascii="Arial"/>
                <w:sz w:val="17"/>
              </w:rPr>
            </w:r>
          </w:p>
        </w:tc>
        <w:tc>
          <w:tcPr>
            <w:tcW w:w="1666" w:type="dxa"/>
            <w:tcBorders>
              <w:top w:val="nil" w:sz="6" w:space="0" w:color="auto"/>
              <w:left w:val="nil" w:sz="6" w:space="0" w:color="auto"/>
              <w:bottom w:val="nil" w:sz="6" w:space="0" w:color="auto"/>
              <w:right w:val="nil" w:sz="6" w:space="0" w:color="auto"/>
            </w:tcBorders>
          </w:tcPr>
          <w:p>
            <w:pPr>
              <w:pStyle w:val="TableParagraph"/>
              <w:tabs>
                <w:tab w:pos="303" w:val="left" w:leader="none"/>
                <w:tab w:pos="1575" w:val="left" w:leader="none"/>
              </w:tabs>
              <w:spacing w:line="240" w:lineRule="auto" w:before="14"/>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1"/>
                <w:sz w:val="17"/>
                <w:u w:val="single" w:color="000000"/>
              </w:rPr>
              <w:t>45,260,637,807</w:t>
              <w:tab/>
            </w:r>
            <w:r>
              <w:rPr>
                <w:rFonts w:ascii="Arial"/>
                <w:spacing w:val="-1"/>
                <w:sz w:val="17"/>
              </w:rPr>
            </w:r>
          </w:p>
        </w:tc>
      </w:tr>
      <w:tr>
        <w:trPr>
          <w:trHeight w:val="241"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193" w:lineRule="exact"/>
              <w:ind w:left="398" w:right="0"/>
              <w:jc w:val="left"/>
              <w:rPr>
                <w:rFonts w:ascii="宋体" w:hAnsi="宋体" w:cs="宋体" w:eastAsia="宋体" w:hint="default"/>
                <w:sz w:val="17"/>
                <w:szCs w:val="17"/>
              </w:rPr>
            </w:pPr>
            <w:r>
              <w:rPr>
                <w:rFonts w:ascii="宋体" w:hAnsi="宋体" w:cs="宋体" w:eastAsia="宋体" w:hint="default"/>
                <w:sz w:val="17"/>
                <w:szCs w:val="17"/>
              </w:rPr>
              <w:t>小计</w:t>
            </w:r>
          </w:p>
        </w:tc>
        <w:tc>
          <w:tcPr>
            <w:tcW w:w="1746" w:type="dxa"/>
            <w:tcBorders>
              <w:top w:val="nil" w:sz="6" w:space="0" w:color="auto"/>
              <w:left w:val="nil" w:sz="6" w:space="0" w:color="auto"/>
              <w:bottom w:val="nil" w:sz="6" w:space="0" w:color="auto"/>
              <w:right w:val="nil" w:sz="6" w:space="0" w:color="auto"/>
            </w:tcBorders>
          </w:tcPr>
          <w:p>
            <w:pPr>
              <w:pStyle w:val="TableParagraph"/>
              <w:tabs>
                <w:tab w:pos="379" w:val="left" w:leader="none"/>
                <w:tab w:pos="1745" w:val="left" w:leader="none"/>
              </w:tabs>
              <w:spacing w:line="240" w:lineRule="auto" w:before="21"/>
              <w:ind w:right="0"/>
              <w:jc w:val="lef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t>793,382,812,205</w:t>
              <w:tab/>
            </w:r>
            <w:r>
              <w:rPr>
                <w:rFonts w:ascii="Arial"/>
                <w:sz w:val="17"/>
              </w:rPr>
            </w:r>
          </w:p>
        </w:tc>
        <w:tc>
          <w:tcPr>
            <w:tcW w:w="1613" w:type="dxa"/>
            <w:tcBorders>
              <w:top w:val="nil" w:sz="6" w:space="0" w:color="auto"/>
              <w:left w:val="nil" w:sz="6" w:space="0" w:color="auto"/>
              <w:bottom w:val="single" w:sz="17" w:space="0" w:color="000000"/>
              <w:right w:val="nil" w:sz="6" w:space="0" w:color="auto"/>
            </w:tcBorders>
          </w:tcPr>
          <w:p>
            <w:pPr>
              <w:pStyle w:val="TableParagraph"/>
              <w:spacing w:line="240" w:lineRule="auto" w:before="21"/>
              <w:ind w:left="266" w:right="0"/>
              <w:jc w:val="left"/>
              <w:rPr>
                <w:rFonts w:ascii="Arial" w:hAnsi="Arial" w:cs="Arial" w:eastAsia="Arial" w:hint="default"/>
                <w:sz w:val="17"/>
                <w:szCs w:val="17"/>
              </w:rPr>
            </w:pPr>
            <w:r>
              <w:rPr>
                <w:rFonts w:ascii="Arial"/>
                <w:sz w:val="17"/>
              </w:rPr>
              <w:t>12,090,326,306</w:t>
            </w:r>
          </w:p>
        </w:tc>
        <w:tc>
          <w:tcPr>
            <w:tcW w:w="1466" w:type="dxa"/>
            <w:tcBorders>
              <w:top w:val="nil" w:sz="6" w:space="0" w:color="auto"/>
              <w:left w:val="nil" w:sz="6" w:space="0" w:color="auto"/>
              <w:bottom w:val="single" w:sz="6" w:space="0" w:color="000000"/>
              <w:right w:val="nil" w:sz="6" w:space="0" w:color="auto"/>
            </w:tcBorders>
          </w:tcPr>
          <w:p>
            <w:pPr>
              <w:pStyle w:val="TableParagraph"/>
              <w:spacing w:line="240" w:lineRule="auto" w:before="21"/>
              <w:ind w:left="157" w:right="0"/>
              <w:jc w:val="left"/>
              <w:rPr>
                <w:rFonts w:ascii="Arial" w:hAnsi="Arial" w:cs="Arial" w:eastAsia="Arial" w:hint="default"/>
                <w:sz w:val="17"/>
                <w:szCs w:val="17"/>
              </w:rPr>
            </w:pPr>
            <w:r>
              <w:rPr>
                <w:rFonts w:ascii="Arial"/>
                <w:sz w:val="17"/>
              </w:rPr>
              <w:t>88,012,665,370</w:t>
            </w:r>
          </w:p>
        </w:tc>
        <w:tc>
          <w:tcPr>
            <w:tcW w:w="1476" w:type="dxa"/>
            <w:tcBorders>
              <w:top w:val="nil" w:sz="6" w:space="0" w:color="auto"/>
              <w:left w:val="nil" w:sz="6" w:space="0" w:color="auto"/>
              <w:bottom w:val="single" w:sz="6" w:space="0" w:color="000000"/>
              <w:right w:val="nil" w:sz="6" w:space="0" w:color="auto"/>
            </w:tcBorders>
          </w:tcPr>
          <w:p>
            <w:pPr>
              <w:pStyle w:val="TableParagraph"/>
              <w:spacing w:line="240" w:lineRule="auto" w:before="21"/>
              <w:ind w:left="157" w:right="0"/>
              <w:jc w:val="left"/>
              <w:rPr>
                <w:rFonts w:ascii="Arial" w:hAnsi="Arial" w:cs="Arial" w:eastAsia="Arial" w:hint="default"/>
                <w:sz w:val="17"/>
                <w:szCs w:val="17"/>
              </w:rPr>
            </w:pPr>
            <w:r>
              <w:rPr>
                <w:rFonts w:ascii="Arial"/>
                <w:sz w:val="17"/>
              </w:rPr>
              <w:t>(13,077,909,935)</w:t>
            </w:r>
          </w:p>
        </w:tc>
        <w:tc>
          <w:tcPr>
            <w:tcW w:w="1666" w:type="dxa"/>
            <w:tcBorders>
              <w:top w:val="nil" w:sz="6" w:space="0" w:color="auto"/>
              <w:left w:val="nil" w:sz="6" w:space="0" w:color="auto"/>
              <w:bottom w:val="single" w:sz="6" w:space="0" w:color="000000"/>
              <w:right w:val="nil" w:sz="6" w:space="0" w:color="auto"/>
            </w:tcBorders>
          </w:tcPr>
          <w:p>
            <w:pPr>
              <w:pStyle w:val="TableParagraph"/>
              <w:spacing w:line="240" w:lineRule="auto" w:before="21"/>
              <w:ind w:left="298" w:right="0"/>
              <w:jc w:val="left"/>
              <w:rPr>
                <w:rFonts w:ascii="Arial" w:hAnsi="Arial" w:cs="Arial" w:eastAsia="Arial" w:hint="default"/>
                <w:sz w:val="17"/>
                <w:szCs w:val="17"/>
              </w:rPr>
            </w:pPr>
            <w:r>
              <w:rPr>
                <w:rFonts w:ascii="Arial"/>
                <w:sz w:val="17"/>
              </w:rPr>
              <w:t>880,407,893,946</w:t>
            </w:r>
          </w:p>
        </w:tc>
      </w:tr>
      <w:tr>
        <w:trPr>
          <w:trHeight w:val="438"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0" w:right="0"/>
              <w:jc w:val="left"/>
              <w:rPr>
                <w:rFonts w:ascii="宋体" w:hAnsi="宋体" w:cs="宋体" w:eastAsia="宋体" w:hint="default"/>
                <w:sz w:val="17"/>
                <w:szCs w:val="17"/>
              </w:rPr>
            </w:pPr>
            <w:r>
              <w:rPr>
                <w:rFonts w:ascii="宋体" w:hAnsi="宋体" w:cs="宋体" w:eastAsia="宋体" w:hint="default"/>
                <w:sz w:val="17"/>
                <w:szCs w:val="17"/>
              </w:rPr>
              <w:t>累计折旧</w:t>
            </w:r>
          </w:p>
        </w:tc>
        <w:tc>
          <w:tcPr>
            <w:tcW w:w="1746" w:type="dxa"/>
            <w:tcBorders>
              <w:top w:val="nil" w:sz="6" w:space="0" w:color="auto"/>
              <w:left w:val="nil" w:sz="6" w:space="0" w:color="auto"/>
              <w:bottom w:val="nil" w:sz="6" w:space="0" w:color="auto"/>
              <w:right w:val="nil" w:sz="6" w:space="0" w:color="auto"/>
            </w:tcBorders>
          </w:tcPr>
          <w:p>
            <w:pPr/>
          </w:p>
        </w:tc>
        <w:tc>
          <w:tcPr>
            <w:tcW w:w="1613" w:type="dxa"/>
            <w:tcBorders>
              <w:top w:val="single" w:sz="17" w:space="0" w:color="000000"/>
              <w:left w:val="nil" w:sz="6" w:space="0" w:color="auto"/>
              <w:bottom w:val="nil" w:sz="6" w:space="0" w:color="auto"/>
              <w:right w:val="nil" w:sz="6" w:space="0" w:color="auto"/>
            </w:tcBorders>
          </w:tcPr>
          <w:p>
            <w:pPr/>
          </w:p>
        </w:tc>
        <w:tc>
          <w:tcPr>
            <w:tcW w:w="1466" w:type="dxa"/>
            <w:tcBorders>
              <w:top w:val="single" w:sz="6" w:space="0" w:color="000000"/>
              <w:left w:val="nil" w:sz="6" w:space="0" w:color="auto"/>
              <w:bottom w:val="nil" w:sz="6" w:space="0" w:color="auto"/>
              <w:right w:val="nil" w:sz="6" w:space="0" w:color="auto"/>
            </w:tcBorders>
          </w:tcPr>
          <w:p>
            <w:pPr/>
          </w:p>
        </w:tc>
        <w:tc>
          <w:tcPr>
            <w:tcW w:w="1476" w:type="dxa"/>
            <w:tcBorders>
              <w:top w:val="single" w:sz="6" w:space="0" w:color="000000"/>
              <w:left w:val="nil" w:sz="6" w:space="0" w:color="auto"/>
              <w:bottom w:val="nil" w:sz="6" w:space="0" w:color="auto"/>
              <w:right w:val="nil" w:sz="6" w:space="0" w:color="auto"/>
            </w:tcBorders>
          </w:tcPr>
          <w:p>
            <w:pPr/>
          </w:p>
        </w:tc>
        <w:tc>
          <w:tcPr>
            <w:tcW w:w="1666" w:type="dxa"/>
            <w:tcBorders>
              <w:top w:val="single" w:sz="6" w:space="0" w:color="000000"/>
              <w:left w:val="nil" w:sz="6" w:space="0" w:color="auto"/>
              <w:bottom w:val="nil" w:sz="6" w:space="0" w:color="auto"/>
              <w:right w:val="nil" w:sz="6" w:space="0" w:color="auto"/>
            </w:tcBorders>
          </w:tcPr>
          <w:p>
            <w:pPr/>
          </w:p>
        </w:tc>
      </w:tr>
      <w:tr>
        <w:trPr>
          <w:trHeight w:val="231"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196" w:lineRule="exact"/>
              <w:ind w:left="398" w:right="0"/>
              <w:jc w:val="left"/>
              <w:rPr>
                <w:rFonts w:ascii="宋体" w:hAnsi="宋体" w:cs="宋体" w:eastAsia="宋体" w:hint="default"/>
                <w:sz w:val="17"/>
                <w:szCs w:val="17"/>
              </w:rPr>
            </w:pPr>
            <w:r>
              <w:rPr>
                <w:rFonts w:ascii="宋体" w:hAnsi="宋体" w:cs="宋体" w:eastAsia="宋体" w:hint="default"/>
                <w:sz w:val="17"/>
                <w:szCs w:val="17"/>
              </w:rPr>
              <w:t>房屋建筑物</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1"/>
              <w:jc w:val="right"/>
              <w:rPr>
                <w:rFonts w:ascii="Arial" w:hAnsi="Arial" w:cs="Arial" w:eastAsia="Arial" w:hint="default"/>
                <w:sz w:val="17"/>
                <w:szCs w:val="17"/>
              </w:rPr>
            </w:pPr>
            <w:r>
              <w:rPr>
                <w:rFonts w:ascii="Arial"/>
                <w:spacing w:val="-1"/>
                <w:sz w:val="17"/>
              </w:rPr>
              <w:t>(18,315,380,785)</w:t>
            </w:r>
          </w:p>
        </w:tc>
        <w:tc>
          <w:tcPr>
            <w:tcW w:w="1613"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94" w:right="0"/>
              <w:jc w:val="left"/>
              <w:rPr>
                <w:rFonts w:ascii="Arial" w:hAnsi="Arial" w:cs="Arial" w:eastAsia="Arial" w:hint="default"/>
                <w:sz w:val="17"/>
                <w:szCs w:val="17"/>
              </w:rPr>
            </w:pPr>
            <w:r>
              <w:rPr>
                <w:rFonts w:ascii="Arial"/>
                <w:sz w:val="17"/>
              </w:rPr>
              <w:t>(2,566,565,222)</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77"/>
              <w:jc w:val="right"/>
              <w:rPr>
                <w:rFonts w:ascii="Arial" w:hAnsi="Arial" w:cs="Arial" w:eastAsia="Arial" w:hint="default"/>
                <w:sz w:val="17"/>
                <w:szCs w:val="17"/>
              </w:rPr>
            </w:pPr>
            <w:r>
              <w:rPr>
                <w:rFonts w:ascii="Arial"/>
                <w:spacing w:val="-1"/>
                <w:sz w:val="17"/>
              </w:rPr>
              <w:t>66,176,059</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1"/>
              <w:jc w:val="right"/>
              <w:rPr>
                <w:rFonts w:ascii="Arial" w:hAnsi="Arial" w:cs="Arial" w:eastAsia="Arial" w:hint="default"/>
                <w:sz w:val="17"/>
                <w:szCs w:val="17"/>
              </w:rPr>
            </w:pPr>
            <w:r>
              <w:rPr>
                <w:rFonts w:ascii="Arial"/>
                <w:spacing w:val="-1"/>
                <w:sz w:val="17"/>
              </w:rPr>
              <w:t>(20,815,769,948)</w:t>
            </w:r>
          </w:p>
        </w:tc>
      </w:tr>
      <w:tr>
        <w:trPr>
          <w:trHeight w:val="220"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185" w:lineRule="exact"/>
              <w:ind w:left="398" w:right="0"/>
              <w:jc w:val="left"/>
              <w:rPr>
                <w:rFonts w:ascii="宋体" w:hAnsi="宋体" w:cs="宋体" w:eastAsia="宋体" w:hint="default"/>
                <w:sz w:val="17"/>
                <w:szCs w:val="17"/>
              </w:rPr>
            </w:pPr>
            <w:r>
              <w:rPr>
                <w:rFonts w:ascii="宋体" w:hAnsi="宋体" w:cs="宋体" w:eastAsia="宋体" w:hint="default"/>
                <w:sz w:val="17"/>
                <w:szCs w:val="17"/>
              </w:rPr>
              <w:t>通信设备</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2" w:right="0"/>
              <w:jc w:val="left"/>
              <w:rPr>
                <w:rFonts w:ascii="Arial" w:hAnsi="Arial" w:cs="Arial" w:eastAsia="Arial" w:hint="default"/>
                <w:sz w:val="17"/>
                <w:szCs w:val="17"/>
              </w:rPr>
            </w:pPr>
            <w:r>
              <w:rPr>
                <w:rFonts w:ascii="Arial"/>
                <w:sz w:val="17"/>
              </w:rPr>
              <w:t>(405,063,669,324)</w:t>
            </w:r>
          </w:p>
        </w:tc>
        <w:tc>
          <w:tcPr>
            <w:tcW w:w="1613"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0" w:right="0"/>
              <w:jc w:val="left"/>
              <w:rPr>
                <w:rFonts w:ascii="Arial" w:hAnsi="Arial" w:cs="Arial" w:eastAsia="Arial" w:hint="default"/>
                <w:sz w:val="17"/>
                <w:szCs w:val="17"/>
              </w:rPr>
            </w:pPr>
            <w:r>
              <w:rPr>
                <w:rFonts w:ascii="Arial"/>
                <w:sz w:val="17"/>
              </w:rPr>
              <w:t>(50,904,078,436)</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13" w:right="0"/>
              <w:jc w:val="left"/>
              <w:rPr>
                <w:rFonts w:ascii="Arial" w:hAnsi="Arial" w:cs="Arial" w:eastAsia="Arial" w:hint="default"/>
                <w:sz w:val="17"/>
                <w:szCs w:val="17"/>
              </w:rPr>
            </w:pPr>
            <w:r>
              <w:rPr>
                <w:rFonts w:ascii="Arial"/>
                <w:sz w:val="17"/>
              </w:rPr>
              <w:t>11,820,119,621</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1"/>
              <w:jc w:val="right"/>
              <w:rPr>
                <w:rFonts w:ascii="Arial" w:hAnsi="Arial" w:cs="Arial" w:eastAsia="Arial" w:hint="default"/>
                <w:sz w:val="17"/>
                <w:szCs w:val="17"/>
              </w:rPr>
            </w:pPr>
            <w:r>
              <w:rPr>
                <w:rFonts w:ascii="Arial"/>
                <w:spacing w:val="-1"/>
                <w:sz w:val="17"/>
              </w:rPr>
              <w:t>(444,147,628,139)</w:t>
            </w:r>
          </w:p>
        </w:tc>
      </w:tr>
      <w:tr>
        <w:trPr>
          <w:trHeight w:val="228"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185" w:lineRule="exact"/>
              <w:ind w:right="75"/>
              <w:jc w:val="right"/>
              <w:rPr>
                <w:rFonts w:ascii="宋体" w:hAnsi="宋体" w:cs="宋体" w:eastAsia="宋体" w:hint="default"/>
                <w:sz w:val="17"/>
                <w:szCs w:val="17"/>
              </w:rPr>
            </w:pPr>
            <w:r>
              <w:rPr>
                <w:rFonts w:ascii="宋体" w:hAnsi="宋体" w:cs="宋体" w:eastAsia="宋体" w:hint="default"/>
                <w:spacing w:val="-1"/>
                <w:sz w:val="17"/>
                <w:szCs w:val="17"/>
              </w:rPr>
              <w:t>办公设备及其他</w:t>
            </w:r>
          </w:p>
        </w:tc>
        <w:tc>
          <w:tcPr>
            <w:tcW w:w="1746"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14"/>
              <w:ind w:right="0"/>
              <w:jc w:val="lef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t>(32,431,607,492)</w:t>
            </w:r>
            <w:r>
              <w:rPr>
                <w:rFonts w:ascii="Arial"/>
                <w:sz w:val="17"/>
              </w:rPr>
            </w:r>
          </w:p>
        </w:tc>
        <w:tc>
          <w:tcPr>
            <w:tcW w:w="1613"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tabs>
                <w:tab w:pos="1440" w:val="left" w:leader="none"/>
              </w:tabs>
              <w:spacing w:line="240" w:lineRule="auto" w:before="14"/>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  </w:t>
            </w:r>
            <w:r>
              <w:rPr>
                <w:rFonts w:ascii="Arial"/>
                <w:spacing w:val="-20"/>
                <w:sz w:val="17"/>
                <w:u w:val="single" w:color="000000"/>
              </w:rPr>
              <w:t> </w:t>
            </w:r>
            <w:r>
              <w:rPr>
                <w:rFonts w:ascii="Arial"/>
                <w:spacing w:val="-1"/>
                <w:sz w:val="17"/>
                <w:u w:val="single" w:color="000000"/>
              </w:rPr>
              <w:t>(4,337,793,653)</w:t>
              <w:tab/>
            </w:r>
            <w:r>
              <w:rPr>
                <w:rFonts w:ascii="Arial"/>
                <w:spacing w:val="-1"/>
                <w:sz w:val="17"/>
              </w:rPr>
            </w:r>
          </w:p>
        </w:tc>
        <w:tc>
          <w:tcPr>
            <w:tcW w:w="1476" w:type="dxa"/>
            <w:tcBorders>
              <w:top w:val="nil" w:sz="6" w:space="0" w:color="auto"/>
              <w:left w:val="nil" w:sz="6" w:space="0" w:color="auto"/>
              <w:bottom w:val="nil" w:sz="6" w:space="0" w:color="auto"/>
              <w:right w:val="nil" w:sz="6" w:space="0" w:color="auto"/>
            </w:tcBorders>
          </w:tcPr>
          <w:p>
            <w:pPr>
              <w:pStyle w:val="TableParagraph"/>
              <w:tabs>
                <w:tab w:pos="359" w:val="left" w:leader="none"/>
                <w:tab w:pos="1385" w:val="left" w:leader="none"/>
              </w:tabs>
              <w:spacing w:line="240" w:lineRule="auto" w:before="14"/>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1"/>
                <w:sz w:val="17"/>
                <w:u w:val="single" w:color="000000"/>
              </w:rPr>
              <w:t>589,827,504</w:t>
              <w:tab/>
            </w:r>
            <w:r>
              <w:rPr>
                <w:rFonts w:ascii="Arial"/>
                <w:spacing w:val="-1"/>
                <w:sz w:val="17"/>
              </w:rPr>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1"/>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   </w:t>
            </w:r>
            <w:r>
              <w:rPr>
                <w:rFonts w:ascii="Arial"/>
                <w:spacing w:val="10"/>
                <w:sz w:val="17"/>
                <w:u w:val="single" w:color="000000"/>
              </w:rPr>
              <w:t> </w:t>
            </w:r>
            <w:r>
              <w:rPr>
                <w:rFonts w:ascii="Arial"/>
                <w:spacing w:val="-1"/>
                <w:sz w:val="17"/>
                <w:u w:val="single" w:color="000000"/>
              </w:rPr>
              <w:t>(36,179,573,641)</w:t>
            </w:r>
            <w:r>
              <w:rPr>
                <w:rFonts w:ascii="Arial"/>
                <w:spacing w:val="-1"/>
                <w:sz w:val="17"/>
              </w:rPr>
            </w:r>
          </w:p>
        </w:tc>
      </w:tr>
      <w:tr>
        <w:trPr>
          <w:trHeight w:val="334"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193" w:lineRule="exact"/>
              <w:ind w:left="398" w:right="0"/>
              <w:jc w:val="left"/>
              <w:rPr>
                <w:rFonts w:ascii="宋体" w:hAnsi="宋体" w:cs="宋体" w:eastAsia="宋体" w:hint="default"/>
                <w:sz w:val="17"/>
                <w:szCs w:val="17"/>
              </w:rPr>
            </w:pPr>
            <w:r>
              <w:rPr>
                <w:rFonts w:ascii="宋体" w:hAnsi="宋体" w:cs="宋体" w:eastAsia="宋体" w:hint="default"/>
                <w:sz w:val="17"/>
                <w:szCs w:val="17"/>
              </w:rPr>
              <w:t>小计</w:t>
            </w:r>
          </w:p>
        </w:tc>
        <w:tc>
          <w:tcPr>
            <w:tcW w:w="1746" w:type="dxa"/>
            <w:tcBorders>
              <w:top w:val="nil" w:sz="6" w:space="0" w:color="auto"/>
              <w:left w:val="nil" w:sz="6" w:space="0" w:color="auto"/>
              <w:bottom w:val="nil" w:sz="6" w:space="0" w:color="auto"/>
              <w:right w:val="nil" w:sz="6" w:space="0" w:color="auto"/>
            </w:tcBorders>
          </w:tcPr>
          <w:p>
            <w:pPr>
              <w:pStyle w:val="TableParagraph"/>
              <w:tabs>
                <w:tab w:pos="322" w:val="left" w:leader="none"/>
              </w:tabs>
              <w:spacing w:line="240" w:lineRule="auto" w:before="21"/>
              <w:ind w:right="0"/>
              <w:jc w:val="lef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t>(455,810,657,601)</w:t>
            </w:r>
            <w:r>
              <w:rPr>
                <w:rFonts w:ascii="Arial"/>
                <w:sz w:val="17"/>
              </w:rPr>
            </w:r>
          </w:p>
        </w:tc>
        <w:tc>
          <w:tcPr>
            <w:tcW w:w="1613"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tabs>
                <w:tab w:pos="1440" w:val="left" w:leader="none"/>
              </w:tabs>
              <w:spacing w:line="240" w:lineRule="auto" w:before="21"/>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pacing w:val="-19"/>
                <w:sz w:val="17"/>
                <w:u w:val="single" w:color="000000"/>
              </w:rPr>
              <w:t> </w:t>
            </w:r>
            <w:r>
              <w:rPr>
                <w:rFonts w:ascii="Arial"/>
                <w:spacing w:val="-1"/>
                <w:sz w:val="17"/>
                <w:u w:val="single" w:color="000000"/>
              </w:rPr>
              <w:t>(57,808,437,311)</w:t>
              <w:tab/>
            </w:r>
            <w:r>
              <w:rPr>
                <w:rFonts w:ascii="Arial"/>
                <w:spacing w:val="-1"/>
                <w:sz w:val="17"/>
              </w:rPr>
            </w:r>
          </w:p>
        </w:tc>
        <w:tc>
          <w:tcPr>
            <w:tcW w:w="1476" w:type="dxa"/>
            <w:tcBorders>
              <w:top w:val="nil" w:sz="6" w:space="0" w:color="auto"/>
              <w:left w:val="nil" w:sz="6" w:space="0" w:color="auto"/>
              <w:bottom w:val="nil" w:sz="6" w:space="0" w:color="auto"/>
              <w:right w:val="nil" w:sz="6" w:space="0" w:color="auto"/>
            </w:tcBorders>
          </w:tcPr>
          <w:p>
            <w:pPr>
              <w:pStyle w:val="TableParagraph"/>
              <w:tabs>
                <w:tab w:pos="1385" w:val="left" w:leader="none"/>
              </w:tabs>
              <w:spacing w:line="240" w:lineRule="auto" w:before="21"/>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 </w:t>
            </w:r>
            <w:r>
              <w:rPr>
                <w:rFonts w:ascii="Arial"/>
                <w:spacing w:val="-19"/>
                <w:sz w:val="17"/>
                <w:u w:val="single" w:color="000000"/>
              </w:rPr>
              <w:t> </w:t>
            </w:r>
            <w:r>
              <w:rPr>
                <w:rFonts w:ascii="Arial"/>
                <w:spacing w:val="-1"/>
                <w:sz w:val="17"/>
                <w:u w:val="single" w:color="000000"/>
              </w:rPr>
              <w:t>12,476,123,184</w:t>
              <w:tab/>
            </w:r>
            <w:r>
              <w:rPr>
                <w:rFonts w:ascii="Arial"/>
                <w:spacing w:val="-1"/>
                <w:sz w:val="17"/>
              </w:rPr>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1"/>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 </w:t>
            </w:r>
            <w:r>
              <w:rPr>
                <w:rFonts w:ascii="Arial"/>
                <w:spacing w:val="10"/>
                <w:sz w:val="17"/>
                <w:u w:val="single" w:color="000000"/>
              </w:rPr>
              <w:t> </w:t>
            </w:r>
            <w:r>
              <w:rPr>
                <w:rFonts w:ascii="Arial"/>
                <w:spacing w:val="-1"/>
                <w:sz w:val="17"/>
                <w:u w:val="single" w:color="000000"/>
              </w:rPr>
              <w:t>(501,142,971,728)</w:t>
            </w:r>
            <w:r>
              <w:rPr>
                <w:rFonts w:ascii="Arial"/>
                <w:spacing w:val="-1"/>
                <w:sz w:val="17"/>
              </w:rPr>
            </w:r>
          </w:p>
        </w:tc>
      </w:tr>
      <w:tr>
        <w:trPr>
          <w:trHeight w:val="316"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68"/>
              <w:ind w:left="200" w:right="0"/>
              <w:jc w:val="left"/>
              <w:rPr>
                <w:rFonts w:ascii="宋体" w:hAnsi="宋体" w:cs="宋体" w:eastAsia="宋体" w:hint="default"/>
                <w:sz w:val="17"/>
                <w:szCs w:val="17"/>
              </w:rPr>
            </w:pPr>
            <w:r>
              <w:rPr>
                <w:rFonts w:ascii="宋体" w:hAnsi="宋体" w:cs="宋体" w:eastAsia="宋体" w:hint="default"/>
                <w:sz w:val="17"/>
                <w:szCs w:val="17"/>
              </w:rPr>
              <w:t>账面净值</w:t>
            </w:r>
          </w:p>
        </w:tc>
        <w:tc>
          <w:tcPr>
            <w:tcW w:w="174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
        </w:tc>
      </w:tr>
      <w:tr>
        <w:trPr>
          <w:trHeight w:val="230"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195" w:lineRule="exact"/>
              <w:ind w:left="398" w:right="0"/>
              <w:jc w:val="left"/>
              <w:rPr>
                <w:rFonts w:ascii="宋体" w:hAnsi="宋体" w:cs="宋体" w:eastAsia="宋体" w:hint="default"/>
                <w:sz w:val="17"/>
                <w:szCs w:val="17"/>
              </w:rPr>
            </w:pPr>
            <w:r>
              <w:rPr>
                <w:rFonts w:ascii="宋体" w:hAnsi="宋体" w:cs="宋体" w:eastAsia="宋体" w:hint="default"/>
                <w:sz w:val="17"/>
                <w:szCs w:val="17"/>
              </w:rPr>
              <w:t>房屋建筑物</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6"/>
              <w:jc w:val="right"/>
              <w:rPr>
                <w:rFonts w:ascii="Arial" w:hAnsi="Arial" w:cs="Arial" w:eastAsia="Arial" w:hint="default"/>
                <w:sz w:val="17"/>
                <w:szCs w:val="17"/>
              </w:rPr>
            </w:pPr>
            <w:r>
              <w:rPr>
                <w:rFonts w:ascii="Arial"/>
                <w:spacing w:val="-1"/>
                <w:sz w:val="17"/>
              </w:rPr>
              <w:t>38,936,795,102</w:t>
            </w:r>
          </w:p>
        </w:tc>
        <w:tc>
          <w:tcPr>
            <w:tcW w:w="1613"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6"/>
              <w:jc w:val="right"/>
              <w:rPr>
                <w:rFonts w:ascii="Arial" w:hAnsi="Arial" w:cs="Arial" w:eastAsia="Arial" w:hint="default"/>
                <w:sz w:val="17"/>
                <w:szCs w:val="17"/>
              </w:rPr>
            </w:pPr>
            <w:r>
              <w:rPr>
                <w:rFonts w:ascii="Arial"/>
                <w:spacing w:val="-1"/>
                <w:sz w:val="17"/>
              </w:rPr>
              <w:t>40,428,559,855</w:t>
            </w:r>
          </w:p>
        </w:tc>
      </w:tr>
      <w:tr>
        <w:trPr>
          <w:trHeight w:val="221"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185" w:lineRule="exact"/>
              <w:ind w:left="398" w:right="0"/>
              <w:jc w:val="left"/>
              <w:rPr>
                <w:rFonts w:ascii="宋体" w:hAnsi="宋体" w:cs="宋体" w:eastAsia="宋体" w:hint="default"/>
                <w:sz w:val="17"/>
                <w:szCs w:val="17"/>
              </w:rPr>
            </w:pPr>
            <w:r>
              <w:rPr>
                <w:rFonts w:ascii="宋体" w:hAnsi="宋体" w:cs="宋体" w:eastAsia="宋体" w:hint="default"/>
                <w:sz w:val="17"/>
                <w:szCs w:val="17"/>
              </w:rPr>
              <w:t>通信设备</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8"/>
              <w:jc w:val="right"/>
              <w:rPr>
                <w:rFonts w:ascii="Arial" w:hAnsi="Arial" w:cs="Arial" w:eastAsia="Arial" w:hint="default"/>
                <w:sz w:val="17"/>
                <w:szCs w:val="17"/>
              </w:rPr>
            </w:pPr>
            <w:r>
              <w:rPr>
                <w:rFonts w:ascii="Arial"/>
                <w:spacing w:val="-1"/>
                <w:sz w:val="17"/>
              </w:rPr>
              <w:t>287,028,622,943</w:t>
            </w:r>
          </w:p>
        </w:tc>
        <w:tc>
          <w:tcPr>
            <w:tcW w:w="1613"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98" w:right="0"/>
              <w:jc w:val="left"/>
              <w:rPr>
                <w:rFonts w:ascii="Arial" w:hAnsi="Arial" w:cs="Arial" w:eastAsia="Arial" w:hint="default"/>
                <w:sz w:val="17"/>
                <w:szCs w:val="17"/>
              </w:rPr>
            </w:pPr>
            <w:r>
              <w:rPr>
                <w:rFonts w:ascii="Arial"/>
                <w:sz w:val="17"/>
              </w:rPr>
              <w:t>329,755,298,197</w:t>
            </w:r>
          </w:p>
        </w:tc>
      </w:tr>
      <w:tr>
        <w:trPr>
          <w:trHeight w:val="228"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185" w:lineRule="exact"/>
              <w:ind w:right="75"/>
              <w:jc w:val="right"/>
              <w:rPr>
                <w:rFonts w:ascii="宋体" w:hAnsi="宋体" w:cs="宋体" w:eastAsia="宋体" w:hint="default"/>
                <w:sz w:val="17"/>
                <w:szCs w:val="17"/>
              </w:rPr>
            </w:pPr>
            <w:r>
              <w:rPr>
                <w:rFonts w:ascii="宋体" w:hAnsi="宋体" w:cs="宋体" w:eastAsia="宋体" w:hint="default"/>
                <w:spacing w:val="-1"/>
                <w:sz w:val="17"/>
                <w:szCs w:val="17"/>
              </w:rPr>
              <w:t>办公设备及其他</w:t>
            </w:r>
          </w:p>
        </w:tc>
        <w:tc>
          <w:tcPr>
            <w:tcW w:w="1746" w:type="dxa"/>
            <w:tcBorders>
              <w:top w:val="nil" w:sz="6" w:space="0" w:color="auto"/>
              <w:left w:val="nil" w:sz="6" w:space="0" w:color="auto"/>
              <w:bottom w:val="nil" w:sz="6" w:space="0" w:color="auto"/>
              <w:right w:val="nil" w:sz="6" w:space="0" w:color="auto"/>
            </w:tcBorders>
          </w:tcPr>
          <w:p>
            <w:pPr>
              <w:pStyle w:val="TableParagraph"/>
              <w:tabs>
                <w:tab w:pos="473" w:val="left" w:leader="none"/>
                <w:tab w:pos="1745" w:val="left" w:leader="none"/>
              </w:tabs>
              <w:spacing w:line="240" w:lineRule="auto" w:before="14"/>
              <w:ind w:right="0"/>
              <w:jc w:val="lef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t>11,606,736,559</w:t>
              <w:tab/>
            </w:r>
            <w:r>
              <w:rPr>
                <w:rFonts w:ascii="Arial"/>
                <w:sz w:val="17"/>
              </w:rPr>
            </w:r>
          </w:p>
        </w:tc>
        <w:tc>
          <w:tcPr>
            <w:tcW w:w="1613"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c>
          <w:tcPr>
            <w:tcW w:w="3142" w:type="dxa"/>
            <w:gridSpan w:val="2"/>
            <w:tcBorders>
              <w:top w:val="nil" w:sz="6" w:space="0" w:color="auto"/>
              <w:left w:val="nil" w:sz="6" w:space="0" w:color="auto"/>
              <w:bottom w:val="nil" w:sz="6" w:space="0" w:color="auto"/>
              <w:right w:val="nil" w:sz="6" w:space="0" w:color="auto"/>
            </w:tcBorders>
          </w:tcPr>
          <w:p>
            <w:pPr>
              <w:pStyle w:val="TableParagraph"/>
              <w:tabs>
                <w:tab w:pos="1964" w:val="left" w:leader="none"/>
                <w:tab w:pos="3141" w:val="left" w:leader="none"/>
              </w:tabs>
              <w:spacing w:line="240" w:lineRule="auto" w:before="14"/>
              <w:ind w:left="1566" w:right="0"/>
              <w:jc w:val="lef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t>9,081,064,166</w:t>
              <w:tab/>
            </w:r>
            <w:r>
              <w:rPr>
                <w:rFonts w:ascii="Arial"/>
                <w:sz w:val="17"/>
              </w:rPr>
            </w:r>
          </w:p>
        </w:tc>
      </w:tr>
      <w:tr>
        <w:trPr>
          <w:trHeight w:val="333"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193" w:lineRule="exact"/>
              <w:ind w:left="398" w:right="0"/>
              <w:jc w:val="left"/>
              <w:rPr>
                <w:rFonts w:ascii="宋体" w:hAnsi="宋体" w:cs="宋体" w:eastAsia="宋体" w:hint="default"/>
                <w:sz w:val="17"/>
                <w:szCs w:val="17"/>
              </w:rPr>
            </w:pPr>
            <w:r>
              <w:rPr>
                <w:rFonts w:ascii="宋体" w:hAnsi="宋体" w:cs="宋体" w:eastAsia="宋体" w:hint="default"/>
                <w:sz w:val="17"/>
                <w:szCs w:val="17"/>
              </w:rPr>
              <w:t>小计</w:t>
            </w:r>
          </w:p>
        </w:tc>
        <w:tc>
          <w:tcPr>
            <w:tcW w:w="1746" w:type="dxa"/>
            <w:tcBorders>
              <w:top w:val="nil" w:sz="6" w:space="0" w:color="auto"/>
              <w:left w:val="nil" w:sz="6" w:space="0" w:color="auto"/>
              <w:bottom w:val="nil" w:sz="6" w:space="0" w:color="auto"/>
              <w:right w:val="nil" w:sz="6" w:space="0" w:color="auto"/>
            </w:tcBorders>
          </w:tcPr>
          <w:p>
            <w:pPr>
              <w:pStyle w:val="TableParagraph"/>
              <w:tabs>
                <w:tab w:pos="379" w:val="left" w:leader="none"/>
                <w:tab w:pos="1745" w:val="left" w:leader="none"/>
              </w:tabs>
              <w:spacing w:line="240" w:lineRule="auto" w:before="21"/>
              <w:ind w:right="0"/>
              <w:jc w:val="lef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t>337,572,154,604</w:t>
              <w:tab/>
            </w:r>
            <w:r>
              <w:rPr>
                <w:rFonts w:ascii="Arial"/>
                <w:sz w:val="17"/>
              </w:rPr>
            </w:r>
          </w:p>
        </w:tc>
        <w:tc>
          <w:tcPr>
            <w:tcW w:w="1613"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c>
          <w:tcPr>
            <w:tcW w:w="3142" w:type="dxa"/>
            <w:gridSpan w:val="2"/>
            <w:tcBorders>
              <w:top w:val="nil" w:sz="6" w:space="0" w:color="auto"/>
              <w:left w:val="nil" w:sz="6" w:space="0" w:color="auto"/>
              <w:bottom w:val="nil" w:sz="6" w:space="0" w:color="auto"/>
              <w:right w:val="nil" w:sz="6" w:space="0" w:color="auto"/>
            </w:tcBorders>
          </w:tcPr>
          <w:p>
            <w:pPr>
              <w:pStyle w:val="TableParagraph"/>
              <w:tabs>
                <w:tab w:pos="3141" w:val="left" w:leader="none"/>
              </w:tabs>
              <w:spacing w:line="240" w:lineRule="auto" w:before="21"/>
              <w:ind w:left="1566" w:right="0"/>
              <w:jc w:val="lef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  </w:t>
            </w:r>
            <w:r>
              <w:rPr>
                <w:rFonts w:ascii="Arial"/>
                <w:spacing w:val="19"/>
                <w:sz w:val="17"/>
                <w:u w:val="single" w:color="000000"/>
              </w:rPr>
              <w:t> </w:t>
            </w:r>
            <w:r>
              <w:rPr>
                <w:rFonts w:ascii="Arial"/>
                <w:sz w:val="17"/>
                <w:u w:val="single" w:color="000000"/>
              </w:rPr>
              <w:t>379,264,922,218</w:t>
              <w:tab/>
            </w:r>
            <w:r>
              <w:rPr>
                <w:rFonts w:ascii="Arial"/>
                <w:sz w:val="17"/>
              </w:rPr>
            </w:r>
          </w:p>
        </w:tc>
      </w:tr>
      <w:tr>
        <w:trPr>
          <w:trHeight w:val="316"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68"/>
              <w:ind w:left="200" w:right="0"/>
              <w:jc w:val="left"/>
              <w:rPr>
                <w:rFonts w:ascii="宋体" w:hAnsi="宋体" w:cs="宋体" w:eastAsia="宋体" w:hint="default"/>
                <w:sz w:val="17"/>
                <w:szCs w:val="17"/>
              </w:rPr>
            </w:pPr>
            <w:r>
              <w:rPr>
                <w:rFonts w:ascii="宋体" w:hAnsi="宋体" w:cs="宋体" w:eastAsia="宋体" w:hint="default"/>
                <w:sz w:val="17"/>
                <w:szCs w:val="17"/>
              </w:rPr>
              <w:t>减值准备</w:t>
            </w:r>
          </w:p>
        </w:tc>
        <w:tc>
          <w:tcPr>
            <w:tcW w:w="174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
        </w:tc>
      </w:tr>
      <w:tr>
        <w:trPr>
          <w:trHeight w:val="231"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196" w:lineRule="exact"/>
              <w:ind w:left="398" w:right="0"/>
              <w:jc w:val="left"/>
              <w:rPr>
                <w:rFonts w:ascii="宋体" w:hAnsi="宋体" w:cs="宋体" w:eastAsia="宋体" w:hint="default"/>
                <w:sz w:val="17"/>
                <w:szCs w:val="17"/>
              </w:rPr>
            </w:pPr>
            <w:r>
              <w:rPr>
                <w:rFonts w:ascii="宋体" w:hAnsi="宋体" w:cs="宋体" w:eastAsia="宋体" w:hint="default"/>
                <w:sz w:val="17"/>
                <w:szCs w:val="17"/>
              </w:rPr>
              <w:t>房屋建筑物</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1"/>
              <w:jc w:val="right"/>
              <w:rPr>
                <w:rFonts w:ascii="Arial" w:hAnsi="Arial" w:cs="Arial" w:eastAsia="Arial" w:hint="default"/>
                <w:sz w:val="17"/>
                <w:szCs w:val="17"/>
              </w:rPr>
            </w:pPr>
            <w:r>
              <w:rPr>
                <w:rFonts w:ascii="Arial"/>
                <w:spacing w:val="-1"/>
                <w:sz w:val="17"/>
              </w:rPr>
              <w:t>(60,591)</w:t>
            </w:r>
          </w:p>
        </w:tc>
        <w:tc>
          <w:tcPr>
            <w:tcW w:w="1613"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23"/>
              <w:jc w:val="right"/>
              <w:rPr>
                <w:rFonts w:ascii="Arial" w:hAnsi="Arial" w:cs="Arial" w:eastAsia="Arial" w:hint="default"/>
                <w:sz w:val="17"/>
                <w:szCs w:val="17"/>
              </w:rPr>
            </w:pPr>
            <w:r>
              <w:rPr>
                <w:rFonts w:ascii="Arial"/>
                <w:w w:val="100"/>
                <w:sz w:val="17"/>
              </w:rPr>
              <w:t>-</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78"/>
              <w:jc w:val="right"/>
              <w:rPr>
                <w:rFonts w:ascii="Arial" w:hAnsi="Arial" w:cs="Arial" w:eastAsia="Arial" w:hint="default"/>
                <w:sz w:val="17"/>
                <w:szCs w:val="17"/>
              </w:rPr>
            </w:pPr>
            <w:r>
              <w:rPr>
                <w:rFonts w:ascii="Arial"/>
                <w:w w:val="100"/>
                <w:sz w:val="17"/>
              </w:rPr>
              <w:t>-</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1"/>
              <w:jc w:val="right"/>
              <w:rPr>
                <w:rFonts w:ascii="Arial" w:hAnsi="Arial" w:cs="Arial" w:eastAsia="Arial" w:hint="default"/>
                <w:sz w:val="17"/>
                <w:szCs w:val="17"/>
              </w:rPr>
            </w:pPr>
            <w:r>
              <w:rPr>
                <w:rFonts w:ascii="Arial"/>
                <w:spacing w:val="-1"/>
                <w:sz w:val="17"/>
              </w:rPr>
              <w:t>(60,591)</w:t>
            </w:r>
          </w:p>
        </w:tc>
      </w:tr>
      <w:tr>
        <w:trPr>
          <w:trHeight w:val="220"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185" w:lineRule="exact"/>
              <w:ind w:left="398" w:right="0"/>
              <w:jc w:val="left"/>
              <w:rPr>
                <w:rFonts w:ascii="宋体" w:hAnsi="宋体" w:cs="宋体" w:eastAsia="宋体" w:hint="default"/>
                <w:sz w:val="17"/>
                <w:szCs w:val="17"/>
              </w:rPr>
            </w:pPr>
            <w:r>
              <w:rPr>
                <w:rFonts w:ascii="宋体" w:hAnsi="宋体" w:cs="宋体" w:eastAsia="宋体" w:hint="default"/>
                <w:sz w:val="17"/>
                <w:szCs w:val="17"/>
              </w:rPr>
              <w:t>通信设备</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1"/>
              <w:jc w:val="right"/>
              <w:rPr>
                <w:rFonts w:ascii="Arial" w:hAnsi="Arial" w:cs="Arial" w:eastAsia="Arial" w:hint="default"/>
                <w:sz w:val="17"/>
                <w:szCs w:val="17"/>
              </w:rPr>
            </w:pPr>
            <w:r>
              <w:rPr>
                <w:rFonts w:ascii="Arial"/>
                <w:spacing w:val="-1"/>
                <w:sz w:val="17"/>
              </w:rPr>
              <w:t>(12,130,972,385)</w:t>
            </w:r>
          </w:p>
        </w:tc>
        <w:tc>
          <w:tcPr>
            <w:tcW w:w="1613"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3"/>
              <w:jc w:val="right"/>
              <w:rPr>
                <w:rFonts w:ascii="Arial" w:hAnsi="Arial" w:cs="Arial" w:eastAsia="Arial" w:hint="default"/>
                <w:sz w:val="17"/>
                <w:szCs w:val="17"/>
              </w:rPr>
            </w:pPr>
            <w:r>
              <w:rPr>
                <w:rFonts w:ascii="Arial"/>
                <w:w w:val="100"/>
                <w:sz w:val="17"/>
              </w:rPr>
              <w:t>-</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7"/>
              <w:jc w:val="right"/>
              <w:rPr>
                <w:rFonts w:ascii="Arial" w:hAnsi="Arial" w:cs="Arial" w:eastAsia="Arial" w:hint="default"/>
                <w:sz w:val="17"/>
                <w:szCs w:val="17"/>
              </w:rPr>
            </w:pPr>
            <w:r>
              <w:rPr>
                <w:rFonts w:ascii="Arial"/>
                <w:spacing w:val="-1"/>
                <w:sz w:val="17"/>
              </w:rPr>
              <w:t>152,075,372</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1"/>
              <w:jc w:val="right"/>
              <w:rPr>
                <w:rFonts w:ascii="Arial" w:hAnsi="Arial" w:cs="Arial" w:eastAsia="Arial" w:hint="default"/>
                <w:sz w:val="17"/>
                <w:szCs w:val="17"/>
              </w:rPr>
            </w:pPr>
            <w:r>
              <w:rPr>
                <w:rFonts w:ascii="Arial"/>
                <w:spacing w:val="-1"/>
                <w:sz w:val="17"/>
              </w:rPr>
              <w:t>(11,978,897,013)</w:t>
            </w:r>
          </w:p>
        </w:tc>
      </w:tr>
      <w:tr>
        <w:trPr>
          <w:trHeight w:val="229"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185" w:lineRule="exact"/>
              <w:ind w:right="75"/>
              <w:jc w:val="right"/>
              <w:rPr>
                <w:rFonts w:ascii="宋体" w:hAnsi="宋体" w:cs="宋体" w:eastAsia="宋体" w:hint="default"/>
                <w:sz w:val="17"/>
                <w:szCs w:val="17"/>
              </w:rPr>
            </w:pPr>
            <w:r>
              <w:rPr>
                <w:rFonts w:ascii="宋体" w:hAnsi="宋体" w:cs="宋体" w:eastAsia="宋体" w:hint="default"/>
                <w:spacing w:val="-1"/>
                <w:sz w:val="17"/>
                <w:szCs w:val="17"/>
              </w:rPr>
              <w:t>办公设备及其他</w:t>
            </w:r>
          </w:p>
        </w:tc>
        <w:tc>
          <w:tcPr>
            <w:tcW w:w="1746" w:type="dxa"/>
            <w:tcBorders>
              <w:top w:val="nil" w:sz="6" w:space="0" w:color="auto"/>
              <w:left w:val="nil" w:sz="6" w:space="0" w:color="auto"/>
              <w:bottom w:val="nil" w:sz="6" w:space="0" w:color="auto"/>
              <w:right w:val="nil" w:sz="6" w:space="0" w:color="auto"/>
            </w:tcBorders>
          </w:tcPr>
          <w:p>
            <w:pPr>
              <w:pStyle w:val="TableParagraph"/>
              <w:tabs>
                <w:tab w:pos="842" w:val="left" w:leader="none"/>
              </w:tabs>
              <w:spacing w:line="240" w:lineRule="auto" w:before="14"/>
              <w:ind w:right="0"/>
              <w:jc w:val="lef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t>(4,996,014)</w:t>
            </w:r>
            <w:r>
              <w:rPr>
                <w:rFonts w:ascii="Arial"/>
                <w:sz w:val="17"/>
              </w:rPr>
            </w:r>
          </w:p>
        </w:tc>
        <w:tc>
          <w:tcPr>
            <w:tcW w:w="1613"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tabs>
                <w:tab w:pos="1257" w:val="left" w:leader="none"/>
                <w:tab w:pos="1440" w:val="left" w:leader="none"/>
              </w:tabs>
              <w:spacing w:line="240" w:lineRule="auto" w:before="14"/>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t>-</w:t>
              <w:tab/>
            </w:r>
            <w:r>
              <w:rPr>
                <w:rFonts w:ascii="Arial"/>
                <w:sz w:val="17"/>
              </w:rPr>
            </w:r>
          </w:p>
        </w:tc>
        <w:tc>
          <w:tcPr>
            <w:tcW w:w="1476" w:type="dxa"/>
            <w:tcBorders>
              <w:top w:val="nil" w:sz="6" w:space="0" w:color="auto"/>
              <w:left w:val="nil" w:sz="6" w:space="0" w:color="auto"/>
              <w:bottom w:val="nil" w:sz="6" w:space="0" w:color="auto"/>
              <w:right w:val="nil" w:sz="6" w:space="0" w:color="auto"/>
            </w:tcBorders>
          </w:tcPr>
          <w:p>
            <w:pPr>
              <w:pStyle w:val="TableParagraph"/>
              <w:tabs>
                <w:tab w:pos="1249" w:val="left" w:leader="none"/>
              </w:tabs>
              <w:spacing w:line="240" w:lineRule="auto" w:before="14"/>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t>-</w:t>
              <w:tab/>
            </w:r>
            <w:r>
              <w:rPr>
                <w:rFonts w:ascii="Arial"/>
                <w:sz w:val="17"/>
              </w:rPr>
            </w:r>
          </w:p>
        </w:tc>
        <w:tc>
          <w:tcPr>
            <w:tcW w:w="1666" w:type="dxa"/>
            <w:tcBorders>
              <w:top w:val="nil" w:sz="6" w:space="0" w:color="auto"/>
              <w:left w:val="nil" w:sz="6" w:space="0" w:color="auto"/>
              <w:bottom w:val="nil" w:sz="6" w:space="0" w:color="auto"/>
              <w:right w:val="nil" w:sz="6" w:space="0" w:color="auto"/>
            </w:tcBorders>
          </w:tcPr>
          <w:p>
            <w:pPr>
              <w:pStyle w:val="TableParagraph"/>
              <w:tabs>
                <w:tab w:pos="671" w:val="left" w:leader="none"/>
              </w:tabs>
              <w:spacing w:line="240" w:lineRule="auto" w:before="14"/>
              <w:ind w:right="31"/>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1"/>
                <w:sz w:val="17"/>
                <w:u w:val="single" w:color="000000"/>
              </w:rPr>
              <w:t>(4,996,014)</w:t>
            </w:r>
            <w:r>
              <w:rPr>
                <w:rFonts w:ascii="Arial"/>
                <w:spacing w:val="-1"/>
                <w:sz w:val="17"/>
              </w:rPr>
            </w:r>
          </w:p>
        </w:tc>
      </w:tr>
      <w:tr>
        <w:trPr>
          <w:trHeight w:val="333"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193" w:lineRule="exact"/>
              <w:ind w:left="398" w:right="0"/>
              <w:jc w:val="left"/>
              <w:rPr>
                <w:rFonts w:ascii="宋体" w:hAnsi="宋体" w:cs="宋体" w:eastAsia="宋体" w:hint="default"/>
                <w:sz w:val="17"/>
                <w:szCs w:val="17"/>
              </w:rPr>
            </w:pPr>
            <w:r>
              <w:rPr>
                <w:rFonts w:ascii="宋体" w:hAnsi="宋体" w:cs="宋体" w:eastAsia="宋体" w:hint="default"/>
                <w:sz w:val="17"/>
                <w:szCs w:val="17"/>
              </w:rPr>
              <w:t>小计</w:t>
            </w:r>
          </w:p>
        </w:tc>
        <w:tc>
          <w:tcPr>
            <w:tcW w:w="1746"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20"/>
              <w:ind w:right="0"/>
              <w:jc w:val="lef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t>(12,136,028,990)</w:t>
            </w:r>
            <w:r>
              <w:rPr>
                <w:rFonts w:ascii="Arial"/>
                <w:sz w:val="17"/>
              </w:rPr>
            </w:r>
          </w:p>
        </w:tc>
        <w:tc>
          <w:tcPr>
            <w:tcW w:w="1613"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tabs>
                <w:tab w:pos="1257" w:val="left" w:leader="none"/>
                <w:tab w:pos="1440" w:val="left" w:leader="none"/>
              </w:tabs>
              <w:spacing w:line="240" w:lineRule="auto" w:before="20"/>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t>-</w:t>
              <w:tab/>
            </w:r>
            <w:r>
              <w:rPr>
                <w:rFonts w:ascii="Arial"/>
                <w:sz w:val="17"/>
              </w:rPr>
            </w:r>
          </w:p>
        </w:tc>
        <w:tc>
          <w:tcPr>
            <w:tcW w:w="1476" w:type="dxa"/>
            <w:tcBorders>
              <w:top w:val="nil" w:sz="6" w:space="0" w:color="auto"/>
              <w:left w:val="nil" w:sz="6" w:space="0" w:color="auto"/>
              <w:bottom w:val="nil" w:sz="6" w:space="0" w:color="auto"/>
              <w:right w:val="nil" w:sz="6" w:space="0" w:color="auto"/>
            </w:tcBorders>
          </w:tcPr>
          <w:p>
            <w:pPr>
              <w:pStyle w:val="TableParagraph"/>
              <w:tabs>
                <w:tab w:pos="359" w:val="left" w:leader="none"/>
                <w:tab w:pos="1385" w:val="left" w:leader="none"/>
              </w:tabs>
              <w:spacing w:line="240" w:lineRule="auto" w:before="20"/>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1"/>
                <w:sz w:val="17"/>
                <w:u w:val="single" w:color="000000"/>
              </w:rPr>
              <w:t>152,075,372</w:t>
              <w:tab/>
            </w:r>
            <w:r>
              <w:rPr>
                <w:rFonts w:ascii="Arial"/>
                <w:spacing w:val="-1"/>
                <w:sz w:val="17"/>
              </w:rPr>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1"/>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   </w:t>
            </w:r>
            <w:r>
              <w:rPr>
                <w:rFonts w:ascii="Arial"/>
                <w:spacing w:val="10"/>
                <w:sz w:val="17"/>
                <w:u w:val="single" w:color="000000"/>
              </w:rPr>
              <w:t> </w:t>
            </w:r>
            <w:r>
              <w:rPr>
                <w:rFonts w:ascii="Arial"/>
                <w:spacing w:val="-1"/>
                <w:sz w:val="17"/>
                <w:u w:val="single" w:color="000000"/>
              </w:rPr>
              <w:t>(11,983,953,618)</w:t>
            </w:r>
            <w:r>
              <w:rPr>
                <w:rFonts w:ascii="Arial"/>
                <w:spacing w:val="-1"/>
                <w:sz w:val="17"/>
              </w:rPr>
            </w:r>
          </w:p>
        </w:tc>
      </w:tr>
      <w:tr>
        <w:trPr>
          <w:trHeight w:val="316"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68"/>
              <w:ind w:left="200" w:right="0"/>
              <w:jc w:val="left"/>
              <w:rPr>
                <w:rFonts w:ascii="宋体" w:hAnsi="宋体" w:cs="宋体" w:eastAsia="宋体" w:hint="default"/>
                <w:sz w:val="17"/>
                <w:szCs w:val="17"/>
              </w:rPr>
            </w:pPr>
            <w:r>
              <w:rPr>
                <w:rFonts w:ascii="宋体" w:hAnsi="宋体" w:cs="宋体" w:eastAsia="宋体" w:hint="default"/>
                <w:sz w:val="17"/>
                <w:szCs w:val="17"/>
              </w:rPr>
              <w:t>账面价值</w:t>
            </w:r>
          </w:p>
        </w:tc>
        <w:tc>
          <w:tcPr>
            <w:tcW w:w="174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
        </w:tc>
      </w:tr>
      <w:tr>
        <w:trPr>
          <w:trHeight w:val="230"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195" w:lineRule="exact"/>
              <w:ind w:left="398" w:right="0"/>
              <w:jc w:val="left"/>
              <w:rPr>
                <w:rFonts w:ascii="宋体" w:hAnsi="宋体" w:cs="宋体" w:eastAsia="宋体" w:hint="default"/>
                <w:sz w:val="17"/>
                <w:szCs w:val="17"/>
              </w:rPr>
            </w:pPr>
            <w:r>
              <w:rPr>
                <w:rFonts w:ascii="宋体" w:hAnsi="宋体" w:cs="宋体" w:eastAsia="宋体" w:hint="default"/>
                <w:sz w:val="17"/>
                <w:szCs w:val="17"/>
              </w:rPr>
              <w:t>房屋建筑物</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6"/>
              <w:jc w:val="right"/>
              <w:rPr>
                <w:rFonts w:ascii="Arial" w:hAnsi="Arial" w:cs="Arial" w:eastAsia="Arial" w:hint="default"/>
                <w:sz w:val="17"/>
                <w:szCs w:val="17"/>
              </w:rPr>
            </w:pPr>
            <w:r>
              <w:rPr>
                <w:rFonts w:ascii="Arial"/>
                <w:spacing w:val="-1"/>
                <w:sz w:val="17"/>
              </w:rPr>
              <w:t>38,936,734,511</w:t>
            </w:r>
          </w:p>
        </w:tc>
        <w:tc>
          <w:tcPr>
            <w:tcW w:w="1613"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6"/>
              <w:jc w:val="right"/>
              <w:rPr>
                <w:rFonts w:ascii="Arial" w:hAnsi="Arial" w:cs="Arial" w:eastAsia="Arial" w:hint="default"/>
                <w:sz w:val="17"/>
                <w:szCs w:val="17"/>
              </w:rPr>
            </w:pPr>
            <w:r>
              <w:rPr>
                <w:rFonts w:ascii="Arial"/>
                <w:spacing w:val="-1"/>
                <w:sz w:val="17"/>
              </w:rPr>
              <w:t>40,428,499,264</w:t>
            </w:r>
          </w:p>
        </w:tc>
      </w:tr>
      <w:tr>
        <w:trPr>
          <w:trHeight w:val="221"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185" w:lineRule="exact"/>
              <w:ind w:left="398" w:right="0"/>
              <w:jc w:val="left"/>
              <w:rPr>
                <w:rFonts w:ascii="宋体" w:hAnsi="宋体" w:cs="宋体" w:eastAsia="宋体" w:hint="default"/>
                <w:sz w:val="17"/>
                <w:szCs w:val="17"/>
              </w:rPr>
            </w:pPr>
            <w:r>
              <w:rPr>
                <w:rFonts w:ascii="宋体" w:hAnsi="宋体" w:cs="宋体" w:eastAsia="宋体" w:hint="default"/>
                <w:sz w:val="17"/>
                <w:szCs w:val="17"/>
              </w:rPr>
              <w:t>通信设备</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8"/>
              <w:jc w:val="right"/>
              <w:rPr>
                <w:rFonts w:ascii="Arial" w:hAnsi="Arial" w:cs="Arial" w:eastAsia="Arial" w:hint="default"/>
                <w:sz w:val="17"/>
                <w:szCs w:val="17"/>
              </w:rPr>
            </w:pPr>
            <w:r>
              <w:rPr>
                <w:rFonts w:ascii="Arial"/>
                <w:spacing w:val="-1"/>
                <w:sz w:val="17"/>
              </w:rPr>
              <w:t>274,897,650,558</w:t>
            </w:r>
          </w:p>
        </w:tc>
        <w:tc>
          <w:tcPr>
            <w:tcW w:w="1613"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98" w:right="0"/>
              <w:jc w:val="left"/>
              <w:rPr>
                <w:rFonts w:ascii="Arial" w:hAnsi="Arial" w:cs="Arial" w:eastAsia="Arial" w:hint="default"/>
                <w:sz w:val="17"/>
                <w:szCs w:val="17"/>
              </w:rPr>
            </w:pPr>
            <w:r>
              <w:rPr>
                <w:rFonts w:ascii="Arial"/>
                <w:sz w:val="17"/>
              </w:rPr>
              <w:t>317,776,401,184</w:t>
            </w:r>
          </w:p>
        </w:tc>
      </w:tr>
      <w:tr>
        <w:trPr>
          <w:trHeight w:val="228"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186" w:lineRule="exact"/>
              <w:ind w:right="75"/>
              <w:jc w:val="right"/>
              <w:rPr>
                <w:rFonts w:ascii="宋体" w:hAnsi="宋体" w:cs="宋体" w:eastAsia="宋体" w:hint="default"/>
                <w:sz w:val="17"/>
                <w:szCs w:val="17"/>
              </w:rPr>
            </w:pPr>
            <w:r>
              <w:rPr>
                <w:rFonts w:ascii="宋体" w:hAnsi="宋体" w:cs="宋体" w:eastAsia="宋体" w:hint="default"/>
                <w:spacing w:val="-1"/>
                <w:sz w:val="17"/>
                <w:szCs w:val="17"/>
              </w:rPr>
              <w:t>办公设备及其他</w:t>
            </w:r>
          </w:p>
        </w:tc>
        <w:tc>
          <w:tcPr>
            <w:tcW w:w="1746" w:type="dxa"/>
            <w:tcBorders>
              <w:top w:val="nil" w:sz="6" w:space="0" w:color="auto"/>
              <w:left w:val="nil" w:sz="6" w:space="0" w:color="auto"/>
              <w:bottom w:val="nil" w:sz="6" w:space="0" w:color="auto"/>
              <w:right w:val="nil" w:sz="6" w:space="0" w:color="auto"/>
            </w:tcBorders>
          </w:tcPr>
          <w:p>
            <w:pPr>
              <w:pStyle w:val="TableParagraph"/>
              <w:tabs>
                <w:tab w:pos="473" w:val="left" w:leader="none"/>
                <w:tab w:pos="1745" w:val="left" w:leader="none"/>
              </w:tabs>
              <w:spacing w:line="240" w:lineRule="auto" w:before="14"/>
              <w:ind w:right="0"/>
              <w:jc w:val="lef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t>11,601,740,545</w:t>
              <w:tab/>
            </w:r>
            <w:r>
              <w:rPr>
                <w:rFonts w:ascii="Arial"/>
                <w:sz w:val="17"/>
              </w:rPr>
            </w:r>
          </w:p>
        </w:tc>
        <w:tc>
          <w:tcPr>
            <w:tcW w:w="1613"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tabs>
                <w:tab w:pos="398" w:val="left" w:leader="none"/>
                <w:tab w:pos="1575" w:val="left" w:leader="none"/>
              </w:tabs>
              <w:spacing w:line="240" w:lineRule="auto" w:before="14"/>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1"/>
                <w:sz w:val="17"/>
                <w:u w:val="single" w:color="000000"/>
              </w:rPr>
              <w:t>9,076,068,152</w:t>
              <w:tab/>
            </w:r>
            <w:r>
              <w:rPr>
                <w:rFonts w:ascii="Arial"/>
                <w:spacing w:val="-1"/>
                <w:sz w:val="17"/>
              </w:rPr>
            </w:r>
          </w:p>
        </w:tc>
      </w:tr>
      <w:tr>
        <w:trPr>
          <w:trHeight w:val="242"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193" w:lineRule="exact"/>
              <w:ind w:left="384"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746" w:type="dxa"/>
            <w:tcBorders>
              <w:top w:val="nil" w:sz="6" w:space="0" w:color="auto"/>
              <w:left w:val="nil" w:sz="6" w:space="0" w:color="auto"/>
              <w:bottom w:val="single" w:sz="17" w:space="0" w:color="000000"/>
              <w:right w:val="nil" w:sz="6" w:space="0" w:color="auto"/>
            </w:tcBorders>
          </w:tcPr>
          <w:p>
            <w:pPr>
              <w:pStyle w:val="TableParagraph"/>
              <w:spacing w:line="240" w:lineRule="auto" w:before="21"/>
              <w:ind w:right="88"/>
              <w:jc w:val="right"/>
              <w:rPr>
                <w:rFonts w:ascii="Arial" w:hAnsi="Arial" w:cs="Arial" w:eastAsia="Arial" w:hint="default"/>
                <w:sz w:val="17"/>
                <w:szCs w:val="17"/>
              </w:rPr>
            </w:pPr>
            <w:r>
              <w:rPr>
                <w:rFonts w:ascii="Arial"/>
                <w:spacing w:val="-1"/>
                <w:sz w:val="17"/>
              </w:rPr>
              <w:t>325,436,125,614</w:t>
            </w:r>
          </w:p>
        </w:tc>
        <w:tc>
          <w:tcPr>
            <w:tcW w:w="1613"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single" w:sz="17" w:space="0" w:color="000000"/>
              <w:right w:val="nil" w:sz="6" w:space="0" w:color="auto"/>
            </w:tcBorders>
          </w:tcPr>
          <w:p>
            <w:pPr>
              <w:pStyle w:val="TableParagraph"/>
              <w:spacing w:line="240" w:lineRule="auto" w:before="21"/>
              <w:ind w:left="298" w:right="0"/>
              <w:jc w:val="left"/>
              <w:rPr>
                <w:rFonts w:ascii="Arial" w:hAnsi="Arial" w:cs="Arial" w:eastAsia="Arial" w:hint="default"/>
                <w:sz w:val="17"/>
                <w:szCs w:val="17"/>
              </w:rPr>
            </w:pPr>
            <w:r>
              <w:rPr>
                <w:rFonts w:ascii="Arial"/>
                <w:sz w:val="17"/>
              </w:rPr>
              <w:t>367,280,968,600</w:t>
            </w:r>
          </w:p>
        </w:tc>
      </w:tr>
    </w:tbl>
    <w:p>
      <w:pPr>
        <w:spacing w:line="240" w:lineRule="auto" w:before="2"/>
        <w:rPr>
          <w:rFonts w:ascii="宋体" w:hAnsi="宋体" w:cs="宋体" w:eastAsia="宋体" w:hint="default"/>
          <w:sz w:val="14"/>
          <w:szCs w:val="14"/>
        </w:rPr>
      </w:pPr>
    </w:p>
    <w:p>
      <w:pPr>
        <w:pStyle w:val="BodyText"/>
        <w:spacing w:line="240" w:lineRule="auto" w:before="31"/>
        <w:ind w:left="550" w:right="0"/>
        <w:jc w:val="left"/>
      </w:pPr>
      <w:r>
        <w:rPr/>
        <w:t>于</w:t>
      </w:r>
      <w:r>
        <w:rPr>
          <w:spacing w:val="-57"/>
        </w:rPr>
        <w:t> </w:t>
      </w:r>
      <w:r>
        <w:rPr>
          <w:rFonts w:ascii="Arial" w:hAnsi="Arial" w:cs="Arial" w:eastAsia="Arial" w:hint="default"/>
        </w:rPr>
        <w:t>2012</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日，本集团无固定资产被抵押给银行作为抵押借款之用。</w:t>
      </w:r>
    </w:p>
    <w:p>
      <w:pPr>
        <w:spacing w:line="240" w:lineRule="auto" w:before="13"/>
        <w:rPr>
          <w:rFonts w:ascii="宋体" w:hAnsi="宋体" w:cs="宋体" w:eastAsia="宋体" w:hint="default"/>
          <w:sz w:val="17"/>
          <w:szCs w:val="17"/>
        </w:rPr>
      </w:pPr>
    </w:p>
    <w:p>
      <w:pPr>
        <w:pStyle w:val="BodyText"/>
        <w:spacing w:line="294" w:lineRule="exact"/>
        <w:ind w:left="550" w:right="0"/>
        <w:jc w:val="left"/>
        <w:rPr>
          <w:rFonts w:ascii="Arial" w:hAnsi="Arial" w:cs="Arial" w:eastAsia="Arial" w:hint="default"/>
        </w:rPr>
      </w:pPr>
      <w:r>
        <w:rPr/>
        <w:t>于 </w:t>
      </w:r>
      <w:r>
        <w:rPr>
          <w:rFonts w:ascii="Arial" w:hAnsi="Arial" w:cs="Arial" w:eastAsia="Arial" w:hint="default"/>
        </w:rPr>
        <w:t>2012 </w:t>
      </w:r>
      <w:r>
        <w:rPr/>
        <w:t>年度，固定资产计提的折旧金额约人民币 </w:t>
      </w:r>
      <w:r>
        <w:rPr>
          <w:rFonts w:ascii="Arial" w:hAnsi="Arial" w:cs="Arial" w:eastAsia="Arial" w:hint="default"/>
        </w:rPr>
        <w:t>578.08 </w:t>
      </w:r>
      <w:r>
        <w:rPr/>
        <w:t>亿元（</w:t>
      </w:r>
      <w:r>
        <w:rPr>
          <w:rFonts w:ascii="Arial" w:hAnsi="Arial" w:cs="Arial" w:eastAsia="Arial" w:hint="default"/>
        </w:rPr>
        <w:t>2011 </w:t>
      </w:r>
      <w:r>
        <w:rPr/>
        <w:t>年：约人民币</w:t>
      </w:r>
      <w:r>
        <w:rPr>
          <w:spacing w:val="-23"/>
        </w:rPr>
        <w:t> </w:t>
      </w:r>
      <w:r>
        <w:rPr>
          <w:rFonts w:ascii="Arial" w:hAnsi="Arial" w:cs="Arial" w:eastAsia="Arial" w:hint="default"/>
        </w:rPr>
        <w:t>552.28</w:t>
      </w:r>
    </w:p>
    <w:p>
      <w:pPr>
        <w:pStyle w:val="BodyText"/>
        <w:spacing w:line="285" w:lineRule="exact"/>
        <w:ind w:left="550" w:right="0"/>
        <w:jc w:val="left"/>
        <w:rPr>
          <w:rFonts w:ascii="Arial" w:hAnsi="Arial" w:cs="Arial" w:eastAsia="Arial" w:hint="default"/>
        </w:rPr>
      </w:pPr>
      <w:r>
        <w:rPr>
          <w:spacing w:val="-4"/>
        </w:rPr>
        <w:t>亿元），其中计入营业成本及管理费用的折旧费用分别约人民币</w:t>
      </w:r>
      <w:r>
        <w:rPr>
          <w:spacing w:val="-54"/>
        </w:rPr>
        <w:t> </w:t>
      </w:r>
      <w:r>
        <w:rPr>
          <w:rFonts w:ascii="Arial" w:hAnsi="Arial" w:cs="Arial" w:eastAsia="Arial" w:hint="default"/>
        </w:rPr>
        <w:t>558.53</w:t>
      </w:r>
      <w:r>
        <w:rPr>
          <w:rFonts w:ascii="Arial" w:hAnsi="Arial" w:cs="Arial" w:eastAsia="Arial" w:hint="default"/>
          <w:spacing w:val="-8"/>
        </w:rPr>
        <w:t> </w:t>
      </w:r>
      <w:r>
        <w:rPr/>
        <w:t>亿元及约人民币</w:t>
      </w:r>
      <w:r>
        <w:rPr>
          <w:spacing w:val="-57"/>
        </w:rPr>
        <w:t> </w:t>
      </w:r>
      <w:r>
        <w:rPr>
          <w:rFonts w:ascii="Arial" w:hAnsi="Arial" w:cs="Arial" w:eastAsia="Arial" w:hint="default"/>
        </w:rPr>
        <w:t>19.55</w:t>
      </w:r>
    </w:p>
    <w:p>
      <w:pPr>
        <w:pStyle w:val="BodyText"/>
        <w:spacing w:line="295" w:lineRule="exact"/>
        <w:ind w:left="550" w:right="0"/>
        <w:jc w:val="left"/>
      </w:pPr>
      <w:r>
        <w:rPr/>
        <w:t>亿元（</w:t>
      </w:r>
      <w:r>
        <w:rPr>
          <w:rFonts w:ascii="Arial" w:hAnsi="Arial" w:cs="Arial" w:eastAsia="Arial" w:hint="default"/>
        </w:rPr>
        <w:t>2011</w:t>
      </w:r>
      <w:r>
        <w:rPr>
          <w:rFonts w:ascii="Arial" w:hAnsi="Arial" w:cs="Arial" w:eastAsia="Arial" w:hint="default"/>
          <w:spacing w:val="-8"/>
        </w:rPr>
        <w:t> </w:t>
      </w:r>
      <w:r>
        <w:rPr/>
        <w:t>年：约人民币</w:t>
      </w:r>
      <w:r>
        <w:rPr>
          <w:spacing w:val="-58"/>
        </w:rPr>
        <w:t> </w:t>
      </w:r>
      <w:r>
        <w:rPr>
          <w:rFonts w:ascii="Arial" w:hAnsi="Arial" w:cs="Arial" w:eastAsia="Arial" w:hint="default"/>
        </w:rPr>
        <w:t>537.49</w:t>
      </w:r>
      <w:r>
        <w:rPr>
          <w:rFonts w:ascii="Arial" w:hAnsi="Arial" w:cs="Arial" w:eastAsia="Arial" w:hint="default"/>
          <w:spacing w:val="-9"/>
        </w:rPr>
        <w:t> </w:t>
      </w:r>
      <w:r>
        <w:rPr/>
        <w:t>亿元及约人民币</w:t>
      </w:r>
      <w:r>
        <w:rPr>
          <w:spacing w:val="-58"/>
        </w:rPr>
        <w:t> </w:t>
      </w:r>
      <w:r>
        <w:rPr>
          <w:rFonts w:ascii="Arial" w:hAnsi="Arial" w:cs="Arial" w:eastAsia="Arial" w:hint="default"/>
        </w:rPr>
        <w:t>14.79</w:t>
      </w:r>
      <w:r>
        <w:rPr>
          <w:rFonts w:ascii="Arial" w:hAnsi="Arial" w:cs="Arial" w:eastAsia="Arial" w:hint="default"/>
          <w:spacing w:val="-9"/>
        </w:rPr>
        <w:t> </w:t>
      </w:r>
      <w:r>
        <w:rPr/>
        <w:t>亿元）。</w:t>
      </w:r>
    </w:p>
    <w:p>
      <w:pPr>
        <w:spacing w:line="240" w:lineRule="auto" w:before="13"/>
        <w:rPr>
          <w:rFonts w:ascii="宋体" w:hAnsi="宋体" w:cs="宋体" w:eastAsia="宋体" w:hint="default"/>
          <w:sz w:val="17"/>
          <w:szCs w:val="17"/>
        </w:rPr>
      </w:pPr>
    </w:p>
    <w:p>
      <w:pPr>
        <w:pStyle w:val="BodyText"/>
        <w:spacing w:line="295" w:lineRule="exact"/>
        <w:ind w:left="550" w:right="0"/>
        <w:jc w:val="left"/>
        <w:rPr>
          <w:rFonts w:ascii="Arial" w:hAnsi="Arial" w:cs="Arial" w:eastAsia="Arial" w:hint="default"/>
        </w:rPr>
      </w:pPr>
      <w:r>
        <w:rPr>
          <w:w w:val="99"/>
        </w:rPr>
        <w:t>于</w:t>
      </w:r>
      <w:r>
        <w:rPr>
          <w:spacing w:val="-82"/>
        </w:rPr>
        <w:t> </w:t>
      </w:r>
      <w:r>
        <w:rPr>
          <w:rFonts w:ascii="Arial" w:hAnsi="Arial" w:cs="Arial" w:eastAsia="Arial" w:hint="default"/>
          <w:w w:val="99"/>
        </w:rPr>
        <w:t>2012</w:t>
      </w:r>
      <w:r>
        <w:rPr>
          <w:rFonts w:ascii="Arial" w:hAnsi="Arial" w:cs="Arial" w:eastAsia="Arial" w:hint="default"/>
          <w:spacing w:val="-32"/>
        </w:rPr>
        <w:t> </w:t>
      </w:r>
      <w:r>
        <w:rPr>
          <w:w w:val="99"/>
        </w:rPr>
        <w:t>年度</w:t>
      </w:r>
      <w:r>
        <w:rPr>
          <w:spacing w:val="-111"/>
          <w:w w:val="99"/>
        </w:rPr>
        <w:t>，</w:t>
      </w:r>
      <w:r>
        <w:rPr>
          <w:w w:val="99"/>
        </w:rPr>
        <w:t>由在建工程转入的固定资产原价约人民币</w:t>
      </w:r>
      <w:r>
        <w:rPr>
          <w:spacing w:val="-79"/>
        </w:rPr>
        <w:t> </w:t>
      </w:r>
      <w:r>
        <w:rPr>
          <w:rFonts w:ascii="Arial" w:hAnsi="Arial" w:cs="Arial" w:eastAsia="Arial" w:hint="default"/>
          <w:w w:val="99"/>
        </w:rPr>
        <w:t>871</w:t>
      </w:r>
      <w:r>
        <w:rPr>
          <w:rFonts w:ascii="Arial" w:hAnsi="Arial" w:cs="Arial" w:eastAsia="Arial" w:hint="default"/>
          <w:spacing w:val="1"/>
          <w:w w:val="99"/>
        </w:rPr>
        <w:t>.</w:t>
      </w:r>
      <w:r>
        <w:rPr>
          <w:rFonts w:ascii="Arial" w:hAnsi="Arial" w:cs="Arial" w:eastAsia="Arial" w:hint="default"/>
          <w:w w:val="99"/>
        </w:rPr>
        <w:t>21</w:t>
      </w:r>
      <w:r>
        <w:rPr>
          <w:rFonts w:ascii="Arial" w:hAnsi="Arial" w:cs="Arial" w:eastAsia="Arial" w:hint="default"/>
          <w:spacing w:val="-32"/>
        </w:rPr>
        <w:t> </w:t>
      </w:r>
      <w:r>
        <w:rPr>
          <w:w w:val="99"/>
        </w:rPr>
        <w:t>亿</w:t>
      </w:r>
      <w:r>
        <w:rPr>
          <w:spacing w:val="-111"/>
          <w:w w:val="99"/>
        </w:rPr>
        <w:t>元</w:t>
      </w:r>
      <w:r>
        <w:rPr>
          <w:w w:val="99"/>
        </w:rPr>
        <w:t>（</w:t>
      </w:r>
      <w:r>
        <w:rPr>
          <w:rFonts w:ascii="Arial" w:hAnsi="Arial" w:cs="Arial" w:eastAsia="Arial" w:hint="default"/>
          <w:w w:val="99"/>
        </w:rPr>
        <w:t>20</w:t>
      </w:r>
      <w:r>
        <w:rPr>
          <w:rFonts w:ascii="Arial" w:hAnsi="Arial" w:cs="Arial" w:eastAsia="Arial" w:hint="default"/>
          <w:spacing w:val="1"/>
          <w:w w:val="99"/>
        </w:rPr>
        <w:t>1</w:t>
      </w:r>
      <w:r>
        <w:rPr>
          <w:rFonts w:ascii="Arial" w:hAnsi="Arial" w:cs="Arial" w:eastAsia="Arial" w:hint="default"/>
          <w:w w:val="99"/>
        </w:rPr>
        <w:t>1</w:t>
      </w:r>
      <w:r>
        <w:rPr>
          <w:rFonts w:ascii="Arial" w:hAnsi="Arial" w:cs="Arial" w:eastAsia="Arial" w:hint="default"/>
          <w:spacing w:val="-33"/>
        </w:rPr>
        <w:t> </w:t>
      </w:r>
      <w:r>
        <w:rPr>
          <w:w w:val="99"/>
        </w:rPr>
        <w:t>年</w:t>
      </w:r>
      <w:r>
        <w:rPr>
          <w:spacing w:val="-111"/>
          <w:w w:val="99"/>
        </w:rPr>
        <w:t>：</w:t>
      </w:r>
      <w:r>
        <w:rPr>
          <w:w w:val="99"/>
        </w:rPr>
        <w:t>约人民币</w:t>
      </w:r>
      <w:r>
        <w:rPr>
          <w:spacing w:val="-81"/>
        </w:rPr>
        <w:t> </w:t>
      </w:r>
      <w:r>
        <w:rPr>
          <w:rFonts w:ascii="Arial" w:hAnsi="Arial" w:cs="Arial" w:eastAsia="Arial" w:hint="default"/>
          <w:w w:val="99"/>
        </w:rPr>
        <w:t>766.</w:t>
      </w:r>
      <w:r>
        <w:rPr>
          <w:rFonts w:ascii="Arial" w:hAnsi="Arial" w:cs="Arial" w:eastAsia="Arial" w:hint="default"/>
          <w:w w:val="99"/>
        </w:rPr>
        <w:t>38</w:t>
      </w:r>
      <w:r>
        <w:rPr>
          <w:rFonts w:ascii="Arial" w:hAnsi="Arial" w:cs="Arial" w:eastAsia="Arial" w:hint="default"/>
        </w:rPr>
      </w:r>
    </w:p>
    <w:p>
      <w:pPr>
        <w:pStyle w:val="BodyText"/>
        <w:spacing w:line="279" w:lineRule="exact"/>
        <w:ind w:left="550" w:right="0"/>
        <w:jc w:val="left"/>
      </w:pPr>
      <w:r>
        <w:rPr/>
        <w:t>亿元）。</w:t>
      </w:r>
    </w:p>
    <w:p>
      <w:pPr>
        <w:spacing w:after="0" w:line="279" w:lineRule="exact"/>
        <w:jc w:val="left"/>
        <w:sectPr>
          <w:headerReference w:type="default" r:id="rId93"/>
          <w:footerReference w:type="default" r:id="rId94"/>
          <w:pgSz w:w="11910" w:h="16840"/>
          <w:pgMar w:header="1189" w:footer="457" w:top="3040" w:bottom="640" w:left="1280" w:right="600"/>
          <w:pgNumType w:start="112"/>
        </w:sectPr>
      </w:pPr>
    </w:p>
    <w:p>
      <w:pPr>
        <w:spacing w:line="240" w:lineRule="auto" w:before="9"/>
        <w:rPr>
          <w:rFonts w:ascii="宋体" w:hAnsi="宋体" w:cs="宋体" w:eastAsia="宋体" w:hint="default"/>
          <w:sz w:val="16"/>
          <w:szCs w:val="16"/>
        </w:rPr>
      </w:pPr>
    </w:p>
    <w:p>
      <w:pPr>
        <w:pStyle w:val="BodyText"/>
        <w:spacing w:line="240" w:lineRule="auto" w:before="31"/>
        <w:ind w:left="102" w:right="0"/>
        <w:jc w:val="left"/>
      </w:pPr>
      <w:r>
        <w:rPr>
          <w:rFonts w:ascii="Arial" w:hAnsi="Arial" w:cs="Arial" w:eastAsia="Arial" w:hint="default"/>
        </w:rPr>
        <w:t>10</w:t>
      </w:r>
      <w:r>
        <w:rPr/>
        <w:t>、固定资产（续）</w:t>
      </w:r>
    </w:p>
    <w:p>
      <w:pPr>
        <w:spacing w:line="240" w:lineRule="auto" w:before="0"/>
        <w:rPr>
          <w:rFonts w:ascii="宋体" w:hAnsi="宋体" w:cs="宋体" w:eastAsia="宋体" w:hint="default"/>
          <w:sz w:val="18"/>
          <w:szCs w:val="18"/>
        </w:rPr>
      </w:pPr>
    </w:p>
    <w:p>
      <w:pPr>
        <w:pStyle w:val="BodyText"/>
        <w:spacing w:line="295" w:lineRule="exact"/>
        <w:ind w:left="550" w:right="0"/>
        <w:jc w:val="left"/>
      </w:pPr>
      <w:r>
        <w:rPr/>
        <w:t>于</w:t>
      </w:r>
      <w:r>
        <w:rPr>
          <w:spacing w:val="-50"/>
        </w:rPr>
        <w:t> </w:t>
      </w:r>
      <w:r>
        <w:rPr>
          <w:rFonts w:ascii="Arial" w:hAnsi="Arial" w:cs="Arial" w:eastAsia="Arial" w:hint="default"/>
        </w:rPr>
        <w:t>2012 </w:t>
      </w:r>
      <w:r>
        <w:rPr/>
        <w:t>年度，本集团因固定资产报废清理而产生的净收益约人民币</w:t>
      </w:r>
      <w:r>
        <w:rPr>
          <w:spacing w:val="-46"/>
        </w:rPr>
        <w:t> </w:t>
      </w:r>
      <w:r>
        <w:rPr>
          <w:rFonts w:ascii="Arial" w:hAnsi="Arial" w:cs="Arial" w:eastAsia="Arial" w:hint="default"/>
        </w:rPr>
        <w:t>6.26</w:t>
      </w:r>
      <w:r>
        <w:rPr>
          <w:rFonts w:ascii="Arial" w:hAnsi="Arial" w:cs="Arial" w:eastAsia="Arial" w:hint="default"/>
          <w:spacing w:val="-1"/>
        </w:rPr>
        <w:t> </w:t>
      </w:r>
      <w:r>
        <w:rPr/>
        <w:t>亿元（</w:t>
      </w:r>
      <w:r>
        <w:rPr>
          <w:rFonts w:ascii="Arial" w:hAnsi="Arial" w:cs="Arial" w:eastAsia="Arial" w:hint="default"/>
        </w:rPr>
        <w:t>2011 </w:t>
      </w:r>
      <w:r>
        <w:rPr/>
        <w:t>年：净</w:t>
      </w:r>
    </w:p>
    <w:p>
      <w:pPr>
        <w:pStyle w:val="BodyText"/>
        <w:spacing w:line="295" w:lineRule="exact"/>
        <w:ind w:left="550" w:right="0"/>
        <w:jc w:val="left"/>
      </w:pPr>
      <w:r>
        <w:rPr/>
        <w:t>收益约人民币</w:t>
      </w:r>
      <w:r>
        <w:rPr>
          <w:spacing w:val="-57"/>
        </w:rPr>
        <w:t> </w:t>
      </w:r>
      <w:r>
        <w:rPr>
          <w:rFonts w:ascii="Arial" w:hAnsi="Arial" w:cs="Arial" w:eastAsia="Arial" w:hint="default"/>
        </w:rPr>
        <w:t>4.29</w:t>
      </w:r>
      <w:r>
        <w:rPr>
          <w:rFonts w:ascii="Arial" w:hAnsi="Arial" w:cs="Arial" w:eastAsia="Arial" w:hint="default"/>
          <w:spacing w:val="-8"/>
        </w:rPr>
        <w:t> </w:t>
      </w:r>
      <w:r>
        <w:rPr/>
        <w:t>亿元）。</w:t>
      </w:r>
    </w:p>
    <w:p>
      <w:pPr>
        <w:spacing w:line="240" w:lineRule="auto" w:before="12"/>
        <w:rPr>
          <w:rFonts w:ascii="宋体" w:hAnsi="宋体" w:cs="宋体" w:eastAsia="宋体" w:hint="default"/>
          <w:sz w:val="17"/>
          <w:szCs w:val="17"/>
        </w:rPr>
      </w:pPr>
    </w:p>
    <w:p>
      <w:pPr>
        <w:pStyle w:val="BodyText"/>
        <w:spacing w:line="240" w:lineRule="auto"/>
        <w:ind w:left="550" w:right="0"/>
        <w:jc w:val="left"/>
      </w:pPr>
      <w:r>
        <w:rPr/>
        <w:t>于</w:t>
      </w:r>
      <w:r>
        <w:rPr>
          <w:spacing w:val="-61"/>
        </w:rPr>
        <w:t> </w:t>
      </w:r>
      <w:r>
        <w:rPr>
          <w:rFonts w:ascii="Arial" w:hAnsi="Arial" w:cs="Arial" w:eastAsia="Arial" w:hint="default"/>
        </w:rPr>
        <w:t>2012</w:t>
      </w:r>
      <w:r>
        <w:rPr>
          <w:rFonts w:ascii="Arial" w:hAnsi="Arial" w:cs="Arial" w:eastAsia="Arial" w:hint="default"/>
          <w:spacing w:val="-12"/>
        </w:rPr>
        <w:t> </w:t>
      </w:r>
      <w:r>
        <w:rPr/>
        <w:t>年度，本集团的部分资产减值准备随资产报废处置而转出。</w:t>
      </w:r>
    </w:p>
    <w:p>
      <w:pPr>
        <w:spacing w:line="240" w:lineRule="auto" w:before="13"/>
        <w:rPr>
          <w:rFonts w:ascii="宋体" w:hAnsi="宋体" w:cs="宋体" w:eastAsia="宋体" w:hint="default"/>
          <w:sz w:val="17"/>
          <w:szCs w:val="17"/>
        </w:rPr>
      </w:pPr>
    </w:p>
    <w:p>
      <w:pPr>
        <w:pStyle w:val="BodyText"/>
        <w:spacing w:line="240" w:lineRule="auto"/>
        <w:ind w:left="102" w:right="0"/>
        <w:jc w:val="left"/>
      </w:pPr>
      <w:r>
        <w:rPr>
          <w:rFonts w:ascii="Arial" w:hAnsi="Arial" w:cs="Arial" w:eastAsia="Arial" w:hint="default"/>
        </w:rPr>
        <w:t>(a) </w:t>
      </w:r>
      <w:r>
        <w:rPr>
          <w:rFonts w:ascii="Arial" w:hAnsi="Arial" w:cs="Arial" w:eastAsia="Arial" w:hint="default"/>
          <w:spacing w:val="22"/>
        </w:rPr>
        <w:t> </w:t>
      </w:r>
      <w:r>
        <w:rPr/>
        <w:t>融资租入的固定资产</w:t>
      </w:r>
    </w:p>
    <w:p>
      <w:pPr>
        <w:spacing w:line="240" w:lineRule="auto" w:before="12"/>
        <w:rPr>
          <w:rFonts w:ascii="宋体" w:hAnsi="宋体" w:cs="宋体" w:eastAsia="宋体" w:hint="default"/>
          <w:sz w:val="17"/>
          <w:szCs w:val="17"/>
        </w:rPr>
      </w:pPr>
    </w:p>
    <w:p>
      <w:pPr>
        <w:pStyle w:val="BodyText"/>
        <w:spacing w:line="295" w:lineRule="exact"/>
        <w:ind w:left="550" w:right="0"/>
        <w:jc w:val="left"/>
      </w:pPr>
      <w:r>
        <w:rPr/>
        <w:t>于</w:t>
      </w:r>
      <w:r>
        <w:rPr>
          <w:spacing w:val="-57"/>
        </w:rPr>
        <w:t> </w:t>
      </w:r>
      <w:r>
        <w:rPr>
          <w:rFonts w:ascii="Arial" w:hAnsi="Arial" w:cs="Arial" w:eastAsia="Arial" w:hint="default"/>
        </w:rPr>
        <w:t>2012</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日，账面价值约人民币</w:t>
      </w:r>
      <w:r>
        <w:rPr>
          <w:spacing w:val="-56"/>
        </w:rPr>
        <w:t> </w:t>
      </w:r>
      <w:r>
        <w:rPr>
          <w:rFonts w:ascii="Arial" w:hAnsi="Arial" w:cs="Arial" w:eastAsia="Arial" w:hint="default"/>
        </w:rPr>
        <w:t>5.39</w:t>
      </w:r>
      <w:r>
        <w:rPr>
          <w:rFonts w:ascii="Arial" w:hAnsi="Arial" w:cs="Arial" w:eastAsia="Arial" w:hint="default"/>
          <w:spacing w:val="-7"/>
        </w:rPr>
        <w:t> </w:t>
      </w:r>
      <w:r>
        <w:rPr/>
        <w:t>亿元（原价约人民币</w:t>
      </w:r>
      <w:r>
        <w:rPr>
          <w:spacing w:val="-56"/>
        </w:rPr>
        <w:t> </w:t>
      </w:r>
      <w:r>
        <w:rPr>
          <w:rFonts w:ascii="Arial" w:hAnsi="Arial" w:cs="Arial" w:eastAsia="Arial" w:hint="default"/>
        </w:rPr>
        <w:t>6.13</w:t>
      </w:r>
      <w:r>
        <w:rPr>
          <w:rFonts w:ascii="Arial" w:hAnsi="Arial" w:cs="Arial" w:eastAsia="Arial" w:hint="default"/>
          <w:spacing w:val="-8"/>
        </w:rPr>
        <w:t> </w:t>
      </w:r>
      <w:r>
        <w:rPr/>
        <w:t>亿元）的固定资产</w:t>
      </w:r>
    </w:p>
    <w:p>
      <w:pPr>
        <w:pStyle w:val="BodyText"/>
        <w:spacing w:line="286" w:lineRule="exact"/>
        <w:ind w:left="550" w:right="0"/>
        <w:jc w:val="left"/>
      </w:pPr>
      <w:r>
        <w:rPr/>
        <w:t>系融资租入（</w:t>
      </w:r>
      <w:r>
        <w:rPr>
          <w:rFonts w:ascii="Arial" w:hAnsi="Arial" w:cs="Arial" w:eastAsia="Arial" w:hint="default"/>
        </w:rPr>
        <w:t>2011</w:t>
      </w:r>
      <w:r>
        <w:rPr>
          <w:rFonts w:ascii="Arial" w:hAnsi="Arial" w:cs="Arial" w:eastAsia="Arial" w:hint="default"/>
          <w:spacing w:val="-2"/>
        </w:rPr>
        <w:t> </w:t>
      </w:r>
      <w:r>
        <w:rPr/>
        <w:t>年</w:t>
      </w:r>
      <w:r>
        <w:rPr>
          <w:spacing w:val="-51"/>
        </w:rPr>
        <w:t> </w:t>
      </w:r>
      <w:r>
        <w:rPr>
          <w:rFonts w:ascii="Arial" w:hAnsi="Arial" w:cs="Arial" w:eastAsia="Arial" w:hint="default"/>
        </w:rPr>
        <w:t>12</w:t>
      </w:r>
      <w:r>
        <w:rPr>
          <w:rFonts w:ascii="Arial" w:hAnsi="Arial" w:cs="Arial" w:eastAsia="Arial" w:hint="default"/>
          <w:spacing w:val="-2"/>
        </w:rPr>
        <w:t> </w:t>
      </w:r>
      <w:r>
        <w:rPr/>
        <w:t>月</w:t>
      </w:r>
      <w:r>
        <w:rPr>
          <w:spacing w:val="-51"/>
        </w:rPr>
        <w:t> </w:t>
      </w:r>
      <w:r>
        <w:rPr>
          <w:rFonts w:ascii="Arial" w:hAnsi="Arial" w:cs="Arial" w:eastAsia="Arial" w:hint="default"/>
        </w:rPr>
        <w:t>31</w:t>
      </w:r>
      <w:r>
        <w:rPr>
          <w:rFonts w:ascii="Arial" w:hAnsi="Arial" w:cs="Arial" w:eastAsia="Arial" w:hint="default"/>
          <w:spacing w:val="-2"/>
        </w:rPr>
        <w:t> </w:t>
      </w:r>
      <w:r>
        <w:rPr/>
        <w:t>日：账面价值约人民币</w:t>
      </w:r>
      <w:r>
        <w:rPr>
          <w:spacing w:val="-50"/>
        </w:rPr>
        <w:t> </w:t>
      </w:r>
      <w:r>
        <w:rPr>
          <w:rFonts w:ascii="Arial" w:hAnsi="Arial" w:cs="Arial" w:eastAsia="Arial" w:hint="default"/>
        </w:rPr>
        <w:t>1.97</w:t>
      </w:r>
      <w:r>
        <w:rPr>
          <w:rFonts w:ascii="Arial" w:hAnsi="Arial" w:cs="Arial" w:eastAsia="Arial" w:hint="default"/>
          <w:spacing w:val="-1"/>
        </w:rPr>
        <w:t> </w:t>
      </w:r>
      <w:r>
        <w:rPr/>
        <w:t>亿元，原价约人民币</w:t>
      </w:r>
      <w:r>
        <w:rPr>
          <w:spacing w:val="-50"/>
        </w:rPr>
        <w:t> </w:t>
      </w:r>
      <w:r>
        <w:rPr>
          <w:rFonts w:ascii="Arial" w:hAnsi="Arial" w:cs="Arial" w:eastAsia="Arial" w:hint="default"/>
        </w:rPr>
        <w:t>2.32</w:t>
      </w:r>
      <w:r>
        <w:rPr>
          <w:rFonts w:ascii="Arial" w:hAnsi="Arial" w:cs="Arial" w:eastAsia="Arial" w:hint="default"/>
          <w:spacing w:val="-2"/>
        </w:rPr>
        <w:t> </w:t>
      </w:r>
      <w:r>
        <w:rPr/>
        <w:t>亿元）</w:t>
      </w:r>
    </w:p>
    <w:p>
      <w:pPr>
        <w:pStyle w:val="BodyText"/>
        <w:spacing w:line="279" w:lineRule="exact"/>
        <w:ind w:left="550" w:right="0"/>
        <w:jc w:val="left"/>
      </w:pPr>
      <w:r>
        <w:rPr/>
        <w:t>（见附注十二）。具体分析如下（单位：人民币百万元）：</w:t>
      </w:r>
    </w:p>
    <w:p>
      <w:pPr>
        <w:spacing w:line="240" w:lineRule="auto" w:before="5"/>
        <w:rPr>
          <w:rFonts w:ascii="宋体" w:hAnsi="宋体" w:cs="宋体" w:eastAsia="宋体" w:hint="default"/>
          <w:sz w:val="24"/>
          <w:szCs w:val="24"/>
        </w:rPr>
      </w:pPr>
    </w:p>
    <w:tbl>
      <w:tblPr>
        <w:tblW w:w="0" w:type="auto"/>
        <w:jc w:val="left"/>
        <w:tblInd w:w="454" w:type="dxa"/>
        <w:tblLayout w:type="fixed"/>
        <w:tblCellMar>
          <w:top w:w="0" w:type="dxa"/>
          <w:left w:w="0" w:type="dxa"/>
          <w:bottom w:w="0" w:type="dxa"/>
          <w:right w:w="0" w:type="dxa"/>
        </w:tblCellMar>
        <w:tblLook w:val="01E0"/>
      </w:tblPr>
      <w:tblGrid>
        <w:gridCol w:w="2367"/>
        <w:gridCol w:w="230"/>
        <w:gridCol w:w="1501"/>
        <w:gridCol w:w="230"/>
        <w:gridCol w:w="1458"/>
        <w:gridCol w:w="230"/>
        <w:gridCol w:w="1391"/>
        <w:gridCol w:w="230"/>
        <w:gridCol w:w="1478"/>
      </w:tblGrid>
      <w:tr>
        <w:trPr>
          <w:trHeight w:val="260" w:hRule="exact"/>
        </w:trPr>
        <w:tc>
          <w:tcPr>
            <w:tcW w:w="2367" w:type="dxa"/>
            <w:tcBorders>
              <w:top w:val="nil" w:sz="6" w:space="0" w:color="auto"/>
              <w:left w:val="nil" w:sz="6" w:space="0" w:color="auto"/>
              <w:bottom w:val="single" w:sz="6" w:space="0" w:color="000000"/>
              <w:right w:val="nil" w:sz="6" w:space="0" w:color="auto"/>
            </w:tcBorders>
          </w:tcPr>
          <w:p>
            <w:pPr>
              <w:pStyle w:val="TableParagraph"/>
              <w:spacing w:line="235" w:lineRule="exact"/>
              <w:ind w:left="107" w:right="0"/>
              <w:jc w:val="lef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30"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single" w:sz="6" w:space="0" w:color="000000"/>
              <w:right w:val="nil" w:sz="6" w:space="0" w:color="auto"/>
            </w:tcBorders>
          </w:tcPr>
          <w:p>
            <w:pPr>
              <w:pStyle w:val="TableParagraph"/>
              <w:spacing w:line="220" w:lineRule="exact"/>
              <w:ind w:left="952" w:right="0"/>
              <w:jc w:val="left"/>
              <w:rPr>
                <w:rFonts w:ascii="宋体" w:hAnsi="宋体" w:cs="宋体" w:eastAsia="宋体" w:hint="default"/>
                <w:sz w:val="22"/>
                <w:szCs w:val="22"/>
              </w:rPr>
            </w:pPr>
            <w:r>
              <w:rPr>
                <w:rFonts w:ascii="宋体" w:hAnsi="宋体" w:cs="宋体" w:eastAsia="宋体" w:hint="default"/>
                <w:sz w:val="22"/>
                <w:szCs w:val="22"/>
              </w:rPr>
              <w:t>原价</w:t>
            </w:r>
          </w:p>
        </w:tc>
        <w:tc>
          <w:tcPr>
            <w:tcW w:w="230"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single" w:sz="6" w:space="0" w:color="000000"/>
              <w:right w:val="nil" w:sz="6" w:space="0" w:color="auto"/>
            </w:tcBorders>
          </w:tcPr>
          <w:p>
            <w:pPr>
              <w:pStyle w:val="TableParagraph"/>
              <w:spacing w:line="220" w:lineRule="exact"/>
              <w:ind w:left="470" w:right="0"/>
              <w:jc w:val="left"/>
              <w:rPr>
                <w:rFonts w:ascii="宋体" w:hAnsi="宋体" w:cs="宋体" w:eastAsia="宋体" w:hint="default"/>
                <w:sz w:val="22"/>
                <w:szCs w:val="22"/>
              </w:rPr>
            </w:pPr>
            <w:r>
              <w:rPr>
                <w:rFonts w:ascii="宋体" w:hAnsi="宋体" w:cs="宋体" w:eastAsia="宋体" w:hint="default"/>
                <w:sz w:val="22"/>
                <w:szCs w:val="22"/>
              </w:rPr>
              <w:t>累计折旧</w:t>
            </w:r>
          </w:p>
        </w:tc>
        <w:tc>
          <w:tcPr>
            <w:tcW w:w="230"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single" w:sz="6" w:space="0" w:color="000000"/>
              <w:right w:val="nil" w:sz="6" w:space="0" w:color="auto"/>
            </w:tcBorders>
          </w:tcPr>
          <w:p>
            <w:pPr>
              <w:pStyle w:val="TableParagraph"/>
              <w:spacing w:line="220" w:lineRule="exact"/>
              <w:ind w:right="107"/>
              <w:jc w:val="right"/>
              <w:rPr>
                <w:rFonts w:ascii="宋体" w:hAnsi="宋体" w:cs="宋体" w:eastAsia="宋体" w:hint="default"/>
                <w:sz w:val="22"/>
                <w:szCs w:val="22"/>
              </w:rPr>
            </w:pPr>
            <w:r>
              <w:rPr>
                <w:rFonts w:ascii="宋体" w:hAnsi="宋体" w:cs="宋体" w:eastAsia="宋体" w:hint="default"/>
                <w:w w:val="95"/>
                <w:sz w:val="22"/>
                <w:szCs w:val="22"/>
              </w:rPr>
              <w:t>减值准备</w:t>
            </w:r>
            <w:r>
              <w:rPr>
                <w:rFonts w:ascii="宋体" w:hAnsi="宋体" w:cs="宋体" w:eastAsia="宋体" w:hint="default"/>
                <w:sz w:val="22"/>
                <w:szCs w:val="22"/>
              </w:rPr>
            </w:r>
          </w:p>
        </w:tc>
        <w:tc>
          <w:tcPr>
            <w:tcW w:w="230"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single" w:sz="6" w:space="0" w:color="000000"/>
              <w:right w:val="nil" w:sz="6" w:space="0" w:color="auto"/>
            </w:tcBorders>
          </w:tcPr>
          <w:p>
            <w:pPr>
              <w:pStyle w:val="TableParagraph"/>
              <w:spacing w:line="220" w:lineRule="exact"/>
              <w:ind w:right="107"/>
              <w:jc w:val="right"/>
              <w:rPr>
                <w:rFonts w:ascii="宋体" w:hAnsi="宋体" w:cs="宋体" w:eastAsia="宋体" w:hint="default"/>
                <w:sz w:val="22"/>
                <w:szCs w:val="22"/>
              </w:rPr>
            </w:pPr>
            <w:r>
              <w:rPr>
                <w:rFonts w:ascii="宋体" w:hAnsi="宋体" w:cs="宋体" w:eastAsia="宋体" w:hint="default"/>
                <w:w w:val="95"/>
                <w:sz w:val="22"/>
                <w:szCs w:val="22"/>
              </w:rPr>
              <w:t>账面价值</w:t>
            </w:r>
            <w:r>
              <w:rPr>
                <w:rFonts w:ascii="宋体" w:hAnsi="宋体" w:cs="宋体" w:eastAsia="宋体" w:hint="default"/>
                <w:sz w:val="22"/>
                <w:szCs w:val="22"/>
              </w:rPr>
            </w:r>
          </w:p>
        </w:tc>
      </w:tr>
      <w:tr>
        <w:trPr>
          <w:trHeight w:val="568" w:hRule="exact"/>
        </w:trPr>
        <w:tc>
          <w:tcPr>
            <w:tcW w:w="2367"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7" w:right="0"/>
              <w:jc w:val="left"/>
              <w:rPr>
                <w:rFonts w:ascii="宋体" w:hAnsi="宋体" w:cs="宋体" w:eastAsia="宋体" w:hint="default"/>
                <w:sz w:val="22"/>
                <w:szCs w:val="22"/>
              </w:rPr>
            </w:pPr>
            <w:r>
              <w:rPr>
                <w:rFonts w:ascii="宋体" w:hAnsi="宋体" w:cs="宋体" w:eastAsia="宋体" w:hint="default"/>
                <w:sz w:val="22"/>
                <w:szCs w:val="22"/>
              </w:rPr>
              <w:t>通信设备</w:t>
            </w:r>
          </w:p>
        </w:tc>
        <w:tc>
          <w:tcPr>
            <w:tcW w:w="230" w:type="dxa"/>
            <w:tcBorders>
              <w:top w:val="nil" w:sz="6" w:space="0" w:color="auto"/>
              <w:left w:val="nil" w:sz="6" w:space="0" w:color="auto"/>
              <w:bottom w:val="nil" w:sz="6" w:space="0" w:color="auto"/>
              <w:right w:val="nil" w:sz="6" w:space="0" w:color="auto"/>
            </w:tcBorders>
          </w:tcPr>
          <w:p>
            <w:pPr/>
          </w:p>
        </w:tc>
        <w:tc>
          <w:tcPr>
            <w:tcW w:w="1501" w:type="dxa"/>
            <w:tcBorders>
              <w:top w:val="single" w:sz="6"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825" w:right="0"/>
              <w:jc w:val="left"/>
              <w:rPr>
                <w:rFonts w:ascii="Arial" w:hAnsi="Arial" w:cs="Arial" w:eastAsia="Arial" w:hint="default"/>
                <w:sz w:val="22"/>
                <w:szCs w:val="22"/>
              </w:rPr>
            </w:pPr>
            <w:r>
              <w:rPr>
                <w:rFonts w:ascii="Arial"/>
                <w:sz w:val="22"/>
              </w:rPr>
              <w:t>613</w:t>
            </w:r>
          </w:p>
        </w:tc>
        <w:tc>
          <w:tcPr>
            <w:tcW w:w="230" w:type="dxa"/>
            <w:tcBorders>
              <w:top w:val="nil" w:sz="6" w:space="0" w:color="auto"/>
              <w:left w:val="nil" w:sz="6" w:space="0" w:color="auto"/>
              <w:bottom w:val="nil" w:sz="6" w:space="0" w:color="auto"/>
              <w:right w:val="nil" w:sz="6" w:space="0" w:color="auto"/>
            </w:tcBorders>
          </w:tcPr>
          <w:p>
            <w:pPr/>
          </w:p>
        </w:tc>
        <w:tc>
          <w:tcPr>
            <w:tcW w:w="1458" w:type="dxa"/>
            <w:tcBorders>
              <w:top w:val="single" w:sz="6"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852" w:right="0"/>
              <w:jc w:val="left"/>
              <w:rPr>
                <w:rFonts w:ascii="Arial" w:hAnsi="Arial" w:cs="Arial" w:eastAsia="Arial" w:hint="default"/>
                <w:sz w:val="22"/>
                <w:szCs w:val="22"/>
              </w:rPr>
            </w:pPr>
            <w:r>
              <w:rPr>
                <w:rFonts w:ascii="Arial"/>
                <w:sz w:val="22"/>
              </w:rPr>
              <w:t>(74)</w:t>
            </w:r>
          </w:p>
        </w:tc>
        <w:tc>
          <w:tcPr>
            <w:tcW w:w="230" w:type="dxa"/>
            <w:tcBorders>
              <w:top w:val="nil" w:sz="6" w:space="0" w:color="auto"/>
              <w:left w:val="nil" w:sz="6" w:space="0" w:color="auto"/>
              <w:bottom w:val="nil" w:sz="6" w:space="0" w:color="auto"/>
              <w:right w:val="nil" w:sz="6" w:space="0" w:color="auto"/>
            </w:tcBorders>
          </w:tcPr>
          <w:p>
            <w:pPr/>
          </w:p>
        </w:tc>
        <w:tc>
          <w:tcPr>
            <w:tcW w:w="1391" w:type="dxa"/>
            <w:tcBorders>
              <w:top w:val="single" w:sz="6"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24"/>
              <w:jc w:val="right"/>
              <w:rPr>
                <w:rFonts w:ascii="Arial" w:hAnsi="Arial" w:cs="Arial" w:eastAsia="Arial" w:hint="default"/>
                <w:sz w:val="22"/>
                <w:szCs w:val="22"/>
              </w:rPr>
            </w:pPr>
            <w:r>
              <w:rPr>
                <w:rFonts w:ascii="Arial"/>
                <w:w w:val="99"/>
                <w:sz w:val="22"/>
              </w:rPr>
              <w:t>-</w:t>
            </w:r>
            <w:r>
              <w:rPr>
                <w:rFonts w:ascii="Arial"/>
                <w:sz w:val="22"/>
              </w:rPr>
            </w:r>
          </w:p>
        </w:tc>
        <w:tc>
          <w:tcPr>
            <w:tcW w:w="230" w:type="dxa"/>
            <w:tcBorders>
              <w:top w:val="nil" w:sz="6" w:space="0" w:color="auto"/>
              <w:left w:val="nil" w:sz="6" w:space="0" w:color="auto"/>
              <w:bottom w:val="nil" w:sz="6" w:space="0" w:color="auto"/>
              <w:right w:val="nil" w:sz="6" w:space="0" w:color="auto"/>
            </w:tcBorders>
          </w:tcPr>
          <w:p>
            <w:pPr/>
          </w:p>
        </w:tc>
        <w:tc>
          <w:tcPr>
            <w:tcW w:w="1478" w:type="dxa"/>
            <w:tcBorders>
              <w:top w:val="single" w:sz="6"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50"/>
              <w:jc w:val="right"/>
              <w:rPr>
                <w:rFonts w:ascii="Arial" w:hAnsi="Arial" w:cs="Arial" w:eastAsia="Arial" w:hint="default"/>
                <w:sz w:val="22"/>
                <w:szCs w:val="22"/>
              </w:rPr>
            </w:pPr>
            <w:r>
              <w:rPr>
                <w:rFonts w:ascii="Arial"/>
                <w:w w:val="95"/>
                <w:sz w:val="22"/>
              </w:rPr>
              <w:t>539</w:t>
            </w:r>
            <w:r>
              <w:rPr>
                <w:rFonts w:ascii="Arial"/>
                <w:sz w:val="22"/>
              </w:rPr>
            </w:r>
          </w:p>
        </w:tc>
      </w:tr>
      <w:tr>
        <w:trPr>
          <w:trHeight w:val="569" w:hRule="exact"/>
        </w:trPr>
        <w:tc>
          <w:tcPr>
            <w:tcW w:w="2367" w:type="dxa"/>
            <w:tcBorders>
              <w:top w:val="nil" w:sz="6" w:space="0" w:color="auto"/>
              <w:left w:val="nil" w:sz="6" w:space="0" w:color="auto"/>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30" w:type="dxa"/>
            <w:tcBorders>
              <w:top w:val="nil" w:sz="6" w:space="0" w:color="auto"/>
              <w:left w:val="nil" w:sz="6" w:space="0" w:color="auto"/>
              <w:bottom w:val="nil" w:sz="6" w:space="0" w:color="auto"/>
              <w:right w:val="nil" w:sz="6" w:space="0" w:color="auto"/>
            </w:tcBorders>
          </w:tcPr>
          <w:p>
            <w:pPr/>
          </w:p>
        </w:tc>
        <w:tc>
          <w:tcPr>
            <w:tcW w:w="1501" w:type="dxa"/>
            <w:tcBorders>
              <w:top w:val="single" w:sz="17" w:space="0" w:color="000000"/>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458" w:type="dxa"/>
            <w:tcBorders>
              <w:top w:val="single" w:sz="17" w:space="0" w:color="000000"/>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391" w:type="dxa"/>
            <w:tcBorders>
              <w:top w:val="single" w:sz="17" w:space="0" w:color="000000"/>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478" w:type="dxa"/>
            <w:tcBorders>
              <w:top w:val="single" w:sz="17" w:space="0" w:color="000000"/>
              <w:left w:val="nil" w:sz="6" w:space="0" w:color="auto"/>
              <w:bottom w:val="nil" w:sz="6" w:space="0" w:color="auto"/>
              <w:right w:val="nil" w:sz="6" w:space="0" w:color="auto"/>
            </w:tcBorders>
          </w:tcPr>
          <w:p>
            <w:pPr/>
          </w:p>
        </w:tc>
      </w:tr>
      <w:tr>
        <w:trPr>
          <w:trHeight w:val="570" w:hRule="exact"/>
        </w:trPr>
        <w:tc>
          <w:tcPr>
            <w:tcW w:w="2367"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7" w:right="0"/>
              <w:jc w:val="left"/>
              <w:rPr>
                <w:rFonts w:ascii="宋体" w:hAnsi="宋体" w:cs="宋体" w:eastAsia="宋体" w:hint="default"/>
                <w:sz w:val="22"/>
                <w:szCs w:val="22"/>
              </w:rPr>
            </w:pPr>
            <w:r>
              <w:rPr>
                <w:rFonts w:ascii="宋体" w:hAnsi="宋体" w:cs="宋体" w:eastAsia="宋体" w:hint="default"/>
                <w:sz w:val="22"/>
                <w:szCs w:val="22"/>
              </w:rPr>
              <w:t>通信设备</w:t>
            </w:r>
          </w:p>
        </w:tc>
        <w:tc>
          <w:tcPr>
            <w:tcW w:w="230"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single" w:sz="17"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825" w:right="0"/>
              <w:jc w:val="left"/>
              <w:rPr>
                <w:rFonts w:ascii="Arial" w:hAnsi="Arial" w:cs="Arial" w:eastAsia="Arial" w:hint="default"/>
                <w:sz w:val="22"/>
                <w:szCs w:val="22"/>
              </w:rPr>
            </w:pPr>
            <w:r>
              <w:rPr>
                <w:rFonts w:ascii="Arial"/>
                <w:sz w:val="22"/>
              </w:rPr>
              <w:t>232</w:t>
            </w:r>
          </w:p>
        </w:tc>
        <w:tc>
          <w:tcPr>
            <w:tcW w:w="230"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single" w:sz="17"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852" w:right="0"/>
              <w:jc w:val="left"/>
              <w:rPr>
                <w:rFonts w:ascii="Arial" w:hAnsi="Arial" w:cs="Arial" w:eastAsia="Arial" w:hint="default"/>
                <w:sz w:val="22"/>
                <w:szCs w:val="22"/>
              </w:rPr>
            </w:pPr>
            <w:r>
              <w:rPr>
                <w:rFonts w:ascii="Arial"/>
                <w:sz w:val="22"/>
              </w:rPr>
              <w:t>(35)</w:t>
            </w:r>
          </w:p>
        </w:tc>
        <w:tc>
          <w:tcPr>
            <w:tcW w:w="230"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single" w:sz="17"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24"/>
              <w:jc w:val="right"/>
              <w:rPr>
                <w:rFonts w:ascii="Arial" w:hAnsi="Arial" w:cs="Arial" w:eastAsia="Arial" w:hint="default"/>
                <w:sz w:val="22"/>
                <w:szCs w:val="22"/>
              </w:rPr>
            </w:pPr>
            <w:r>
              <w:rPr>
                <w:rFonts w:ascii="Arial"/>
                <w:w w:val="99"/>
                <w:sz w:val="22"/>
              </w:rPr>
              <w:t>-</w:t>
            </w:r>
            <w:r>
              <w:rPr>
                <w:rFonts w:ascii="Arial"/>
                <w:sz w:val="22"/>
              </w:rPr>
            </w:r>
          </w:p>
        </w:tc>
        <w:tc>
          <w:tcPr>
            <w:tcW w:w="230"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single" w:sz="17"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50"/>
              <w:jc w:val="right"/>
              <w:rPr>
                <w:rFonts w:ascii="Arial" w:hAnsi="Arial" w:cs="Arial" w:eastAsia="Arial" w:hint="default"/>
                <w:sz w:val="22"/>
                <w:szCs w:val="22"/>
              </w:rPr>
            </w:pPr>
            <w:r>
              <w:rPr>
                <w:rFonts w:ascii="Arial"/>
                <w:w w:val="95"/>
                <w:sz w:val="22"/>
              </w:rPr>
              <w:t>197</w:t>
            </w:r>
            <w:r>
              <w:rPr>
                <w:rFonts w:ascii="Arial"/>
                <w:sz w:val="22"/>
              </w:rPr>
            </w:r>
          </w:p>
        </w:tc>
      </w:tr>
    </w:tbl>
    <w:p>
      <w:pPr>
        <w:spacing w:line="240" w:lineRule="auto" w:before="2"/>
        <w:rPr>
          <w:rFonts w:ascii="宋体" w:hAnsi="宋体" w:cs="宋体" w:eastAsia="宋体" w:hint="default"/>
          <w:sz w:val="14"/>
          <w:szCs w:val="14"/>
        </w:rPr>
      </w:pPr>
    </w:p>
    <w:p>
      <w:pPr>
        <w:pStyle w:val="BodyText"/>
        <w:spacing w:line="240" w:lineRule="auto" w:before="31"/>
        <w:ind w:left="102" w:right="0"/>
        <w:jc w:val="left"/>
      </w:pPr>
      <w:r>
        <w:rPr>
          <w:rFonts w:ascii="Arial" w:hAnsi="Arial" w:cs="Arial" w:eastAsia="Arial" w:hint="default"/>
        </w:rPr>
        <w:t>11</w:t>
      </w:r>
      <w:r>
        <w:rPr/>
        <w:t>、在建工程</w:t>
      </w:r>
    </w:p>
    <w:p>
      <w:pPr>
        <w:spacing w:line="240" w:lineRule="auto" w:before="8"/>
        <w:rPr>
          <w:rFonts w:ascii="宋体" w:hAnsi="宋体" w:cs="宋体" w:eastAsia="宋体" w:hint="default"/>
          <w:sz w:val="20"/>
          <w:szCs w:val="20"/>
        </w:rPr>
      </w:pPr>
    </w:p>
    <w:tbl>
      <w:tblPr>
        <w:tblW w:w="0" w:type="auto"/>
        <w:jc w:val="left"/>
        <w:tblInd w:w="389" w:type="dxa"/>
        <w:tblLayout w:type="fixed"/>
        <w:tblCellMar>
          <w:top w:w="0" w:type="dxa"/>
          <w:left w:w="0" w:type="dxa"/>
          <w:bottom w:w="0" w:type="dxa"/>
          <w:right w:w="0" w:type="dxa"/>
        </w:tblCellMar>
        <w:tblLook w:val="01E0"/>
      </w:tblPr>
      <w:tblGrid>
        <w:gridCol w:w="1531"/>
        <w:gridCol w:w="1216"/>
        <w:gridCol w:w="1348"/>
        <w:gridCol w:w="1236"/>
        <w:gridCol w:w="1308"/>
        <w:gridCol w:w="1200"/>
        <w:gridCol w:w="1322"/>
      </w:tblGrid>
      <w:tr>
        <w:trPr>
          <w:trHeight w:val="192" w:hRule="exact"/>
        </w:trPr>
        <w:tc>
          <w:tcPr>
            <w:tcW w:w="4095" w:type="dxa"/>
            <w:gridSpan w:val="3"/>
            <w:tcBorders>
              <w:top w:val="nil" w:sz="6" w:space="0" w:color="auto"/>
              <w:left w:val="nil" w:sz="6" w:space="0" w:color="auto"/>
              <w:bottom w:val="nil" w:sz="6" w:space="0" w:color="auto"/>
              <w:right w:val="nil" w:sz="6" w:space="0" w:color="auto"/>
            </w:tcBorders>
          </w:tcPr>
          <w:p>
            <w:pPr>
              <w:pStyle w:val="TableParagraph"/>
              <w:spacing w:line="171" w:lineRule="exact"/>
              <w:ind w:left="2716" w:right="-13"/>
              <w:jc w:val="left"/>
              <w:rPr>
                <w:rFonts w:ascii="宋体" w:hAnsi="宋体" w:cs="宋体" w:eastAsia="宋体" w:hint="default"/>
                <w:sz w:val="16"/>
                <w:szCs w:val="16"/>
              </w:rPr>
            </w:pPr>
            <w:r>
              <w:rPr>
                <w:rFonts w:ascii="Arial" w:hAnsi="Arial" w:cs="Arial" w:eastAsia="Arial" w:hint="default"/>
                <w:sz w:val="16"/>
                <w:szCs w:val="16"/>
              </w:rPr>
              <w:t>2012</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1236" w:type="dxa"/>
            <w:tcBorders>
              <w:top w:val="nil" w:sz="6" w:space="0" w:color="auto"/>
              <w:left w:val="nil" w:sz="6" w:space="0" w:color="auto"/>
              <w:bottom w:val="single" w:sz="6" w:space="0" w:color="000000"/>
              <w:right w:val="nil" w:sz="6" w:space="0" w:color="auto"/>
            </w:tcBorders>
          </w:tcPr>
          <w:p>
            <w:pPr/>
          </w:p>
        </w:tc>
        <w:tc>
          <w:tcPr>
            <w:tcW w:w="3829" w:type="dxa"/>
            <w:gridSpan w:val="3"/>
            <w:tcBorders>
              <w:top w:val="nil" w:sz="6" w:space="0" w:color="auto"/>
              <w:left w:val="nil" w:sz="6" w:space="0" w:color="auto"/>
              <w:bottom w:val="single" w:sz="6" w:space="0" w:color="000000"/>
              <w:right w:val="nil" w:sz="6" w:space="0" w:color="auto"/>
            </w:tcBorders>
          </w:tcPr>
          <w:p>
            <w:pPr>
              <w:pStyle w:val="TableParagraph"/>
              <w:spacing w:line="171" w:lineRule="exact"/>
              <w:ind w:left="1238" w:right="0"/>
              <w:jc w:val="left"/>
              <w:rPr>
                <w:rFonts w:ascii="宋体" w:hAnsi="宋体" w:cs="宋体" w:eastAsia="宋体" w:hint="default"/>
                <w:sz w:val="16"/>
                <w:szCs w:val="16"/>
              </w:rPr>
            </w:pPr>
            <w:r>
              <w:rPr>
                <w:rFonts w:ascii="Arial" w:hAnsi="Arial" w:cs="Arial" w:eastAsia="Arial" w:hint="default"/>
                <w:sz w:val="16"/>
                <w:szCs w:val="16"/>
              </w:rPr>
              <w:t>2011</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r>
      <w:tr>
        <w:trPr>
          <w:trHeight w:val="223" w:hRule="exact"/>
        </w:trPr>
        <w:tc>
          <w:tcPr>
            <w:tcW w:w="1531" w:type="dxa"/>
            <w:tcBorders>
              <w:top w:val="nil" w:sz="6" w:space="0" w:color="auto"/>
              <w:left w:val="nil" w:sz="6" w:space="0" w:color="auto"/>
              <w:bottom w:val="nil" w:sz="6" w:space="0" w:color="auto"/>
              <w:right w:val="nil" w:sz="6" w:space="0" w:color="auto"/>
            </w:tcBorders>
          </w:tcPr>
          <w:p>
            <w:pPr/>
          </w:p>
        </w:tc>
        <w:tc>
          <w:tcPr>
            <w:tcW w:w="1216" w:type="dxa"/>
            <w:tcBorders>
              <w:top w:val="single" w:sz="6" w:space="0" w:color="000000"/>
              <w:left w:val="nil" w:sz="6" w:space="0" w:color="auto"/>
              <w:bottom w:val="single" w:sz="6" w:space="0" w:color="000000"/>
              <w:right w:val="nil" w:sz="6" w:space="0" w:color="auto"/>
            </w:tcBorders>
          </w:tcPr>
          <w:p>
            <w:pPr>
              <w:pStyle w:val="TableParagraph"/>
              <w:spacing w:line="183" w:lineRule="exact"/>
              <w:ind w:right="35"/>
              <w:jc w:val="right"/>
              <w:rPr>
                <w:rFonts w:ascii="宋体" w:hAnsi="宋体" w:cs="宋体" w:eastAsia="宋体" w:hint="default"/>
                <w:sz w:val="16"/>
                <w:szCs w:val="16"/>
              </w:rPr>
            </w:pPr>
            <w:r>
              <w:rPr>
                <w:rFonts w:ascii="宋体" w:hAnsi="宋体" w:cs="宋体" w:eastAsia="宋体" w:hint="default"/>
                <w:w w:val="95"/>
                <w:sz w:val="16"/>
                <w:szCs w:val="16"/>
              </w:rPr>
              <w:t>账面余额</w:t>
            </w:r>
            <w:r>
              <w:rPr>
                <w:rFonts w:ascii="宋体" w:hAnsi="宋体" w:cs="宋体" w:eastAsia="宋体" w:hint="default"/>
                <w:sz w:val="16"/>
                <w:szCs w:val="16"/>
              </w:rPr>
            </w:r>
          </w:p>
        </w:tc>
        <w:tc>
          <w:tcPr>
            <w:tcW w:w="1348" w:type="dxa"/>
            <w:tcBorders>
              <w:top w:val="single" w:sz="6" w:space="0" w:color="000000"/>
              <w:left w:val="nil" w:sz="6" w:space="0" w:color="auto"/>
              <w:bottom w:val="single" w:sz="6" w:space="0" w:color="000000"/>
              <w:right w:val="nil" w:sz="6" w:space="0" w:color="auto"/>
            </w:tcBorders>
          </w:tcPr>
          <w:p>
            <w:pPr>
              <w:pStyle w:val="TableParagraph"/>
              <w:spacing w:line="183" w:lineRule="exact"/>
              <w:ind w:left="132" w:right="0"/>
              <w:jc w:val="center"/>
              <w:rPr>
                <w:rFonts w:ascii="宋体" w:hAnsi="宋体" w:cs="宋体" w:eastAsia="宋体" w:hint="default"/>
                <w:sz w:val="16"/>
                <w:szCs w:val="16"/>
              </w:rPr>
            </w:pPr>
            <w:r>
              <w:rPr>
                <w:rFonts w:ascii="宋体" w:hAnsi="宋体" w:cs="宋体" w:eastAsia="宋体" w:hint="default"/>
                <w:sz w:val="16"/>
                <w:szCs w:val="16"/>
              </w:rPr>
              <w:t>减值准备</w:t>
            </w:r>
          </w:p>
        </w:tc>
        <w:tc>
          <w:tcPr>
            <w:tcW w:w="1236" w:type="dxa"/>
            <w:tcBorders>
              <w:top w:val="single" w:sz="6" w:space="0" w:color="000000"/>
              <w:left w:val="nil" w:sz="6" w:space="0" w:color="auto"/>
              <w:bottom w:val="single" w:sz="6" w:space="0" w:color="000000"/>
              <w:right w:val="nil" w:sz="6" w:space="0" w:color="auto"/>
            </w:tcBorders>
          </w:tcPr>
          <w:p>
            <w:pPr>
              <w:pStyle w:val="TableParagraph"/>
              <w:spacing w:line="183" w:lineRule="exact"/>
              <w:ind w:left="425" w:right="0"/>
              <w:jc w:val="left"/>
              <w:rPr>
                <w:rFonts w:ascii="宋体" w:hAnsi="宋体" w:cs="宋体" w:eastAsia="宋体" w:hint="default"/>
                <w:sz w:val="16"/>
                <w:szCs w:val="16"/>
              </w:rPr>
            </w:pPr>
            <w:r>
              <w:rPr>
                <w:rFonts w:ascii="宋体" w:hAnsi="宋体" w:cs="宋体" w:eastAsia="宋体" w:hint="default"/>
                <w:sz w:val="16"/>
                <w:szCs w:val="16"/>
              </w:rPr>
              <w:t>账面价值</w:t>
            </w:r>
          </w:p>
        </w:tc>
        <w:tc>
          <w:tcPr>
            <w:tcW w:w="1308" w:type="dxa"/>
            <w:tcBorders>
              <w:top w:val="single" w:sz="6" w:space="0" w:color="000000"/>
              <w:left w:val="nil" w:sz="6" w:space="0" w:color="auto"/>
              <w:bottom w:val="single" w:sz="6" w:space="0" w:color="000000"/>
              <w:right w:val="nil" w:sz="6" w:space="0" w:color="auto"/>
            </w:tcBorders>
          </w:tcPr>
          <w:p>
            <w:pPr>
              <w:pStyle w:val="TableParagraph"/>
              <w:spacing w:line="183" w:lineRule="exact"/>
              <w:ind w:right="107"/>
              <w:jc w:val="right"/>
              <w:rPr>
                <w:rFonts w:ascii="宋体" w:hAnsi="宋体" w:cs="宋体" w:eastAsia="宋体" w:hint="default"/>
                <w:sz w:val="16"/>
                <w:szCs w:val="16"/>
              </w:rPr>
            </w:pPr>
            <w:r>
              <w:rPr>
                <w:rFonts w:ascii="宋体" w:hAnsi="宋体" w:cs="宋体" w:eastAsia="宋体" w:hint="default"/>
                <w:w w:val="95"/>
                <w:sz w:val="16"/>
                <w:szCs w:val="16"/>
              </w:rPr>
              <w:t>账面余额</w:t>
            </w:r>
            <w:r>
              <w:rPr>
                <w:rFonts w:ascii="宋体" w:hAnsi="宋体" w:cs="宋体" w:eastAsia="宋体" w:hint="default"/>
                <w:sz w:val="16"/>
                <w:szCs w:val="16"/>
              </w:rPr>
            </w:r>
          </w:p>
        </w:tc>
        <w:tc>
          <w:tcPr>
            <w:tcW w:w="1200" w:type="dxa"/>
            <w:tcBorders>
              <w:top w:val="single" w:sz="6" w:space="0" w:color="000000"/>
              <w:left w:val="nil" w:sz="6" w:space="0" w:color="auto"/>
              <w:bottom w:val="single" w:sz="6" w:space="0" w:color="000000"/>
              <w:right w:val="nil" w:sz="6" w:space="0" w:color="auto"/>
            </w:tcBorders>
          </w:tcPr>
          <w:p>
            <w:pPr>
              <w:pStyle w:val="TableParagraph"/>
              <w:spacing w:line="183" w:lineRule="exact"/>
              <w:ind w:right="158"/>
              <w:jc w:val="right"/>
              <w:rPr>
                <w:rFonts w:ascii="宋体" w:hAnsi="宋体" w:cs="宋体" w:eastAsia="宋体" w:hint="default"/>
                <w:sz w:val="16"/>
                <w:szCs w:val="16"/>
              </w:rPr>
            </w:pPr>
            <w:r>
              <w:rPr>
                <w:rFonts w:ascii="宋体" w:hAnsi="宋体" w:cs="宋体" w:eastAsia="宋体" w:hint="default"/>
                <w:w w:val="95"/>
                <w:sz w:val="16"/>
                <w:szCs w:val="16"/>
              </w:rPr>
              <w:t>减值准备</w:t>
            </w:r>
            <w:r>
              <w:rPr>
                <w:rFonts w:ascii="宋体" w:hAnsi="宋体" w:cs="宋体" w:eastAsia="宋体" w:hint="default"/>
                <w:sz w:val="16"/>
                <w:szCs w:val="16"/>
              </w:rPr>
            </w:r>
          </w:p>
        </w:tc>
        <w:tc>
          <w:tcPr>
            <w:tcW w:w="1322" w:type="dxa"/>
            <w:tcBorders>
              <w:top w:val="single" w:sz="6" w:space="0" w:color="000000"/>
              <w:left w:val="nil" w:sz="6" w:space="0" w:color="auto"/>
              <w:bottom w:val="single" w:sz="6" w:space="0" w:color="000000"/>
              <w:right w:val="nil" w:sz="6" w:space="0" w:color="auto"/>
            </w:tcBorders>
          </w:tcPr>
          <w:p>
            <w:pPr>
              <w:pStyle w:val="TableParagraph"/>
              <w:spacing w:line="183" w:lineRule="exact"/>
              <w:ind w:right="84"/>
              <w:jc w:val="right"/>
              <w:rPr>
                <w:rFonts w:ascii="宋体" w:hAnsi="宋体" w:cs="宋体" w:eastAsia="宋体" w:hint="default"/>
                <w:sz w:val="16"/>
                <w:szCs w:val="16"/>
              </w:rPr>
            </w:pPr>
            <w:r>
              <w:rPr>
                <w:rFonts w:ascii="宋体" w:hAnsi="宋体" w:cs="宋体" w:eastAsia="宋体" w:hint="default"/>
                <w:w w:val="95"/>
                <w:sz w:val="16"/>
                <w:szCs w:val="16"/>
              </w:rPr>
              <w:t>账面价值</w:t>
            </w:r>
            <w:r>
              <w:rPr>
                <w:rFonts w:ascii="宋体" w:hAnsi="宋体" w:cs="宋体" w:eastAsia="宋体" w:hint="default"/>
                <w:sz w:val="16"/>
                <w:szCs w:val="16"/>
              </w:rPr>
            </w:r>
          </w:p>
        </w:tc>
      </w:tr>
      <w:tr>
        <w:trPr>
          <w:trHeight w:val="407"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00" w:right="0"/>
              <w:jc w:val="left"/>
              <w:rPr>
                <w:rFonts w:ascii="宋体" w:hAnsi="宋体" w:cs="宋体" w:eastAsia="宋体" w:hint="default"/>
                <w:sz w:val="16"/>
                <w:szCs w:val="16"/>
              </w:rPr>
            </w:pPr>
            <w:r>
              <w:rPr>
                <w:rFonts w:ascii="宋体" w:hAnsi="宋体" w:cs="宋体" w:eastAsia="宋体" w:hint="default"/>
                <w:sz w:val="16"/>
                <w:szCs w:val="16"/>
              </w:rPr>
              <w:t>网络工程</w:t>
            </w:r>
          </w:p>
        </w:tc>
        <w:tc>
          <w:tcPr>
            <w:tcW w:w="1216"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
              <w:jc w:val="right"/>
              <w:rPr>
                <w:rFonts w:ascii="Arial" w:hAnsi="Arial" w:cs="Arial" w:eastAsia="Arial" w:hint="default"/>
                <w:sz w:val="16"/>
                <w:szCs w:val="16"/>
              </w:rPr>
            </w:pPr>
            <w:r>
              <w:rPr>
                <w:rFonts w:ascii="Arial"/>
                <w:w w:val="95"/>
                <w:sz w:val="16"/>
              </w:rPr>
              <w:t>53,252,394,784</w:t>
            </w:r>
            <w:r>
              <w:rPr>
                <w:rFonts w:ascii="Arial"/>
                <w:sz w:val="16"/>
              </w:rPr>
            </w:r>
          </w:p>
        </w:tc>
        <w:tc>
          <w:tcPr>
            <w:tcW w:w="1348" w:type="dxa"/>
            <w:tcBorders>
              <w:top w:val="single" w:sz="6" w:space="0" w:color="000000"/>
              <w:left w:val="nil" w:sz="6" w:space="0" w:color="auto"/>
              <w:bottom w:val="nil" w:sz="6" w:space="0" w:color="auto"/>
              <w:right w:val="nil" w:sz="6" w:space="0" w:color="auto"/>
            </w:tcBorders>
          </w:tcPr>
          <w:p>
            <w:pPr>
              <w:pStyle w:val="TableParagraph"/>
              <w:spacing w:line="20" w:lineRule="exact"/>
              <w:ind w:left="73" w:right="0"/>
              <w:jc w:val="left"/>
              <w:rPr>
                <w:rFonts w:ascii="宋体" w:hAnsi="宋体" w:cs="宋体" w:eastAsia="宋体" w:hint="default"/>
                <w:sz w:val="2"/>
                <w:szCs w:val="2"/>
              </w:rPr>
            </w:pPr>
            <w:r>
              <w:rPr>
                <w:rFonts w:ascii="宋体" w:hAnsi="宋体" w:cs="宋体" w:eastAsia="宋体" w:hint="default"/>
                <w:sz w:val="2"/>
                <w:szCs w:val="2"/>
              </w:rPr>
              <w:pict>
                <v:group style="width:54.3pt;height:.75pt;mso-position-horizontal-relative:char;mso-position-vertical-relative:line" coordorigin="0,0" coordsize="1086,15">
                  <v:group style="position:absolute;left:7;top:7;width:1072;height:2" coordorigin="7,7" coordsize="1072,2">
                    <v:shape style="position:absolute;left:7;top:7;width:1072;height:2" coordorigin="7,7" coordsize="1072,0" path="m7,7l1079,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83" w:right="0"/>
              <w:jc w:val="center"/>
              <w:rPr>
                <w:rFonts w:ascii="Arial" w:hAnsi="Arial" w:cs="Arial" w:eastAsia="Arial" w:hint="default"/>
                <w:sz w:val="16"/>
                <w:szCs w:val="16"/>
              </w:rPr>
            </w:pPr>
            <w:r>
              <w:rPr>
                <w:rFonts w:ascii="Arial"/>
                <w:sz w:val="16"/>
              </w:rPr>
              <w:t>(2,514,227)</w:t>
            </w:r>
          </w:p>
        </w:tc>
        <w:tc>
          <w:tcPr>
            <w:tcW w:w="1236"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left"/>
              <w:rPr>
                <w:rFonts w:ascii="Arial" w:hAnsi="Arial" w:cs="Arial" w:eastAsia="Arial" w:hint="default"/>
                <w:sz w:val="16"/>
                <w:szCs w:val="16"/>
              </w:rPr>
            </w:pPr>
            <w:r>
              <w:rPr>
                <w:rFonts w:ascii="Arial"/>
                <w:sz w:val="16"/>
              </w:rPr>
              <w:t>53,249,880,557</w:t>
            </w:r>
          </w:p>
        </w:tc>
        <w:tc>
          <w:tcPr>
            <w:tcW w:w="1308"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5"/>
              <w:jc w:val="right"/>
              <w:rPr>
                <w:rFonts w:ascii="Arial" w:hAnsi="Arial" w:cs="Arial" w:eastAsia="Arial" w:hint="default"/>
                <w:sz w:val="16"/>
                <w:szCs w:val="16"/>
              </w:rPr>
            </w:pPr>
            <w:r>
              <w:rPr>
                <w:rFonts w:ascii="Arial"/>
                <w:w w:val="95"/>
                <w:sz w:val="16"/>
              </w:rPr>
              <w:t>50,680,620,989</w:t>
            </w:r>
            <w:r>
              <w:rPr>
                <w:rFonts w:ascii="Arial"/>
                <w:sz w:val="16"/>
              </w:rPr>
            </w:r>
          </w:p>
        </w:tc>
        <w:tc>
          <w:tcPr>
            <w:tcW w:w="1200"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0"/>
              <w:jc w:val="right"/>
              <w:rPr>
                <w:rFonts w:ascii="Arial" w:hAnsi="Arial" w:cs="Arial" w:eastAsia="Arial" w:hint="default"/>
                <w:sz w:val="16"/>
                <w:szCs w:val="16"/>
              </w:rPr>
            </w:pPr>
            <w:r>
              <w:rPr>
                <w:rFonts w:ascii="Arial"/>
                <w:w w:val="95"/>
                <w:sz w:val="16"/>
              </w:rPr>
              <w:t>(4,419,890)</w:t>
            </w:r>
            <w:r>
              <w:rPr>
                <w:rFonts w:ascii="Arial"/>
                <w:sz w:val="16"/>
              </w:rPr>
            </w:r>
          </w:p>
        </w:tc>
        <w:tc>
          <w:tcPr>
            <w:tcW w:w="1322"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2" w:right="0"/>
              <w:jc w:val="left"/>
              <w:rPr>
                <w:rFonts w:ascii="Arial" w:hAnsi="Arial" w:cs="Arial" w:eastAsia="Arial" w:hint="default"/>
                <w:sz w:val="16"/>
                <w:szCs w:val="16"/>
              </w:rPr>
            </w:pPr>
            <w:r>
              <w:rPr>
                <w:rFonts w:ascii="Arial"/>
                <w:sz w:val="16"/>
              </w:rPr>
              <w:t>50,676,201,099</w:t>
            </w:r>
          </w:p>
        </w:tc>
      </w:tr>
      <w:tr>
        <w:trPr>
          <w:trHeight w:val="307"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174" w:lineRule="exact"/>
              <w:ind w:left="200" w:right="0"/>
              <w:jc w:val="left"/>
              <w:rPr>
                <w:rFonts w:ascii="宋体" w:hAnsi="宋体" w:cs="宋体" w:eastAsia="宋体" w:hint="default"/>
                <w:sz w:val="16"/>
                <w:szCs w:val="16"/>
              </w:rPr>
            </w:pPr>
            <w:r>
              <w:rPr>
                <w:rFonts w:ascii="宋体" w:hAnsi="宋体" w:cs="宋体" w:eastAsia="宋体" w:hint="default"/>
                <w:sz w:val="16"/>
                <w:szCs w:val="16"/>
              </w:rPr>
              <w:t>通用基础设施工程</w:t>
            </w:r>
          </w:p>
        </w:tc>
        <w:tc>
          <w:tcPr>
            <w:tcW w:w="1216" w:type="dxa"/>
            <w:tcBorders>
              <w:top w:val="nil" w:sz="6" w:space="0" w:color="auto"/>
              <w:left w:val="nil" w:sz="6" w:space="0" w:color="auto"/>
              <w:bottom w:val="nil" w:sz="6" w:space="0" w:color="auto"/>
              <w:right w:val="nil" w:sz="6" w:space="0" w:color="auto"/>
            </w:tcBorders>
          </w:tcPr>
          <w:p>
            <w:pPr>
              <w:pStyle w:val="TableParagraph"/>
              <w:tabs>
                <w:tab w:pos="1215" w:val="left" w:leader="none"/>
              </w:tabs>
              <w:spacing w:line="240" w:lineRule="auto" w:before="13"/>
              <w:ind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14"/>
                <w:sz w:val="16"/>
                <w:u w:val="single" w:color="000000"/>
              </w:rPr>
              <w:t> </w:t>
            </w:r>
            <w:r>
              <w:rPr>
                <w:rFonts w:ascii="Arial"/>
                <w:w w:val="95"/>
                <w:sz w:val="16"/>
                <w:u w:val="single" w:color="000000"/>
              </w:rPr>
              <w:t>6,688,233,046</w:t>
            </w:r>
            <w:r>
              <w:rPr>
                <w:rFonts w:ascii="Arial"/>
                <w:sz w:val="16"/>
                <w:u w:val="single" w:color="000000"/>
              </w:rPr>
              <w:tab/>
            </w:r>
            <w:r>
              <w:rPr>
                <w:rFonts w:ascii="Arial"/>
                <w:sz w:val="16"/>
              </w:rPr>
            </w:r>
          </w:p>
        </w:tc>
        <w:tc>
          <w:tcPr>
            <w:tcW w:w="1348" w:type="dxa"/>
            <w:tcBorders>
              <w:top w:val="nil" w:sz="6" w:space="0" w:color="auto"/>
              <w:left w:val="nil" w:sz="6" w:space="0" w:color="auto"/>
              <w:bottom w:val="nil" w:sz="6" w:space="0" w:color="auto"/>
              <w:right w:val="nil" w:sz="6" w:space="0" w:color="auto"/>
            </w:tcBorders>
          </w:tcPr>
          <w:p>
            <w:pPr>
              <w:pStyle w:val="TableParagraph"/>
              <w:tabs>
                <w:tab w:pos="1432" w:val="left" w:leader="none"/>
              </w:tabs>
              <w:spacing w:line="240" w:lineRule="auto" w:before="13"/>
              <w:ind w:left="80" w:right="-85"/>
              <w:jc w:val="center"/>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4"/>
                <w:sz w:val="16"/>
                <w:u w:val="single" w:color="000000"/>
              </w:rPr>
              <w:t> </w:t>
            </w:r>
            <w:r>
              <w:rPr>
                <w:rFonts w:ascii="Arial"/>
                <w:sz w:val="16"/>
                <w:u w:val="single" w:color="000000"/>
              </w:rPr>
              <w:t>(3,358,716)</w:t>
            </w:r>
            <w:r>
              <w:rPr>
                <w:rFonts w:ascii="Arial"/>
                <w:sz w:val="16"/>
              </w:rPr>
              <w:t> </w:t>
            </w:r>
            <w:r>
              <w:rPr>
                <w:rFonts w:ascii="Arial"/>
                <w:spacing w:val="16"/>
                <w:sz w:val="16"/>
              </w:rPr>
              <w:t> </w:t>
            </w:r>
            <w:r>
              <w:rPr>
                <w:rFonts w:ascii="Arial"/>
                <w:spacing w:val="16"/>
                <w:w w:val="99"/>
                <w:sz w:val="16"/>
              </w:rPr>
            </w:r>
            <w:r>
              <w:rPr>
                <w:rFonts w:ascii="Arial"/>
                <w:w w:val="99"/>
                <w:sz w:val="16"/>
                <w:u w:val="single" w:color="000000"/>
              </w:rPr>
              <w:t> </w:t>
            </w:r>
            <w:r>
              <w:rPr>
                <w:rFonts w:ascii="Arial"/>
                <w:sz w:val="16"/>
                <w:u w:val="single" w:color="000000"/>
              </w:rPr>
              <w:tab/>
            </w:r>
            <w:r>
              <w:rPr>
                <w:rFonts w:ascii="Arial"/>
                <w:sz w:val="16"/>
              </w:rPr>
            </w:r>
          </w:p>
        </w:tc>
        <w:tc>
          <w:tcPr>
            <w:tcW w:w="1236" w:type="dxa"/>
            <w:tcBorders>
              <w:top w:val="nil" w:sz="6" w:space="0" w:color="auto"/>
              <w:left w:val="nil" w:sz="6" w:space="0" w:color="auto"/>
              <w:bottom w:val="nil" w:sz="6" w:space="0" w:color="auto"/>
              <w:right w:val="nil" w:sz="6" w:space="0" w:color="auto"/>
            </w:tcBorders>
          </w:tcPr>
          <w:p>
            <w:pPr>
              <w:pStyle w:val="TableParagraph"/>
              <w:tabs>
                <w:tab w:pos="1194" w:val="left" w:leader="none"/>
              </w:tabs>
              <w:spacing w:line="240" w:lineRule="auto" w:before="13"/>
              <w:ind w:left="84" w:right="0"/>
              <w:jc w:val="left"/>
              <w:rPr>
                <w:rFonts w:ascii="Arial" w:hAnsi="Arial" w:cs="Arial" w:eastAsia="Arial" w:hint="default"/>
                <w:sz w:val="16"/>
                <w:szCs w:val="16"/>
              </w:rPr>
            </w:pPr>
            <w:r>
              <w:rPr>
                <w:rFonts w:ascii="Arial"/>
                <w:w w:val="99"/>
                <w:sz w:val="16"/>
              </w:rPr>
            </w:r>
            <w:r>
              <w:rPr>
                <w:rFonts w:ascii="Arial"/>
                <w:sz w:val="16"/>
                <w:u w:val="single" w:color="000000"/>
              </w:rPr>
              <w:t>6,684,874,330</w:t>
              <w:tab/>
            </w:r>
            <w:r>
              <w:rPr>
                <w:rFonts w:ascii="Arial"/>
                <w:sz w:val="16"/>
              </w:rPr>
            </w:r>
          </w:p>
        </w:tc>
        <w:tc>
          <w:tcPr>
            <w:tcW w:w="1308" w:type="dxa"/>
            <w:tcBorders>
              <w:top w:val="nil" w:sz="6" w:space="0" w:color="auto"/>
              <w:left w:val="nil" w:sz="6" w:space="0" w:color="auto"/>
              <w:bottom w:val="nil" w:sz="6" w:space="0" w:color="auto"/>
              <w:right w:val="nil" w:sz="6" w:space="0" w:color="auto"/>
            </w:tcBorders>
          </w:tcPr>
          <w:p>
            <w:pPr>
              <w:pStyle w:val="TableParagraph"/>
              <w:tabs>
                <w:tab w:pos="1273" w:val="left" w:leader="none"/>
              </w:tabs>
              <w:spacing w:line="240" w:lineRule="auto" w:before="13"/>
              <w:ind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5"/>
                <w:sz w:val="16"/>
                <w:u w:val="single" w:color="000000"/>
              </w:rPr>
              <w:t> </w:t>
            </w:r>
            <w:r>
              <w:rPr>
                <w:rFonts w:ascii="Arial"/>
                <w:w w:val="95"/>
                <w:sz w:val="16"/>
                <w:u w:val="single" w:color="000000"/>
              </w:rPr>
              <w:t>1,654,123,293</w:t>
            </w:r>
            <w:r>
              <w:rPr>
                <w:rFonts w:ascii="Arial"/>
                <w:sz w:val="16"/>
                <w:u w:val="single" w:color="000000"/>
              </w:rPr>
              <w:tab/>
            </w:r>
            <w:r>
              <w:rPr>
                <w:rFonts w:ascii="Arial"/>
                <w:sz w:val="16"/>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3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13"/>
                <w:sz w:val="16"/>
                <w:u w:val="single" w:color="000000"/>
              </w:rPr>
              <w:t> </w:t>
            </w:r>
            <w:r>
              <w:rPr>
                <w:rFonts w:ascii="Arial"/>
                <w:w w:val="95"/>
                <w:sz w:val="16"/>
                <w:u w:val="single" w:color="000000"/>
              </w:rPr>
              <w:t>(1,432,160)</w:t>
            </w:r>
            <w:r>
              <w:rPr>
                <w:rFonts w:ascii="Arial"/>
                <w:w w:val="95"/>
                <w:sz w:val="16"/>
              </w:rPr>
            </w:r>
            <w:r>
              <w:rPr>
                <w:rFonts w:ascii="Arial"/>
                <w:sz w:val="16"/>
              </w:rPr>
            </w:r>
          </w:p>
        </w:tc>
        <w:tc>
          <w:tcPr>
            <w:tcW w:w="1322" w:type="dxa"/>
            <w:tcBorders>
              <w:top w:val="nil" w:sz="6" w:space="0" w:color="auto"/>
              <w:left w:val="nil" w:sz="6" w:space="0" w:color="auto"/>
              <w:bottom w:val="nil" w:sz="6" w:space="0" w:color="auto"/>
              <w:right w:val="nil" w:sz="6" w:space="0" w:color="auto"/>
            </w:tcBorders>
          </w:tcPr>
          <w:p>
            <w:pPr>
              <w:pStyle w:val="TableParagraph"/>
              <w:tabs>
                <w:tab w:pos="221" w:val="left" w:leader="none"/>
                <w:tab w:pos="1321" w:val="left" w:leader="none"/>
              </w:tabs>
              <w:spacing w:line="240" w:lineRule="auto" w:before="13"/>
              <w:ind w:left="-25"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1,652,691,133</w:t>
            </w:r>
            <w:r>
              <w:rPr>
                <w:rFonts w:ascii="Arial"/>
                <w:sz w:val="16"/>
                <w:u w:val="single" w:color="000000"/>
              </w:rPr>
              <w:tab/>
            </w:r>
            <w:r>
              <w:rPr>
                <w:rFonts w:ascii="Arial"/>
                <w:sz w:val="16"/>
              </w:rPr>
            </w:r>
          </w:p>
        </w:tc>
      </w:tr>
      <w:tr>
        <w:trPr>
          <w:trHeight w:val="323"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00"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216" w:type="dxa"/>
            <w:tcBorders>
              <w:top w:val="nil" w:sz="6" w:space="0" w:color="auto"/>
              <w:left w:val="nil" w:sz="6" w:space="0" w:color="auto"/>
              <w:bottom w:val="single" w:sz="12" w:space="0" w:color="000000"/>
              <w:right w:val="nil" w:sz="6" w:space="0" w:color="auto"/>
            </w:tcBorders>
          </w:tcPr>
          <w:p>
            <w:pPr>
              <w:pStyle w:val="TableParagraph"/>
              <w:spacing w:line="240" w:lineRule="auto" w:before="113"/>
              <w:ind w:right="43"/>
              <w:jc w:val="right"/>
              <w:rPr>
                <w:rFonts w:ascii="Arial" w:hAnsi="Arial" w:cs="Arial" w:eastAsia="Arial" w:hint="default"/>
                <w:sz w:val="16"/>
                <w:szCs w:val="16"/>
              </w:rPr>
            </w:pPr>
            <w:r>
              <w:rPr>
                <w:rFonts w:ascii="Arial"/>
                <w:w w:val="95"/>
                <w:sz w:val="16"/>
              </w:rPr>
              <w:t>59,940,627,830</w:t>
            </w:r>
            <w:r>
              <w:rPr>
                <w:rFonts w:ascii="Arial"/>
                <w:sz w:val="16"/>
              </w:rPr>
            </w:r>
          </w:p>
        </w:tc>
        <w:tc>
          <w:tcPr>
            <w:tcW w:w="1348" w:type="dxa"/>
            <w:tcBorders>
              <w:top w:val="nil" w:sz="6" w:space="0" w:color="auto"/>
              <w:left w:val="nil" w:sz="6" w:space="0" w:color="auto"/>
              <w:bottom w:val="single" w:sz="12" w:space="0" w:color="000000"/>
              <w:right w:val="nil" w:sz="6" w:space="0" w:color="auto"/>
            </w:tcBorders>
          </w:tcPr>
          <w:p>
            <w:pPr>
              <w:pStyle w:val="TableParagraph"/>
              <w:spacing w:line="240" w:lineRule="auto" w:before="113"/>
              <w:ind w:left="83" w:right="0"/>
              <w:jc w:val="center"/>
              <w:rPr>
                <w:rFonts w:ascii="Arial" w:hAnsi="Arial" w:cs="Arial" w:eastAsia="Arial" w:hint="default"/>
                <w:sz w:val="16"/>
                <w:szCs w:val="16"/>
              </w:rPr>
            </w:pPr>
            <w:r>
              <w:rPr>
                <w:rFonts w:ascii="Arial"/>
                <w:sz w:val="16"/>
              </w:rPr>
              <w:t>(5,872,943)</w:t>
            </w:r>
          </w:p>
        </w:tc>
        <w:tc>
          <w:tcPr>
            <w:tcW w:w="1236" w:type="dxa"/>
            <w:tcBorders>
              <w:top w:val="nil" w:sz="6" w:space="0" w:color="auto"/>
              <w:left w:val="nil" w:sz="6" w:space="0" w:color="auto"/>
              <w:bottom w:val="single" w:sz="12" w:space="0" w:color="000000"/>
              <w:right w:val="nil" w:sz="6" w:space="0" w:color="auto"/>
            </w:tcBorders>
          </w:tcPr>
          <w:p>
            <w:pPr>
              <w:pStyle w:val="TableParagraph"/>
              <w:spacing w:line="240" w:lineRule="auto" w:before="113"/>
              <w:ind w:left="-5" w:right="0"/>
              <w:jc w:val="left"/>
              <w:rPr>
                <w:rFonts w:ascii="Arial" w:hAnsi="Arial" w:cs="Arial" w:eastAsia="Arial" w:hint="default"/>
                <w:sz w:val="16"/>
                <w:szCs w:val="16"/>
              </w:rPr>
            </w:pPr>
            <w:r>
              <w:rPr>
                <w:rFonts w:ascii="Arial"/>
                <w:sz w:val="16"/>
              </w:rPr>
              <w:t>59,934,754,887</w:t>
            </w:r>
          </w:p>
        </w:tc>
        <w:tc>
          <w:tcPr>
            <w:tcW w:w="1308" w:type="dxa"/>
            <w:tcBorders>
              <w:top w:val="nil" w:sz="6" w:space="0" w:color="auto"/>
              <w:left w:val="nil" w:sz="6" w:space="0" w:color="auto"/>
              <w:bottom w:val="single" w:sz="17" w:space="0" w:color="000000"/>
              <w:right w:val="nil" w:sz="6" w:space="0" w:color="auto"/>
            </w:tcBorders>
          </w:tcPr>
          <w:p>
            <w:pPr>
              <w:pStyle w:val="TableParagraph"/>
              <w:spacing w:line="240" w:lineRule="auto" w:before="113"/>
              <w:ind w:right="65"/>
              <w:jc w:val="right"/>
              <w:rPr>
                <w:rFonts w:ascii="Arial" w:hAnsi="Arial" w:cs="Arial" w:eastAsia="Arial" w:hint="default"/>
                <w:sz w:val="16"/>
                <w:szCs w:val="16"/>
              </w:rPr>
            </w:pPr>
            <w:r>
              <w:rPr>
                <w:rFonts w:ascii="Arial"/>
                <w:w w:val="95"/>
                <w:sz w:val="16"/>
              </w:rPr>
              <w:t>52,334,744,282</w:t>
            </w:r>
            <w:r>
              <w:rPr>
                <w:rFonts w:ascii="Arial"/>
                <w:sz w:val="16"/>
              </w:rPr>
            </w:r>
          </w:p>
        </w:tc>
        <w:tc>
          <w:tcPr>
            <w:tcW w:w="1200" w:type="dxa"/>
            <w:tcBorders>
              <w:top w:val="nil" w:sz="6" w:space="0" w:color="auto"/>
              <w:left w:val="nil" w:sz="6" w:space="0" w:color="auto"/>
              <w:bottom w:val="single" w:sz="17" w:space="0" w:color="000000"/>
              <w:right w:val="nil" w:sz="6" w:space="0" w:color="auto"/>
            </w:tcBorders>
          </w:tcPr>
          <w:p>
            <w:pPr>
              <w:pStyle w:val="TableParagraph"/>
              <w:spacing w:line="240" w:lineRule="auto" w:before="113"/>
              <w:ind w:right="130"/>
              <w:jc w:val="right"/>
              <w:rPr>
                <w:rFonts w:ascii="Arial" w:hAnsi="Arial" w:cs="Arial" w:eastAsia="Arial" w:hint="default"/>
                <w:sz w:val="16"/>
                <w:szCs w:val="16"/>
              </w:rPr>
            </w:pPr>
            <w:r>
              <w:rPr>
                <w:rFonts w:ascii="Arial"/>
                <w:w w:val="95"/>
                <w:sz w:val="16"/>
              </w:rPr>
              <w:t>(5,852,050)</w:t>
            </w:r>
            <w:r>
              <w:rPr>
                <w:rFonts w:ascii="Arial"/>
                <w:sz w:val="16"/>
              </w:rPr>
            </w:r>
          </w:p>
        </w:tc>
        <w:tc>
          <w:tcPr>
            <w:tcW w:w="1322" w:type="dxa"/>
            <w:tcBorders>
              <w:top w:val="nil" w:sz="6" w:space="0" w:color="auto"/>
              <w:left w:val="nil" w:sz="6" w:space="0" w:color="auto"/>
              <w:bottom w:val="single" w:sz="17" w:space="0" w:color="000000"/>
              <w:right w:val="nil" w:sz="6" w:space="0" w:color="auto"/>
            </w:tcBorders>
          </w:tcPr>
          <w:p>
            <w:pPr>
              <w:pStyle w:val="TableParagraph"/>
              <w:spacing w:line="240" w:lineRule="auto" w:before="113"/>
              <w:ind w:left="132" w:right="0"/>
              <w:jc w:val="left"/>
              <w:rPr>
                <w:rFonts w:ascii="Arial" w:hAnsi="Arial" w:cs="Arial" w:eastAsia="Arial" w:hint="default"/>
                <w:sz w:val="16"/>
                <w:szCs w:val="16"/>
              </w:rPr>
            </w:pPr>
            <w:r>
              <w:rPr>
                <w:rFonts w:ascii="Arial"/>
                <w:sz w:val="16"/>
              </w:rPr>
              <w:t>52,328,892,232</w:t>
            </w:r>
          </w:p>
        </w:tc>
      </w:tr>
    </w:tbl>
    <w:p>
      <w:pPr>
        <w:spacing w:line="240" w:lineRule="auto" w:before="1"/>
        <w:rPr>
          <w:rFonts w:ascii="宋体" w:hAnsi="宋体" w:cs="宋体" w:eastAsia="宋体" w:hint="default"/>
          <w:sz w:val="14"/>
          <w:szCs w:val="14"/>
        </w:rPr>
      </w:pPr>
    </w:p>
    <w:p>
      <w:pPr>
        <w:pStyle w:val="BodyText"/>
        <w:spacing w:line="295" w:lineRule="exact" w:before="31"/>
        <w:ind w:left="550" w:right="0"/>
        <w:jc w:val="both"/>
      </w:pPr>
      <w:r>
        <w:rPr/>
        <w:t>于</w:t>
      </w:r>
      <w:r>
        <w:rPr>
          <w:spacing w:val="-33"/>
        </w:rPr>
        <w:t> </w:t>
      </w:r>
      <w:r>
        <w:rPr>
          <w:rFonts w:ascii="Arial" w:hAnsi="Arial" w:cs="Arial" w:eastAsia="Arial" w:hint="default"/>
        </w:rPr>
        <w:t>2012</w:t>
      </w:r>
      <w:r>
        <w:rPr>
          <w:rFonts w:ascii="Arial" w:hAnsi="Arial" w:cs="Arial" w:eastAsia="Arial" w:hint="default"/>
          <w:spacing w:val="18"/>
        </w:rPr>
        <w:t> </w:t>
      </w:r>
      <w:r>
        <w:rPr/>
        <w:t>年</w:t>
      </w:r>
      <w:r>
        <w:rPr>
          <w:spacing w:val="-32"/>
        </w:rPr>
        <w:t> </w:t>
      </w:r>
      <w:r>
        <w:rPr>
          <w:rFonts w:ascii="Arial" w:hAnsi="Arial" w:cs="Arial" w:eastAsia="Arial" w:hint="default"/>
        </w:rPr>
        <w:t>12</w:t>
      </w:r>
      <w:r>
        <w:rPr>
          <w:rFonts w:ascii="Arial" w:hAnsi="Arial" w:cs="Arial" w:eastAsia="Arial" w:hint="default"/>
          <w:spacing w:val="16"/>
        </w:rPr>
        <w:t> </w:t>
      </w:r>
      <w:r>
        <w:rPr/>
        <w:t>月</w:t>
      </w:r>
      <w:r>
        <w:rPr>
          <w:spacing w:val="-33"/>
        </w:rPr>
        <w:t> </w:t>
      </w:r>
      <w:r>
        <w:rPr>
          <w:rFonts w:ascii="Arial" w:hAnsi="Arial" w:cs="Arial" w:eastAsia="Arial" w:hint="default"/>
        </w:rPr>
        <w:t>31</w:t>
      </w:r>
      <w:r>
        <w:rPr>
          <w:rFonts w:ascii="Arial" w:hAnsi="Arial" w:cs="Arial" w:eastAsia="Arial" w:hint="default"/>
          <w:spacing w:val="17"/>
        </w:rPr>
        <w:t> </w:t>
      </w:r>
      <w:r>
        <w:rPr/>
        <w:t>日，本集团在建工程原值中包括资本化的借款费用约人民币</w:t>
      </w:r>
      <w:r>
        <w:rPr>
          <w:spacing w:val="-29"/>
        </w:rPr>
        <w:t> </w:t>
      </w:r>
      <w:r>
        <w:rPr>
          <w:rFonts w:ascii="Arial" w:hAnsi="Arial" w:cs="Arial" w:eastAsia="Arial" w:hint="default"/>
        </w:rPr>
        <w:t>13.10</w:t>
      </w:r>
      <w:r>
        <w:rPr>
          <w:rFonts w:ascii="Arial" w:hAnsi="Arial" w:cs="Arial" w:eastAsia="Arial" w:hint="default"/>
          <w:spacing w:val="16"/>
        </w:rPr>
        <w:t> </w:t>
      </w:r>
      <w:r>
        <w:rPr/>
        <w:t>亿元</w:t>
      </w:r>
    </w:p>
    <w:p>
      <w:pPr>
        <w:pStyle w:val="BodyText"/>
        <w:spacing w:line="225" w:lineRule="auto" w:before="6"/>
        <w:ind w:left="550" w:right="149"/>
        <w:jc w:val="both"/>
      </w:pPr>
      <w:r>
        <w:rPr/>
        <w:t>（</w:t>
      </w:r>
      <w:r>
        <w:rPr>
          <w:rFonts w:ascii="Arial" w:hAnsi="Arial" w:cs="Arial" w:eastAsia="Arial" w:hint="default"/>
        </w:rPr>
        <w:t>2011</w:t>
      </w:r>
      <w:r>
        <w:rPr>
          <w:rFonts w:ascii="Arial" w:hAnsi="Arial" w:cs="Arial" w:eastAsia="Arial" w:hint="default"/>
          <w:spacing w:val="2"/>
        </w:rPr>
        <w:t> </w:t>
      </w:r>
      <w:r>
        <w:rPr/>
        <w:t>年</w:t>
      </w:r>
      <w:r>
        <w:rPr>
          <w:spacing w:val="-48"/>
        </w:rPr>
        <w:t> </w:t>
      </w:r>
      <w:r>
        <w:rPr>
          <w:rFonts w:ascii="Arial" w:hAnsi="Arial" w:cs="Arial" w:eastAsia="Arial" w:hint="default"/>
        </w:rPr>
        <w:t>12</w:t>
      </w:r>
      <w:r>
        <w:rPr>
          <w:rFonts w:ascii="Arial" w:hAnsi="Arial" w:cs="Arial" w:eastAsia="Arial" w:hint="default"/>
          <w:spacing w:val="1"/>
        </w:rPr>
        <w:t> </w:t>
      </w:r>
      <w:r>
        <w:rPr/>
        <w:t>月</w:t>
      </w:r>
      <w:r>
        <w:rPr>
          <w:spacing w:val="-48"/>
        </w:rPr>
        <w:t> </w:t>
      </w:r>
      <w:r>
        <w:rPr>
          <w:rFonts w:ascii="Arial" w:hAnsi="Arial" w:cs="Arial" w:eastAsia="Arial" w:hint="default"/>
        </w:rPr>
        <w:t>31</w:t>
      </w:r>
      <w:r>
        <w:rPr>
          <w:rFonts w:ascii="Arial" w:hAnsi="Arial" w:cs="Arial" w:eastAsia="Arial" w:hint="default"/>
          <w:spacing w:val="1"/>
        </w:rPr>
        <w:t> </w:t>
      </w:r>
      <w:r>
        <w:rPr/>
        <w:t>日：约人民币</w:t>
      </w:r>
      <w:r>
        <w:rPr>
          <w:spacing w:val="-47"/>
        </w:rPr>
        <w:t> </w:t>
      </w:r>
      <w:r>
        <w:rPr>
          <w:rFonts w:ascii="Arial" w:hAnsi="Arial" w:cs="Arial" w:eastAsia="Arial" w:hint="default"/>
        </w:rPr>
        <w:t>10.08</w:t>
      </w:r>
      <w:r>
        <w:rPr>
          <w:rFonts w:ascii="Arial" w:hAnsi="Arial" w:cs="Arial" w:eastAsia="Arial" w:hint="default"/>
          <w:spacing w:val="2"/>
        </w:rPr>
        <w:t> </w:t>
      </w:r>
      <w:r>
        <w:rPr/>
        <w:t>亿元），本集团于</w:t>
      </w:r>
      <w:r>
        <w:rPr>
          <w:spacing w:val="-46"/>
        </w:rPr>
        <w:t> </w:t>
      </w:r>
      <w:r>
        <w:rPr>
          <w:rFonts w:ascii="Arial" w:hAnsi="Arial" w:cs="Arial" w:eastAsia="Arial" w:hint="default"/>
        </w:rPr>
        <w:t>2012</w:t>
      </w:r>
      <w:r>
        <w:rPr>
          <w:rFonts w:ascii="Arial" w:hAnsi="Arial" w:cs="Arial" w:eastAsia="Arial" w:hint="default"/>
          <w:spacing w:val="2"/>
        </w:rPr>
        <w:t> </w:t>
      </w:r>
      <w:r>
        <w:rPr/>
        <w:t>年度的借款费用资本化率约</w:t>
      </w:r>
      <w:r>
        <w:rPr>
          <w:w w:val="99"/>
        </w:rPr>
        <w:t> </w:t>
      </w:r>
      <w:r>
        <w:rPr/>
        <w:t>为</w:t>
      </w:r>
      <w:r>
        <w:rPr>
          <w:spacing w:val="-65"/>
        </w:rPr>
        <w:t> </w:t>
      </w:r>
      <w:r>
        <w:rPr>
          <w:rFonts w:ascii="Arial" w:hAnsi="Arial" w:cs="Arial" w:eastAsia="Arial" w:hint="default"/>
        </w:rPr>
        <w:t>4.08%~5.16%</w:t>
      </w:r>
      <w:r>
        <w:rPr/>
        <w:t>（</w:t>
      </w:r>
      <w:r>
        <w:rPr>
          <w:rFonts w:ascii="Arial" w:hAnsi="Arial" w:cs="Arial" w:eastAsia="Arial" w:hint="default"/>
        </w:rPr>
        <w:t>2011</w:t>
      </w:r>
      <w:r>
        <w:rPr>
          <w:rFonts w:ascii="Arial" w:hAnsi="Arial" w:cs="Arial" w:eastAsia="Arial" w:hint="default"/>
          <w:spacing w:val="-16"/>
        </w:rPr>
        <w:t> </w:t>
      </w:r>
      <w:r>
        <w:rPr/>
        <w:t>年度：</w:t>
      </w:r>
      <w:r>
        <w:rPr>
          <w:rFonts w:ascii="Arial" w:hAnsi="Arial" w:cs="Arial" w:eastAsia="Arial" w:hint="default"/>
        </w:rPr>
        <w:t>3.84%~5.04%</w:t>
      </w:r>
      <w:r>
        <w:rPr/>
        <w:t>）。于</w:t>
      </w:r>
      <w:r>
        <w:rPr>
          <w:spacing w:val="-65"/>
        </w:rPr>
        <w:t> </w:t>
      </w:r>
      <w:r>
        <w:rPr>
          <w:rFonts w:ascii="Arial" w:hAnsi="Arial" w:cs="Arial" w:eastAsia="Arial" w:hint="default"/>
        </w:rPr>
        <w:t>2012</w:t>
      </w:r>
      <w:r>
        <w:rPr>
          <w:rFonts w:ascii="Arial" w:hAnsi="Arial" w:cs="Arial" w:eastAsia="Arial" w:hint="default"/>
          <w:spacing w:val="-16"/>
        </w:rPr>
        <w:t> </w:t>
      </w:r>
      <w:r>
        <w:rPr/>
        <w:t>年度，除转入固定资产的在建工程</w:t>
      </w:r>
      <w:r>
        <w:rPr>
          <w:w w:val="99"/>
        </w:rPr>
        <w:t> </w:t>
      </w:r>
      <w:r>
        <w:rPr>
          <w:spacing w:val="-3"/>
        </w:rPr>
        <w:t>外，有约人民币</w:t>
      </w:r>
      <w:r>
        <w:rPr>
          <w:spacing w:val="-61"/>
        </w:rPr>
        <w:t> </w:t>
      </w:r>
      <w:r>
        <w:rPr>
          <w:rFonts w:ascii="Arial" w:hAnsi="Arial" w:cs="Arial" w:eastAsia="Arial" w:hint="default"/>
        </w:rPr>
        <w:t>27.49</w:t>
      </w:r>
      <w:r>
        <w:rPr>
          <w:rFonts w:ascii="Arial" w:hAnsi="Arial" w:cs="Arial" w:eastAsia="Arial" w:hint="default"/>
          <w:spacing w:val="-13"/>
        </w:rPr>
        <w:t> </w:t>
      </w:r>
      <w:r>
        <w:rPr/>
        <w:t>亿元的计算机软件等转入无形资产，有约人民币</w:t>
      </w:r>
      <w:r>
        <w:rPr>
          <w:spacing w:val="-60"/>
        </w:rPr>
        <w:t> </w:t>
      </w:r>
      <w:r>
        <w:rPr>
          <w:rFonts w:ascii="Arial" w:hAnsi="Arial" w:cs="Arial" w:eastAsia="Arial" w:hint="default"/>
        </w:rPr>
        <w:t>16.55</w:t>
      </w:r>
      <w:r>
        <w:rPr>
          <w:rFonts w:ascii="Arial" w:hAnsi="Arial" w:cs="Arial" w:eastAsia="Arial" w:hint="default"/>
          <w:spacing w:val="-13"/>
        </w:rPr>
        <w:t> </w:t>
      </w:r>
      <w:r>
        <w:rPr/>
        <w:t>亿元的经营租入</w:t>
      </w:r>
      <w:r>
        <w:rPr>
          <w:w w:val="99"/>
        </w:rPr>
        <w:t> </w:t>
      </w:r>
      <w:r>
        <w:rPr/>
        <w:t>固定资产改良及外市电引入等转入长期待摊费用。</w:t>
      </w:r>
    </w:p>
    <w:p>
      <w:pPr>
        <w:spacing w:after="0" w:line="225" w:lineRule="auto"/>
        <w:jc w:val="both"/>
        <w:sectPr>
          <w:headerReference w:type="default" r:id="rId95"/>
          <w:pgSz w:w="11910" w:h="16840"/>
          <w:pgMar w:header="1184" w:footer="457" w:top="3040" w:bottom="640" w:left="1280" w:right="940"/>
        </w:sectPr>
      </w:pPr>
    </w:p>
    <w:p>
      <w:pPr>
        <w:pStyle w:val="BodyText"/>
        <w:spacing w:line="240" w:lineRule="auto" w:before="12"/>
        <w:ind w:left="119" w:right="11654"/>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2"/>
        <w:rPr>
          <w:rFonts w:ascii="黑体" w:hAnsi="黑体" w:cs="黑体" w:eastAsia="黑体" w:hint="default"/>
          <w:sz w:val="19"/>
          <w:szCs w:val="19"/>
        </w:rPr>
      </w:pPr>
    </w:p>
    <w:p>
      <w:pPr>
        <w:pStyle w:val="BodyText"/>
        <w:spacing w:line="287" w:lineRule="exact"/>
        <w:ind w:left="119" w:right="11654"/>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left="119" w:right="11654"/>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tabs>
          <w:tab w:pos="685" w:val="left" w:leader="none"/>
        </w:tabs>
        <w:spacing w:line="448" w:lineRule="auto"/>
        <w:ind w:left="119" w:right="11654"/>
        <w:jc w:val="left"/>
        <w:rPr>
          <w:rFonts w:ascii="黑体" w:hAnsi="黑体" w:cs="黑体" w:eastAsia="黑体" w:hint="default"/>
        </w:rPr>
      </w:pPr>
      <w:r>
        <w:rPr>
          <w:rFonts w:ascii="黑体" w:hAnsi="黑体" w:cs="黑体" w:eastAsia="黑体" w:hint="default"/>
        </w:rPr>
        <w:t>（除特别注明外，金额单位为人民币元）</w:t>
      </w:r>
      <w:r>
        <w:rPr>
          <w:rFonts w:ascii="黑体" w:hAnsi="黑体" w:cs="黑体" w:eastAsia="黑体" w:hint="default"/>
          <w:w w:val="99"/>
        </w:rPr>
        <w:t> </w:t>
      </w:r>
      <w:r>
        <w:rPr>
          <w:rFonts w:ascii="黑体" w:hAnsi="黑体" w:cs="黑体" w:eastAsia="黑体" w:hint="default"/>
          <w:w w:val="95"/>
        </w:rPr>
        <w:t>五</w:t>
        <w:tab/>
      </w:r>
      <w:r>
        <w:rPr>
          <w:rFonts w:ascii="黑体" w:hAnsi="黑体" w:cs="黑体" w:eastAsia="黑体" w:hint="default"/>
        </w:rPr>
        <w:t>合并财务报表项目附注（续）</w:t>
      </w:r>
    </w:p>
    <w:p>
      <w:pPr>
        <w:pStyle w:val="BodyText"/>
        <w:spacing w:line="240" w:lineRule="auto" w:before="58"/>
        <w:ind w:left="119" w:right="11654"/>
        <w:jc w:val="left"/>
      </w:pPr>
      <w:r>
        <w:rPr>
          <w:rFonts w:ascii="Arial" w:hAnsi="Arial" w:cs="Arial" w:eastAsia="Arial" w:hint="default"/>
        </w:rPr>
        <w:t>11</w:t>
      </w:r>
      <w:r>
        <w:rPr/>
        <w:t>、在建工程（续）</w:t>
      </w:r>
    </w:p>
    <w:p>
      <w:pPr>
        <w:pStyle w:val="BodyText"/>
        <w:spacing w:line="240" w:lineRule="auto" w:before="189"/>
        <w:ind w:left="119" w:right="11654"/>
        <w:jc w:val="left"/>
      </w:pPr>
      <w:r>
        <w:rPr>
          <w:rFonts w:ascii="Arial" w:hAnsi="Arial" w:cs="Arial" w:eastAsia="Arial" w:hint="default"/>
        </w:rPr>
        <w:t>(a) </w:t>
      </w:r>
      <w:r>
        <w:rPr>
          <w:rFonts w:ascii="Arial" w:hAnsi="Arial" w:cs="Arial" w:eastAsia="Arial" w:hint="default"/>
          <w:spacing w:val="54"/>
        </w:rPr>
        <w:t> </w:t>
      </w:r>
      <w:r>
        <w:rPr/>
        <w:t>重大在建工程项目变动</w:t>
      </w:r>
    </w:p>
    <w:p>
      <w:pPr>
        <w:spacing w:line="240" w:lineRule="auto" w:before="2"/>
        <w:rPr>
          <w:rFonts w:ascii="宋体" w:hAnsi="宋体" w:cs="宋体" w:eastAsia="宋体" w:hint="default"/>
          <w:sz w:val="23"/>
          <w:szCs w:val="23"/>
        </w:rPr>
      </w:pPr>
    </w:p>
    <w:tbl>
      <w:tblPr>
        <w:tblW w:w="0" w:type="auto"/>
        <w:jc w:val="left"/>
        <w:tblInd w:w="551" w:type="dxa"/>
        <w:tblLayout w:type="fixed"/>
        <w:tblCellMar>
          <w:top w:w="0" w:type="dxa"/>
          <w:left w:w="0" w:type="dxa"/>
          <w:bottom w:w="0" w:type="dxa"/>
          <w:right w:w="0" w:type="dxa"/>
        </w:tblCellMar>
        <w:tblLook w:val="01E0"/>
      </w:tblPr>
      <w:tblGrid>
        <w:gridCol w:w="4294"/>
        <w:gridCol w:w="684"/>
        <w:gridCol w:w="936"/>
        <w:gridCol w:w="1214"/>
        <w:gridCol w:w="810"/>
        <w:gridCol w:w="522"/>
        <w:gridCol w:w="1170"/>
        <w:gridCol w:w="802"/>
        <w:gridCol w:w="1042"/>
        <w:gridCol w:w="1029"/>
        <w:gridCol w:w="1163"/>
        <w:gridCol w:w="931"/>
        <w:gridCol w:w="479"/>
      </w:tblGrid>
      <w:tr>
        <w:trPr>
          <w:trHeight w:val="608" w:hRule="exact"/>
        </w:trPr>
        <w:tc>
          <w:tcPr>
            <w:tcW w:w="4294"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6"/>
                <w:szCs w:val="16"/>
              </w:rPr>
            </w:pPr>
            <w:r>
              <w:rPr>
                <w:rFonts w:ascii="宋体" w:hAnsi="宋体" w:cs="宋体" w:eastAsia="宋体" w:hint="default"/>
                <w:sz w:val="16"/>
                <w:szCs w:val="16"/>
              </w:rPr>
              <w:t>工程名称</w:t>
            </w:r>
          </w:p>
        </w:tc>
        <w:tc>
          <w:tcPr>
            <w:tcW w:w="684" w:type="dxa"/>
            <w:tcBorders>
              <w:top w:val="nil" w:sz="6" w:space="0" w:color="auto"/>
              <w:left w:val="nil" w:sz="6" w:space="0" w:color="auto"/>
              <w:bottom w:val="single" w:sz="6" w:space="0" w:color="000000"/>
              <w:right w:val="nil" w:sz="6" w:space="0" w:color="auto"/>
            </w:tcBorders>
          </w:tcPr>
          <w:p>
            <w:pPr>
              <w:pStyle w:val="TableParagraph"/>
              <w:spacing w:line="159" w:lineRule="exact"/>
              <w:ind w:left="91" w:right="0"/>
              <w:jc w:val="left"/>
              <w:rPr>
                <w:rFonts w:ascii="宋体" w:hAnsi="宋体" w:cs="宋体" w:eastAsia="宋体" w:hint="default"/>
                <w:sz w:val="16"/>
                <w:szCs w:val="16"/>
              </w:rPr>
            </w:pPr>
            <w:r>
              <w:rPr>
                <w:rFonts w:ascii="宋体" w:hAnsi="宋体" w:cs="宋体" w:eastAsia="宋体" w:hint="default"/>
                <w:sz w:val="16"/>
                <w:szCs w:val="16"/>
              </w:rPr>
              <w:t>预算数</w:t>
            </w:r>
          </w:p>
          <w:p>
            <w:pPr>
              <w:pStyle w:val="TableParagraph"/>
              <w:spacing w:line="240" w:lineRule="auto"/>
              <w:ind w:left="11" w:right="31"/>
              <w:jc w:val="left"/>
              <w:rPr>
                <w:rFonts w:ascii="宋体" w:hAnsi="宋体" w:cs="宋体" w:eastAsia="宋体" w:hint="default"/>
                <w:sz w:val="16"/>
                <w:szCs w:val="16"/>
              </w:rPr>
            </w:pPr>
            <w:r>
              <w:rPr>
                <w:rFonts w:ascii="宋体" w:hAnsi="宋体" w:cs="宋体" w:eastAsia="宋体" w:hint="default"/>
                <w:sz w:val="16"/>
                <w:szCs w:val="16"/>
              </w:rPr>
              <w:t>（人民币</w:t>
            </w:r>
            <w:r>
              <w:rPr>
                <w:rFonts w:ascii="宋体" w:hAnsi="宋体" w:cs="宋体" w:eastAsia="宋体" w:hint="default"/>
                <w:w w:val="99"/>
                <w:sz w:val="16"/>
                <w:szCs w:val="16"/>
              </w:rPr>
              <w:t> </w:t>
            </w:r>
            <w:r>
              <w:rPr>
                <w:rFonts w:ascii="宋体" w:hAnsi="宋体" w:cs="宋体" w:eastAsia="宋体" w:hint="default"/>
                <w:sz w:val="16"/>
                <w:szCs w:val="16"/>
              </w:rPr>
              <w:t>百万元）</w:t>
            </w:r>
          </w:p>
        </w:tc>
        <w:tc>
          <w:tcPr>
            <w:tcW w:w="936"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14" w:lineRule="exact"/>
              <w:ind w:left="379" w:right="0"/>
              <w:jc w:val="left"/>
              <w:rPr>
                <w:rFonts w:ascii="宋体" w:hAnsi="宋体" w:cs="宋体" w:eastAsia="宋体" w:hint="default"/>
                <w:sz w:val="16"/>
                <w:szCs w:val="16"/>
              </w:rPr>
            </w:pPr>
            <w:r>
              <w:rPr>
                <w:rFonts w:ascii="Arial" w:hAnsi="Arial" w:cs="Arial" w:eastAsia="Arial" w:hint="default"/>
                <w:sz w:val="16"/>
                <w:szCs w:val="16"/>
              </w:rPr>
              <w:t>2011</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left="139"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1214"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29"/>
              <w:jc w:val="right"/>
              <w:rPr>
                <w:rFonts w:ascii="宋体" w:hAnsi="宋体" w:cs="宋体" w:eastAsia="宋体" w:hint="default"/>
                <w:sz w:val="16"/>
                <w:szCs w:val="16"/>
              </w:rPr>
            </w:pPr>
            <w:r>
              <w:rPr>
                <w:rFonts w:ascii="宋体" w:hAnsi="宋体" w:cs="宋体" w:eastAsia="宋体" w:hint="default"/>
                <w:w w:val="95"/>
                <w:sz w:val="16"/>
                <w:szCs w:val="16"/>
              </w:rPr>
              <w:t>本年增加</w:t>
            </w:r>
            <w:r>
              <w:rPr>
                <w:rFonts w:ascii="宋体" w:hAnsi="宋体" w:cs="宋体" w:eastAsia="宋体" w:hint="default"/>
                <w:sz w:val="16"/>
                <w:szCs w:val="16"/>
              </w:rPr>
            </w:r>
          </w:p>
        </w:tc>
        <w:tc>
          <w:tcPr>
            <w:tcW w:w="810"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122" w:right="47"/>
              <w:jc w:val="left"/>
              <w:rPr>
                <w:rFonts w:ascii="宋体" w:hAnsi="宋体" w:cs="宋体" w:eastAsia="宋体" w:hint="default"/>
                <w:sz w:val="16"/>
                <w:szCs w:val="16"/>
              </w:rPr>
            </w:pPr>
            <w:r>
              <w:rPr>
                <w:rFonts w:ascii="宋体" w:hAnsi="宋体" w:cs="宋体" w:eastAsia="宋体" w:hint="default"/>
                <w:sz w:val="16"/>
                <w:szCs w:val="16"/>
              </w:rPr>
              <w:t>本年转入</w:t>
            </w:r>
            <w:r>
              <w:rPr>
                <w:rFonts w:ascii="宋体" w:hAnsi="宋体" w:cs="宋体" w:eastAsia="宋体" w:hint="default"/>
                <w:w w:val="99"/>
                <w:sz w:val="16"/>
                <w:szCs w:val="16"/>
              </w:rPr>
              <w:t> </w:t>
            </w:r>
            <w:r>
              <w:rPr>
                <w:rFonts w:ascii="宋体" w:hAnsi="宋体" w:cs="宋体" w:eastAsia="宋体" w:hint="default"/>
                <w:sz w:val="16"/>
                <w:szCs w:val="16"/>
              </w:rPr>
              <w:t>固定资产</w:t>
            </w:r>
          </w:p>
        </w:tc>
        <w:tc>
          <w:tcPr>
            <w:tcW w:w="522"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187" w:right="13"/>
              <w:jc w:val="left"/>
              <w:rPr>
                <w:rFonts w:ascii="宋体" w:hAnsi="宋体" w:cs="宋体" w:eastAsia="宋体" w:hint="default"/>
                <w:sz w:val="16"/>
                <w:szCs w:val="16"/>
              </w:rPr>
            </w:pPr>
            <w:r>
              <w:rPr>
                <w:rFonts w:ascii="宋体" w:hAnsi="宋体" w:cs="宋体" w:eastAsia="宋体" w:hint="default"/>
                <w:sz w:val="16"/>
                <w:szCs w:val="16"/>
              </w:rPr>
              <w:t>其他</w:t>
            </w:r>
            <w:r>
              <w:rPr>
                <w:rFonts w:ascii="宋体" w:hAnsi="宋体" w:cs="宋体" w:eastAsia="宋体" w:hint="default"/>
                <w:w w:val="99"/>
                <w:sz w:val="16"/>
                <w:szCs w:val="16"/>
              </w:rPr>
              <w:t> </w:t>
            </w:r>
            <w:r>
              <w:rPr>
                <w:rFonts w:ascii="宋体" w:hAnsi="宋体" w:cs="宋体" w:eastAsia="宋体" w:hint="default"/>
                <w:sz w:val="16"/>
                <w:szCs w:val="16"/>
              </w:rPr>
              <w:t>减少</w:t>
            </w:r>
          </w:p>
        </w:tc>
        <w:tc>
          <w:tcPr>
            <w:tcW w:w="1170"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14" w:lineRule="exact"/>
              <w:ind w:left="524" w:right="0"/>
              <w:jc w:val="left"/>
              <w:rPr>
                <w:rFonts w:ascii="宋体" w:hAnsi="宋体" w:cs="宋体" w:eastAsia="宋体" w:hint="default"/>
                <w:sz w:val="16"/>
                <w:szCs w:val="16"/>
              </w:rPr>
            </w:pPr>
            <w:r>
              <w:rPr>
                <w:rFonts w:ascii="Arial" w:hAnsi="Arial" w:cs="Arial" w:eastAsia="Arial" w:hint="default"/>
                <w:sz w:val="16"/>
                <w:szCs w:val="16"/>
              </w:rPr>
              <w:t>2012</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left="284"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802" w:type="dxa"/>
            <w:tcBorders>
              <w:top w:val="nil" w:sz="6" w:space="0" w:color="auto"/>
              <w:left w:val="nil" w:sz="6" w:space="0" w:color="auto"/>
              <w:bottom w:val="single" w:sz="6" w:space="0" w:color="000000"/>
              <w:right w:val="nil" w:sz="6" w:space="0" w:color="auto"/>
            </w:tcBorders>
          </w:tcPr>
          <w:p>
            <w:pPr>
              <w:pStyle w:val="TableParagraph"/>
              <w:spacing w:line="159" w:lineRule="exact"/>
              <w:ind w:left="130" w:right="0"/>
              <w:jc w:val="left"/>
              <w:rPr>
                <w:rFonts w:ascii="宋体" w:hAnsi="宋体" w:cs="宋体" w:eastAsia="宋体" w:hint="default"/>
                <w:sz w:val="16"/>
                <w:szCs w:val="16"/>
              </w:rPr>
            </w:pPr>
            <w:r>
              <w:rPr>
                <w:rFonts w:ascii="宋体" w:hAnsi="宋体" w:cs="宋体" w:eastAsia="宋体" w:hint="default"/>
                <w:sz w:val="16"/>
                <w:szCs w:val="16"/>
              </w:rPr>
              <w:t>工程投入</w:t>
            </w:r>
          </w:p>
          <w:p>
            <w:pPr>
              <w:pStyle w:val="TableParagraph"/>
              <w:spacing w:line="240" w:lineRule="auto"/>
              <w:ind w:left="290" w:right="30" w:hanging="160"/>
              <w:jc w:val="left"/>
              <w:rPr>
                <w:rFonts w:ascii="宋体" w:hAnsi="宋体" w:cs="宋体" w:eastAsia="宋体" w:hint="default"/>
                <w:sz w:val="16"/>
                <w:szCs w:val="16"/>
              </w:rPr>
            </w:pPr>
            <w:r>
              <w:rPr>
                <w:rFonts w:ascii="宋体" w:hAnsi="宋体" w:cs="宋体" w:eastAsia="宋体" w:hint="default"/>
                <w:sz w:val="16"/>
                <w:szCs w:val="16"/>
              </w:rPr>
              <w:t>占预算的</w:t>
            </w:r>
            <w:r>
              <w:rPr>
                <w:rFonts w:ascii="宋体" w:hAnsi="宋体" w:cs="宋体" w:eastAsia="宋体" w:hint="default"/>
                <w:w w:val="99"/>
                <w:sz w:val="16"/>
                <w:szCs w:val="16"/>
              </w:rPr>
              <w:t> </w:t>
            </w:r>
            <w:r>
              <w:rPr>
                <w:rFonts w:ascii="宋体" w:hAnsi="宋体" w:cs="宋体" w:eastAsia="宋体" w:hint="default"/>
                <w:sz w:val="16"/>
                <w:szCs w:val="16"/>
              </w:rPr>
              <w:t>比例</w:t>
            </w:r>
          </w:p>
        </w:tc>
        <w:tc>
          <w:tcPr>
            <w:tcW w:w="1042" w:type="dxa"/>
            <w:tcBorders>
              <w:top w:val="nil" w:sz="6" w:space="0" w:color="auto"/>
              <w:left w:val="nil" w:sz="6" w:space="0" w:color="auto"/>
              <w:bottom w:val="single" w:sz="6" w:space="0" w:color="000000"/>
              <w:right w:val="nil" w:sz="6" w:space="0" w:color="auto"/>
            </w:tcBorders>
          </w:tcPr>
          <w:p>
            <w:pPr>
              <w:pStyle w:val="TableParagraph"/>
              <w:spacing w:line="159" w:lineRule="exact"/>
              <w:ind w:left="400" w:right="0" w:hanging="160"/>
              <w:jc w:val="left"/>
              <w:rPr>
                <w:rFonts w:ascii="宋体" w:hAnsi="宋体" w:cs="宋体" w:eastAsia="宋体" w:hint="default"/>
                <w:sz w:val="16"/>
                <w:szCs w:val="16"/>
              </w:rPr>
            </w:pPr>
            <w:r>
              <w:rPr>
                <w:rFonts w:ascii="宋体" w:hAnsi="宋体" w:cs="宋体" w:eastAsia="宋体" w:hint="default"/>
                <w:sz w:val="16"/>
                <w:szCs w:val="16"/>
              </w:rPr>
              <w:t>借款费用</w:t>
            </w:r>
          </w:p>
          <w:p>
            <w:pPr>
              <w:pStyle w:val="TableParagraph"/>
              <w:spacing w:line="240" w:lineRule="auto"/>
              <w:ind w:left="241" w:right="160" w:firstLine="159"/>
              <w:jc w:val="left"/>
              <w:rPr>
                <w:rFonts w:ascii="宋体" w:hAnsi="宋体" w:cs="宋体" w:eastAsia="宋体" w:hint="default"/>
                <w:sz w:val="16"/>
                <w:szCs w:val="16"/>
              </w:rPr>
            </w:pPr>
            <w:r>
              <w:rPr>
                <w:rFonts w:ascii="宋体" w:hAnsi="宋体" w:cs="宋体" w:eastAsia="宋体" w:hint="default"/>
                <w:sz w:val="16"/>
                <w:szCs w:val="16"/>
              </w:rPr>
              <w:t>资本化</w:t>
            </w:r>
            <w:r>
              <w:rPr>
                <w:rFonts w:ascii="宋体" w:hAnsi="宋体" w:cs="宋体" w:eastAsia="宋体" w:hint="default"/>
                <w:w w:val="99"/>
                <w:sz w:val="16"/>
                <w:szCs w:val="16"/>
              </w:rPr>
              <w:t> </w:t>
            </w:r>
            <w:r>
              <w:rPr>
                <w:rFonts w:ascii="宋体" w:hAnsi="宋体" w:cs="宋体" w:eastAsia="宋体" w:hint="default"/>
                <w:sz w:val="16"/>
                <w:szCs w:val="16"/>
              </w:rPr>
              <w:t>累计金额</w:t>
            </w:r>
          </w:p>
        </w:tc>
        <w:tc>
          <w:tcPr>
            <w:tcW w:w="1029" w:type="dxa"/>
            <w:tcBorders>
              <w:top w:val="nil" w:sz="6" w:space="0" w:color="auto"/>
              <w:left w:val="nil" w:sz="6" w:space="0" w:color="auto"/>
              <w:bottom w:val="single" w:sz="6" w:space="0" w:color="000000"/>
              <w:right w:val="nil" w:sz="6" w:space="0" w:color="auto"/>
            </w:tcBorders>
          </w:tcPr>
          <w:p>
            <w:pPr>
              <w:pStyle w:val="TableParagraph"/>
              <w:spacing w:line="159" w:lineRule="exact"/>
              <w:ind w:left="172" w:right="0" w:hanging="110"/>
              <w:jc w:val="left"/>
              <w:rPr>
                <w:rFonts w:ascii="宋体" w:hAnsi="宋体" w:cs="宋体" w:eastAsia="宋体" w:hint="default"/>
                <w:sz w:val="16"/>
                <w:szCs w:val="16"/>
              </w:rPr>
            </w:pPr>
            <w:r>
              <w:rPr>
                <w:rFonts w:ascii="宋体" w:hAnsi="宋体" w:cs="宋体" w:eastAsia="宋体" w:hint="default"/>
                <w:spacing w:val="-9"/>
                <w:sz w:val="16"/>
                <w:szCs w:val="16"/>
              </w:rPr>
              <w:t>其中：本年借</w:t>
            </w:r>
          </w:p>
          <w:p>
            <w:pPr>
              <w:pStyle w:val="TableParagraph"/>
              <w:spacing w:line="208" w:lineRule="exact"/>
              <w:ind w:left="172" w:right="0"/>
              <w:jc w:val="left"/>
              <w:rPr>
                <w:rFonts w:ascii="宋体" w:hAnsi="宋体" w:cs="宋体" w:eastAsia="宋体" w:hint="default"/>
                <w:sz w:val="16"/>
                <w:szCs w:val="16"/>
              </w:rPr>
            </w:pPr>
            <w:r>
              <w:rPr>
                <w:rFonts w:ascii="宋体" w:hAnsi="宋体" w:cs="宋体" w:eastAsia="宋体" w:hint="default"/>
                <w:sz w:val="16"/>
                <w:szCs w:val="16"/>
              </w:rPr>
              <w:t>款费用资本</w:t>
            </w:r>
          </w:p>
          <w:p>
            <w:pPr>
              <w:pStyle w:val="TableParagraph"/>
              <w:spacing w:line="208" w:lineRule="exact"/>
              <w:ind w:left="492" w:right="0"/>
              <w:jc w:val="left"/>
              <w:rPr>
                <w:rFonts w:ascii="宋体" w:hAnsi="宋体" w:cs="宋体" w:eastAsia="宋体" w:hint="default"/>
                <w:sz w:val="16"/>
                <w:szCs w:val="16"/>
              </w:rPr>
            </w:pPr>
            <w:r>
              <w:rPr>
                <w:rFonts w:ascii="宋体" w:hAnsi="宋体" w:cs="宋体" w:eastAsia="宋体" w:hint="default"/>
                <w:sz w:val="16"/>
                <w:szCs w:val="16"/>
              </w:rPr>
              <w:t>化金额</w:t>
            </w:r>
          </w:p>
        </w:tc>
        <w:tc>
          <w:tcPr>
            <w:tcW w:w="1163"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08" w:lineRule="exact"/>
              <w:ind w:left="201" w:right="0"/>
              <w:jc w:val="left"/>
              <w:rPr>
                <w:rFonts w:ascii="宋体" w:hAnsi="宋体" w:cs="宋体" w:eastAsia="宋体" w:hint="default"/>
                <w:sz w:val="16"/>
                <w:szCs w:val="16"/>
              </w:rPr>
            </w:pPr>
            <w:r>
              <w:rPr>
                <w:rFonts w:ascii="宋体" w:hAnsi="宋体" w:cs="宋体" w:eastAsia="宋体" w:hint="default"/>
                <w:sz w:val="16"/>
                <w:szCs w:val="16"/>
              </w:rPr>
              <w:t>本年借款费用</w:t>
            </w:r>
          </w:p>
          <w:p>
            <w:pPr>
              <w:pStyle w:val="TableParagraph"/>
              <w:spacing w:line="208" w:lineRule="exact"/>
              <w:ind w:left="522" w:right="0"/>
              <w:jc w:val="left"/>
              <w:rPr>
                <w:rFonts w:ascii="宋体" w:hAnsi="宋体" w:cs="宋体" w:eastAsia="宋体" w:hint="default"/>
                <w:sz w:val="16"/>
                <w:szCs w:val="16"/>
              </w:rPr>
            </w:pPr>
            <w:r>
              <w:rPr>
                <w:rFonts w:ascii="宋体" w:hAnsi="宋体" w:cs="宋体" w:eastAsia="宋体" w:hint="default"/>
                <w:w w:val="95"/>
                <w:sz w:val="16"/>
                <w:szCs w:val="16"/>
              </w:rPr>
              <w:t>资本化率</w:t>
            </w:r>
            <w:r>
              <w:rPr>
                <w:rFonts w:ascii="宋体" w:hAnsi="宋体" w:cs="宋体" w:eastAsia="宋体" w:hint="default"/>
                <w:sz w:val="16"/>
                <w:szCs w:val="16"/>
              </w:rPr>
            </w:r>
          </w:p>
        </w:tc>
        <w:tc>
          <w:tcPr>
            <w:tcW w:w="931"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61"/>
              <w:jc w:val="right"/>
              <w:rPr>
                <w:rFonts w:ascii="宋体" w:hAnsi="宋体" w:cs="宋体" w:eastAsia="宋体" w:hint="default"/>
                <w:sz w:val="16"/>
                <w:szCs w:val="16"/>
              </w:rPr>
            </w:pPr>
            <w:r>
              <w:rPr>
                <w:rFonts w:ascii="宋体" w:hAnsi="宋体" w:cs="宋体" w:eastAsia="宋体" w:hint="default"/>
                <w:w w:val="95"/>
                <w:sz w:val="16"/>
                <w:szCs w:val="16"/>
              </w:rPr>
              <w:t>资金来源</w:t>
            </w:r>
            <w:r>
              <w:rPr>
                <w:rFonts w:ascii="宋体" w:hAnsi="宋体" w:cs="宋体" w:eastAsia="宋体" w:hint="default"/>
                <w:sz w:val="16"/>
                <w:szCs w:val="16"/>
              </w:rPr>
            </w:r>
          </w:p>
        </w:tc>
        <w:tc>
          <w:tcPr>
            <w:tcW w:w="479"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80" w:right="77" w:hanging="5"/>
              <w:jc w:val="left"/>
              <w:rPr>
                <w:rFonts w:ascii="宋体" w:hAnsi="宋体" w:cs="宋体" w:eastAsia="宋体" w:hint="default"/>
                <w:sz w:val="16"/>
                <w:szCs w:val="16"/>
              </w:rPr>
            </w:pPr>
            <w:r>
              <w:rPr>
                <w:rFonts w:ascii="宋体" w:hAnsi="宋体" w:cs="宋体" w:eastAsia="宋体" w:hint="default"/>
                <w:sz w:val="16"/>
                <w:szCs w:val="16"/>
              </w:rPr>
              <w:t>工程</w:t>
            </w:r>
            <w:r>
              <w:rPr>
                <w:rFonts w:ascii="宋体" w:hAnsi="宋体" w:cs="宋体" w:eastAsia="宋体" w:hint="default"/>
                <w:w w:val="99"/>
                <w:sz w:val="16"/>
                <w:szCs w:val="16"/>
              </w:rPr>
              <w:t> </w:t>
            </w:r>
            <w:r>
              <w:rPr>
                <w:rFonts w:ascii="宋体" w:hAnsi="宋体" w:cs="宋体" w:eastAsia="宋体" w:hint="default"/>
                <w:sz w:val="16"/>
                <w:szCs w:val="16"/>
              </w:rPr>
              <w:t>进度</w:t>
            </w:r>
          </w:p>
        </w:tc>
      </w:tr>
      <w:tr>
        <w:trPr>
          <w:trHeight w:val="407" w:hRule="exact"/>
        </w:trPr>
        <w:tc>
          <w:tcPr>
            <w:tcW w:w="4294" w:type="dxa"/>
            <w:tcBorders>
              <w:top w:val="single" w:sz="6"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6"/>
                <w:szCs w:val="16"/>
              </w:rPr>
            </w:pPr>
            <w:r>
              <w:rPr>
                <w:rFonts w:ascii="宋体" w:hAnsi="宋体" w:cs="宋体" w:eastAsia="宋体" w:hint="default"/>
                <w:sz w:val="16"/>
                <w:szCs w:val="16"/>
              </w:rPr>
              <w:t>广东</w:t>
            </w:r>
            <w:r>
              <w:rPr>
                <w:rFonts w:ascii="Arial" w:hAnsi="Arial" w:cs="Arial" w:eastAsia="Arial" w:hint="default"/>
                <w:sz w:val="16"/>
                <w:szCs w:val="16"/>
              </w:rPr>
              <w:t>-2012</w:t>
            </w:r>
            <w:r>
              <w:rPr>
                <w:rFonts w:ascii="Arial" w:hAnsi="Arial" w:cs="Arial" w:eastAsia="Arial" w:hint="default"/>
                <w:spacing w:val="-7"/>
                <w:sz w:val="16"/>
                <w:szCs w:val="16"/>
              </w:rPr>
              <w:t> </w:t>
            </w:r>
            <w:r>
              <w:rPr>
                <w:rFonts w:ascii="宋体" w:hAnsi="宋体" w:cs="宋体" w:eastAsia="宋体" w:hint="default"/>
                <w:sz w:val="16"/>
                <w:szCs w:val="16"/>
              </w:rPr>
              <w:t>年中国联通广东</w:t>
            </w:r>
            <w:r>
              <w:rPr>
                <w:rFonts w:ascii="宋体" w:hAnsi="宋体" w:cs="宋体" w:eastAsia="宋体" w:hint="default"/>
                <w:spacing w:val="-43"/>
                <w:sz w:val="16"/>
                <w:szCs w:val="16"/>
              </w:rPr>
              <w:t> </w:t>
            </w:r>
            <w:r>
              <w:rPr>
                <w:rFonts w:ascii="Arial" w:hAnsi="Arial" w:cs="Arial" w:eastAsia="Arial" w:hint="default"/>
                <w:sz w:val="16"/>
                <w:szCs w:val="16"/>
              </w:rPr>
              <w:t>WCDMA</w:t>
            </w:r>
            <w:r>
              <w:rPr>
                <w:rFonts w:ascii="Arial" w:hAnsi="Arial" w:cs="Arial" w:eastAsia="Arial" w:hint="default"/>
                <w:spacing w:val="-6"/>
                <w:sz w:val="16"/>
                <w:szCs w:val="16"/>
              </w:rPr>
              <w:t> </w:t>
            </w:r>
            <w:r>
              <w:rPr>
                <w:rFonts w:ascii="宋体" w:hAnsi="宋体" w:cs="宋体" w:eastAsia="宋体" w:hint="default"/>
                <w:sz w:val="16"/>
                <w:szCs w:val="16"/>
              </w:rPr>
              <w:t>无线网络扩容工程</w:t>
            </w:r>
          </w:p>
        </w:tc>
        <w:tc>
          <w:tcPr>
            <w:tcW w:w="684"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6"/>
                <w:szCs w:val="16"/>
              </w:rPr>
            </w:pPr>
            <w:r>
              <w:rPr>
                <w:rFonts w:ascii="Arial"/>
                <w:w w:val="95"/>
                <w:sz w:val="16"/>
              </w:rPr>
              <w:t>1,396</w:t>
            </w:r>
            <w:r>
              <w:rPr>
                <w:rFonts w:ascii="Arial"/>
                <w:sz w:val="16"/>
              </w:rPr>
            </w:r>
          </w:p>
        </w:tc>
        <w:tc>
          <w:tcPr>
            <w:tcW w:w="936"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9"/>
              <w:jc w:val="right"/>
              <w:rPr>
                <w:rFonts w:ascii="Arial" w:hAnsi="Arial" w:cs="Arial" w:eastAsia="Arial" w:hint="default"/>
                <w:sz w:val="16"/>
                <w:szCs w:val="16"/>
              </w:rPr>
            </w:pPr>
            <w:r>
              <w:rPr>
                <w:rFonts w:ascii="Arial"/>
                <w:w w:val="99"/>
                <w:sz w:val="16"/>
              </w:rPr>
              <w:t>-</w:t>
            </w:r>
            <w:r>
              <w:rPr>
                <w:rFonts w:ascii="Arial"/>
                <w:sz w:val="16"/>
              </w:rPr>
            </w:r>
          </w:p>
        </w:tc>
        <w:tc>
          <w:tcPr>
            <w:tcW w:w="1214"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5"/>
              <w:jc w:val="right"/>
              <w:rPr>
                <w:rFonts w:ascii="Arial" w:hAnsi="Arial" w:cs="Arial" w:eastAsia="Arial" w:hint="default"/>
                <w:sz w:val="16"/>
                <w:szCs w:val="16"/>
              </w:rPr>
            </w:pPr>
            <w:r>
              <w:rPr>
                <w:rFonts w:ascii="Arial"/>
                <w:w w:val="95"/>
                <w:sz w:val="16"/>
              </w:rPr>
              <w:t>1,067,528,001</w:t>
            </w:r>
            <w:r>
              <w:rPr>
                <w:rFonts w:ascii="Arial"/>
                <w:sz w:val="16"/>
              </w:rPr>
            </w:r>
          </w:p>
        </w:tc>
        <w:tc>
          <w:tcPr>
            <w:tcW w:w="810"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1"/>
              <w:jc w:val="right"/>
              <w:rPr>
                <w:rFonts w:ascii="Arial" w:hAnsi="Arial" w:cs="Arial" w:eastAsia="Arial" w:hint="default"/>
                <w:sz w:val="16"/>
                <w:szCs w:val="16"/>
              </w:rPr>
            </w:pPr>
            <w:r>
              <w:rPr>
                <w:rFonts w:ascii="Arial"/>
                <w:w w:val="99"/>
                <w:sz w:val="16"/>
              </w:rPr>
              <w:t>-</w:t>
            </w:r>
            <w:r>
              <w:rPr>
                <w:rFonts w:ascii="Arial"/>
                <w:sz w:val="16"/>
              </w:rPr>
            </w:r>
          </w:p>
        </w:tc>
        <w:tc>
          <w:tcPr>
            <w:tcW w:w="522"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1"/>
              <w:jc w:val="right"/>
              <w:rPr>
                <w:rFonts w:ascii="Arial" w:hAnsi="Arial" w:cs="Arial" w:eastAsia="Arial" w:hint="default"/>
                <w:sz w:val="16"/>
                <w:szCs w:val="16"/>
              </w:rPr>
            </w:pPr>
            <w:r>
              <w:rPr>
                <w:rFonts w:ascii="Arial"/>
                <w:w w:val="99"/>
                <w:sz w:val="16"/>
              </w:rPr>
              <w:t>-</w:t>
            </w:r>
            <w:r>
              <w:rPr>
                <w:rFonts w:ascii="Arial"/>
                <w:sz w:val="16"/>
              </w:rPr>
            </w:r>
          </w:p>
        </w:tc>
        <w:tc>
          <w:tcPr>
            <w:tcW w:w="1170"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 w:right="0"/>
              <w:jc w:val="center"/>
              <w:rPr>
                <w:rFonts w:ascii="Arial" w:hAnsi="Arial" w:cs="Arial" w:eastAsia="Arial" w:hint="default"/>
                <w:sz w:val="16"/>
                <w:szCs w:val="16"/>
              </w:rPr>
            </w:pPr>
            <w:r>
              <w:rPr>
                <w:rFonts w:ascii="Arial"/>
                <w:sz w:val="16"/>
              </w:rPr>
              <w:t>1,067,528,001</w:t>
            </w:r>
          </w:p>
        </w:tc>
        <w:tc>
          <w:tcPr>
            <w:tcW w:w="802"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right"/>
              <w:rPr>
                <w:rFonts w:ascii="Arial" w:hAnsi="Arial" w:cs="Arial" w:eastAsia="Arial" w:hint="default"/>
                <w:sz w:val="16"/>
                <w:szCs w:val="16"/>
              </w:rPr>
            </w:pPr>
            <w:r>
              <w:rPr>
                <w:rFonts w:ascii="Arial"/>
                <w:w w:val="95"/>
                <w:sz w:val="16"/>
              </w:rPr>
              <w:t>76%</w:t>
            </w:r>
            <w:r>
              <w:rPr>
                <w:rFonts w:ascii="Arial"/>
                <w:sz w:val="16"/>
              </w:rPr>
            </w:r>
          </w:p>
        </w:tc>
        <w:tc>
          <w:tcPr>
            <w:tcW w:w="1042"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center"/>
              <w:rPr>
                <w:rFonts w:ascii="Arial" w:hAnsi="Arial" w:cs="Arial" w:eastAsia="Arial" w:hint="default"/>
                <w:sz w:val="16"/>
                <w:szCs w:val="16"/>
              </w:rPr>
            </w:pPr>
            <w:r>
              <w:rPr>
                <w:rFonts w:ascii="Arial"/>
                <w:sz w:val="16"/>
              </w:rPr>
              <w:t>21,868,461</w:t>
            </w:r>
          </w:p>
        </w:tc>
        <w:tc>
          <w:tcPr>
            <w:tcW w:w="1029"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Arial" w:hAnsi="Arial" w:cs="Arial" w:eastAsia="Arial" w:hint="default"/>
                <w:sz w:val="16"/>
                <w:szCs w:val="16"/>
              </w:rPr>
            </w:pPr>
            <w:r>
              <w:rPr>
                <w:rFonts w:ascii="Arial"/>
                <w:sz w:val="16"/>
              </w:rPr>
              <w:t>21,868,461</w:t>
            </w:r>
          </w:p>
        </w:tc>
        <w:tc>
          <w:tcPr>
            <w:tcW w:w="1163"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center"/>
              <w:rPr>
                <w:rFonts w:ascii="Arial" w:hAnsi="Arial" w:cs="Arial" w:eastAsia="Arial" w:hint="default"/>
                <w:sz w:val="16"/>
                <w:szCs w:val="16"/>
              </w:rPr>
            </w:pPr>
            <w:r>
              <w:rPr>
                <w:rFonts w:ascii="Arial"/>
                <w:sz w:val="16"/>
              </w:rPr>
              <w:t>4.08%~5.16%</w:t>
            </w:r>
          </w:p>
        </w:tc>
        <w:tc>
          <w:tcPr>
            <w:tcW w:w="931" w:type="dxa"/>
            <w:tcBorders>
              <w:top w:val="single" w:sz="6"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6"/>
                <w:szCs w:val="16"/>
              </w:rPr>
            </w:pPr>
            <w:r>
              <w:rPr>
                <w:rFonts w:ascii="宋体" w:hAnsi="宋体" w:cs="宋体" w:eastAsia="宋体" w:hint="default"/>
                <w:w w:val="95"/>
                <w:sz w:val="16"/>
                <w:szCs w:val="16"/>
              </w:rPr>
              <w:t>自筹及借款</w:t>
            </w:r>
            <w:r>
              <w:rPr>
                <w:rFonts w:ascii="宋体" w:hAnsi="宋体" w:cs="宋体" w:eastAsia="宋体" w:hint="default"/>
                <w:sz w:val="16"/>
                <w:szCs w:val="16"/>
              </w:rPr>
            </w:r>
          </w:p>
        </w:tc>
        <w:tc>
          <w:tcPr>
            <w:tcW w:w="479" w:type="dxa"/>
            <w:tcBorders>
              <w:top w:val="single" w:sz="6" w:space="0" w:color="000000"/>
              <w:left w:val="nil" w:sz="6" w:space="0" w:color="auto"/>
              <w:bottom w:val="nil" w:sz="6" w:space="0" w:color="auto"/>
              <w:right w:val="nil" w:sz="6" w:space="0" w:color="auto"/>
            </w:tcBorders>
          </w:tcPr>
          <w:p>
            <w:pPr/>
          </w:p>
        </w:tc>
      </w:tr>
      <w:tr>
        <w:trPr>
          <w:trHeight w:val="208" w:hRule="exact"/>
        </w:trPr>
        <w:tc>
          <w:tcPr>
            <w:tcW w:w="4294" w:type="dxa"/>
            <w:tcBorders>
              <w:top w:val="nil" w:sz="6" w:space="0" w:color="auto"/>
              <w:left w:val="nil" w:sz="6" w:space="0" w:color="auto"/>
              <w:bottom w:val="nil" w:sz="6" w:space="0" w:color="auto"/>
              <w:right w:val="nil" w:sz="6" w:space="0" w:color="auto"/>
            </w:tcBorders>
          </w:tcPr>
          <w:p>
            <w:pPr>
              <w:pStyle w:val="TableParagraph"/>
              <w:spacing w:line="185" w:lineRule="exact"/>
              <w:ind w:right="0"/>
              <w:jc w:val="left"/>
              <w:rPr>
                <w:rFonts w:ascii="宋体" w:hAnsi="宋体" w:cs="宋体" w:eastAsia="宋体" w:hint="default"/>
                <w:sz w:val="16"/>
                <w:szCs w:val="16"/>
              </w:rPr>
            </w:pPr>
            <w:r>
              <w:rPr>
                <w:rFonts w:ascii="宋体" w:hAnsi="宋体" w:cs="宋体" w:eastAsia="宋体" w:hint="default"/>
                <w:sz w:val="16"/>
                <w:szCs w:val="16"/>
              </w:rPr>
              <w:t>陕西</w:t>
            </w:r>
            <w:r>
              <w:rPr>
                <w:rFonts w:ascii="Arial" w:hAnsi="Arial" w:cs="Arial" w:eastAsia="Arial" w:hint="default"/>
                <w:sz w:val="16"/>
                <w:szCs w:val="16"/>
              </w:rPr>
              <w:t>-2012</w:t>
            </w:r>
            <w:r>
              <w:rPr>
                <w:rFonts w:ascii="Arial" w:hAnsi="Arial" w:cs="Arial" w:eastAsia="Arial" w:hint="default"/>
                <w:spacing w:val="-7"/>
                <w:sz w:val="16"/>
                <w:szCs w:val="16"/>
              </w:rPr>
              <w:t> </w:t>
            </w:r>
            <w:r>
              <w:rPr>
                <w:rFonts w:ascii="宋体" w:hAnsi="宋体" w:cs="宋体" w:eastAsia="宋体" w:hint="default"/>
                <w:sz w:val="16"/>
                <w:szCs w:val="16"/>
              </w:rPr>
              <w:t>年中国联通陕西</w:t>
            </w:r>
            <w:r>
              <w:rPr>
                <w:rFonts w:ascii="宋体" w:hAnsi="宋体" w:cs="宋体" w:eastAsia="宋体" w:hint="default"/>
                <w:spacing w:val="-43"/>
                <w:sz w:val="16"/>
                <w:szCs w:val="16"/>
              </w:rPr>
              <w:t> </w:t>
            </w:r>
            <w:r>
              <w:rPr>
                <w:rFonts w:ascii="Arial" w:hAnsi="Arial" w:cs="Arial" w:eastAsia="Arial" w:hint="default"/>
                <w:sz w:val="16"/>
                <w:szCs w:val="16"/>
              </w:rPr>
              <w:t>WCDMA</w:t>
            </w:r>
            <w:r>
              <w:rPr>
                <w:rFonts w:ascii="Arial" w:hAnsi="Arial" w:cs="Arial" w:eastAsia="Arial" w:hint="default"/>
                <w:spacing w:val="-6"/>
                <w:sz w:val="16"/>
                <w:szCs w:val="16"/>
              </w:rPr>
              <w:t> </w:t>
            </w:r>
            <w:r>
              <w:rPr>
                <w:rFonts w:ascii="宋体" w:hAnsi="宋体" w:cs="宋体" w:eastAsia="宋体" w:hint="default"/>
                <w:sz w:val="16"/>
                <w:szCs w:val="16"/>
              </w:rPr>
              <w:t>无线网络扩容工程</w:t>
            </w:r>
          </w:p>
        </w:tc>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7"/>
              <w:jc w:val="right"/>
              <w:rPr>
                <w:rFonts w:ascii="Arial" w:hAnsi="Arial" w:cs="Arial" w:eastAsia="Arial" w:hint="default"/>
                <w:sz w:val="16"/>
                <w:szCs w:val="16"/>
              </w:rPr>
            </w:pPr>
            <w:r>
              <w:rPr>
                <w:rFonts w:ascii="Arial"/>
                <w:w w:val="95"/>
                <w:sz w:val="16"/>
              </w:rPr>
              <w:t>742</w:t>
            </w:r>
            <w:r>
              <w:rPr>
                <w:rFonts w:ascii="Arial"/>
                <w:sz w:val="16"/>
              </w:rPr>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9"/>
              <w:jc w:val="right"/>
              <w:rPr>
                <w:rFonts w:ascii="Arial" w:hAnsi="Arial" w:cs="Arial" w:eastAsia="Arial" w:hint="default"/>
                <w:sz w:val="16"/>
                <w:szCs w:val="16"/>
              </w:rPr>
            </w:pPr>
            <w:r>
              <w:rPr>
                <w:rFonts w:ascii="Arial"/>
                <w:w w:val="99"/>
                <w:sz w:val="16"/>
              </w:rPr>
              <w:t>-</w:t>
            </w:r>
            <w:r>
              <w:rPr>
                <w:rFonts w:ascii="Arial"/>
                <w:sz w:val="16"/>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4"/>
              <w:jc w:val="right"/>
              <w:rPr>
                <w:rFonts w:ascii="Arial" w:hAnsi="Arial" w:cs="Arial" w:eastAsia="Arial" w:hint="default"/>
                <w:sz w:val="16"/>
                <w:szCs w:val="16"/>
              </w:rPr>
            </w:pPr>
            <w:r>
              <w:rPr>
                <w:rFonts w:ascii="Arial"/>
                <w:w w:val="95"/>
                <w:sz w:val="16"/>
              </w:rPr>
              <w:t>653,644,432</w:t>
            </w:r>
            <w:r>
              <w:rPr>
                <w:rFonts w:ascii="Arial"/>
                <w:sz w:val="16"/>
              </w:rPr>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1"/>
              <w:jc w:val="right"/>
              <w:rPr>
                <w:rFonts w:ascii="Arial" w:hAnsi="Arial" w:cs="Arial" w:eastAsia="Arial" w:hint="default"/>
                <w:sz w:val="16"/>
                <w:szCs w:val="16"/>
              </w:rPr>
            </w:pPr>
            <w:r>
              <w:rPr>
                <w:rFonts w:ascii="Arial"/>
                <w:w w:val="99"/>
                <w:sz w:val="16"/>
              </w:rPr>
              <w:t>-</w:t>
            </w:r>
            <w:r>
              <w:rPr>
                <w:rFonts w:ascii="Arial"/>
                <w:sz w:val="16"/>
              </w:rPr>
            </w:r>
          </w:p>
        </w:tc>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1"/>
              <w:jc w:val="right"/>
              <w:rPr>
                <w:rFonts w:ascii="Arial" w:hAnsi="Arial" w:cs="Arial" w:eastAsia="Arial" w:hint="default"/>
                <w:sz w:val="16"/>
                <w:szCs w:val="16"/>
              </w:rPr>
            </w:pPr>
            <w:r>
              <w:rPr>
                <w:rFonts w:ascii="Arial"/>
                <w:w w:val="99"/>
                <w:sz w:val="16"/>
              </w:rPr>
              <w:t>-</w:t>
            </w:r>
            <w:r>
              <w:rPr>
                <w:rFonts w:ascii="Arial"/>
                <w:sz w:val="16"/>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71" w:right="0"/>
              <w:jc w:val="center"/>
              <w:rPr>
                <w:rFonts w:ascii="Arial" w:hAnsi="Arial" w:cs="Arial" w:eastAsia="Arial" w:hint="default"/>
                <w:sz w:val="16"/>
                <w:szCs w:val="16"/>
              </w:rPr>
            </w:pPr>
            <w:r>
              <w:rPr>
                <w:rFonts w:ascii="Arial"/>
                <w:sz w:val="16"/>
              </w:rPr>
              <w:t>653,644,432</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Arial" w:hAnsi="Arial" w:cs="Arial" w:eastAsia="Arial" w:hint="default"/>
                <w:sz w:val="16"/>
                <w:szCs w:val="16"/>
              </w:rPr>
            </w:pPr>
            <w:r>
              <w:rPr>
                <w:rFonts w:ascii="Arial"/>
                <w:w w:val="95"/>
                <w:sz w:val="16"/>
              </w:rPr>
              <w:t>88%</w:t>
            </w:r>
            <w:r>
              <w:rPr>
                <w:rFonts w:ascii="Arial"/>
                <w:sz w:val="16"/>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17" w:right="0"/>
              <w:jc w:val="center"/>
              <w:rPr>
                <w:rFonts w:ascii="Arial" w:hAnsi="Arial" w:cs="Arial" w:eastAsia="Arial" w:hint="default"/>
                <w:sz w:val="16"/>
                <w:szCs w:val="16"/>
              </w:rPr>
            </w:pPr>
            <w:r>
              <w:rPr>
                <w:rFonts w:ascii="Arial"/>
                <w:sz w:val="16"/>
              </w:rPr>
              <w:t>10,853,642</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72" w:right="0"/>
              <w:jc w:val="left"/>
              <w:rPr>
                <w:rFonts w:ascii="Arial" w:hAnsi="Arial" w:cs="Arial" w:eastAsia="Arial" w:hint="default"/>
                <w:sz w:val="16"/>
                <w:szCs w:val="16"/>
              </w:rPr>
            </w:pPr>
            <w:r>
              <w:rPr>
                <w:rFonts w:ascii="Arial"/>
                <w:sz w:val="16"/>
              </w:rPr>
              <w:t>10,853,642</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
              <w:jc w:val="center"/>
              <w:rPr>
                <w:rFonts w:ascii="Arial" w:hAnsi="Arial" w:cs="Arial" w:eastAsia="Arial" w:hint="default"/>
                <w:sz w:val="16"/>
                <w:szCs w:val="16"/>
              </w:rPr>
            </w:pPr>
            <w:r>
              <w:rPr>
                <w:rFonts w:ascii="Arial"/>
                <w:sz w:val="16"/>
              </w:rPr>
              <w:t>4.08%~5.16%</w:t>
            </w:r>
          </w:p>
        </w:tc>
        <w:tc>
          <w:tcPr>
            <w:tcW w:w="931" w:type="dxa"/>
            <w:tcBorders>
              <w:top w:val="nil" w:sz="6" w:space="0" w:color="auto"/>
              <w:left w:val="nil" w:sz="6" w:space="0" w:color="auto"/>
              <w:bottom w:val="nil" w:sz="6" w:space="0" w:color="auto"/>
              <w:right w:val="nil" w:sz="6" w:space="0" w:color="auto"/>
            </w:tcBorders>
          </w:tcPr>
          <w:p>
            <w:pPr>
              <w:pStyle w:val="TableParagraph"/>
              <w:spacing w:line="174" w:lineRule="exact"/>
              <w:ind w:right="47"/>
              <w:jc w:val="right"/>
              <w:rPr>
                <w:rFonts w:ascii="宋体" w:hAnsi="宋体" w:cs="宋体" w:eastAsia="宋体" w:hint="default"/>
                <w:sz w:val="16"/>
                <w:szCs w:val="16"/>
              </w:rPr>
            </w:pPr>
            <w:r>
              <w:rPr>
                <w:rFonts w:ascii="宋体" w:hAnsi="宋体" w:cs="宋体" w:eastAsia="宋体" w:hint="default"/>
                <w:w w:val="95"/>
                <w:sz w:val="16"/>
                <w:szCs w:val="16"/>
              </w:rPr>
              <w:t>自筹及借款</w:t>
            </w:r>
            <w:r>
              <w:rPr>
                <w:rFonts w:ascii="宋体" w:hAnsi="宋体" w:cs="宋体" w:eastAsia="宋体" w:hint="default"/>
                <w:sz w:val="16"/>
                <w:szCs w:val="16"/>
              </w:rPr>
            </w:r>
          </w:p>
        </w:tc>
        <w:tc>
          <w:tcPr>
            <w:tcW w:w="479" w:type="dxa"/>
            <w:tcBorders>
              <w:top w:val="nil" w:sz="6" w:space="0" w:color="auto"/>
              <w:left w:val="nil" w:sz="6" w:space="0" w:color="auto"/>
              <w:bottom w:val="nil" w:sz="6" w:space="0" w:color="auto"/>
              <w:right w:val="nil" w:sz="6" w:space="0" w:color="auto"/>
            </w:tcBorders>
          </w:tcPr>
          <w:p>
            <w:pPr/>
          </w:p>
        </w:tc>
      </w:tr>
      <w:tr>
        <w:trPr>
          <w:trHeight w:val="208" w:hRule="exact"/>
        </w:trPr>
        <w:tc>
          <w:tcPr>
            <w:tcW w:w="4294" w:type="dxa"/>
            <w:tcBorders>
              <w:top w:val="nil" w:sz="6" w:space="0" w:color="auto"/>
              <w:left w:val="nil" w:sz="6" w:space="0" w:color="auto"/>
              <w:bottom w:val="nil" w:sz="6" w:space="0" w:color="auto"/>
              <w:right w:val="nil" w:sz="6" w:space="0" w:color="auto"/>
            </w:tcBorders>
          </w:tcPr>
          <w:p>
            <w:pPr>
              <w:pStyle w:val="TableParagraph"/>
              <w:spacing w:line="185" w:lineRule="exact"/>
              <w:ind w:right="0"/>
              <w:jc w:val="left"/>
              <w:rPr>
                <w:rFonts w:ascii="宋体" w:hAnsi="宋体" w:cs="宋体" w:eastAsia="宋体" w:hint="default"/>
                <w:sz w:val="16"/>
                <w:szCs w:val="16"/>
              </w:rPr>
            </w:pPr>
            <w:r>
              <w:rPr>
                <w:rFonts w:ascii="宋体" w:hAnsi="宋体" w:cs="宋体" w:eastAsia="宋体" w:hint="default"/>
                <w:sz w:val="16"/>
                <w:szCs w:val="16"/>
              </w:rPr>
              <w:t>山东</w:t>
            </w:r>
            <w:r>
              <w:rPr>
                <w:rFonts w:ascii="Arial" w:hAnsi="Arial" w:cs="Arial" w:eastAsia="Arial" w:hint="default"/>
                <w:sz w:val="16"/>
                <w:szCs w:val="16"/>
              </w:rPr>
              <w:t>-2012</w:t>
            </w:r>
            <w:r>
              <w:rPr>
                <w:rFonts w:ascii="Arial" w:hAnsi="Arial" w:cs="Arial" w:eastAsia="Arial" w:hint="default"/>
                <w:spacing w:val="-8"/>
                <w:sz w:val="16"/>
                <w:szCs w:val="16"/>
              </w:rPr>
              <w:t> </w:t>
            </w:r>
            <w:r>
              <w:rPr>
                <w:rFonts w:ascii="宋体" w:hAnsi="宋体" w:cs="宋体" w:eastAsia="宋体" w:hint="default"/>
                <w:sz w:val="16"/>
                <w:szCs w:val="16"/>
              </w:rPr>
              <w:t>年中国联通山东移动基站传输接入工程</w:t>
            </w:r>
          </w:p>
        </w:tc>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7"/>
              <w:jc w:val="right"/>
              <w:rPr>
                <w:rFonts w:ascii="Arial" w:hAnsi="Arial" w:cs="Arial" w:eastAsia="Arial" w:hint="default"/>
                <w:sz w:val="16"/>
                <w:szCs w:val="16"/>
              </w:rPr>
            </w:pPr>
            <w:r>
              <w:rPr>
                <w:rFonts w:ascii="Arial"/>
                <w:w w:val="95"/>
                <w:sz w:val="16"/>
              </w:rPr>
              <w:t>604</w:t>
            </w:r>
            <w:r>
              <w:rPr>
                <w:rFonts w:ascii="Arial"/>
                <w:sz w:val="16"/>
              </w:rPr>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9"/>
              <w:jc w:val="right"/>
              <w:rPr>
                <w:rFonts w:ascii="Arial" w:hAnsi="Arial" w:cs="Arial" w:eastAsia="Arial" w:hint="default"/>
                <w:sz w:val="16"/>
                <w:szCs w:val="16"/>
              </w:rPr>
            </w:pPr>
            <w:r>
              <w:rPr>
                <w:rFonts w:ascii="Arial"/>
                <w:w w:val="99"/>
                <w:sz w:val="16"/>
              </w:rPr>
              <w:t>-</w:t>
            </w:r>
            <w:r>
              <w:rPr>
                <w:rFonts w:ascii="Arial"/>
                <w:sz w:val="16"/>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4"/>
              <w:jc w:val="right"/>
              <w:rPr>
                <w:rFonts w:ascii="Arial" w:hAnsi="Arial" w:cs="Arial" w:eastAsia="Arial" w:hint="default"/>
                <w:sz w:val="16"/>
                <w:szCs w:val="16"/>
              </w:rPr>
            </w:pPr>
            <w:r>
              <w:rPr>
                <w:rFonts w:ascii="Arial"/>
                <w:w w:val="95"/>
                <w:sz w:val="16"/>
              </w:rPr>
              <w:t>598,405,857</w:t>
            </w:r>
            <w:r>
              <w:rPr>
                <w:rFonts w:ascii="Arial"/>
                <w:sz w:val="16"/>
              </w:rPr>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1"/>
              <w:jc w:val="right"/>
              <w:rPr>
                <w:rFonts w:ascii="Arial" w:hAnsi="Arial" w:cs="Arial" w:eastAsia="Arial" w:hint="default"/>
                <w:sz w:val="16"/>
                <w:szCs w:val="16"/>
              </w:rPr>
            </w:pPr>
            <w:r>
              <w:rPr>
                <w:rFonts w:ascii="Arial"/>
                <w:w w:val="99"/>
                <w:sz w:val="16"/>
              </w:rPr>
              <w:t>-</w:t>
            </w:r>
            <w:r>
              <w:rPr>
                <w:rFonts w:ascii="Arial"/>
                <w:sz w:val="16"/>
              </w:rPr>
            </w:r>
          </w:p>
        </w:tc>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1"/>
              <w:jc w:val="right"/>
              <w:rPr>
                <w:rFonts w:ascii="Arial" w:hAnsi="Arial" w:cs="Arial" w:eastAsia="Arial" w:hint="default"/>
                <w:sz w:val="16"/>
                <w:szCs w:val="16"/>
              </w:rPr>
            </w:pPr>
            <w:r>
              <w:rPr>
                <w:rFonts w:ascii="Arial"/>
                <w:w w:val="99"/>
                <w:sz w:val="16"/>
              </w:rPr>
              <w:t>-</w:t>
            </w:r>
            <w:r>
              <w:rPr>
                <w:rFonts w:ascii="Arial"/>
                <w:sz w:val="16"/>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71" w:right="0"/>
              <w:jc w:val="center"/>
              <w:rPr>
                <w:rFonts w:ascii="Arial" w:hAnsi="Arial" w:cs="Arial" w:eastAsia="Arial" w:hint="default"/>
                <w:sz w:val="16"/>
                <w:szCs w:val="16"/>
              </w:rPr>
            </w:pPr>
            <w:r>
              <w:rPr>
                <w:rFonts w:ascii="Arial"/>
                <w:sz w:val="16"/>
              </w:rPr>
              <w:t>598,405,857</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Arial" w:hAnsi="Arial" w:cs="Arial" w:eastAsia="Arial" w:hint="default"/>
                <w:sz w:val="16"/>
                <w:szCs w:val="16"/>
              </w:rPr>
            </w:pPr>
            <w:r>
              <w:rPr>
                <w:rFonts w:ascii="Arial"/>
                <w:w w:val="95"/>
                <w:sz w:val="16"/>
              </w:rPr>
              <w:t>99%</w:t>
            </w:r>
            <w:r>
              <w:rPr>
                <w:rFonts w:ascii="Arial"/>
                <w:sz w:val="16"/>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05" w:right="0"/>
              <w:jc w:val="center"/>
              <w:rPr>
                <w:rFonts w:ascii="Arial" w:hAnsi="Arial" w:cs="Arial" w:eastAsia="Arial" w:hint="default"/>
                <w:sz w:val="16"/>
                <w:szCs w:val="16"/>
              </w:rPr>
            </w:pPr>
            <w:r>
              <w:rPr>
                <w:rFonts w:ascii="Arial"/>
                <w:sz w:val="16"/>
              </w:rPr>
              <w:t>8,182,643</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0" w:right="0"/>
              <w:jc w:val="left"/>
              <w:rPr>
                <w:rFonts w:ascii="Arial" w:hAnsi="Arial" w:cs="Arial" w:eastAsia="Arial" w:hint="default"/>
                <w:sz w:val="16"/>
                <w:szCs w:val="16"/>
              </w:rPr>
            </w:pPr>
            <w:r>
              <w:rPr>
                <w:rFonts w:ascii="Arial"/>
                <w:sz w:val="16"/>
              </w:rPr>
              <w:t>8,182,643</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
              <w:jc w:val="center"/>
              <w:rPr>
                <w:rFonts w:ascii="Arial" w:hAnsi="Arial" w:cs="Arial" w:eastAsia="Arial" w:hint="default"/>
                <w:sz w:val="16"/>
                <w:szCs w:val="16"/>
              </w:rPr>
            </w:pPr>
            <w:r>
              <w:rPr>
                <w:rFonts w:ascii="Arial"/>
                <w:sz w:val="16"/>
              </w:rPr>
              <w:t>4.08%~5.16%</w:t>
            </w:r>
          </w:p>
        </w:tc>
        <w:tc>
          <w:tcPr>
            <w:tcW w:w="931" w:type="dxa"/>
            <w:tcBorders>
              <w:top w:val="nil" w:sz="6" w:space="0" w:color="auto"/>
              <w:left w:val="nil" w:sz="6" w:space="0" w:color="auto"/>
              <w:bottom w:val="nil" w:sz="6" w:space="0" w:color="auto"/>
              <w:right w:val="nil" w:sz="6" w:space="0" w:color="auto"/>
            </w:tcBorders>
          </w:tcPr>
          <w:p>
            <w:pPr>
              <w:pStyle w:val="TableParagraph"/>
              <w:spacing w:line="174" w:lineRule="exact"/>
              <w:ind w:right="47"/>
              <w:jc w:val="right"/>
              <w:rPr>
                <w:rFonts w:ascii="宋体" w:hAnsi="宋体" w:cs="宋体" w:eastAsia="宋体" w:hint="default"/>
                <w:sz w:val="16"/>
                <w:szCs w:val="16"/>
              </w:rPr>
            </w:pPr>
            <w:r>
              <w:rPr>
                <w:rFonts w:ascii="宋体" w:hAnsi="宋体" w:cs="宋体" w:eastAsia="宋体" w:hint="default"/>
                <w:w w:val="95"/>
                <w:sz w:val="16"/>
                <w:szCs w:val="16"/>
              </w:rPr>
              <w:t>自筹及借款</w:t>
            </w:r>
            <w:r>
              <w:rPr>
                <w:rFonts w:ascii="宋体" w:hAnsi="宋体" w:cs="宋体" w:eastAsia="宋体" w:hint="default"/>
                <w:sz w:val="16"/>
                <w:szCs w:val="16"/>
              </w:rPr>
            </w:r>
          </w:p>
        </w:tc>
        <w:tc>
          <w:tcPr>
            <w:tcW w:w="479" w:type="dxa"/>
            <w:vMerge w:val="restart"/>
            <w:tcBorders>
              <w:top w:val="nil" w:sz="6" w:space="0" w:color="auto"/>
              <w:left w:val="nil" w:sz="6" w:space="0" w:color="auto"/>
              <w:right w:val="nil" w:sz="6" w:space="0" w:color="auto"/>
            </w:tcBorders>
          </w:tcPr>
          <w:p>
            <w:pPr>
              <w:pStyle w:val="TableParagraph"/>
              <w:spacing w:line="208" w:lineRule="exact" w:before="9"/>
              <w:ind w:left="75" w:right="0"/>
              <w:jc w:val="both"/>
              <w:rPr>
                <w:rFonts w:ascii="宋体" w:hAnsi="宋体" w:cs="宋体" w:eastAsia="宋体" w:hint="default"/>
                <w:sz w:val="16"/>
                <w:szCs w:val="16"/>
              </w:rPr>
            </w:pPr>
            <w:r>
              <w:rPr>
                <w:rFonts w:ascii="宋体" w:hAnsi="宋体" w:cs="宋体" w:eastAsia="宋体" w:hint="default"/>
                <w:sz w:val="16"/>
                <w:szCs w:val="16"/>
              </w:rPr>
              <w:t>工程</w:t>
            </w:r>
            <w:r>
              <w:rPr>
                <w:rFonts w:ascii="宋体" w:hAnsi="宋体" w:cs="宋体" w:eastAsia="宋体" w:hint="default"/>
                <w:w w:val="99"/>
                <w:sz w:val="16"/>
                <w:szCs w:val="16"/>
              </w:rPr>
              <w:t> </w:t>
            </w:r>
            <w:r>
              <w:rPr>
                <w:rFonts w:ascii="宋体" w:hAnsi="宋体" w:cs="宋体" w:eastAsia="宋体" w:hint="default"/>
                <w:sz w:val="16"/>
                <w:szCs w:val="16"/>
              </w:rPr>
              <w:t>进度</w:t>
            </w:r>
            <w:r>
              <w:rPr>
                <w:rFonts w:ascii="宋体" w:hAnsi="宋体" w:cs="宋体" w:eastAsia="宋体" w:hint="default"/>
                <w:w w:val="99"/>
                <w:sz w:val="16"/>
                <w:szCs w:val="16"/>
              </w:rPr>
              <w:t> </w:t>
            </w:r>
            <w:r>
              <w:rPr>
                <w:rFonts w:ascii="宋体" w:hAnsi="宋体" w:cs="宋体" w:eastAsia="宋体" w:hint="default"/>
                <w:sz w:val="16"/>
                <w:szCs w:val="16"/>
              </w:rPr>
              <w:t>以合</w:t>
            </w:r>
            <w:r>
              <w:rPr>
                <w:rFonts w:ascii="宋体" w:hAnsi="宋体" w:cs="宋体" w:eastAsia="宋体" w:hint="default"/>
                <w:w w:val="99"/>
                <w:sz w:val="16"/>
                <w:szCs w:val="16"/>
              </w:rPr>
              <w:t> </w:t>
            </w:r>
            <w:r>
              <w:rPr>
                <w:rFonts w:ascii="宋体" w:hAnsi="宋体" w:cs="宋体" w:eastAsia="宋体" w:hint="default"/>
                <w:sz w:val="16"/>
                <w:szCs w:val="16"/>
              </w:rPr>
              <w:t>同约</w:t>
            </w:r>
            <w:r>
              <w:rPr>
                <w:rFonts w:ascii="宋体" w:hAnsi="宋体" w:cs="宋体" w:eastAsia="宋体" w:hint="default"/>
                <w:w w:val="99"/>
                <w:sz w:val="16"/>
                <w:szCs w:val="16"/>
              </w:rPr>
              <w:t> </w:t>
            </w:r>
            <w:r>
              <w:rPr>
                <w:rFonts w:ascii="宋体" w:hAnsi="宋体" w:cs="宋体" w:eastAsia="宋体" w:hint="default"/>
                <w:spacing w:val="-27"/>
                <w:w w:val="99"/>
                <w:sz w:val="16"/>
                <w:szCs w:val="16"/>
              </w:rPr>
              <w:t>定、完</w:t>
            </w:r>
            <w:r>
              <w:rPr>
                <w:rFonts w:ascii="宋体" w:hAnsi="宋体" w:cs="宋体" w:eastAsia="宋体" w:hint="default"/>
                <w:spacing w:val="-27"/>
                <w:sz w:val="16"/>
                <w:szCs w:val="16"/>
              </w:rPr>
            </w:r>
          </w:p>
          <w:p>
            <w:pPr>
              <w:pStyle w:val="TableParagraph"/>
              <w:spacing w:line="206" w:lineRule="exact" w:before="1"/>
              <w:ind w:left="75" w:right="83"/>
              <w:jc w:val="both"/>
              <w:rPr>
                <w:rFonts w:ascii="宋体" w:hAnsi="宋体" w:cs="宋体" w:eastAsia="宋体" w:hint="default"/>
                <w:sz w:val="16"/>
                <w:szCs w:val="16"/>
              </w:rPr>
            </w:pPr>
            <w:r>
              <w:rPr>
                <w:rFonts w:ascii="宋体" w:hAnsi="宋体" w:cs="宋体" w:eastAsia="宋体" w:hint="default"/>
                <w:sz w:val="16"/>
                <w:szCs w:val="16"/>
              </w:rPr>
              <w:t>工指</w:t>
            </w:r>
            <w:r>
              <w:rPr>
                <w:rFonts w:ascii="宋体" w:hAnsi="宋体" w:cs="宋体" w:eastAsia="宋体" w:hint="default"/>
                <w:w w:val="99"/>
                <w:sz w:val="16"/>
                <w:szCs w:val="16"/>
              </w:rPr>
              <w:t> </w:t>
            </w:r>
            <w:r>
              <w:rPr>
                <w:rFonts w:ascii="宋体" w:hAnsi="宋体" w:cs="宋体" w:eastAsia="宋体" w:hint="default"/>
                <w:sz w:val="16"/>
                <w:szCs w:val="16"/>
              </w:rPr>
              <w:t>标为</w:t>
            </w:r>
          </w:p>
          <w:p>
            <w:pPr>
              <w:pStyle w:val="TableParagraph"/>
              <w:spacing w:line="208" w:lineRule="exact"/>
              <w:ind w:left="75" w:right="83"/>
              <w:jc w:val="both"/>
              <w:rPr>
                <w:rFonts w:ascii="宋体" w:hAnsi="宋体" w:cs="宋体" w:eastAsia="宋体" w:hint="default"/>
                <w:sz w:val="16"/>
                <w:szCs w:val="16"/>
              </w:rPr>
            </w:pPr>
            <w:r>
              <w:rPr>
                <w:rFonts w:ascii="宋体" w:hAnsi="宋体" w:cs="宋体" w:eastAsia="宋体" w:hint="default"/>
                <w:sz w:val="16"/>
                <w:szCs w:val="16"/>
              </w:rPr>
              <w:t>基础</w:t>
            </w:r>
            <w:r>
              <w:rPr>
                <w:rFonts w:ascii="宋体" w:hAnsi="宋体" w:cs="宋体" w:eastAsia="宋体" w:hint="default"/>
                <w:w w:val="99"/>
                <w:sz w:val="16"/>
                <w:szCs w:val="16"/>
              </w:rPr>
              <w:t> </w:t>
            </w:r>
            <w:r>
              <w:rPr>
                <w:rFonts w:ascii="宋体" w:hAnsi="宋体" w:cs="宋体" w:eastAsia="宋体" w:hint="default"/>
                <w:sz w:val="16"/>
                <w:szCs w:val="16"/>
              </w:rPr>
              <w:t>进行</w:t>
            </w:r>
            <w:r>
              <w:rPr>
                <w:rFonts w:ascii="宋体" w:hAnsi="宋体" w:cs="宋体" w:eastAsia="宋体" w:hint="default"/>
                <w:w w:val="99"/>
                <w:sz w:val="16"/>
                <w:szCs w:val="16"/>
              </w:rPr>
              <w:t> </w:t>
            </w:r>
            <w:r>
              <w:rPr>
                <w:rFonts w:ascii="宋体" w:hAnsi="宋体" w:cs="宋体" w:eastAsia="宋体" w:hint="default"/>
                <w:sz w:val="16"/>
                <w:szCs w:val="16"/>
              </w:rPr>
              <w:t>估计</w:t>
            </w:r>
          </w:p>
        </w:tc>
      </w:tr>
      <w:tr>
        <w:trPr>
          <w:trHeight w:val="208" w:hRule="exact"/>
        </w:trPr>
        <w:tc>
          <w:tcPr>
            <w:tcW w:w="4294" w:type="dxa"/>
            <w:tcBorders>
              <w:top w:val="nil" w:sz="6" w:space="0" w:color="auto"/>
              <w:left w:val="nil" w:sz="6" w:space="0" w:color="auto"/>
              <w:bottom w:val="nil" w:sz="6" w:space="0" w:color="auto"/>
              <w:right w:val="nil" w:sz="6" w:space="0" w:color="auto"/>
            </w:tcBorders>
          </w:tcPr>
          <w:p>
            <w:pPr>
              <w:pStyle w:val="TableParagraph"/>
              <w:spacing w:line="185" w:lineRule="exact"/>
              <w:ind w:right="0"/>
              <w:jc w:val="left"/>
              <w:rPr>
                <w:rFonts w:ascii="宋体" w:hAnsi="宋体" w:cs="宋体" w:eastAsia="宋体" w:hint="default"/>
                <w:sz w:val="16"/>
                <w:szCs w:val="16"/>
              </w:rPr>
            </w:pPr>
            <w:r>
              <w:rPr>
                <w:rFonts w:ascii="宋体" w:hAnsi="宋体" w:cs="宋体" w:eastAsia="宋体" w:hint="default"/>
                <w:sz w:val="16"/>
                <w:szCs w:val="16"/>
              </w:rPr>
              <w:t>广东</w:t>
            </w:r>
            <w:r>
              <w:rPr>
                <w:rFonts w:ascii="Arial" w:hAnsi="Arial" w:cs="Arial" w:eastAsia="Arial" w:hint="default"/>
                <w:sz w:val="16"/>
                <w:szCs w:val="16"/>
              </w:rPr>
              <w:t>-2012</w:t>
            </w:r>
            <w:r>
              <w:rPr>
                <w:rFonts w:ascii="Arial" w:hAnsi="Arial" w:cs="Arial" w:eastAsia="Arial" w:hint="default"/>
                <w:spacing w:val="-9"/>
                <w:sz w:val="16"/>
                <w:szCs w:val="16"/>
              </w:rPr>
              <w:t> </w:t>
            </w:r>
            <w:r>
              <w:rPr>
                <w:rFonts w:ascii="宋体" w:hAnsi="宋体" w:cs="宋体" w:eastAsia="宋体" w:hint="default"/>
                <w:sz w:val="16"/>
                <w:szCs w:val="16"/>
              </w:rPr>
              <w:t>年中国联通广东移动网配套扩容工程</w:t>
            </w:r>
          </w:p>
        </w:tc>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7"/>
              <w:jc w:val="right"/>
              <w:rPr>
                <w:rFonts w:ascii="Arial" w:hAnsi="Arial" w:cs="Arial" w:eastAsia="Arial" w:hint="default"/>
                <w:sz w:val="16"/>
                <w:szCs w:val="16"/>
              </w:rPr>
            </w:pPr>
            <w:r>
              <w:rPr>
                <w:rFonts w:ascii="Arial"/>
                <w:w w:val="95"/>
                <w:sz w:val="16"/>
              </w:rPr>
              <w:t>454</w:t>
            </w:r>
            <w:r>
              <w:rPr>
                <w:rFonts w:ascii="Arial"/>
                <w:sz w:val="16"/>
              </w:rPr>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9"/>
              <w:jc w:val="right"/>
              <w:rPr>
                <w:rFonts w:ascii="Arial" w:hAnsi="Arial" w:cs="Arial" w:eastAsia="Arial" w:hint="default"/>
                <w:sz w:val="16"/>
                <w:szCs w:val="16"/>
              </w:rPr>
            </w:pPr>
            <w:r>
              <w:rPr>
                <w:rFonts w:ascii="Arial"/>
                <w:w w:val="99"/>
                <w:sz w:val="16"/>
              </w:rPr>
              <w:t>-</w:t>
            </w:r>
            <w:r>
              <w:rPr>
                <w:rFonts w:ascii="Arial"/>
                <w:sz w:val="16"/>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4"/>
              <w:jc w:val="right"/>
              <w:rPr>
                <w:rFonts w:ascii="Arial" w:hAnsi="Arial" w:cs="Arial" w:eastAsia="Arial" w:hint="default"/>
                <w:sz w:val="16"/>
                <w:szCs w:val="16"/>
              </w:rPr>
            </w:pPr>
            <w:r>
              <w:rPr>
                <w:rFonts w:ascii="Arial"/>
                <w:w w:val="95"/>
                <w:sz w:val="16"/>
              </w:rPr>
              <w:t>449,897,569</w:t>
            </w:r>
            <w:r>
              <w:rPr>
                <w:rFonts w:ascii="Arial"/>
                <w:sz w:val="16"/>
              </w:rPr>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1"/>
              <w:jc w:val="right"/>
              <w:rPr>
                <w:rFonts w:ascii="Arial" w:hAnsi="Arial" w:cs="Arial" w:eastAsia="Arial" w:hint="default"/>
                <w:sz w:val="16"/>
                <w:szCs w:val="16"/>
              </w:rPr>
            </w:pPr>
            <w:r>
              <w:rPr>
                <w:rFonts w:ascii="Arial"/>
                <w:w w:val="99"/>
                <w:sz w:val="16"/>
              </w:rPr>
              <w:t>-</w:t>
            </w:r>
            <w:r>
              <w:rPr>
                <w:rFonts w:ascii="Arial"/>
                <w:sz w:val="16"/>
              </w:rPr>
            </w:r>
          </w:p>
        </w:tc>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1"/>
              <w:jc w:val="right"/>
              <w:rPr>
                <w:rFonts w:ascii="Arial" w:hAnsi="Arial" w:cs="Arial" w:eastAsia="Arial" w:hint="default"/>
                <w:sz w:val="16"/>
                <w:szCs w:val="16"/>
              </w:rPr>
            </w:pPr>
            <w:r>
              <w:rPr>
                <w:rFonts w:ascii="Arial"/>
                <w:w w:val="99"/>
                <w:sz w:val="16"/>
              </w:rPr>
              <w:t>-</w:t>
            </w:r>
            <w:r>
              <w:rPr>
                <w:rFonts w:ascii="Arial"/>
                <w:sz w:val="16"/>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71" w:right="0"/>
              <w:jc w:val="center"/>
              <w:rPr>
                <w:rFonts w:ascii="Arial" w:hAnsi="Arial" w:cs="Arial" w:eastAsia="Arial" w:hint="default"/>
                <w:sz w:val="16"/>
                <w:szCs w:val="16"/>
              </w:rPr>
            </w:pPr>
            <w:r>
              <w:rPr>
                <w:rFonts w:ascii="Arial"/>
                <w:sz w:val="16"/>
              </w:rPr>
              <w:t>449,897,569</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Arial" w:hAnsi="Arial" w:cs="Arial" w:eastAsia="Arial" w:hint="default"/>
                <w:sz w:val="16"/>
                <w:szCs w:val="16"/>
              </w:rPr>
            </w:pPr>
            <w:r>
              <w:rPr>
                <w:rFonts w:ascii="Arial"/>
                <w:w w:val="95"/>
                <w:sz w:val="16"/>
              </w:rPr>
              <w:t>99%</w:t>
            </w:r>
            <w:r>
              <w:rPr>
                <w:rFonts w:ascii="Arial"/>
                <w:sz w:val="16"/>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05" w:right="0"/>
              <w:jc w:val="center"/>
              <w:rPr>
                <w:rFonts w:ascii="Arial" w:hAnsi="Arial" w:cs="Arial" w:eastAsia="Arial" w:hint="default"/>
                <w:sz w:val="16"/>
                <w:szCs w:val="16"/>
              </w:rPr>
            </w:pPr>
            <w:r>
              <w:rPr>
                <w:rFonts w:ascii="Arial"/>
                <w:sz w:val="16"/>
              </w:rPr>
              <w:t>6,487,831</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0" w:right="0"/>
              <w:jc w:val="left"/>
              <w:rPr>
                <w:rFonts w:ascii="Arial" w:hAnsi="Arial" w:cs="Arial" w:eastAsia="Arial" w:hint="default"/>
                <w:sz w:val="16"/>
                <w:szCs w:val="16"/>
              </w:rPr>
            </w:pPr>
            <w:r>
              <w:rPr>
                <w:rFonts w:ascii="Arial"/>
                <w:sz w:val="16"/>
              </w:rPr>
              <w:t>6,487,831</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
              <w:jc w:val="center"/>
              <w:rPr>
                <w:rFonts w:ascii="Arial" w:hAnsi="Arial" w:cs="Arial" w:eastAsia="Arial" w:hint="default"/>
                <w:sz w:val="16"/>
                <w:szCs w:val="16"/>
              </w:rPr>
            </w:pPr>
            <w:r>
              <w:rPr>
                <w:rFonts w:ascii="Arial"/>
                <w:sz w:val="16"/>
              </w:rPr>
              <w:t>4.08%~5.16%</w:t>
            </w:r>
          </w:p>
        </w:tc>
        <w:tc>
          <w:tcPr>
            <w:tcW w:w="931" w:type="dxa"/>
            <w:tcBorders>
              <w:top w:val="nil" w:sz="6" w:space="0" w:color="auto"/>
              <w:left w:val="nil" w:sz="6" w:space="0" w:color="auto"/>
              <w:bottom w:val="nil" w:sz="6" w:space="0" w:color="auto"/>
              <w:right w:val="nil" w:sz="6" w:space="0" w:color="auto"/>
            </w:tcBorders>
          </w:tcPr>
          <w:p>
            <w:pPr>
              <w:pStyle w:val="TableParagraph"/>
              <w:spacing w:line="174" w:lineRule="exact"/>
              <w:ind w:right="47"/>
              <w:jc w:val="right"/>
              <w:rPr>
                <w:rFonts w:ascii="宋体" w:hAnsi="宋体" w:cs="宋体" w:eastAsia="宋体" w:hint="default"/>
                <w:sz w:val="16"/>
                <w:szCs w:val="16"/>
              </w:rPr>
            </w:pPr>
            <w:r>
              <w:rPr>
                <w:rFonts w:ascii="宋体" w:hAnsi="宋体" w:cs="宋体" w:eastAsia="宋体" w:hint="default"/>
                <w:w w:val="95"/>
                <w:sz w:val="16"/>
                <w:szCs w:val="16"/>
              </w:rPr>
              <w:t>自筹及借款</w:t>
            </w:r>
            <w:r>
              <w:rPr>
                <w:rFonts w:ascii="宋体" w:hAnsi="宋体" w:cs="宋体" w:eastAsia="宋体" w:hint="default"/>
                <w:sz w:val="16"/>
                <w:szCs w:val="16"/>
              </w:rPr>
            </w:r>
          </w:p>
        </w:tc>
        <w:tc>
          <w:tcPr>
            <w:tcW w:w="479" w:type="dxa"/>
            <w:vMerge/>
            <w:tcBorders>
              <w:left w:val="nil" w:sz="6" w:space="0" w:color="auto"/>
              <w:right w:val="nil" w:sz="6" w:space="0" w:color="auto"/>
            </w:tcBorders>
          </w:tcPr>
          <w:p>
            <w:pPr/>
          </w:p>
        </w:tc>
      </w:tr>
      <w:tr>
        <w:trPr>
          <w:trHeight w:val="415" w:hRule="exact"/>
        </w:trPr>
        <w:tc>
          <w:tcPr>
            <w:tcW w:w="4294" w:type="dxa"/>
            <w:tcBorders>
              <w:top w:val="nil" w:sz="6" w:space="0" w:color="auto"/>
              <w:left w:val="nil" w:sz="6" w:space="0" w:color="auto"/>
              <w:bottom w:val="nil" w:sz="6" w:space="0" w:color="auto"/>
              <w:right w:val="nil" w:sz="6" w:space="0" w:color="auto"/>
            </w:tcBorders>
          </w:tcPr>
          <w:p>
            <w:pPr>
              <w:pStyle w:val="TableParagraph"/>
              <w:spacing w:line="179" w:lineRule="exact"/>
              <w:ind w:right="0"/>
              <w:jc w:val="left"/>
              <w:rPr>
                <w:rFonts w:ascii="宋体" w:hAnsi="宋体" w:cs="宋体" w:eastAsia="宋体" w:hint="default"/>
                <w:sz w:val="16"/>
                <w:szCs w:val="16"/>
              </w:rPr>
            </w:pPr>
            <w:r>
              <w:rPr>
                <w:rFonts w:ascii="宋体" w:hAnsi="宋体" w:cs="宋体" w:eastAsia="宋体" w:hint="default"/>
                <w:w w:val="99"/>
                <w:sz w:val="16"/>
                <w:szCs w:val="16"/>
              </w:rPr>
              <w:t>广东</w:t>
            </w:r>
            <w:r>
              <w:rPr>
                <w:rFonts w:ascii="Arial" w:hAnsi="Arial" w:cs="Arial" w:eastAsia="Arial" w:hint="default"/>
                <w:spacing w:val="-1"/>
                <w:w w:val="99"/>
                <w:sz w:val="16"/>
                <w:szCs w:val="16"/>
              </w:rPr>
              <w:t>-</w:t>
            </w:r>
            <w:r>
              <w:rPr>
                <w:rFonts w:ascii="Arial" w:hAnsi="Arial" w:cs="Arial" w:eastAsia="Arial" w:hint="default"/>
                <w:w w:val="99"/>
                <w:sz w:val="16"/>
                <w:szCs w:val="16"/>
              </w:rPr>
              <w:t>2</w:t>
            </w:r>
            <w:r>
              <w:rPr>
                <w:rFonts w:ascii="Arial" w:hAnsi="Arial" w:cs="Arial" w:eastAsia="Arial" w:hint="default"/>
                <w:spacing w:val="1"/>
                <w:w w:val="99"/>
                <w:sz w:val="16"/>
                <w:szCs w:val="16"/>
              </w:rPr>
              <w:t>0</w:t>
            </w:r>
            <w:r>
              <w:rPr>
                <w:rFonts w:ascii="Arial" w:hAnsi="Arial" w:cs="Arial" w:eastAsia="Arial" w:hint="default"/>
                <w:w w:val="99"/>
                <w:sz w:val="16"/>
                <w:szCs w:val="16"/>
              </w:rPr>
              <w:t>12</w:t>
            </w:r>
            <w:r>
              <w:rPr>
                <w:rFonts w:ascii="Arial" w:hAnsi="Arial" w:cs="Arial" w:eastAsia="Arial" w:hint="default"/>
                <w:spacing w:val="-5"/>
                <w:sz w:val="16"/>
                <w:szCs w:val="16"/>
              </w:rPr>
              <w:t> </w:t>
            </w:r>
            <w:r>
              <w:rPr>
                <w:rFonts w:ascii="宋体" w:hAnsi="宋体" w:cs="宋体" w:eastAsia="宋体" w:hint="default"/>
                <w:spacing w:val="1"/>
                <w:w w:val="99"/>
                <w:sz w:val="16"/>
                <w:szCs w:val="16"/>
              </w:rPr>
              <w:t>年中</w:t>
            </w:r>
            <w:r>
              <w:rPr>
                <w:rFonts w:ascii="宋体" w:hAnsi="宋体" w:cs="宋体" w:eastAsia="宋体" w:hint="default"/>
                <w:w w:val="99"/>
                <w:sz w:val="16"/>
                <w:szCs w:val="16"/>
              </w:rPr>
              <w:t>国联通</w:t>
            </w:r>
            <w:r>
              <w:rPr>
                <w:rFonts w:ascii="宋体" w:hAnsi="宋体" w:cs="宋体" w:eastAsia="宋体" w:hint="default"/>
                <w:spacing w:val="1"/>
                <w:w w:val="99"/>
                <w:sz w:val="16"/>
                <w:szCs w:val="16"/>
              </w:rPr>
              <w:t>广</w:t>
            </w:r>
            <w:r>
              <w:rPr>
                <w:rFonts w:ascii="宋体" w:hAnsi="宋体" w:cs="宋体" w:eastAsia="宋体" w:hint="default"/>
                <w:w w:val="99"/>
                <w:sz w:val="16"/>
                <w:szCs w:val="16"/>
              </w:rPr>
              <w:t>东</w:t>
            </w:r>
            <w:r>
              <w:rPr>
                <w:rFonts w:ascii="宋体" w:hAnsi="宋体" w:cs="宋体" w:eastAsia="宋体" w:hint="default"/>
                <w:spacing w:val="-41"/>
                <w:sz w:val="16"/>
                <w:szCs w:val="16"/>
              </w:rPr>
              <w:t> </w:t>
            </w:r>
            <w:r>
              <w:rPr>
                <w:rFonts w:ascii="Arial" w:hAnsi="Arial" w:cs="Arial" w:eastAsia="Arial" w:hint="default"/>
                <w:w w:val="99"/>
                <w:sz w:val="16"/>
                <w:szCs w:val="16"/>
              </w:rPr>
              <w:t>W</w:t>
            </w:r>
            <w:r>
              <w:rPr>
                <w:rFonts w:ascii="Arial" w:hAnsi="Arial" w:cs="Arial" w:eastAsia="Arial" w:hint="default"/>
                <w:w w:val="99"/>
                <w:sz w:val="16"/>
                <w:szCs w:val="16"/>
              </w:rPr>
              <w:t>CD</w:t>
            </w:r>
            <w:r>
              <w:rPr>
                <w:rFonts w:ascii="Arial" w:hAnsi="Arial" w:cs="Arial" w:eastAsia="Arial" w:hint="default"/>
                <w:w w:val="99"/>
                <w:sz w:val="16"/>
                <w:szCs w:val="16"/>
              </w:rPr>
              <w:t>MA</w:t>
            </w:r>
            <w:r>
              <w:rPr>
                <w:rFonts w:ascii="Arial" w:hAnsi="Arial" w:cs="Arial" w:eastAsia="Arial" w:hint="default"/>
                <w:spacing w:val="-4"/>
                <w:sz w:val="16"/>
                <w:szCs w:val="16"/>
              </w:rPr>
              <w:t> </w:t>
            </w:r>
            <w:r>
              <w:rPr>
                <w:rFonts w:ascii="宋体" w:hAnsi="宋体" w:cs="宋体" w:eastAsia="宋体" w:hint="default"/>
                <w:w w:val="99"/>
                <w:sz w:val="16"/>
                <w:szCs w:val="16"/>
              </w:rPr>
              <w:t>无线</w:t>
            </w:r>
            <w:r>
              <w:rPr>
                <w:rFonts w:ascii="宋体" w:hAnsi="宋体" w:cs="宋体" w:eastAsia="宋体" w:hint="default"/>
                <w:spacing w:val="1"/>
                <w:w w:val="99"/>
                <w:sz w:val="16"/>
                <w:szCs w:val="16"/>
              </w:rPr>
              <w:t>网</w:t>
            </w:r>
            <w:r>
              <w:rPr>
                <w:rFonts w:ascii="宋体" w:hAnsi="宋体" w:cs="宋体" w:eastAsia="宋体" w:hint="default"/>
                <w:w w:val="99"/>
                <w:sz w:val="16"/>
                <w:szCs w:val="16"/>
              </w:rPr>
              <w:t>络</w:t>
            </w:r>
            <w:r>
              <w:rPr>
                <w:rFonts w:ascii="宋体" w:hAnsi="宋体" w:cs="宋体" w:eastAsia="宋体" w:hint="default"/>
                <w:spacing w:val="1"/>
                <w:w w:val="99"/>
                <w:sz w:val="16"/>
                <w:szCs w:val="16"/>
              </w:rPr>
              <w:t>扩</w:t>
            </w:r>
            <w:r>
              <w:rPr>
                <w:rFonts w:ascii="宋体" w:hAnsi="宋体" w:cs="宋体" w:eastAsia="宋体" w:hint="default"/>
                <w:spacing w:val="-68"/>
                <w:w w:val="99"/>
                <w:sz w:val="16"/>
                <w:szCs w:val="16"/>
              </w:rPr>
              <w:t>容</w:t>
            </w:r>
            <w:r>
              <w:rPr>
                <w:rFonts w:ascii="宋体" w:hAnsi="宋体" w:cs="宋体" w:eastAsia="宋体" w:hint="default"/>
                <w:w w:val="99"/>
                <w:sz w:val="16"/>
                <w:szCs w:val="16"/>
              </w:rPr>
              <w:t>（第</w:t>
            </w:r>
            <w:r>
              <w:rPr>
                <w:rFonts w:ascii="宋体" w:hAnsi="宋体" w:cs="宋体" w:eastAsia="宋体" w:hint="default"/>
                <w:spacing w:val="1"/>
                <w:w w:val="99"/>
                <w:sz w:val="16"/>
                <w:szCs w:val="16"/>
              </w:rPr>
              <w:t>二</w:t>
            </w:r>
            <w:r>
              <w:rPr>
                <w:rFonts w:ascii="宋体" w:hAnsi="宋体" w:cs="宋体" w:eastAsia="宋体" w:hint="default"/>
                <w:w w:val="99"/>
                <w:sz w:val="16"/>
                <w:szCs w:val="16"/>
              </w:rPr>
              <w:t>期）</w:t>
            </w:r>
            <w:r>
              <w:rPr>
                <w:rFonts w:ascii="宋体" w:hAnsi="宋体" w:cs="宋体" w:eastAsia="宋体" w:hint="default"/>
                <w:sz w:val="16"/>
                <w:szCs w:val="16"/>
              </w:rPr>
            </w:r>
          </w:p>
          <w:p>
            <w:pPr>
              <w:pStyle w:val="TableParagraph"/>
              <w:spacing w:line="203" w:lineRule="exact"/>
              <w:ind w:left="161" w:right="0"/>
              <w:jc w:val="left"/>
              <w:rPr>
                <w:rFonts w:ascii="宋体" w:hAnsi="宋体" w:cs="宋体" w:eastAsia="宋体" w:hint="default"/>
                <w:sz w:val="16"/>
                <w:szCs w:val="16"/>
              </w:rPr>
            </w:pPr>
            <w:r>
              <w:rPr>
                <w:rFonts w:ascii="宋体" w:hAnsi="宋体" w:cs="宋体" w:eastAsia="宋体" w:hint="default"/>
                <w:sz w:val="16"/>
                <w:szCs w:val="16"/>
              </w:rPr>
              <w:t>工程</w:t>
            </w:r>
          </w:p>
        </w:tc>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7"/>
              <w:jc w:val="right"/>
              <w:rPr>
                <w:rFonts w:ascii="Arial" w:hAnsi="Arial" w:cs="Arial" w:eastAsia="Arial" w:hint="default"/>
                <w:sz w:val="16"/>
                <w:szCs w:val="16"/>
              </w:rPr>
            </w:pPr>
            <w:r>
              <w:rPr>
                <w:rFonts w:ascii="Arial"/>
                <w:w w:val="95"/>
                <w:sz w:val="16"/>
              </w:rPr>
              <w:t>483</w:t>
            </w:r>
            <w:r>
              <w:rPr>
                <w:rFonts w:ascii="Arial"/>
                <w:sz w:val="16"/>
              </w:rPr>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29"/>
              <w:jc w:val="right"/>
              <w:rPr>
                <w:rFonts w:ascii="Arial" w:hAnsi="Arial" w:cs="Arial" w:eastAsia="Arial" w:hint="default"/>
                <w:sz w:val="16"/>
                <w:szCs w:val="16"/>
              </w:rPr>
            </w:pPr>
            <w:r>
              <w:rPr>
                <w:rFonts w:ascii="Arial"/>
                <w:w w:val="99"/>
                <w:sz w:val="16"/>
              </w:rPr>
              <w:t>-</w:t>
            </w:r>
            <w:r>
              <w:rPr>
                <w:rFonts w:ascii="Arial"/>
                <w:sz w:val="16"/>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4"/>
              <w:jc w:val="right"/>
              <w:rPr>
                <w:rFonts w:ascii="Arial" w:hAnsi="Arial" w:cs="Arial" w:eastAsia="Arial" w:hint="default"/>
                <w:sz w:val="16"/>
                <w:szCs w:val="16"/>
              </w:rPr>
            </w:pPr>
            <w:r>
              <w:rPr>
                <w:rFonts w:ascii="Arial"/>
                <w:w w:val="95"/>
                <w:sz w:val="16"/>
              </w:rPr>
              <w:t>413,531,865</w:t>
            </w:r>
            <w:r>
              <w:rPr>
                <w:rFonts w:ascii="Arial"/>
                <w:sz w:val="16"/>
              </w:rPr>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1"/>
              <w:jc w:val="right"/>
              <w:rPr>
                <w:rFonts w:ascii="Arial" w:hAnsi="Arial" w:cs="Arial" w:eastAsia="Arial" w:hint="default"/>
                <w:sz w:val="16"/>
                <w:szCs w:val="16"/>
              </w:rPr>
            </w:pPr>
            <w:r>
              <w:rPr>
                <w:rFonts w:ascii="Arial"/>
                <w:w w:val="99"/>
                <w:sz w:val="16"/>
              </w:rPr>
              <w:t>-</w:t>
            </w:r>
            <w:r>
              <w:rPr>
                <w:rFonts w:ascii="Arial"/>
                <w:sz w:val="16"/>
              </w:rPr>
            </w:r>
          </w:p>
        </w:tc>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1"/>
              <w:jc w:val="right"/>
              <w:rPr>
                <w:rFonts w:ascii="Arial" w:hAnsi="Arial" w:cs="Arial" w:eastAsia="Arial" w:hint="default"/>
                <w:sz w:val="16"/>
                <w:szCs w:val="16"/>
              </w:rPr>
            </w:pPr>
            <w:r>
              <w:rPr>
                <w:rFonts w:ascii="Arial"/>
                <w:w w:val="99"/>
                <w:sz w:val="16"/>
              </w:rPr>
              <w:t>-</w:t>
            </w:r>
            <w:r>
              <w:rPr>
                <w:rFonts w:ascii="Arial"/>
                <w:sz w:val="16"/>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71" w:right="0"/>
              <w:jc w:val="center"/>
              <w:rPr>
                <w:rFonts w:ascii="Arial" w:hAnsi="Arial" w:cs="Arial" w:eastAsia="Arial" w:hint="default"/>
                <w:sz w:val="16"/>
                <w:szCs w:val="16"/>
              </w:rPr>
            </w:pPr>
            <w:r>
              <w:rPr>
                <w:rFonts w:ascii="Arial"/>
                <w:sz w:val="16"/>
              </w:rPr>
              <w:t>413,531,865</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right"/>
              <w:rPr>
                <w:rFonts w:ascii="Arial" w:hAnsi="Arial" w:cs="Arial" w:eastAsia="Arial" w:hint="default"/>
                <w:sz w:val="16"/>
                <w:szCs w:val="16"/>
              </w:rPr>
            </w:pPr>
            <w:r>
              <w:rPr>
                <w:rFonts w:ascii="Arial"/>
                <w:w w:val="95"/>
                <w:sz w:val="16"/>
              </w:rPr>
              <w:t>86%</w:t>
            </w:r>
            <w:r>
              <w:rPr>
                <w:rFonts w:ascii="Arial"/>
                <w:sz w:val="16"/>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05" w:right="0"/>
              <w:jc w:val="center"/>
              <w:rPr>
                <w:rFonts w:ascii="Arial" w:hAnsi="Arial" w:cs="Arial" w:eastAsia="Arial" w:hint="default"/>
                <w:sz w:val="16"/>
                <w:szCs w:val="16"/>
              </w:rPr>
            </w:pPr>
            <w:r>
              <w:rPr>
                <w:rFonts w:ascii="Arial"/>
                <w:sz w:val="16"/>
              </w:rPr>
              <w:t>5,654,663</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60" w:right="0"/>
              <w:jc w:val="left"/>
              <w:rPr>
                <w:rFonts w:ascii="Arial" w:hAnsi="Arial" w:cs="Arial" w:eastAsia="Arial" w:hint="default"/>
                <w:sz w:val="16"/>
                <w:szCs w:val="16"/>
              </w:rPr>
            </w:pPr>
            <w:r>
              <w:rPr>
                <w:rFonts w:ascii="Arial"/>
                <w:sz w:val="16"/>
              </w:rPr>
              <w:t>5,654,663</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
              <w:jc w:val="center"/>
              <w:rPr>
                <w:rFonts w:ascii="Arial" w:hAnsi="Arial" w:cs="Arial" w:eastAsia="Arial" w:hint="default"/>
                <w:sz w:val="16"/>
                <w:szCs w:val="16"/>
              </w:rPr>
            </w:pPr>
            <w:r>
              <w:rPr>
                <w:rFonts w:ascii="Arial"/>
                <w:sz w:val="16"/>
              </w:rPr>
              <w:t>4.08%~5.16%</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47"/>
              <w:jc w:val="right"/>
              <w:rPr>
                <w:rFonts w:ascii="宋体" w:hAnsi="宋体" w:cs="宋体" w:eastAsia="宋体" w:hint="default"/>
                <w:sz w:val="16"/>
                <w:szCs w:val="16"/>
              </w:rPr>
            </w:pPr>
            <w:r>
              <w:rPr>
                <w:rFonts w:ascii="宋体" w:hAnsi="宋体" w:cs="宋体" w:eastAsia="宋体" w:hint="default"/>
                <w:w w:val="95"/>
                <w:sz w:val="16"/>
                <w:szCs w:val="16"/>
              </w:rPr>
              <w:t>自筹及借款</w:t>
            </w:r>
            <w:r>
              <w:rPr>
                <w:rFonts w:ascii="宋体" w:hAnsi="宋体" w:cs="宋体" w:eastAsia="宋体" w:hint="default"/>
                <w:sz w:val="16"/>
                <w:szCs w:val="16"/>
              </w:rPr>
            </w:r>
          </w:p>
        </w:tc>
        <w:tc>
          <w:tcPr>
            <w:tcW w:w="479" w:type="dxa"/>
            <w:vMerge/>
            <w:tcBorders>
              <w:left w:val="nil" w:sz="6" w:space="0" w:color="auto"/>
              <w:right w:val="nil" w:sz="6" w:space="0" w:color="auto"/>
            </w:tcBorders>
          </w:tcPr>
          <w:p>
            <w:pPr/>
          </w:p>
        </w:tc>
      </w:tr>
      <w:tr>
        <w:trPr>
          <w:trHeight w:val="208" w:hRule="exact"/>
        </w:trPr>
        <w:tc>
          <w:tcPr>
            <w:tcW w:w="4294" w:type="dxa"/>
            <w:tcBorders>
              <w:top w:val="nil" w:sz="6" w:space="0" w:color="auto"/>
              <w:left w:val="nil" w:sz="6" w:space="0" w:color="auto"/>
              <w:bottom w:val="nil" w:sz="6" w:space="0" w:color="auto"/>
              <w:right w:val="nil" w:sz="6" w:space="0" w:color="auto"/>
            </w:tcBorders>
          </w:tcPr>
          <w:p>
            <w:pPr>
              <w:pStyle w:val="TableParagraph"/>
              <w:spacing w:line="185" w:lineRule="exact"/>
              <w:ind w:right="0"/>
              <w:jc w:val="left"/>
              <w:rPr>
                <w:rFonts w:ascii="宋体" w:hAnsi="宋体" w:cs="宋体" w:eastAsia="宋体" w:hint="default"/>
                <w:sz w:val="16"/>
                <w:szCs w:val="16"/>
              </w:rPr>
            </w:pPr>
            <w:r>
              <w:rPr>
                <w:rFonts w:ascii="宋体" w:hAnsi="宋体" w:cs="宋体" w:eastAsia="宋体" w:hint="default"/>
                <w:sz w:val="16"/>
                <w:szCs w:val="16"/>
              </w:rPr>
              <w:t>湖南</w:t>
            </w:r>
            <w:r>
              <w:rPr>
                <w:rFonts w:ascii="Arial" w:hAnsi="Arial" w:cs="Arial" w:eastAsia="Arial" w:hint="default"/>
                <w:sz w:val="16"/>
                <w:szCs w:val="16"/>
              </w:rPr>
              <w:t>-2012</w:t>
            </w:r>
            <w:r>
              <w:rPr>
                <w:rFonts w:ascii="Arial" w:hAnsi="Arial" w:cs="Arial" w:eastAsia="Arial" w:hint="default"/>
                <w:spacing w:val="-7"/>
                <w:sz w:val="16"/>
                <w:szCs w:val="16"/>
              </w:rPr>
              <w:t> </w:t>
            </w:r>
            <w:r>
              <w:rPr>
                <w:rFonts w:ascii="宋体" w:hAnsi="宋体" w:cs="宋体" w:eastAsia="宋体" w:hint="default"/>
                <w:sz w:val="16"/>
                <w:szCs w:val="16"/>
              </w:rPr>
              <w:t>年中国联通湖南</w:t>
            </w:r>
            <w:r>
              <w:rPr>
                <w:rFonts w:ascii="宋体" w:hAnsi="宋体" w:cs="宋体" w:eastAsia="宋体" w:hint="default"/>
                <w:spacing w:val="-43"/>
                <w:sz w:val="16"/>
                <w:szCs w:val="16"/>
              </w:rPr>
              <w:t> </w:t>
            </w:r>
            <w:r>
              <w:rPr>
                <w:rFonts w:ascii="Arial" w:hAnsi="Arial" w:cs="Arial" w:eastAsia="Arial" w:hint="default"/>
                <w:sz w:val="16"/>
                <w:szCs w:val="16"/>
              </w:rPr>
              <w:t>WCDMA</w:t>
            </w:r>
            <w:r>
              <w:rPr>
                <w:rFonts w:ascii="Arial" w:hAnsi="Arial" w:cs="Arial" w:eastAsia="Arial" w:hint="default"/>
                <w:spacing w:val="-6"/>
                <w:sz w:val="16"/>
                <w:szCs w:val="16"/>
              </w:rPr>
              <w:t> </w:t>
            </w:r>
            <w:r>
              <w:rPr>
                <w:rFonts w:ascii="宋体" w:hAnsi="宋体" w:cs="宋体" w:eastAsia="宋体" w:hint="default"/>
                <w:sz w:val="16"/>
                <w:szCs w:val="16"/>
              </w:rPr>
              <w:t>无线网扩容工程</w:t>
            </w:r>
          </w:p>
        </w:tc>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7"/>
              <w:jc w:val="right"/>
              <w:rPr>
                <w:rFonts w:ascii="Arial" w:hAnsi="Arial" w:cs="Arial" w:eastAsia="Arial" w:hint="default"/>
                <w:sz w:val="16"/>
                <w:szCs w:val="16"/>
              </w:rPr>
            </w:pPr>
            <w:r>
              <w:rPr>
                <w:rFonts w:ascii="Arial"/>
                <w:w w:val="95"/>
                <w:sz w:val="16"/>
              </w:rPr>
              <w:t>435</w:t>
            </w:r>
            <w:r>
              <w:rPr>
                <w:rFonts w:ascii="Arial"/>
                <w:sz w:val="16"/>
              </w:rPr>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9"/>
              <w:jc w:val="right"/>
              <w:rPr>
                <w:rFonts w:ascii="Arial" w:hAnsi="Arial" w:cs="Arial" w:eastAsia="Arial" w:hint="default"/>
                <w:sz w:val="16"/>
                <w:szCs w:val="16"/>
              </w:rPr>
            </w:pPr>
            <w:r>
              <w:rPr>
                <w:rFonts w:ascii="Arial"/>
                <w:w w:val="99"/>
                <w:sz w:val="16"/>
              </w:rPr>
              <w:t>-</w:t>
            </w:r>
            <w:r>
              <w:rPr>
                <w:rFonts w:ascii="Arial"/>
                <w:sz w:val="16"/>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4"/>
              <w:jc w:val="right"/>
              <w:rPr>
                <w:rFonts w:ascii="Arial" w:hAnsi="Arial" w:cs="Arial" w:eastAsia="Arial" w:hint="default"/>
                <w:sz w:val="16"/>
                <w:szCs w:val="16"/>
              </w:rPr>
            </w:pPr>
            <w:r>
              <w:rPr>
                <w:rFonts w:ascii="Arial"/>
                <w:w w:val="95"/>
                <w:sz w:val="16"/>
              </w:rPr>
              <w:t>419,489,773</w:t>
            </w:r>
            <w:r>
              <w:rPr>
                <w:rFonts w:ascii="Arial"/>
                <w:sz w:val="16"/>
              </w:rPr>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1"/>
              <w:jc w:val="right"/>
              <w:rPr>
                <w:rFonts w:ascii="Arial" w:hAnsi="Arial" w:cs="Arial" w:eastAsia="Arial" w:hint="default"/>
                <w:sz w:val="16"/>
                <w:szCs w:val="16"/>
              </w:rPr>
            </w:pPr>
            <w:r>
              <w:rPr>
                <w:rFonts w:ascii="Arial"/>
                <w:w w:val="99"/>
                <w:sz w:val="16"/>
              </w:rPr>
              <w:t>-</w:t>
            </w:r>
            <w:r>
              <w:rPr>
                <w:rFonts w:ascii="Arial"/>
                <w:sz w:val="16"/>
              </w:rPr>
            </w:r>
          </w:p>
        </w:tc>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1"/>
              <w:jc w:val="right"/>
              <w:rPr>
                <w:rFonts w:ascii="Arial" w:hAnsi="Arial" w:cs="Arial" w:eastAsia="Arial" w:hint="default"/>
                <w:sz w:val="16"/>
                <w:szCs w:val="16"/>
              </w:rPr>
            </w:pPr>
            <w:r>
              <w:rPr>
                <w:rFonts w:ascii="Arial"/>
                <w:w w:val="99"/>
                <w:sz w:val="16"/>
              </w:rPr>
              <w:t>-</w:t>
            </w:r>
            <w:r>
              <w:rPr>
                <w:rFonts w:ascii="Arial"/>
                <w:sz w:val="16"/>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71" w:right="0"/>
              <w:jc w:val="center"/>
              <w:rPr>
                <w:rFonts w:ascii="Arial" w:hAnsi="Arial" w:cs="Arial" w:eastAsia="Arial" w:hint="default"/>
                <w:sz w:val="16"/>
                <w:szCs w:val="16"/>
              </w:rPr>
            </w:pPr>
            <w:r>
              <w:rPr>
                <w:rFonts w:ascii="Arial"/>
                <w:sz w:val="16"/>
              </w:rPr>
              <w:t>419,489,773</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Arial" w:hAnsi="Arial" w:cs="Arial" w:eastAsia="Arial" w:hint="default"/>
                <w:sz w:val="16"/>
                <w:szCs w:val="16"/>
              </w:rPr>
            </w:pPr>
            <w:r>
              <w:rPr>
                <w:rFonts w:ascii="Arial"/>
                <w:w w:val="95"/>
                <w:sz w:val="16"/>
              </w:rPr>
              <w:t>96%</w:t>
            </w:r>
            <w:r>
              <w:rPr>
                <w:rFonts w:ascii="Arial"/>
                <w:sz w:val="16"/>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05" w:right="0"/>
              <w:jc w:val="center"/>
              <w:rPr>
                <w:rFonts w:ascii="Arial" w:hAnsi="Arial" w:cs="Arial" w:eastAsia="Arial" w:hint="default"/>
                <w:sz w:val="16"/>
                <w:szCs w:val="16"/>
              </w:rPr>
            </w:pPr>
            <w:r>
              <w:rPr>
                <w:rFonts w:ascii="Arial"/>
                <w:sz w:val="16"/>
              </w:rPr>
              <w:t>4,927,416</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0" w:right="0"/>
              <w:jc w:val="left"/>
              <w:rPr>
                <w:rFonts w:ascii="Arial" w:hAnsi="Arial" w:cs="Arial" w:eastAsia="Arial" w:hint="default"/>
                <w:sz w:val="16"/>
                <w:szCs w:val="16"/>
              </w:rPr>
            </w:pPr>
            <w:r>
              <w:rPr>
                <w:rFonts w:ascii="Arial"/>
                <w:sz w:val="16"/>
              </w:rPr>
              <w:t>4,927,416</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
              <w:jc w:val="center"/>
              <w:rPr>
                <w:rFonts w:ascii="Arial" w:hAnsi="Arial" w:cs="Arial" w:eastAsia="Arial" w:hint="default"/>
                <w:sz w:val="16"/>
                <w:szCs w:val="16"/>
              </w:rPr>
            </w:pPr>
            <w:r>
              <w:rPr>
                <w:rFonts w:ascii="Arial"/>
                <w:sz w:val="16"/>
              </w:rPr>
              <w:t>4.08%~5.16%</w:t>
            </w:r>
          </w:p>
        </w:tc>
        <w:tc>
          <w:tcPr>
            <w:tcW w:w="931" w:type="dxa"/>
            <w:tcBorders>
              <w:top w:val="nil" w:sz="6" w:space="0" w:color="auto"/>
              <w:left w:val="nil" w:sz="6" w:space="0" w:color="auto"/>
              <w:bottom w:val="nil" w:sz="6" w:space="0" w:color="auto"/>
              <w:right w:val="nil" w:sz="6" w:space="0" w:color="auto"/>
            </w:tcBorders>
          </w:tcPr>
          <w:p>
            <w:pPr>
              <w:pStyle w:val="TableParagraph"/>
              <w:spacing w:line="174" w:lineRule="exact"/>
              <w:ind w:right="47"/>
              <w:jc w:val="right"/>
              <w:rPr>
                <w:rFonts w:ascii="宋体" w:hAnsi="宋体" w:cs="宋体" w:eastAsia="宋体" w:hint="default"/>
                <w:sz w:val="16"/>
                <w:szCs w:val="16"/>
              </w:rPr>
            </w:pPr>
            <w:r>
              <w:rPr>
                <w:rFonts w:ascii="宋体" w:hAnsi="宋体" w:cs="宋体" w:eastAsia="宋体" w:hint="default"/>
                <w:w w:val="95"/>
                <w:sz w:val="16"/>
                <w:szCs w:val="16"/>
              </w:rPr>
              <w:t>自筹及借款</w:t>
            </w:r>
            <w:r>
              <w:rPr>
                <w:rFonts w:ascii="宋体" w:hAnsi="宋体" w:cs="宋体" w:eastAsia="宋体" w:hint="default"/>
                <w:sz w:val="16"/>
                <w:szCs w:val="16"/>
              </w:rPr>
            </w:r>
          </w:p>
        </w:tc>
        <w:tc>
          <w:tcPr>
            <w:tcW w:w="479" w:type="dxa"/>
            <w:vMerge/>
            <w:tcBorders>
              <w:left w:val="nil" w:sz="6" w:space="0" w:color="auto"/>
              <w:right w:val="nil" w:sz="6" w:space="0" w:color="auto"/>
            </w:tcBorders>
          </w:tcPr>
          <w:p>
            <w:pPr/>
          </w:p>
        </w:tc>
      </w:tr>
      <w:tr>
        <w:trPr>
          <w:trHeight w:val="208" w:hRule="exact"/>
        </w:trPr>
        <w:tc>
          <w:tcPr>
            <w:tcW w:w="4294" w:type="dxa"/>
            <w:tcBorders>
              <w:top w:val="nil" w:sz="6" w:space="0" w:color="auto"/>
              <w:left w:val="nil" w:sz="6" w:space="0" w:color="auto"/>
              <w:bottom w:val="nil" w:sz="6" w:space="0" w:color="auto"/>
              <w:right w:val="nil" w:sz="6" w:space="0" w:color="auto"/>
            </w:tcBorders>
          </w:tcPr>
          <w:p>
            <w:pPr>
              <w:pStyle w:val="TableParagraph"/>
              <w:spacing w:line="185" w:lineRule="exact"/>
              <w:ind w:right="0"/>
              <w:jc w:val="left"/>
              <w:rPr>
                <w:rFonts w:ascii="宋体" w:hAnsi="宋体" w:cs="宋体" w:eastAsia="宋体" w:hint="default"/>
                <w:sz w:val="16"/>
                <w:szCs w:val="16"/>
              </w:rPr>
            </w:pPr>
            <w:r>
              <w:rPr>
                <w:rFonts w:ascii="宋体" w:hAnsi="宋体" w:cs="宋体" w:eastAsia="宋体" w:hint="default"/>
                <w:sz w:val="16"/>
                <w:szCs w:val="16"/>
              </w:rPr>
              <w:t>湖北</w:t>
            </w:r>
            <w:r>
              <w:rPr>
                <w:rFonts w:ascii="Arial" w:hAnsi="Arial" w:cs="Arial" w:eastAsia="Arial" w:hint="default"/>
                <w:sz w:val="16"/>
                <w:szCs w:val="16"/>
              </w:rPr>
              <w:t>-2012</w:t>
            </w:r>
            <w:r>
              <w:rPr>
                <w:rFonts w:ascii="Arial" w:hAnsi="Arial" w:cs="Arial" w:eastAsia="Arial" w:hint="default"/>
                <w:spacing w:val="-8"/>
                <w:sz w:val="16"/>
                <w:szCs w:val="16"/>
              </w:rPr>
              <w:t> </w:t>
            </w:r>
            <w:r>
              <w:rPr>
                <w:rFonts w:ascii="宋体" w:hAnsi="宋体" w:cs="宋体" w:eastAsia="宋体" w:hint="default"/>
                <w:sz w:val="16"/>
                <w:szCs w:val="16"/>
              </w:rPr>
              <w:t>年中国联通湖北室内覆盖工程新建工程</w:t>
            </w:r>
          </w:p>
        </w:tc>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7"/>
              <w:jc w:val="right"/>
              <w:rPr>
                <w:rFonts w:ascii="Arial" w:hAnsi="Arial" w:cs="Arial" w:eastAsia="Arial" w:hint="default"/>
                <w:sz w:val="16"/>
                <w:szCs w:val="16"/>
              </w:rPr>
            </w:pPr>
            <w:r>
              <w:rPr>
                <w:rFonts w:ascii="Arial"/>
                <w:w w:val="95"/>
                <w:sz w:val="16"/>
              </w:rPr>
              <w:t>340</w:t>
            </w:r>
            <w:r>
              <w:rPr>
                <w:rFonts w:ascii="Arial"/>
                <w:sz w:val="16"/>
              </w:rPr>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9"/>
              <w:jc w:val="right"/>
              <w:rPr>
                <w:rFonts w:ascii="Arial" w:hAnsi="Arial" w:cs="Arial" w:eastAsia="Arial" w:hint="default"/>
                <w:sz w:val="16"/>
                <w:szCs w:val="16"/>
              </w:rPr>
            </w:pPr>
            <w:r>
              <w:rPr>
                <w:rFonts w:ascii="Arial"/>
                <w:w w:val="99"/>
                <w:sz w:val="16"/>
              </w:rPr>
              <w:t>-</w:t>
            </w:r>
            <w:r>
              <w:rPr>
                <w:rFonts w:ascii="Arial"/>
                <w:sz w:val="16"/>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4"/>
              <w:jc w:val="right"/>
              <w:rPr>
                <w:rFonts w:ascii="Arial" w:hAnsi="Arial" w:cs="Arial" w:eastAsia="Arial" w:hint="default"/>
                <w:sz w:val="16"/>
                <w:szCs w:val="16"/>
              </w:rPr>
            </w:pPr>
            <w:r>
              <w:rPr>
                <w:rFonts w:ascii="Arial"/>
                <w:w w:val="95"/>
                <w:sz w:val="16"/>
              </w:rPr>
              <w:t>331,899,377</w:t>
            </w:r>
            <w:r>
              <w:rPr>
                <w:rFonts w:ascii="Arial"/>
                <w:sz w:val="16"/>
              </w:rPr>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1"/>
              <w:jc w:val="right"/>
              <w:rPr>
                <w:rFonts w:ascii="Arial" w:hAnsi="Arial" w:cs="Arial" w:eastAsia="Arial" w:hint="default"/>
                <w:sz w:val="16"/>
                <w:szCs w:val="16"/>
              </w:rPr>
            </w:pPr>
            <w:r>
              <w:rPr>
                <w:rFonts w:ascii="Arial"/>
                <w:w w:val="99"/>
                <w:sz w:val="16"/>
              </w:rPr>
              <w:t>-</w:t>
            </w:r>
            <w:r>
              <w:rPr>
                <w:rFonts w:ascii="Arial"/>
                <w:sz w:val="16"/>
              </w:rPr>
            </w:r>
          </w:p>
        </w:tc>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1"/>
              <w:jc w:val="right"/>
              <w:rPr>
                <w:rFonts w:ascii="Arial" w:hAnsi="Arial" w:cs="Arial" w:eastAsia="Arial" w:hint="default"/>
                <w:sz w:val="16"/>
                <w:szCs w:val="16"/>
              </w:rPr>
            </w:pPr>
            <w:r>
              <w:rPr>
                <w:rFonts w:ascii="Arial"/>
                <w:w w:val="99"/>
                <w:sz w:val="16"/>
              </w:rPr>
              <w:t>-</w:t>
            </w:r>
            <w:r>
              <w:rPr>
                <w:rFonts w:ascii="Arial"/>
                <w:sz w:val="16"/>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71" w:right="0"/>
              <w:jc w:val="center"/>
              <w:rPr>
                <w:rFonts w:ascii="Arial" w:hAnsi="Arial" w:cs="Arial" w:eastAsia="Arial" w:hint="default"/>
                <w:sz w:val="16"/>
                <w:szCs w:val="16"/>
              </w:rPr>
            </w:pPr>
            <w:r>
              <w:rPr>
                <w:rFonts w:ascii="Arial"/>
                <w:sz w:val="16"/>
              </w:rPr>
              <w:t>331,899,377</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Arial" w:hAnsi="Arial" w:cs="Arial" w:eastAsia="Arial" w:hint="default"/>
                <w:sz w:val="16"/>
                <w:szCs w:val="16"/>
              </w:rPr>
            </w:pPr>
            <w:r>
              <w:rPr>
                <w:rFonts w:ascii="Arial"/>
                <w:w w:val="95"/>
                <w:sz w:val="16"/>
              </w:rPr>
              <w:t>98%</w:t>
            </w:r>
            <w:r>
              <w:rPr>
                <w:rFonts w:ascii="Arial"/>
                <w:sz w:val="16"/>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05" w:right="0"/>
              <w:jc w:val="center"/>
              <w:rPr>
                <w:rFonts w:ascii="Arial" w:hAnsi="Arial" w:cs="Arial" w:eastAsia="Arial" w:hint="default"/>
                <w:sz w:val="16"/>
                <w:szCs w:val="16"/>
              </w:rPr>
            </w:pPr>
            <w:r>
              <w:rPr>
                <w:rFonts w:ascii="Arial"/>
                <w:sz w:val="16"/>
              </w:rPr>
              <w:t>2,428,520</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0" w:right="0"/>
              <w:jc w:val="left"/>
              <w:rPr>
                <w:rFonts w:ascii="Arial" w:hAnsi="Arial" w:cs="Arial" w:eastAsia="Arial" w:hint="default"/>
                <w:sz w:val="16"/>
                <w:szCs w:val="16"/>
              </w:rPr>
            </w:pPr>
            <w:r>
              <w:rPr>
                <w:rFonts w:ascii="Arial"/>
                <w:sz w:val="16"/>
              </w:rPr>
              <w:t>2,428,520</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
              <w:jc w:val="center"/>
              <w:rPr>
                <w:rFonts w:ascii="Arial" w:hAnsi="Arial" w:cs="Arial" w:eastAsia="Arial" w:hint="default"/>
                <w:sz w:val="16"/>
                <w:szCs w:val="16"/>
              </w:rPr>
            </w:pPr>
            <w:r>
              <w:rPr>
                <w:rFonts w:ascii="Arial"/>
                <w:sz w:val="16"/>
              </w:rPr>
              <w:t>4.08%~5.16%</w:t>
            </w:r>
          </w:p>
        </w:tc>
        <w:tc>
          <w:tcPr>
            <w:tcW w:w="931" w:type="dxa"/>
            <w:tcBorders>
              <w:top w:val="nil" w:sz="6" w:space="0" w:color="auto"/>
              <w:left w:val="nil" w:sz="6" w:space="0" w:color="auto"/>
              <w:bottom w:val="nil" w:sz="6" w:space="0" w:color="auto"/>
              <w:right w:val="nil" w:sz="6" w:space="0" w:color="auto"/>
            </w:tcBorders>
          </w:tcPr>
          <w:p>
            <w:pPr>
              <w:pStyle w:val="TableParagraph"/>
              <w:spacing w:line="174" w:lineRule="exact"/>
              <w:ind w:right="47"/>
              <w:jc w:val="right"/>
              <w:rPr>
                <w:rFonts w:ascii="宋体" w:hAnsi="宋体" w:cs="宋体" w:eastAsia="宋体" w:hint="default"/>
                <w:sz w:val="16"/>
                <w:szCs w:val="16"/>
              </w:rPr>
            </w:pPr>
            <w:r>
              <w:rPr>
                <w:rFonts w:ascii="宋体" w:hAnsi="宋体" w:cs="宋体" w:eastAsia="宋体" w:hint="default"/>
                <w:w w:val="95"/>
                <w:sz w:val="16"/>
                <w:szCs w:val="16"/>
              </w:rPr>
              <w:t>自筹及借款</w:t>
            </w:r>
            <w:r>
              <w:rPr>
                <w:rFonts w:ascii="宋体" w:hAnsi="宋体" w:cs="宋体" w:eastAsia="宋体" w:hint="default"/>
                <w:sz w:val="16"/>
                <w:szCs w:val="16"/>
              </w:rPr>
            </w:r>
          </w:p>
        </w:tc>
        <w:tc>
          <w:tcPr>
            <w:tcW w:w="479" w:type="dxa"/>
            <w:vMerge/>
            <w:tcBorders>
              <w:left w:val="nil" w:sz="6" w:space="0" w:color="auto"/>
              <w:right w:val="nil" w:sz="6" w:space="0" w:color="auto"/>
            </w:tcBorders>
          </w:tcPr>
          <w:p>
            <w:pPr/>
          </w:p>
        </w:tc>
      </w:tr>
      <w:tr>
        <w:trPr>
          <w:trHeight w:val="415" w:hRule="exact"/>
        </w:trPr>
        <w:tc>
          <w:tcPr>
            <w:tcW w:w="4294" w:type="dxa"/>
            <w:tcBorders>
              <w:top w:val="nil" w:sz="6" w:space="0" w:color="auto"/>
              <w:left w:val="nil" w:sz="6" w:space="0" w:color="auto"/>
              <w:bottom w:val="nil" w:sz="6" w:space="0" w:color="auto"/>
              <w:right w:val="nil" w:sz="6" w:space="0" w:color="auto"/>
            </w:tcBorders>
          </w:tcPr>
          <w:p>
            <w:pPr>
              <w:pStyle w:val="TableParagraph"/>
              <w:spacing w:line="179" w:lineRule="exact"/>
              <w:ind w:right="0"/>
              <w:jc w:val="left"/>
              <w:rPr>
                <w:rFonts w:ascii="宋体" w:hAnsi="宋体" w:cs="宋体" w:eastAsia="宋体" w:hint="default"/>
                <w:sz w:val="16"/>
                <w:szCs w:val="16"/>
              </w:rPr>
            </w:pPr>
            <w:r>
              <w:rPr>
                <w:rFonts w:ascii="宋体" w:hAnsi="宋体" w:cs="宋体" w:eastAsia="宋体" w:hint="default"/>
                <w:w w:val="99"/>
                <w:sz w:val="16"/>
                <w:szCs w:val="16"/>
              </w:rPr>
              <w:t>四川</w:t>
            </w:r>
            <w:r>
              <w:rPr>
                <w:rFonts w:ascii="Arial" w:hAnsi="Arial" w:cs="Arial" w:eastAsia="Arial" w:hint="default"/>
                <w:spacing w:val="-1"/>
                <w:w w:val="99"/>
                <w:sz w:val="16"/>
                <w:szCs w:val="16"/>
              </w:rPr>
              <w:t>-</w:t>
            </w:r>
            <w:r>
              <w:rPr>
                <w:rFonts w:ascii="Arial" w:hAnsi="Arial" w:cs="Arial" w:eastAsia="Arial" w:hint="default"/>
                <w:w w:val="99"/>
                <w:sz w:val="16"/>
                <w:szCs w:val="16"/>
              </w:rPr>
              <w:t>2</w:t>
            </w:r>
            <w:r>
              <w:rPr>
                <w:rFonts w:ascii="Arial" w:hAnsi="Arial" w:cs="Arial" w:eastAsia="Arial" w:hint="default"/>
                <w:spacing w:val="1"/>
                <w:w w:val="99"/>
                <w:sz w:val="16"/>
                <w:szCs w:val="16"/>
              </w:rPr>
              <w:t>0</w:t>
            </w:r>
            <w:r>
              <w:rPr>
                <w:rFonts w:ascii="Arial" w:hAnsi="Arial" w:cs="Arial" w:eastAsia="Arial" w:hint="default"/>
                <w:w w:val="99"/>
                <w:sz w:val="16"/>
                <w:szCs w:val="16"/>
              </w:rPr>
              <w:t>12</w:t>
            </w:r>
            <w:r>
              <w:rPr>
                <w:rFonts w:ascii="Arial" w:hAnsi="Arial" w:cs="Arial" w:eastAsia="Arial" w:hint="default"/>
                <w:spacing w:val="-5"/>
                <w:sz w:val="16"/>
                <w:szCs w:val="16"/>
              </w:rPr>
              <w:t> </w:t>
            </w:r>
            <w:r>
              <w:rPr>
                <w:rFonts w:ascii="宋体" w:hAnsi="宋体" w:cs="宋体" w:eastAsia="宋体" w:hint="default"/>
                <w:spacing w:val="1"/>
                <w:w w:val="99"/>
                <w:sz w:val="16"/>
                <w:szCs w:val="16"/>
              </w:rPr>
              <w:t>年中</w:t>
            </w:r>
            <w:r>
              <w:rPr>
                <w:rFonts w:ascii="宋体" w:hAnsi="宋体" w:cs="宋体" w:eastAsia="宋体" w:hint="default"/>
                <w:w w:val="99"/>
                <w:sz w:val="16"/>
                <w:szCs w:val="16"/>
              </w:rPr>
              <w:t>国联通</w:t>
            </w:r>
            <w:r>
              <w:rPr>
                <w:rFonts w:ascii="宋体" w:hAnsi="宋体" w:cs="宋体" w:eastAsia="宋体" w:hint="default"/>
                <w:spacing w:val="1"/>
                <w:w w:val="99"/>
                <w:sz w:val="16"/>
                <w:szCs w:val="16"/>
              </w:rPr>
              <w:t>四</w:t>
            </w:r>
            <w:r>
              <w:rPr>
                <w:rFonts w:ascii="宋体" w:hAnsi="宋体" w:cs="宋体" w:eastAsia="宋体" w:hint="default"/>
                <w:w w:val="99"/>
                <w:sz w:val="16"/>
                <w:szCs w:val="16"/>
              </w:rPr>
              <w:t>川</w:t>
            </w:r>
            <w:r>
              <w:rPr>
                <w:rFonts w:ascii="宋体" w:hAnsi="宋体" w:cs="宋体" w:eastAsia="宋体" w:hint="default"/>
                <w:spacing w:val="-41"/>
                <w:sz w:val="16"/>
                <w:szCs w:val="16"/>
              </w:rPr>
              <w:t> </w:t>
            </w:r>
            <w:r>
              <w:rPr>
                <w:rFonts w:ascii="Arial" w:hAnsi="Arial" w:cs="Arial" w:eastAsia="Arial" w:hint="default"/>
                <w:w w:val="99"/>
                <w:sz w:val="16"/>
                <w:szCs w:val="16"/>
              </w:rPr>
              <w:t>W</w:t>
            </w:r>
            <w:r>
              <w:rPr>
                <w:rFonts w:ascii="Arial" w:hAnsi="Arial" w:cs="Arial" w:eastAsia="Arial" w:hint="default"/>
                <w:w w:val="99"/>
                <w:sz w:val="16"/>
                <w:szCs w:val="16"/>
              </w:rPr>
              <w:t>CD</w:t>
            </w:r>
            <w:r>
              <w:rPr>
                <w:rFonts w:ascii="Arial" w:hAnsi="Arial" w:cs="Arial" w:eastAsia="Arial" w:hint="default"/>
                <w:w w:val="99"/>
                <w:sz w:val="16"/>
                <w:szCs w:val="16"/>
              </w:rPr>
              <w:t>MA</w:t>
            </w:r>
            <w:r>
              <w:rPr>
                <w:rFonts w:ascii="Arial" w:hAnsi="Arial" w:cs="Arial" w:eastAsia="Arial" w:hint="default"/>
                <w:spacing w:val="-4"/>
                <w:sz w:val="16"/>
                <w:szCs w:val="16"/>
              </w:rPr>
              <w:t> </w:t>
            </w:r>
            <w:r>
              <w:rPr>
                <w:rFonts w:ascii="宋体" w:hAnsi="宋体" w:cs="宋体" w:eastAsia="宋体" w:hint="default"/>
                <w:w w:val="99"/>
                <w:sz w:val="16"/>
                <w:szCs w:val="16"/>
              </w:rPr>
              <w:t>无线</w:t>
            </w:r>
            <w:r>
              <w:rPr>
                <w:rFonts w:ascii="宋体" w:hAnsi="宋体" w:cs="宋体" w:eastAsia="宋体" w:hint="default"/>
                <w:spacing w:val="1"/>
                <w:w w:val="99"/>
                <w:sz w:val="16"/>
                <w:szCs w:val="16"/>
              </w:rPr>
              <w:t>网</w:t>
            </w:r>
            <w:r>
              <w:rPr>
                <w:rFonts w:ascii="宋体" w:hAnsi="宋体" w:cs="宋体" w:eastAsia="宋体" w:hint="default"/>
                <w:w w:val="99"/>
                <w:sz w:val="16"/>
                <w:szCs w:val="16"/>
              </w:rPr>
              <w:t>络</w:t>
            </w:r>
            <w:r>
              <w:rPr>
                <w:rFonts w:ascii="宋体" w:hAnsi="宋体" w:cs="宋体" w:eastAsia="宋体" w:hint="default"/>
                <w:spacing w:val="1"/>
                <w:w w:val="99"/>
                <w:sz w:val="16"/>
                <w:szCs w:val="16"/>
              </w:rPr>
              <w:t>扩</w:t>
            </w:r>
            <w:r>
              <w:rPr>
                <w:rFonts w:ascii="宋体" w:hAnsi="宋体" w:cs="宋体" w:eastAsia="宋体" w:hint="default"/>
                <w:spacing w:val="-68"/>
                <w:w w:val="99"/>
                <w:sz w:val="16"/>
                <w:szCs w:val="16"/>
              </w:rPr>
              <w:t>容</w:t>
            </w:r>
            <w:r>
              <w:rPr>
                <w:rFonts w:ascii="宋体" w:hAnsi="宋体" w:cs="宋体" w:eastAsia="宋体" w:hint="default"/>
                <w:w w:val="99"/>
                <w:sz w:val="16"/>
                <w:szCs w:val="16"/>
              </w:rPr>
              <w:t>（第</w:t>
            </w:r>
            <w:r>
              <w:rPr>
                <w:rFonts w:ascii="宋体" w:hAnsi="宋体" w:cs="宋体" w:eastAsia="宋体" w:hint="default"/>
                <w:spacing w:val="1"/>
                <w:w w:val="99"/>
                <w:sz w:val="16"/>
                <w:szCs w:val="16"/>
              </w:rPr>
              <w:t>二</w:t>
            </w:r>
            <w:r>
              <w:rPr>
                <w:rFonts w:ascii="宋体" w:hAnsi="宋体" w:cs="宋体" w:eastAsia="宋体" w:hint="default"/>
                <w:w w:val="99"/>
                <w:sz w:val="16"/>
                <w:szCs w:val="16"/>
              </w:rPr>
              <w:t>期）</w:t>
            </w:r>
            <w:r>
              <w:rPr>
                <w:rFonts w:ascii="宋体" w:hAnsi="宋体" w:cs="宋体" w:eastAsia="宋体" w:hint="default"/>
                <w:sz w:val="16"/>
                <w:szCs w:val="16"/>
              </w:rPr>
            </w:r>
          </w:p>
          <w:p>
            <w:pPr>
              <w:pStyle w:val="TableParagraph"/>
              <w:spacing w:line="203" w:lineRule="exact"/>
              <w:ind w:left="171" w:right="0"/>
              <w:jc w:val="left"/>
              <w:rPr>
                <w:rFonts w:ascii="宋体" w:hAnsi="宋体" w:cs="宋体" w:eastAsia="宋体" w:hint="default"/>
                <w:sz w:val="16"/>
                <w:szCs w:val="16"/>
              </w:rPr>
            </w:pPr>
            <w:r>
              <w:rPr>
                <w:rFonts w:ascii="宋体" w:hAnsi="宋体" w:cs="宋体" w:eastAsia="宋体" w:hint="default"/>
                <w:sz w:val="16"/>
                <w:szCs w:val="16"/>
              </w:rPr>
              <w:t>工程</w:t>
            </w:r>
          </w:p>
        </w:tc>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7"/>
              <w:jc w:val="right"/>
              <w:rPr>
                <w:rFonts w:ascii="Arial" w:hAnsi="Arial" w:cs="Arial" w:eastAsia="Arial" w:hint="default"/>
                <w:sz w:val="16"/>
                <w:szCs w:val="16"/>
              </w:rPr>
            </w:pPr>
            <w:r>
              <w:rPr>
                <w:rFonts w:ascii="Arial"/>
                <w:w w:val="95"/>
                <w:sz w:val="16"/>
              </w:rPr>
              <w:t>358</w:t>
            </w:r>
            <w:r>
              <w:rPr>
                <w:rFonts w:ascii="Arial"/>
                <w:sz w:val="16"/>
              </w:rPr>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29"/>
              <w:jc w:val="right"/>
              <w:rPr>
                <w:rFonts w:ascii="Arial" w:hAnsi="Arial" w:cs="Arial" w:eastAsia="Arial" w:hint="default"/>
                <w:sz w:val="16"/>
                <w:szCs w:val="16"/>
              </w:rPr>
            </w:pPr>
            <w:r>
              <w:rPr>
                <w:rFonts w:ascii="Arial"/>
                <w:w w:val="99"/>
                <w:sz w:val="16"/>
              </w:rPr>
              <w:t>-</w:t>
            </w:r>
            <w:r>
              <w:rPr>
                <w:rFonts w:ascii="Arial"/>
                <w:sz w:val="16"/>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44"/>
              <w:jc w:val="right"/>
              <w:rPr>
                <w:rFonts w:ascii="Arial" w:hAnsi="Arial" w:cs="Arial" w:eastAsia="Arial" w:hint="default"/>
                <w:sz w:val="16"/>
                <w:szCs w:val="16"/>
              </w:rPr>
            </w:pPr>
            <w:r>
              <w:rPr>
                <w:rFonts w:ascii="Arial"/>
                <w:w w:val="95"/>
                <w:sz w:val="16"/>
              </w:rPr>
              <w:t>330,106,631</w:t>
            </w:r>
            <w:r>
              <w:rPr>
                <w:rFonts w:ascii="Arial"/>
                <w:sz w:val="16"/>
              </w:rPr>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51"/>
              <w:jc w:val="right"/>
              <w:rPr>
                <w:rFonts w:ascii="Arial" w:hAnsi="Arial" w:cs="Arial" w:eastAsia="Arial" w:hint="default"/>
                <w:sz w:val="16"/>
                <w:szCs w:val="16"/>
              </w:rPr>
            </w:pPr>
            <w:r>
              <w:rPr>
                <w:rFonts w:ascii="Arial"/>
                <w:w w:val="99"/>
                <w:sz w:val="16"/>
              </w:rPr>
              <w:t>-</w:t>
            </w:r>
            <w:r>
              <w:rPr>
                <w:rFonts w:ascii="Arial"/>
                <w:sz w:val="16"/>
              </w:rPr>
            </w:r>
          </w:p>
        </w:tc>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51"/>
              <w:jc w:val="right"/>
              <w:rPr>
                <w:rFonts w:ascii="Arial" w:hAnsi="Arial" w:cs="Arial" w:eastAsia="Arial" w:hint="default"/>
                <w:sz w:val="16"/>
                <w:szCs w:val="16"/>
              </w:rPr>
            </w:pPr>
            <w:r>
              <w:rPr>
                <w:rFonts w:ascii="Arial"/>
                <w:w w:val="99"/>
                <w:sz w:val="16"/>
              </w:rPr>
              <w:t>-</w:t>
            </w:r>
            <w:r>
              <w:rPr>
                <w:rFonts w:ascii="Arial"/>
                <w:sz w:val="16"/>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71" w:right="0"/>
              <w:jc w:val="center"/>
              <w:rPr>
                <w:rFonts w:ascii="Arial" w:hAnsi="Arial" w:cs="Arial" w:eastAsia="Arial" w:hint="default"/>
                <w:sz w:val="16"/>
                <w:szCs w:val="16"/>
              </w:rPr>
            </w:pPr>
            <w:r>
              <w:rPr>
                <w:rFonts w:ascii="Arial"/>
                <w:sz w:val="16"/>
              </w:rPr>
              <w:t>330,106,631</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right"/>
              <w:rPr>
                <w:rFonts w:ascii="Arial" w:hAnsi="Arial" w:cs="Arial" w:eastAsia="Arial" w:hint="default"/>
                <w:sz w:val="16"/>
                <w:szCs w:val="16"/>
              </w:rPr>
            </w:pPr>
            <w:r>
              <w:rPr>
                <w:rFonts w:ascii="Arial"/>
                <w:w w:val="95"/>
                <w:sz w:val="16"/>
              </w:rPr>
              <w:t>92%</w:t>
            </w:r>
            <w:r>
              <w:rPr>
                <w:rFonts w:ascii="Arial"/>
                <w:sz w:val="16"/>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05" w:right="0"/>
              <w:jc w:val="center"/>
              <w:rPr>
                <w:rFonts w:ascii="Arial" w:hAnsi="Arial" w:cs="Arial" w:eastAsia="Arial" w:hint="default"/>
                <w:sz w:val="16"/>
                <w:szCs w:val="16"/>
              </w:rPr>
            </w:pPr>
            <w:r>
              <w:rPr>
                <w:rFonts w:ascii="Arial"/>
                <w:sz w:val="16"/>
              </w:rPr>
              <w:t>2,392,294</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60" w:right="0"/>
              <w:jc w:val="left"/>
              <w:rPr>
                <w:rFonts w:ascii="Arial" w:hAnsi="Arial" w:cs="Arial" w:eastAsia="Arial" w:hint="default"/>
                <w:sz w:val="16"/>
                <w:szCs w:val="16"/>
              </w:rPr>
            </w:pPr>
            <w:r>
              <w:rPr>
                <w:rFonts w:ascii="Arial"/>
                <w:sz w:val="16"/>
              </w:rPr>
              <w:t>2,392,294</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
              <w:jc w:val="center"/>
              <w:rPr>
                <w:rFonts w:ascii="Arial" w:hAnsi="Arial" w:cs="Arial" w:eastAsia="Arial" w:hint="default"/>
                <w:sz w:val="16"/>
                <w:szCs w:val="16"/>
              </w:rPr>
            </w:pPr>
            <w:r>
              <w:rPr>
                <w:rFonts w:ascii="Arial"/>
                <w:sz w:val="16"/>
              </w:rPr>
              <w:t>4.08%~5.16%</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47"/>
              <w:jc w:val="right"/>
              <w:rPr>
                <w:rFonts w:ascii="宋体" w:hAnsi="宋体" w:cs="宋体" w:eastAsia="宋体" w:hint="default"/>
                <w:sz w:val="16"/>
                <w:szCs w:val="16"/>
              </w:rPr>
            </w:pPr>
            <w:r>
              <w:rPr>
                <w:rFonts w:ascii="宋体" w:hAnsi="宋体" w:cs="宋体" w:eastAsia="宋体" w:hint="default"/>
                <w:w w:val="95"/>
                <w:sz w:val="16"/>
                <w:szCs w:val="16"/>
              </w:rPr>
              <w:t>自筹及借款</w:t>
            </w:r>
            <w:r>
              <w:rPr>
                <w:rFonts w:ascii="宋体" w:hAnsi="宋体" w:cs="宋体" w:eastAsia="宋体" w:hint="default"/>
                <w:sz w:val="16"/>
                <w:szCs w:val="16"/>
              </w:rPr>
            </w:r>
          </w:p>
        </w:tc>
        <w:tc>
          <w:tcPr>
            <w:tcW w:w="479" w:type="dxa"/>
            <w:vMerge/>
            <w:tcBorders>
              <w:left w:val="nil" w:sz="6" w:space="0" w:color="auto"/>
              <w:right w:val="nil" w:sz="6" w:space="0" w:color="auto"/>
            </w:tcBorders>
          </w:tcPr>
          <w:p>
            <w:pPr/>
          </w:p>
        </w:tc>
      </w:tr>
      <w:tr>
        <w:trPr>
          <w:trHeight w:val="208" w:hRule="exact"/>
        </w:trPr>
        <w:tc>
          <w:tcPr>
            <w:tcW w:w="4294" w:type="dxa"/>
            <w:tcBorders>
              <w:top w:val="nil" w:sz="6" w:space="0" w:color="auto"/>
              <w:left w:val="nil" w:sz="6" w:space="0" w:color="auto"/>
              <w:bottom w:val="nil" w:sz="6" w:space="0" w:color="auto"/>
              <w:right w:val="nil" w:sz="6" w:space="0" w:color="auto"/>
            </w:tcBorders>
          </w:tcPr>
          <w:p>
            <w:pPr>
              <w:pStyle w:val="TableParagraph"/>
              <w:spacing w:line="186" w:lineRule="exact"/>
              <w:ind w:right="0"/>
              <w:jc w:val="left"/>
              <w:rPr>
                <w:rFonts w:ascii="宋体" w:hAnsi="宋体" w:cs="宋体" w:eastAsia="宋体" w:hint="default"/>
                <w:sz w:val="16"/>
                <w:szCs w:val="16"/>
              </w:rPr>
            </w:pPr>
            <w:r>
              <w:rPr>
                <w:rFonts w:ascii="宋体" w:hAnsi="宋体" w:cs="宋体" w:eastAsia="宋体" w:hint="default"/>
                <w:sz w:val="16"/>
                <w:szCs w:val="16"/>
              </w:rPr>
              <w:t>广东</w:t>
            </w:r>
            <w:r>
              <w:rPr>
                <w:rFonts w:ascii="Arial" w:hAnsi="Arial" w:cs="Arial" w:eastAsia="Arial" w:hint="default"/>
                <w:sz w:val="16"/>
                <w:szCs w:val="16"/>
              </w:rPr>
              <w:t>-2012</w:t>
            </w:r>
            <w:r>
              <w:rPr>
                <w:rFonts w:ascii="Arial" w:hAnsi="Arial" w:cs="Arial" w:eastAsia="Arial" w:hint="default"/>
                <w:spacing w:val="-7"/>
                <w:sz w:val="16"/>
                <w:szCs w:val="16"/>
              </w:rPr>
              <w:t> </w:t>
            </w:r>
            <w:r>
              <w:rPr>
                <w:rFonts w:ascii="宋体" w:hAnsi="宋体" w:cs="宋体" w:eastAsia="宋体" w:hint="default"/>
                <w:sz w:val="16"/>
                <w:szCs w:val="16"/>
              </w:rPr>
              <w:t>年中国联通广东</w:t>
            </w:r>
            <w:r>
              <w:rPr>
                <w:rFonts w:ascii="宋体" w:hAnsi="宋体" w:cs="宋体" w:eastAsia="宋体" w:hint="default"/>
                <w:spacing w:val="-41"/>
                <w:sz w:val="16"/>
                <w:szCs w:val="16"/>
              </w:rPr>
              <w:t> </w:t>
            </w:r>
            <w:r>
              <w:rPr>
                <w:rFonts w:ascii="Arial" w:hAnsi="Arial" w:cs="Arial" w:eastAsia="Arial" w:hint="default"/>
                <w:sz w:val="16"/>
                <w:szCs w:val="16"/>
              </w:rPr>
              <w:t>GSM</w:t>
            </w:r>
            <w:r>
              <w:rPr>
                <w:rFonts w:ascii="Arial" w:hAnsi="Arial" w:cs="Arial" w:eastAsia="Arial" w:hint="default"/>
                <w:spacing w:val="-7"/>
                <w:sz w:val="16"/>
                <w:szCs w:val="16"/>
              </w:rPr>
              <w:t> </w:t>
            </w:r>
            <w:r>
              <w:rPr>
                <w:rFonts w:ascii="宋体" w:hAnsi="宋体" w:cs="宋体" w:eastAsia="宋体" w:hint="default"/>
                <w:sz w:val="16"/>
                <w:szCs w:val="16"/>
              </w:rPr>
              <w:t>主体网络扩容工程</w:t>
            </w:r>
          </w:p>
        </w:tc>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7"/>
              <w:jc w:val="right"/>
              <w:rPr>
                <w:rFonts w:ascii="Arial" w:hAnsi="Arial" w:cs="Arial" w:eastAsia="Arial" w:hint="default"/>
                <w:sz w:val="16"/>
                <w:szCs w:val="16"/>
              </w:rPr>
            </w:pPr>
            <w:r>
              <w:rPr>
                <w:rFonts w:ascii="Arial"/>
                <w:w w:val="95"/>
                <w:sz w:val="16"/>
              </w:rPr>
              <w:t>300</w:t>
            </w:r>
            <w:r>
              <w:rPr>
                <w:rFonts w:ascii="Arial"/>
                <w:sz w:val="16"/>
              </w:rPr>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9"/>
              <w:jc w:val="right"/>
              <w:rPr>
                <w:rFonts w:ascii="Arial" w:hAnsi="Arial" w:cs="Arial" w:eastAsia="Arial" w:hint="default"/>
                <w:sz w:val="16"/>
                <w:szCs w:val="16"/>
              </w:rPr>
            </w:pPr>
            <w:r>
              <w:rPr>
                <w:rFonts w:ascii="Arial"/>
                <w:w w:val="99"/>
                <w:sz w:val="16"/>
              </w:rPr>
              <w:t>-</w:t>
            </w:r>
            <w:r>
              <w:rPr>
                <w:rFonts w:ascii="Arial"/>
                <w:sz w:val="16"/>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4"/>
              <w:jc w:val="right"/>
              <w:rPr>
                <w:rFonts w:ascii="Arial" w:hAnsi="Arial" w:cs="Arial" w:eastAsia="Arial" w:hint="default"/>
                <w:sz w:val="16"/>
                <w:szCs w:val="16"/>
              </w:rPr>
            </w:pPr>
            <w:r>
              <w:rPr>
                <w:rFonts w:ascii="Arial"/>
                <w:w w:val="95"/>
                <w:sz w:val="16"/>
              </w:rPr>
              <w:t>286,694,043</w:t>
            </w:r>
            <w:r>
              <w:rPr>
                <w:rFonts w:ascii="Arial"/>
                <w:sz w:val="16"/>
              </w:rPr>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1"/>
              <w:jc w:val="right"/>
              <w:rPr>
                <w:rFonts w:ascii="Arial" w:hAnsi="Arial" w:cs="Arial" w:eastAsia="Arial" w:hint="default"/>
                <w:sz w:val="16"/>
                <w:szCs w:val="16"/>
              </w:rPr>
            </w:pPr>
            <w:r>
              <w:rPr>
                <w:rFonts w:ascii="Arial"/>
                <w:w w:val="99"/>
                <w:sz w:val="16"/>
              </w:rPr>
              <w:t>-</w:t>
            </w:r>
            <w:r>
              <w:rPr>
                <w:rFonts w:ascii="Arial"/>
                <w:sz w:val="16"/>
              </w:rPr>
            </w:r>
          </w:p>
        </w:tc>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1"/>
              <w:jc w:val="right"/>
              <w:rPr>
                <w:rFonts w:ascii="Arial" w:hAnsi="Arial" w:cs="Arial" w:eastAsia="Arial" w:hint="default"/>
                <w:sz w:val="16"/>
                <w:szCs w:val="16"/>
              </w:rPr>
            </w:pPr>
            <w:r>
              <w:rPr>
                <w:rFonts w:ascii="Arial"/>
                <w:w w:val="99"/>
                <w:sz w:val="16"/>
              </w:rPr>
              <w:t>-</w:t>
            </w:r>
            <w:r>
              <w:rPr>
                <w:rFonts w:ascii="Arial"/>
                <w:sz w:val="16"/>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71" w:right="0"/>
              <w:jc w:val="center"/>
              <w:rPr>
                <w:rFonts w:ascii="Arial" w:hAnsi="Arial" w:cs="Arial" w:eastAsia="Arial" w:hint="default"/>
                <w:sz w:val="16"/>
                <w:szCs w:val="16"/>
              </w:rPr>
            </w:pPr>
            <w:r>
              <w:rPr>
                <w:rFonts w:ascii="Arial"/>
                <w:sz w:val="16"/>
              </w:rPr>
              <w:t>286,694,043</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right"/>
              <w:rPr>
                <w:rFonts w:ascii="Arial" w:hAnsi="Arial" w:cs="Arial" w:eastAsia="Arial" w:hint="default"/>
                <w:sz w:val="16"/>
                <w:szCs w:val="16"/>
              </w:rPr>
            </w:pPr>
            <w:r>
              <w:rPr>
                <w:rFonts w:ascii="Arial"/>
                <w:w w:val="95"/>
                <w:sz w:val="16"/>
              </w:rPr>
              <w:t>96%</w:t>
            </w:r>
            <w:r>
              <w:rPr>
                <w:rFonts w:ascii="Arial"/>
                <w:sz w:val="16"/>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05" w:right="0"/>
              <w:jc w:val="center"/>
              <w:rPr>
                <w:rFonts w:ascii="Arial" w:hAnsi="Arial" w:cs="Arial" w:eastAsia="Arial" w:hint="default"/>
                <w:sz w:val="16"/>
                <w:szCs w:val="16"/>
              </w:rPr>
            </w:pPr>
            <w:r>
              <w:rPr>
                <w:rFonts w:ascii="Arial"/>
                <w:sz w:val="16"/>
              </w:rPr>
              <w:t>2,048,777</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0" w:right="0"/>
              <w:jc w:val="left"/>
              <w:rPr>
                <w:rFonts w:ascii="Arial" w:hAnsi="Arial" w:cs="Arial" w:eastAsia="Arial" w:hint="default"/>
                <w:sz w:val="16"/>
                <w:szCs w:val="16"/>
              </w:rPr>
            </w:pPr>
            <w:r>
              <w:rPr>
                <w:rFonts w:ascii="Arial"/>
                <w:sz w:val="16"/>
              </w:rPr>
              <w:t>2,048,777</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
              <w:jc w:val="center"/>
              <w:rPr>
                <w:rFonts w:ascii="Arial" w:hAnsi="Arial" w:cs="Arial" w:eastAsia="Arial" w:hint="default"/>
                <w:sz w:val="16"/>
                <w:szCs w:val="16"/>
              </w:rPr>
            </w:pPr>
            <w:r>
              <w:rPr>
                <w:rFonts w:ascii="Arial"/>
                <w:sz w:val="16"/>
              </w:rPr>
              <w:t>4.08%~5.16%</w:t>
            </w:r>
          </w:p>
        </w:tc>
        <w:tc>
          <w:tcPr>
            <w:tcW w:w="931" w:type="dxa"/>
            <w:tcBorders>
              <w:top w:val="nil" w:sz="6" w:space="0" w:color="auto"/>
              <w:left w:val="nil" w:sz="6" w:space="0" w:color="auto"/>
              <w:bottom w:val="nil" w:sz="6" w:space="0" w:color="auto"/>
              <w:right w:val="nil" w:sz="6" w:space="0" w:color="auto"/>
            </w:tcBorders>
          </w:tcPr>
          <w:p>
            <w:pPr>
              <w:pStyle w:val="TableParagraph"/>
              <w:spacing w:line="174" w:lineRule="exact"/>
              <w:ind w:right="47"/>
              <w:jc w:val="right"/>
              <w:rPr>
                <w:rFonts w:ascii="宋体" w:hAnsi="宋体" w:cs="宋体" w:eastAsia="宋体" w:hint="default"/>
                <w:sz w:val="16"/>
                <w:szCs w:val="16"/>
              </w:rPr>
            </w:pPr>
            <w:r>
              <w:rPr>
                <w:rFonts w:ascii="宋体" w:hAnsi="宋体" w:cs="宋体" w:eastAsia="宋体" w:hint="default"/>
                <w:w w:val="95"/>
                <w:sz w:val="16"/>
                <w:szCs w:val="16"/>
              </w:rPr>
              <w:t>自筹及借款</w:t>
            </w:r>
            <w:r>
              <w:rPr>
                <w:rFonts w:ascii="宋体" w:hAnsi="宋体" w:cs="宋体" w:eastAsia="宋体" w:hint="default"/>
                <w:sz w:val="16"/>
                <w:szCs w:val="16"/>
              </w:rPr>
            </w:r>
          </w:p>
        </w:tc>
        <w:tc>
          <w:tcPr>
            <w:tcW w:w="479" w:type="dxa"/>
            <w:vMerge/>
            <w:tcBorders>
              <w:left w:val="nil" w:sz="6" w:space="0" w:color="auto"/>
              <w:right w:val="nil" w:sz="6" w:space="0" w:color="auto"/>
            </w:tcBorders>
          </w:tcPr>
          <w:p>
            <w:pPr/>
          </w:p>
        </w:tc>
      </w:tr>
      <w:tr>
        <w:trPr>
          <w:trHeight w:val="210" w:hRule="exact"/>
        </w:trPr>
        <w:tc>
          <w:tcPr>
            <w:tcW w:w="4294" w:type="dxa"/>
            <w:vMerge w:val="restart"/>
            <w:tcBorders>
              <w:top w:val="nil" w:sz="6" w:space="0" w:color="auto"/>
              <w:left w:val="nil" w:sz="6" w:space="0" w:color="auto"/>
              <w:right w:val="nil" w:sz="6" w:space="0" w:color="auto"/>
            </w:tcBorders>
          </w:tcPr>
          <w:p>
            <w:pPr>
              <w:pStyle w:val="TableParagraph"/>
              <w:spacing w:line="179" w:lineRule="exact"/>
              <w:ind w:right="0"/>
              <w:jc w:val="left"/>
              <w:rPr>
                <w:rFonts w:ascii="宋体" w:hAnsi="宋体" w:cs="宋体" w:eastAsia="宋体" w:hint="default"/>
                <w:sz w:val="16"/>
                <w:szCs w:val="16"/>
              </w:rPr>
            </w:pPr>
            <w:r>
              <w:rPr>
                <w:rFonts w:ascii="宋体" w:hAnsi="宋体" w:cs="宋体" w:eastAsia="宋体" w:hint="default"/>
                <w:sz w:val="16"/>
                <w:szCs w:val="16"/>
              </w:rPr>
              <w:t>四川</w:t>
            </w:r>
            <w:r>
              <w:rPr>
                <w:rFonts w:ascii="Arial" w:hAnsi="Arial" w:cs="Arial" w:eastAsia="Arial" w:hint="default"/>
                <w:sz w:val="16"/>
                <w:szCs w:val="16"/>
              </w:rPr>
              <w:t>-2012</w:t>
            </w:r>
            <w:r>
              <w:rPr>
                <w:rFonts w:ascii="Arial" w:hAnsi="Arial" w:cs="Arial" w:eastAsia="Arial" w:hint="default"/>
                <w:spacing w:val="-7"/>
                <w:sz w:val="16"/>
                <w:szCs w:val="16"/>
              </w:rPr>
              <w:t> </w:t>
            </w:r>
            <w:r>
              <w:rPr>
                <w:rFonts w:ascii="宋体" w:hAnsi="宋体" w:cs="宋体" w:eastAsia="宋体" w:hint="default"/>
                <w:sz w:val="16"/>
                <w:szCs w:val="16"/>
              </w:rPr>
              <w:t>年中国联通四川</w:t>
            </w:r>
            <w:r>
              <w:rPr>
                <w:rFonts w:ascii="宋体" w:hAnsi="宋体" w:cs="宋体" w:eastAsia="宋体" w:hint="default"/>
                <w:spacing w:val="-43"/>
                <w:sz w:val="16"/>
                <w:szCs w:val="16"/>
              </w:rPr>
              <w:t> </w:t>
            </w:r>
            <w:r>
              <w:rPr>
                <w:rFonts w:ascii="Arial" w:hAnsi="Arial" w:cs="Arial" w:eastAsia="Arial" w:hint="default"/>
                <w:sz w:val="16"/>
                <w:szCs w:val="16"/>
              </w:rPr>
              <w:t>WCDMA</w:t>
            </w:r>
            <w:r>
              <w:rPr>
                <w:rFonts w:ascii="Arial" w:hAnsi="Arial" w:cs="Arial" w:eastAsia="Arial" w:hint="default"/>
                <w:spacing w:val="-6"/>
                <w:sz w:val="16"/>
                <w:szCs w:val="16"/>
              </w:rPr>
              <w:t> </w:t>
            </w:r>
            <w:r>
              <w:rPr>
                <w:rFonts w:ascii="宋体" w:hAnsi="宋体" w:cs="宋体" w:eastAsia="宋体" w:hint="default"/>
                <w:sz w:val="16"/>
                <w:szCs w:val="16"/>
              </w:rPr>
              <w:t>网配套扩容（第二期）</w:t>
            </w:r>
          </w:p>
          <w:p>
            <w:pPr>
              <w:pStyle w:val="TableParagraph"/>
              <w:spacing w:line="203" w:lineRule="exact"/>
              <w:ind w:left="161" w:right="0"/>
              <w:jc w:val="left"/>
              <w:rPr>
                <w:rFonts w:ascii="宋体" w:hAnsi="宋体" w:cs="宋体" w:eastAsia="宋体" w:hint="default"/>
                <w:sz w:val="16"/>
                <w:szCs w:val="16"/>
              </w:rPr>
            </w:pPr>
            <w:r>
              <w:rPr>
                <w:rFonts w:ascii="宋体" w:hAnsi="宋体" w:cs="宋体" w:eastAsia="宋体" w:hint="default"/>
                <w:sz w:val="16"/>
                <w:szCs w:val="16"/>
              </w:rPr>
              <w:t>工程</w:t>
            </w:r>
          </w:p>
        </w:tc>
        <w:tc>
          <w:tcPr>
            <w:tcW w:w="684" w:type="dxa"/>
            <w:tcBorders>
              <w:top w:val="nil" w:sz="6" w:space="0" w:color="auto"/>
              <w:left w:val="nil" w:sz="6" w:space="0" w:color="auto"/>
              <w:bottom w:val="nil" w:sz="6" w:space="0" w:color="auto"/>
              <w:right w:val="nil" w:sz="6" w:space="0" w:color="auto"/>
            </w:tcBorders>
          </w:tcPr>
          <w:p>
            <w:pPr/>
          </w:p>
        </w:tc>
        <w:tc>
          <w:tcPr>
            <w:tcW w:w="936"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
        </w:tc>
        <w:tc>
          <w:tcPr>
            <w:tcW w:w="522"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802"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
        </w:tc>
        <w:tc>
          <w:tcPr>
            <w:tcW w:w="1029"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
        </w:tc>
        <w:tc>
          <w:tcPr>
            <w:tcW w:w="479" w:type="dxa"/>
            <w:vMerge/>
            <w:tcBorders>
              <w:left w:val="nil" w:sz="6" w:space="0" w:color="auto"/>
              <w:bottom w:val="nil" w:sz="6" w:space="0" w:color="auto"/>
              <w:right w:val="nil" w:sz="6" w:space="0" w:color="auto"/>
            </w:tcBorders>
          </w:tcPr>
          <w:p>
            <w:pPr/>
          </w:p>
        </w:tc>
      </w:tr>
      <w:tr>
        <w:trPr>
          <w:trHeight w:val="305" w:hRule="exact"/>
        </w:trPr>
        <w:tc>
          <w:tcPr>
            <w:tcW w:w="4294" w:type="dxa"/>
            <w:vMerge/>
            <w:tcBorders>
              <w:left w:val="nil" w:sz="6" w:space="0" w:color="auto"/>
              <w:bottom w:val="nil" w:sz="6" w:space="0" w:color="auto"/>
              <w:right w:val="nil" w:sz="6" w:space="0" w:color="auto"/>
            </w:tcBorders>
          </w:tcPr>
          <w:p>
            <w:pPr/>
          </w:p>
        </w:tc>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7"/>
              <w:jc w:val="right"/>
              <w:rPr>
                <w:rFonts w:ascii="Arial" w:hAnsi="Arial" w:cs="Arial" w:eastAsia="Arial" w:hint="default"/>
                <w:sz w:val="16"/>
                <w:szCs w:val="16"/>
              </w:rPr>
            </w:pPr>
            <w:r>
              <w:rPr>
                <w:rFonts w:ascii="Arial"/>
                <w:w w:val="95"/>
                <w:sz w:val="16"/>
              </w:rPr>
              <w:t>304</w:t>
            </w:r>
            <w:r>
              <w:rPr>
                <w:rFonts w:ascii="Arial"/>
                <w:sz w:val="16"/>
              </w:rPr>
            </w:r>
          </w:p>
        </w:tc>
        <w:tc>
          <w:tcPr>
            <w:tcW w:w="936" w:type="dxa"/>
            <w:tcBorders>
              <w:top w:val="nil" w:sz="6" w:space="0" w:color="auto"/>
              <w:left w:val="nil" w:sz="6" w:space="0" w:color="auto"/>
              <w:bottom w:val="nil" w:sz="6" w:space="0" w:color="auto"/>
              <w:right w:val="nil" w:sz="6" w:space="0" w:color="auto"/>
            </w:tcBorders>
          </w:tcPr>
          <w:p>
            <w:pPr>
              <w:pStyle w:val="TableParagraph"/>
              <w:tabs>
                <w:tab w:pos="661" w:val="left" w:leader="none"/>
                <w:tab w:pos="845" w:val="left" w:leader="none"/>
              </w:tabs>
              <w:spacing w:line="240" w:lineRule="auto" w:before="10"/>
              <w:ind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sz w:val="16"/>
                <w:u w:val="single" w:color="000000"/>
              </w:rPr>
              <w:tab/>
            </w:r>
            <w:r>
              <w:rPr>
                <w:rFonts w:ascii="Arial"/>
                <w:sz w:val="16"/>
              </w:rPr>
            </w:r>
          </w:p>
        </w:tc>
        <w:tc>
          <w:tcPr>
            <w:tcW w:w="1214" w:type="dxa"/>
            <w:tcBorders>
              <w:top w:val="nil" w:sz="6" w:space="0" w:color="auto"/>
              <w:left w:val="nil" w:sz="6" w:space="0" w:color="auto"/>
              <w:bottom w:val="nil" w:sz="6" w:space="0" w:color="auto"/>
              <w:right w:val="nil" w:sz="6" w:space="0" w:color="auto"/>
            </w:tcBorders>
          </w:tcPr>
          <w:p>
            <w:pPr>
              <w:pStyle w:val="TableParagraph"/>
              <w:tabs>
                <w:tab w:pos="1124" w:val="left" w:leader="none"/>
              </w:tabs>
              <w:spacing w:line="240" w:lineRule="auto" w:before="10"/>
              <w:ind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11"/>
                <w:sz w:val="16"/>
                <w:u w:val="single" w:color="000000"/>
              </w:rPr>
              <w:t> </w:t>
            </w:r>
            <w:r>
              <w:rPr>
                <w:rFonts w:ascii="Arial"/>
                <w:w w:val="95"/>
                <w:sz w:val="16"/>
                <w:u w:val="single" w:color="000000"/>
              </w:rPr>
              <w:t>277,981,959</w:t>
            </w:r>
            <w:r>
              <w:rPr>
                <w:rFonts w:ascii="Arial"/>
                <w:sz w:val="16"/>
                <w:u w:val="single" w:color="000000"/>
              </w:rPr>
              <w:tab/>
            </w:r>
            <w:r>
              <w:rPr>
                <w:rFonts w:ascii="Arial"/>
                <w:sz w:val="16"/>
              </w:rPr>
            </w:r>
          </w:p>
        </w:tc>
        <w:tc>
          <w:tcPr>
            <w:tcW w:w="810" w:type="dxa"/>
            <w:tcBorders>
              <w:top w:val="nil" w:sz="6" w:space="0" w:color="auto"/>
              <w:left w:val="nil" w:sz="6" w:space="0" w:color="auto"/>
              <w:bottom w:val="nil" w:sz="6" w:space="0" w:color="auto"/>
              <w:right w:val="nil" w:sz="6" w:space="0" w:color="auto"/>
            </w:tcBorders>
          </w:tcPr>
          <w:p>
            <w:pPr>
              <w:pStyle w:val="TableParagraph"/>
              <w:tabs>
                <w:tab w:pos="613" w:val="left" w:leader="none"/>
              </w:tabs>
              <w:spacing w:line="240" w:lineRule="auto" w:before="10"/>
              <w:ind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sz w:val="16"/>
                <w:u w:val="single" w:color="000000"/>
              </w:rPr>
              <w:tab/>
            </w:r>
            <w:r>
              <w:rPr>
                <w:rFonts w:ascii="Arial"/>
                <w:sz w:val="16"/>
              </w:rPr>
            </w:r>
          </w:p>
        </w:tc>
        <w:tc>
          <w:tcPr>
            <w:tcW w:w="522" w:type="dxa"/>
            <w:tcBorders>
              <w:top w:val="nil" w:sz="6" w:space="0" w:color="auto"/>
              <w:left w:val="nil" w:sz="6" w:space="0" w:color="auto"/>
              <w:bottom w:val="nil" w:sz="6" w:space="0" w:color="auto"/>
              <w:right w:val="nil" w:sz="6" w:space="0" w:color="auto"/>
            </w:tcBorders>
          </w:tcPr>
          <w:p>
            <w:pPr>
              <w:pStyle w:val="TableParagraph"/>
              <w:tabs>
                <w:tab w:pos="325" w:val="left" w:leader="none"/>
                <w:tab w:pos="431" w:val="left" w:leader="none"/>
              </w:tabs>
              <w:spacing w:line="240" w:lineRule="auto" w:before="10"/>
              <w:ind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sz w:val="16"/>
                <w:u w:val="single" w:color="000000"/>
              </w:rPr>
              <w:tab/>
            </w:r>
            <w:r>
              <w:rPr>
                <w:rFonts w:ascii="Arial"/>
                <w:sz w:val="16"/>
              </w:rPr>
            </w:r>
          </w:p>
        </w:tc>
        <w:tc>
          <w:tcPr>
            <w:tcW w:w="1170" w:type="dxa"/>
            <w:tcBorders>
              <w:top w:val="nil" w:sz="6" w:space="0" w:color="auto"/>
              <w:left w:val="nil" w:sz="6" w:space="0" w:color="auto"/>
              <w:bottom w:val="nil" w:sz="6" w:space="0" w:color="auto"/>
              <w:right w:val="nil" w:sz="6" w:space="0" w:color="auto"/>
            </w:tcBorders>
          </w:tcPr>
          <w:p>
            <w:pPr>
              <w:pStyle w:val="TableParagraph"/>
              <w:tabs>
                <w:tab w:pos="1169" w:val="left" w:leader="none"/>
              </w:tabs>
              <w:spacing w:line="240" w:lineRule="auto" w:before="10"/>
              <w:ind w:left="89" w:right="0"/>
              <w:jc w:val="center"/>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3"/>
                <w:sz w:val="16"/>
                <w:u w:val="single" w:color="000000"/>
              </w:rPr>
              <w:t> </w:t>
            </w:r>
            <w:r>
              <w:rPr>
                <w:rFonts w:ascii="Arial"/>
                <w:sz w:val="16"/>
                <w:u w:val="single" w:color="000000"/>
              </w:rPr>
              <w:t>277,981,959</w:t>
              <w:tab/>
            </w:r>
            <w:r>
              <w:rPr>
                <w:rFonts w:ascii="Arial"/>
                <w:sz w:val="16"/>
              </w:rPr>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Arial" w:hAnsi="Arial" w:cs="Arial" w:eastAsia="Arial" w:hint="default"/>
                <w:sz w:val="16"/>
                <w:szCs w:val="16"/>
              </w:rPr>
            </w:pPr>
            <w:r>
              <w:rPr>
                <w:rFonts w:ascii="Arial"/>
                <w:w w:val="95"/>
                <w:sz w:val="16"/>
              </w:rPr>
              <w:t>91%</w:t>
            </w:r>
            <w:r>
              <w:rPr>
                <w:rFonts w:ascii="Arial"/>
                <w:sz w:val="16"/>
              </w:rPr>
            </w:r>
          </w:p>
        </w:tc>
        <w:tc>
          <w:tcPr>
            <w:tcW w:w="1042" w:type="dxa"/>
            <w:tcBorders>
              <w:top w:val="nil" w:sz="6" w:space="0" w:color="auto"/>
              <w:left w:val="nil" w:sz="6" w:space="0" w:color="auto"/>
              <w:bottom w:val="nil" w:sz="6" w:space="0" w:color="auto"/>
              <w:right w:val="nil" w:sz="6" w:space="0" w:color="auto"/>
            </w:tcBorders>
          </w:tcPr>
          <w:p>
            <w:pPr>
              <w:pStyle w:val="TableParagraph"/>
              <w:tabs>
                <w:tab w:pos="1043" w:val="left" w:leader="none"/>
              </w:tabs>
              <w:spacing w:line="240" w:lineRule="auto" w:before="10"/>
              <w:ind w:left="89" w:right="-2"/>
              <w:jc w:val="center"/>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1"/>
                <w:sz w:val="16"/>
                <w:u w:val="single" w:color="000000"/>
              </w:rPr>
              <w:t> </w:t>
            </w:r>
            <w:r>
              <w:rPr>
                <w:rFonts w:ascii="Arial"/>
                <w:sz w:val="16"/>
                <w:u w:val="single" w:color="000000"/>
              </w:rPr>
              <w:t>1,984,070</w:t>
              <w:tab/>
            </w:r>
            <w:r>
              <w:rPr>
                <w:rFonts w:ascii="Arial"/>
                <w:sz w:val="16"/>
              </w:rPr>
            </w:r>
          </w:p>
        </w:tc>
        <w:tc>
          <w:tcPr>
            <w:tcW w:w="1029" w:type="dxa"/>
            <w:tcBorders>
              <w:top w:val="nil" w:sz="6" w:space="0" w:color="auto"/>
              <w:left w:val="nil" w:sz="6" w:space="0" w:color="auto"/>
              <w:bottom w:val="nil" w:sz="6" w:space="0" w:color="auto"/>
              <w:right w:val="nil" w:sz="6" w:space="0" w:color="auto"/>
            </w:tcBorders>
          </w:tcPr>
          <w:p>
            <w:pPr>
              <w:pStyle w:val="TableParagraph"/>
              <w:tabs>
                <w:tab w:pos="1028" w:val="left" w:leader="none"/>
              </w:tabs>
              <w:spacing w:line="240" w:lineRule="auto" w:before="10"/>
              <w:ind w:left="62"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20"/>
                <w:sz w:val="16"/>
                <w:u w:val="single" w:color="000000"/>
              </w:rPr>
              <w:t> </w:t>
            </w:r>
            <w:r>
              <w:rPr>
                <w:rFonts w:ascii="Arial"/>
                <w:sz w:val="16"/>
                <w:u w:val="single" w:color="000000"/>
              </w:rPr>
              <w:t>1,984,070</w:t>
              <w:tab/>
            </w:r>
            <w:r>
              <w:rPr>
                <w:rFonts w:ascii="Arial"/>
                <w:sz w:val="16"/>
              </w:rPr>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
              <w:jc w:val="center"/>
              <w:rPr>
                <w:rFonts w:ascii="Arial" w:hAnsi="Arial" w:cs="Arial" w:eastAsia="Arial" w:hint="default"/>
                <w:sz w:val="16"/>
                <w:szCs w:val="16"/>
              </w:rPr>
            </w:pPr>
            <w:r>
              <w:rPr>
                <w:rFonts w:ascii="Arial"/>
                <w:sz w:val="16"/>
              </w:rPr>
              <w:t>4.08%~5.16%</w:t>
            </w:r>
          </w:p>
        </w:tc>
        <w:tc>
          <w:tcPr>
            <w:tcW w:w="931" w:type="dxa"/>
            <w:tcBorders>
              <w:top w:val="nil" w:sz="6" w:space="0" w:color="auto"/>
              <w:left w:val="nil" w:sz="6" w:space="0" w:color="auto"/>
              <w:bottom w:val="nil" w:sz="6" w:space="0" w:color="auto"/>
              <w:right w:val="nil" w:sz="6" w:space="0" w:color="auto"/>
            </w:tcBorders>
          </w:tcPr>
          <w:p>
            <w:pPr>
              <w:pStyle w:val="TableParagraph"/>
              <w:spacing w:line="172" w:lineRule="exact"/>
              <w:ind w:right="47"/>
              <w:jc w:val="right"/>
              <w:rPr>
                <w:rFonts w:ascii="宋体" w:hAnsi="宋体" w:cs="宋体" w:eastAsia="宋体" w:hint="default"/>
                <w:sz w:val="16"/>
                <w:szCs w:val="16"/>
              </w:rPr>
            </w:pPr>
            <w:r>
              <w:rPr>
                <w:rFonts w:ascii="宋体" w:hAnsi="宋体" w:cs="宋体" w:eastAsia="宋体" w:hint="default"/>
                <w:w w:val="95"/>
                <w:sz w:val="16"/>
                <w:szCs w:val="16"/>
              </w:rPr>
              <w:t>自筹及借款</w:t>
            </w:r>
            <w:r>
              <w:rPr>
                <w:rFonts w:ascii="宋体" w:hAnsi="宋体" w:cs="宋体" w:eastAsia="宋体" w:hint="default"/>
                <w:sz w:val="16"/>
                <w:szCs w:val="16"/>
              </w:rPr>
            </w:r>
          </w:p>
        </w:tc>
        <w:tc>
          <w:tcPr>
            <w:tcW w:w="479" w:type="dxa"/>
            <w:tcBorders>
              <w:top w:val="nil" w:sz="6" w:space="0" w:color="auto"/>
              <w:left w:val="nil" w:sz="6" w:space="0" w:color="auto"/>
              <w:bottom w:val="nil" w:sz="6" w:space="0" w:color="auto"/>
              <w:right w:val="nil" w:sz="6" w:space="0" w:color="auto"/>
            </w:tcBorders>
          </w:tcPr>
          <w:p>
            <w:pPr/>
          </w:p>
        </w:tc>
      </w:tr>
      <w:tr>
        <w:trPr>
          <w:trHeight w:val="323" w:hRule="exact"/>
        </w:trPr>
        <w:tc>
          <w:tcPr>
            <w:tcW w:w="429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684" w:type="dxa"/>
            <w:tcBorders>
              <w:top w:val="nil" w:sz="6" w:space="0" w:color="auto"/>
              <w:left w:val="nil" w:sz="6" w:space="0" w:color="auto"/>
              <w:bottom w:val="nil" w:sz="6" w:space="0" w:color="auto"/>
              <w:right w:val="nil" w:sz="6" w:space="0" w:color="auto"/>
            </w:tcBorders>
          </w:tcPr>
          <w:p>
            <w:pPr/>
          </w:p>
        </w:tc>
        <w:tc>
          <w:tcPr>
            <w:tcW w:w="936"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129"/>
              <w:jc w:val="right"/>
              <w:rPr>
                <w:rFonts w:ascii="Arial" w:hAnsi="Arial" w:cs="Arial" w:eastAsia="Arial" w:hint="default"/>
                <w:sz w:val="16"/>
                <w:szCs w:val="16"/>
              </w:rPr>
            </w:pPr>
            <w:r>
              <w:rPr>
                <w:rFonts w:ascii="Arial"/>
                <w:w w:val="99"/>
                <w:sz w:val="16"/>
              </w:rPr>
              <w:t>-</w:t>
            </w:r>
            <w:r>
              <w:rPr>
                <w:rFonts w:ascii="Arial"/>
                <w:sz w:val="16"/>
              </w:rPr>
            </w:r>
          </w:p>
        </w:tc>
        <w:tc>
          <w:tcPr>
            <w:tcW w:w="1214"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45"/>
              <w:jc w:val="right"/>
              <w:rPr>
                <w:rFonts w:ascii="Arial" w:hAnsi="Arial" w:cs="Arial" w:eastAsia="Arial" w:hint="default"/>
                <w:sz w:val="16"/>
                <w:szCs w:val="16"/>
              </w:rPr>
            </w:pPr>
            <w:r>
              <w:rPr>
                <w:rFonts w:ascii="Arial"/>
                <w:w w:val="95"/>
                <w:sz w:val="16"/>
              </w:rPr>
              <w:t>4,829,179,507</w:t>
            </w:r>
            <w:r>
              <w:rPr>
                <w:rFonts w:ascii="Arial"/>
                <w:sz w:val="16"/>
              </w:rPr>
            </w:r>
          </w:p>
        </w:tc>
        <w:tc>
          <w:tcPr>
            <w:tcW w:w="810"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51"/>
              <w:jc w:val="right"/>
              <w:rPr>
                <w:rFonts w:ascii="Arial" w:hAnsi="Arial" w:cs="Arial" w:eastAsia="Arial" w:hint="default"/>
                <w:sz w:val="16"/>
                <w:szCs w:val="16"/>
              </w:rPr>
            </w:pPr>
            <w:r>
              <w:rPr>
                <w:rFonts w:ascii="Arial"/>
                <w:w w:val="99"/>
                <w:sz w:val="16"/>
              </w:rPr>
              <w:t>-</w:t>
            </w:r>
            <w:r>
              <w:rPr>
                <w:rFonts w:ascii="Arial"/>
                <w:sz w:val="16"/>
              </w:rPr>
            </w:r>
          </w:p>
        </w:tc>
        <w:tc>
          <w:tcPr>
            <w:tcW w:w="522"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51"/>
              <w:jc w:val="right"/>
              <w:rPr>
                <w:rFonts w:ascii="Arial" w:hAnsi="Arial" w:cs="Arial" w:eastAsia="Arial" w:hint="default"/>
                <w:sz w:val="16"/>
                <w:szCs w:val="16"/>
              </w:rPr>
            </w:pPr>
            <w:r>
              <w:rPr>
                <w:rFonts w:ascii="Arial"/>
                <w:w w:val="99"/>
                <w:sz w:val="16"/>
              </w:rPr>
              <w:t>-</w:t>
            </w:r>
            <w:r>
              <w:rPr>
                <w:rFonts w:ascii="Arial"/>
                <w:sz w:val="16"/>
              </w:rPr>
            </w:r>
          </w:p>
        </w:tc>
        <w:tc>
          <w:tcPr>
            <w:tcW w:w="1170"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left="36" w:right="0"/>
              <w:jc w:val="center"/>
              <w:rPr>
                <w:rFonts w:ascii="Arial" w:hAnsi="Arial" w:cs="Arial" w:eastAsia="Arial" w:hint="default"/>
                <w:sz w:val="16"/>
                <w:szCs w:val="16"/>
              </w:rPr>
            </w:pPr>
            <w:r>
              <w:rPr>
                <w:rFonts w:ascii="Arial"/>
                <w:sz w:val="16"/>
              </w:rPr>
              <w:t>4,829,179,507</w:t>
            </w:r>
          </w:p>
        </w:tc>
        <w:tc>
          <w:tcPr>
            <w:tcW w:w="802"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left="117" w:right="0"/>
              <w:jc w:val="center"/>
              <w:rPr>
                <w:rFonts w:ascii="Arial" w:hAnsi="Arial" w:cs="Arial" w:eastAsia="Arial" w:hint="default"/>
                <w:sz w:val="16"/>
                <w:szCs w:val="16"/>
              </w:rPr>
            </w:pPr>
            <w:r>
              <w:rPr>
                <w:rFonts w:ascii="Arial"/>
                <w:sz w:val="16"/>
              </w:rPr>
              <w:t>66,828,317</w:t>
            </w:r>
          </w:p>
        </w:tc>
        <w:tc>
          <w:tcPr>
            <w:tcW w:w="1029"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left="172" w:right="0"/>
              <w:jc w:val="left"/>
              <w:rPr>
                <w:rFonts w:ascii="Arial" w:hAnsi="Arial" w:cs="Arial" w:eastAsia="Arial" w:hint="default"/>
                <w:sz w:val="16"/>
                <w:szCs w:val="16"/>
              </w:rPr>
            </w:pPr>
            <w:r>
              <w:rPr>
                <w:rFonts w:ascii="Arial"/>
                <w:sz w:val="16"/>
              </w:rPr>
              <w:t>66,828,317</w:t>
            </w:r>
          </w:p>
        </w:tc>
        <w:tc>
          <w:tcPr>
            <w:tcW w:w="1163"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
        </w:tc>
        <w:tc>
          <w:tcPr>
            <w:tcW w:w="479" w:type="dxa"/>
            <w:tcBorders>
              <w:top w:val="nil" w:sz="6" w:space="0" w:color="auto"/>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5"/>
          <w:szCs w:val="5"/>
        </w:rPr>
      </w:pPr>
    </w:p>
    <w:p>
      <w:pPr>
        <w:pStyle w:val="BodyText"/>
        <w:spacing w:line="240" w:lineRule="auto" w:before="31"/>
        <w:ind w:left="119" w:right="11654"/>
        <w:jc w:val="left"/>
      </w:pPr>
      <w:r>
        <w:rPr>
          <w:rFonts w:ascii="Arial" w:hAnsi="Arial" w:cs="Arial" w:eastAsia="Arial" w:hint="default"/>
        </w:rPr>
        <w:t>(b) </w:t>
      </w:r>
      <w:r>
        <w:rPr>
          <w:rFonts w:ascii="Arial" w:hAnsi="Arial" w:cs="Arial" w:eastAsia="Arial" w:hint="default"/>
          <w:spacing w:val="55"/>
        </w:rPr>
        <w:t> </w:t>
      </w:r>
      <w:r>
        <w:rPr/>
        <w:t>在建工程减值准备</w:t>
      </w:r>
    </w:p>
    <w:p>
      <w:pPr>
        <w:spacing w:line="240" w:lineRule="auto" w:before="11"/>
        <w:rPr>
          <w:rFonts w:ascii="宋体" w:hAnsi="宋体" w:cs="宋体" w:eastAsia="宋体" w:hint="default"/>
          <w:sz w:val="13"/>
          <w:szCs w:val="13"/>
        </w:rPr>
      </w:pPr>
    </w:p>
    <w:tbl>
      <w:tblPr>
        <w:tblW w:w="0" w:type="auto"/>
        <w:jc w:val="left"/>
        <w:tblInd w:w="551" w:type="dxa"/>
        <w:tblLayout w:type="fixed"/>
        <w:tblCellMar>
          <w:top w:w="0" w:type="dxa"/>
          <w:left w:w="0" w:type="dxa"/>
          <w:bottom w:w="0" w:type="dxa"/>
          <w:right w:w="0" w:type="dxa"/>
        </w:tblCellMar>
        <w:tblLook w:val="01E0"/>
      </w:tblPr>
      <w:tblGrid>
        <w:gridCol w:w="3557"/>
        <w:gridCol w:w="2323"/>
        <w:gridCol w:w="314"/>
        <w:gridCol w:w="1926"/>
        <w:gridCol w:w="329"/>
        <w:gridCol w:w="2037"/>
        <w:gridCol w:w="329"/>
        <w:gridCol w:w="2078"/>
        <w:gridCol w:w="336"/>
        <w:gridCol w:w="1847"/>
      </w:tblGrid>
      <w:tr>
        <w:trPr>
          <w:trHeight w:val="192" w:hRule="exact"/>
        </w:trPr>
        <w:tc>
          <w:tcPr>
            <w:tcW w:w="3557" w:type="dxa"/>
            <w:tcBorders>
              <w:top w:val="nil" w:sz="6" w:space="0" w:color="auto"/>
              <w:left w:val="nil" w:sz="6" w:space="0" w:color="auto"/>
              <w:bottom w:val="single" w:sz="6" w:space="0" w:color="000000"/>
              <w:right w:val="nil" w:sz="6" w:space="0" w:color="auto"/>
            </w:tcBorders>
          </w:tcPr>
          <w:p>
            <w:pPr>
              <w:pStyle w:val="TableParagraph"/>
              <w:spacing w:line="160" w:lineRule="exact"/>
              <w:ind w:left="55" w:right="0"/>
              <w:jc w:val="left"/>
              <w:rPr>
                <w:rFonts w:ascii="宋体" w:hAnsi="宋体" w:cs="宋体" w:eastAsia="宋体" w:hint="default"/>
                <w:sz w:val="16"/>
                <w:szCs w:val="16"/>
              </w:rPr>
            </w:pPr>
            <w:r>
              <w:rPr>
                <w:rFonts w:ascii="宋体" w:hAnsi="宋体" w:cs="宋体" w:eastAsia="宋体" w:hint="default"/>
                <w:sz w:val="16"/>
                <w:szCs w:val="16"/>
              </w:rPr>
              <w:t>工程名称</w:t>
            </w:r>
          </w:p>
        </w:tc>
        <w:tc>
          <w:tcPr>
            <w:tcW w:w="2323" w:type="dxa"/>
            <w:tcBorders>
              <w:top w:val="nil" w:sz="6" w:space="0" w:color="auto"/>
              <w:left w:val="nil" w:sz="6" w:space="0" w:color="auto"/>
              <w:bottom w:val="single" w:sz="6" w:space="0" w:color="000000"/>
              <w:right w:val="nil" w:sz="6" w:space="0" w:color="auto"/>
            </w:tcBorders>
          </w:tcPr>
          <w:p>
            <w:pPr>
              <w:pStyle w:val="TableParagraph"/>
              <w:spacing w:line="171" w:lineRule="exact"/>
              <w:ind w:right="29"/>
              <w:jc w:val="right"/>
              <w:rPr>
                <w:rFonts w:ascii="宋体" w:hAnsi="宋体" w:cs="宋体" w:eastAsia="宋体" w:hint="default"/>
                <w:sz w:val="16"/>
                <w:szCs w:val="16"/>
              </w:rPr>
            </w:pPr>
            <w:r>
              <w:rPr>
                <w:rFonts w:ascii="Arial" w:hAnsi="Arial" w:cs="Arial" w:eastAsia="Arial" w:hint="default"/>
                <w:sz w:val="16"/>
                <w:szCs w:val="16"/>
              </w:rPr>
              <w:t>2011</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314" w:type="dxa"/>
            <w:tcBorders>
              <w:top w:val="nil" w:sz="6" w:space="0" w:color="auto"/>
              <w:left w:val="nil" w:sz="6" w:space="0" w:color="auto"/>
              <w:bottom w:val="nil" w:sz="6" w:space="0" w:color="auto"/>
              <w:right w:val="nil" w:sz="6" w:space="0" w:color="auto"/>
            </w:tcBorders>
          </w:tcPr>
          <w:p>
            <w:pPr/>
          </w:p>
        </w:tc>
        <w:tc>
          <w:tcPr>
            <w:tcW w:w="1926" w:type="dxa"/>
            <w:tcBorders>
              <w:top w:val="nil" w:sz="6" w:space="0" w:color="auto"/>
              <w:left w:val="nil" w:sz="6" w:space="0" w:color="auto"/>
              <w:bottom w:val="single" w:sz="6" w:space="0" w:color="000000"/>
              <w:right w:val="nil" w:sz="6" w:space="0" w:color="auto"/>
            </w:tcBorders>
          </w:tcPr>
          <w:p>
            <w:pPr>
              <w:pStyle w:val="TableParagraph"/>
              <w:spacing w:line="160" w:lineRule="exact"/>
              <w:ind w:right="29"/>
              <w:jc w:val="right"/>
              <w:rPr>
                <w:rFonts w:ascii="宋体" w:hAnsi="宋体" w:cs="宋体" w:eastAsia="宋体" w:hint="default"/>
                <w:sz w:val="16"/>
                <w:szCs w:val="16"/>
              </w:rPr>
            </w:pPr>
            <w:r>
              <w:rPr>
                <w:rFonts w:ascii="宋体" w:hAnsi="宋体" w:cs="宋体" w:eastAsia="宋体" w:hint="default"/>
                <w:w w:val="95"/>
                <w:sz w:val="16"/>
                <w:szCs w:val="16"/>
              </w:rPr>
              <w:t>本年增加</w:t>
            </w:r>
            <w:r>
              <w:rPr>
                <w:rFonts w:ascii="宋体" w:hAnsi="宋体" w:cs="宋体" w:eastAsia="宋体" w:hint="default"/>
                <w:sz w:val="16"/>
                <w:szCs w:val="16"/>
              </w:rPr>
            </w:r>
          </w:p>
        </w:tc>
        <w:tc>
          <w:tcPr>
            <w:tcW w:w="329"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single" w:sz="6" w:space="0" w:color="000000"/>
              <w:right w:val="nil" w:sz="6" w:space="0" w:color="auto"/>
            </w:tcBorders>
          </w:tcPr>
          <w:p>
            <w:pPr>
              <w:pStyle w:val="TableParagraph"/>
              <w:spacing w:line="160" w:lineRule="exact"/>
              <w:ind w:right="80"/>
              <w:jc w:val="right"/>
              <w:rPr>
                <w:rFonts w:ascii="宋体" w:hAnsi="宋体" w:cs="宋体" w:eastAsia="宋体" w:hint="default"/>
                <w:sz w:val="16"/>
                <w:szCs w:val="16"/>
              </w:rPr>
            </w:pPr>
            <w:r>
              <w:rPr>
                <w:rFonts w:ascii="宋体" w:hAnsi="宋体" w:cs="宋体" w:eastAsia="宋体" w:hint="default"/>
                <w:w w:val="95"/>
                <w:sz w:val="16"/>
                <w:szCs w:val="16"/>
              </w:rPr>
              <w:t>本年减少</w:t>
            </w:r>
            <w:r>
              <w:rPr>
                <w:rFonts w:ascii="宋体" w:hAnsi="宋体" w:cs="宋体" w:eastAsia="宋体" w:hint="default"/>
                <w:sz w:val="16"/>
                <w:szCs w:val="16"/>
              </w:rPr>
            </w:r>
          </w:p>
        </w:tc>
        <w:tc>
          <w:tcPr>
            <w:tcW w:w="329"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single" w:sz="6" w:space="0" w:color="000000"/>
              <w:right w:val="nil" w:sz="6" w:space="0" w:color="auto"/>
            </w:tcBorders>
          </w:tcPr>
          <w:p>
            <w:pPr>
              <w:pStyle w:val="TableParagraph"/>
              <w:spacing w:line="171" w:lineRule="exact"/>
              <w:ind w:left="590" w:right="0"/>
              <w:jc w:val="left"/>
              <w:rPr>
                <w:rFonts w:ascii="宋体" w:hAnsi="宋体" w:cs="宋体" w:eastAsia="宋体" w:hint="default"/>
                <w:sz w:val="16"/>
                <w:szCs w:val="16"/>
              </w:rPr>
            </w:pPr>
            <w:r>
              <w:rPr>
                <w:rFonts w:ascii="Arial" w:hAnsi="Arial" w:cs="Arial" w:eastAsia="Arial" w:hint="default"/>
                <w:sz w:val="16"/>
                <w:szCs w:val="16"/>
              </w:rPr>
              <w:t>2012</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336"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single" w:sz="6" w:space="0" w:color="000000"/>
              <w:right w:val="nil" w:sz="6" w:space="0" w:color="auto"/>
            </w:tcBorders>
          </w:tcPr>
          <w:p>
            <w:pPr>
              <w:pStyle w:val="TableParagraph"/>
              <w:spacing w:line="160" w:lineRule="exact"/>
              <w:ind w:right="1"/>
              <w:jc w:val="center"/>
              <w:rPr>
                <w:rFonts w:ascii="宋体" w:hAnsi="宋体" w:cs="宋体" w:eastAsia="宋体" w:hint="default"/>
                <w:sz w:val="16"/>
                <w:szCs w:val="16"/>
              </w:rPr>
            </w:pPr>
            <w:r>
              <w:rPr>
                <w:rFonts w:ascii="宋体" w:hAnsi="宋体" w:cs="宋体" w:eastAsia="宋体" w:hint="default"/>
                <w:sz w:val="16"/>
                <w:szCs w:val="16"/>
              </w:rPr>
              <w:t>计提原因</w:t>
            </w:r>
          </w:p>
        </w:tc>
      </w:tr>
      <w:tr>
        <w:trPr>
          <w:trHeight w:val="407" w:hRule="exact"/>
        </w:trPr>
        <w:tc>
          <w:tcPr>
            <w:tcW w:w="3557" w:type="dxa"/>
            <w:tcBorders>
              <w:top w:val="single" w:sz="6"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55" w:right="0"/>
              <w:jc w:val="left"/>
              <w:rPr>
                <w:rFonts w:ascii="宋体" w:hAnsi="宋体" w:cs="宋体" w:eastAsia="宋体" w:hint="default"/>
                <w:sz w:val="16"/>
                <w:szCs w:val="16"/>
              </w:rPr>
            </w:pPr>
            <w:r>
              <w:rPr>
                <w:rFonts w:ascii="宋体" w:hAnsi="宋体" w:cs="宋体" w:eastAsia="宋体" w:hint="default"/>
                <w:sz w:val="16"/>
                <w:szCs w:val="16"/>
              </w:rPr>
              <w:t>无线市话工程</w:t>
            </w:r>
          </w:p>
        </w:tc>
        <w:tc>
          <w:tcPr>
            <w:tcW w:w="2323"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right"/>
              <w:rPr>
                <w:rFonts w:ascii="Arial" w:hAnsi="Arial" w:cs="Arial" w:eastAsia="Arial" w:hint="default"/>
                <w:sz w:val="16"/>
                <w:szCs w:val="16"/>
              </w:rPr>
            </w:pPr>
            <w:r>
              <w:rPr>
                <w:rFonts w:ascii="Arial"/>
                <w:w w:val="95"/>
                <w:sz w:val="16"/>
              </w:rPr>
              <w:t>4,364,010</w:t>
            </w:r>
            <w:r>
              <w:rPr>
                <w:rFonts w:ascii="Arial"/>
                <w:sz w:val="16"/>
              </w:rPr>
            </w:r>
          </w:p>
        </w:tc>
        <w:tc>
          <w:tcPr>
            <w:tcW w:w="314" w:type="dxa"/>
            <w:tcBorders>
              <w:top w:val="nil" w:sz="6" w:space="0" w:color="auto"/>
              <w:left w:val="nil" w:sz="6" w:space="0" w:color="auto"/>
              <w:bottom w:val="nil" w:sz="6" w:space="0" w:color="auto"/>
              <w:right w:val="nil" w:sz="6" w:space="0" w:color="auto"/>
            </w:tcBorders>
          </w:tcPr>
          <w:p>
            <w:pPr/>
          </w:p>
        </w:tc>
        <w:tc>
          <w:tcPr>
            <w:tcW w:w="1926"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1"/>
              <w:jc w:val="right"/>
              <w:rPr>
                <w:rFonts w:ascii="Arial" w:hAnsi="Arial" w:cs="Arial" w:eastAsia="Arial" w:hint="default"/>
                <w:sz w:val="16"/>
                <w:szCs w:val="16"/>
              </w:rPr>
            </w:pPr>
            <w:r>
              <w:rPr>
                <w:rFonts w:ascii="Arial"/>
                <w:w w:val="99"/>
                <w:sz w:val="16"/>
              </w:rPr>
              <w:t>-</w:t>
            </w:r>
            <w:r>
              <w:rPr>
                <w:rFonts w:ascii="Arial"/>
                <w:sz w:val="16"/>
              </w:rPr>
            </w:r>
          </w:p>
        </w:tc>
        <w:tc>
          <w:tcPr>
            <w:tcW w:w="329" w:type="dxa"/>
            <w:tcBorders>
              <w:top w:val="nil" w:sz="6" w:space="0" w:color="auto"/>
              <w:left w:val="nil" w:sz="6" w:space="0" w:color="auto"/>
              <w:bottom w:val="nil" w:sz="6" w:space="0" w:color="auto"/>
              <w:right w:val="nil" w:sz="6" w:space="0" w:color="auto"/>
            </w:tcBorders>
          </w:tcPr>
          <w:p>
            <w:pPr/>
          </w:p>
        </w:tc>
        <w:tc>
          <w:tcPr>
            <w:tcW w:w="2037"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3"/>
              <w:jc w:val="right"/>
              <w:rPr>
                <w:rFonts w:ascii="Arial" w:hAnsi="Arial" w:cs="Arial" w:eastAsia="Arial" w:hint="default"/>
                <w:sz w:val="16"/>
                <w:szCs w:val="16"/>
              </w:rPr>
            </w:pPr>
            <w:r>
              <w:rPr>
                <w:rFonts w:ascii="Arial"/>
                <w:w w:val="95"/>
                <w:sz w:val="16"/>
              </w:rPr>
              <w:t>(2,167,174)</w:t>
            </w:r>
            <w:r>
              <w:rPr>
                <w:rFonts w:ascii="Arial"/>
                <w:sz w:val="16"/>
              </w:rPr>
            </w:r>
          </w:p>
        </w:tc>
        <w:tc>
          <w:tcPr>
            <w:tcW w:w="329" w:type="dxa"/>
            <w:tcBorders>
              <w:top w:val="nil" w:sz="6" w:space="0" w:color="auto"/>
              <w:left w:val="nil" w:sz="6" w:space="0" w:color="auto"/>
              <w:bottom w:val="nil" w:sz="6" w:space="0" w:color="auto"/>
              <w:right w:val="nil" w:sz="6" w:space="0" w:color="auto"/>
            </w:tcBorders>
          </w:tcPr>
          <w:p>
            <w:pPr/>
          </w:p>
        </w:tc>
        <w:tc>
          <w:tcPr>
            <w:tcW w:w="2078"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70" w:right="0"/>
              <w:jc w:val="left"/>
              <w:rPr>
                <w:rFonts w:ascii="Arial" w:hAnsi="Arial" w:cs="Arial" w:eastAsia="Arial" w:hint="default"/>
                <w:sz w:val="16"/>
                <w:szCs w:val="16"/>
              </w:rPr>
            </w:pPr>
            <w:r>
              <w:rPr>
                <w:rFonts w:ascii="Arial"/>
                <w:sz w:val="16"/>
              </w:rPr>
              <w:t>2,196,836</w:t>
            </w:r>
          </w:p>
        </w:tc>
        <w:tc>
          <w:tcPr>
            <w:tcW w:w="336" w:type="dxa"/>
            <w:tcBorders>
              <w:top w:val="nil" w:sz="6" w:space="0" w:color="auto"/>
              <w:left w:val="nil" w:sz="6" w:space="0" w:color="auto"/>
              <w:bottom w:val="nil" w:sz="6" w:space="0" w:color="auto"/>
              <w:right w:val="nil" w:sz="6" w:space="0" w:color="auto"/>
            </w:tcBorders>
          </w:tcPr>
          <w:p>
            <w:pPr/>
          </w:p>
        </w:tc>
        <w:tc>
          <w:tcPr>
            <w:tcW w:w="1847" w:type="dxa"/>
            <w:tcBorders>
              <w:top w:val="single" w:sz="6"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（注）</w:t>
            </w:r>
          </w:p>
        </w:tc>
      </w:tr>
      <w:tr>
        <w:trPr>
          <w:trHeight w:val="307" w:hRule="exact"/>
        </w:trPr>
        <w:tc>
          <w:tcPr>
            <w:tcW w:w="3557" w:type="dxa"/>
            <w:tcBorders>
              <w:top w:val="nil" w:sz="6" w:space="0" w:color="auto"/>
              <w:left w:val="nil" w:sz="6" w:space="0" w:color="auto"/>
              <w:bottom w:val="nil" w:sz="6" w:space="0" w:color="auto"/>
              <w:right w:val="nil" w:sz="6" w:space="0" w:color="auto"/>
            </w:tcBorders>
          </w:tcPr>
          <w:p>
            <w:pPr>
              <w:pStyle w:val="TableParagraph"/>
              <w:spacing w:line="174" w:lineRule="exact"/>
              <w:ind w:left="55" w:right="0"/>
              <w:jc w:val="left"/>
              <w:rPr>
                <w:rFonts w:ascii="宋体" w:hAnsi="宋体" w:cs="宋体" w:eastAsia="宋体" w:hint="default"/>
                <w:sz w:val="16"/>
                <w:szCs w:val="16"/>
              </w:rPr>
            </w:pPr>
            <w:r>
              <w:rPr>
                <w:rFonts w:ascii="宋体" w:hAnsi="宋体" w:cs="宋体" w:eastAsia="宋体" w:hint="default"/>
                <w:sz w:val="16"/>
                <w:szCs w:val="16"/>
              </w:rPr>
              <w:t>其他工程</w:t>
            </w:r>
          </w:p>
        </w:tc>
        <w:tc>
          <w:tcPr>
            <w:tcW w:w="2323" w:type="dxa"/>
            <w:tcBorders>
              <w:top w:val="nil" w:sz="6" w:space="0" w:color="auto"/>
              <w:left w:val="nil" w:sz="6" w:space="0" w:color="auto"/>
              <w:bottom w:val="nil" w:sz="6" w:space="0" w:color="auto"/>
              <w:right w:val="nil" w:sz="6" w:space="0" w:color="auto"/>
            </w:tcBorders>
          </w:tcPr>
          <w:p>
            <w:pPr>
              <w:pStyle w:val="TableParagraph"/>
              <w:tabs>
                <w:tab w:pos="1437" w:val="left" w:leader="none"/>
                <w:tab w:pos="2224" w:val="left" w:leader="none"/>
              </w:tabs>
              <w:spacing w:line="240" w:lineRule="auto" w:before="13"/>
              <w:ind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1,488,040</w:t>
            </w:r>
            <w:r>
              <w:rPr>
                <w:rFonts w:ascii="Arial"/>
                <w:sz w:val="16"/>
                <w:u w:val="single" w:color="000000"/>
              </w:rPr>
              <w:tab/>
            </w:r>
            <w:r>
              <w:rPr>
                <w:rFonts w:ascii="Arial"/>
                <w:sz w:val="16"/>
              </w:rPr>
            </w:r>
          </w:p>
        </w:tc>
        <w:tc>
          <w:tcPr>
            <w:tcW w:w="314" w:type="dxa"/>
            <w:tcBorders>
              <w:top w:val="nil" w:sz="6" w:space="0" w:color="auto"/>
              <w:left w:val="nil" w:sz="6" w:space="0" w:color="auto"/>
              <w:bottom w:val="nil" w:sz="6" w:space="0" w:color="auto"/>
              <w:right w:val="nil" w:sz="6" w:space="0" w:color="auto"/>
            </w:tcBorders>
          </w:tcPr>
          <w:p>
            <w:pPr/>
          </w:p>
        </w:tc>
        <w:tc>
          <w:tcPr>
            <w:tcW w:w="1926" w:type="dxa"/>
            <w:tcBorders>
              <w:top w:val="nil" w:sz="6" w:space="0" w:color="auto"/>
              <w:left w:val="nil" w:sz="6" w:space="0" w:color="auto"/>
              <w:bottom w:val="nil" w:sz="6" w:space="0" w:color="auto"/>
              <w:right w:val="nil" w:sz="6" w:space="0" w:color="auto"/>
            </w:tcBorders>
          </w:tcPr>
          <w:p>
            <w:pPr>
              <w:pStyle w:val="TableParagraph"/>
              <w:tabs>
                <w:tab w:pos="1113" w:val="left" w:leader="none"/>
                <w:tab w:pos="1918" w:val="left" w:leader="none"/>
              </w:tabs>
              <w:spacing w:line="240" w:lineRule="auto" w:before="13"/>
              <w:ind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2,188,067</w:t>
            </w:r>
            <w:r>
              <w:rPr>
                <w:rFonts w:ascii="Arial"/>
                <w:sz w:val="16"/>
                <w:u w:val="single" w:color="000000"/>
              </w:rPr>
              <w:tab/>
            </w:r>
            <w:r>
              <w:rPr>
                <w:rFonts w:ascii="Arial"/>
                <w:sz w:val="16"/>
              </w:rPr>
            </w:r>
          </w:p>
        </w:tc>
        <w:tc>
          <w:tcPr>
            <w:tcW w:w="329"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tabs>
                <w:tab w:pos="1857" w:val="left" w:leader="none"/>
                <w:tab w:pos="2029" w:val="left" w:leader="none"/>
              </w:tabs>
              <w:spacing w:line="240" w:lineRule="auto" w:before="13"/>
              <w:ind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sz w:val="16"/>
                <w:u w:val="single" w:color="000000"/>
              </w:rPr>
              <w:tab/>
            </w:r>
            <w:r>
              <w:rPr>
                <w:rFonts w:ascii="Arial"/>
                <w:sz w:val="16"/>
              </w:rPr>
            </w:r>
          </w:p>
        </w:tc>
        <w:tc>
          <w:tcPr>
            <w:tcW w:w="329"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tabs>
                <w:tab w:pos="1270" w:val="left" w:leader="none"/>
                <w:tab w:pos="2078" w:val="left" w:leader="none"/>
              </w:tabs>
              <w:spacing w:line="240" w:lineRule="auto" w:before="13"/>
              <w:ind w:left="7"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3,676,107</w:t>
              <w:tab/>
            </w:r>
            <w:r>
              <w:rPr>
                <w:rFonts w:ascii="Arial"/>
                <w:sz w:val="16"/>
              </w:rPr>
            </w:r>
          </w:p>
        </w:tc>
        <w:tc>
          <w:tcPr>
            <w:tcW w:w="336"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174" w:lineRule="exact"/>
              <w:ind w:right="0"/>
              <w:jc w:val="center"/>
              <w:rPr>
                <w:rFonts w:ascii="宋体" w:hAnsi="宋体" w:cs="宋体" w:eastAsia="宋体" w:hint="default"/>
                <w:sz w:val="16"/>
                <w:szCs w:val="16"/>
              </w:rPr>
            </w:pPr>
            <w:r>
              <w:rPr>
                <w:rFonts w:ascii="宋体" w:hAnsi="宋体" w:cs="宋体" w:eastAsia="宋体" w:hint="default"/>
                <w:sz w:val="16"/>
                <w:szCs w:val="16"/>
              </w:rPr>
              <w:t>（注）</w:t>
            </w:r>
          </w:p>
        </w:tc>
      </w:tr>
      <w:tr>
        <w:trPr>
          <w:trHeight w:val="323" w:hRule="exact"/>
        </w:trPr>
        <w:tc>
          <w:tcPr>
            <w:tcW w:w="355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5"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2323"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74"/>
              <w:jc w:val="right"/>
              <w:rPr>
                <w:rFonts w:ascii="Arial" w:hAnsi="Arial" w:cs="Arial" w:eastAsia="Arial" w:hint="default"/>
                <w:sz w:val="16"/>
                <w:szCs w:val="16"/>
              </w:rPr>
            </w:pPr>
            <w:r>
              <w:rPr>
                <w:rFonts w:ascii="Arial"/>
                <w:w w:val="95"/>
                <w:sz w:val="16"/>
              </w:rPr>
              <w:t>5,852,050</w:t>
            </w:r>
            <w:r>
              <w:rPr>
                <w:rFonts w:ascii="Arial"/>
                <w:sz w:val="16"/>
              </w:rPr>
            </w:r>
          </w:p>
        </w:tc>
        <w:tc>
          <w:tcPr>
            <w:tcW w:w="314" w:type="dxa"/>
            <w:tcBorders>
              <w:top w:val="nil" w:sz="6" w:space="0" w:color="auto"/>
              <w:left w:val="nil" w:sz="6" w:space="0" w:color="auto"/>
              <w:bottom w:val="nil" w:sz="6" w:space="0" w:color="auto"/>
              <w:right w:val="nil" w:sz="6" w:space="0" w:color="auto"/>
            </w:tcBorders>
          </w:tcPr>
          <w:p>
            <w:pPr/>
          </w:p>
        </w:tc>
        <w:tc>
          <w:tcPr>
            <w:tcW w:w="1926"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92"/>
              <w:jc w:val="right"/>
              <w:rPr>
                <w:rFonts w:ascii="Arial" w:hAnsi="Arial" w:cs="Arial" w:eastAsia="Arial" w:hint="default"/>
                <w:sz w:val="16"/>
                <w:szCs w:val="16"/>
              </w:rPr>
            </w:pPr>
            <w:r>
              <w:rPr>
                <w:rFonts w:ascii="Arial"/>
                <w:w w:val="95"/>
                <w:sz w:val="16"/>
              </w:rPr>
              <w:t>2,188,067</w:t>
            </w:r>
            <w:r>
              <w:rPr>
                <w:rFonts w:ascii="Arial"/>
                <w:sz w:val="16"/>
              </w:rPr>
            </w:r>
          </w:p>
        </w:tc>
        <w:tc>
          <w:tcPr>
            <w:tcW w:w="329"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63"/>
              <w:jc w:val="right"/>
              <w:rPr>
                <w:rFonts w:ascii="Arial" w:hAnsi="Arial" w:cs="Arial" w:eastAsia="Arial" w:hint="default"/>
                <w:sz w:val="16"/>
                <w:szCs w:val="16"/>
              </w:rPr>
            </w:pPr>
            <w:r>
              <w:rPr>
                <w:rFonts w:ascii="Arial"/>
                <w:w w:val="95"/>
                <w:sz w:val="16"/>
              </w:rPr>
              <w:t>(2,167,174)</w:t>
            </w:r>
            <w:r>
              <w:rPr>
                <w:rFonts w:ascii="Arial"/>
                <w:sz w:val="16"/>
              </w:rPr>
            </w:r>
          </w:p>
        </w:tc>
        <w:tc>
          <w:tcPr>
            <w:tcW w:w="329"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left="1270" w:right="0"/>
              <w:jc w:val="left"/>
              <w:rPr>
                <w:rFonts w:ascii="Arial" w:hAnsi="Arial" w:cs="Arial" w:eastAsia="Arial" w:hint="default"/>
                <w:sz w:val="16"/>
                <w:szCs w:val="16"/>
              </w:rPr>
            </w:pPr>
            <w:r>
              <w:rPr>
                <w:rFonts w:ascii="Arial"/>
                <w:sz w:val="16"/>
              </w:rPr>
              <w:t>5,872,943</w:t>
            </w:r>
          </w:p>
        </w:tc>
        <w:tc>
          <w:tcPr>
            <w:tcW w:w="336"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5"/>
          <w:szCs w:val="5"/>
        </w:rPr>
      </w:pPr>
    </w:p>
    <w:p>
      <w:pPr>
        <w:pStyle w:val="BodyText"/>
        <w:spacing w:line="295" w:lineRule="exact" w:before="31"/>
        <w:ind w:left="569" w:right="0"/>
        <w:jc w:val="left"/>
      </w:pPr>
      <w:r>
        <w:rPr/>
        <w:t>注：本集团对技术、性能上明显落后或已终止建设、预计将不能为本集团带来未来经济收益的在建工程计提了资产减值准备。于</w:t>
      </w:r>
      <w:r>
        <w:rPr>
          <w:spacing w:val="-36"/>
        </w:rPr>
        <w:t> </w:t>
      </w:r>
      <w:r>
        <w:rPr>
          <w:rFonts w:ascii="Arial" w:hAnsi="Arial" w:cs="Arial" w:eastAsia="Arial" w:hint="default"/>
        </w:rPr>
        <w:t>2012</w:t>
      </w:r>
      <w:r>
        <w:rPr>
          <w:rFonts w:ascii="Arial" w:hAnsi="Arial" w:cs="Arial" w:eastAsia="Arial" w:hint="default"/>
          <w:spacing w:val="6"/>
        </w:rPr>
        <w:t> </w:t>
      </w:r>
      <w:r>
        <w:rPr/>
        <w:t>年</w:t>
      </w:r>
      <w:r>
        <w:rPr>
          <w:spacing w:val="-43"/>
        </w:rPr>
        <w:t> </w:t>
      </w:r>
      <w:r>
        <w:rPr>
          <w:rFonts w:ascii="Arial" w:hAnsi="Arial" w:cs="Arial" w:eastAsia="Arial" w:hint="default"/>
        </w:rPr>
        <w:t>12</w:t>
      </w:r>
      <w:r>
        <w:rPr>
          <w:rFonts w:ascii="Arial" w:hAnsi="Arial" w:cs="Arial" w:eastAsia="Arial" w:hint="default"/>
          <w:spacing w:val="6"/>
        </w:rPr>
        <w:t> </w:t>
      </w:r>
      <w:r>
        <w:rPr/>
        <w:t>月</w:t>
      </w:r>
      <w:r>
        <w:rPr>
          <w:spacing w:val="-43"/>
        </w:rPr>
        <w:t> </w:t>
      </w:r>
      <w:r>
        <w:rPr>
          <w:rFonts w:ascii="Arial" w:hAnsi="Arial" w:cs="Arial" w:eastAsia="Arial" w:hint="default"/>
        </w:rPr>
        <w:t>31</w:t>
      </w:r>
      <w:r>
        <w:rPr>
          <w:rFonts w:ascii="Arial" w:hAnsi="Arial" w:cs="Arial" w:eastAsia="Arial" w:hint="default"/>
          <w:spacing w:val="6"/>
        </w:rPr>
        <w:t> </w:t>
      </w:r>
      <w:r>
        <w:rPr/>
        <w:t>日，本集</w:t>
      </w:r>
    </w:p>
    <w:p>
      <w:pPr>
        <w:pStyle w:val="BodyText"/>
        <w:spacing w:line="286" w:lineRule="exact" w:before="19"/>
        <w:ind w:left="1027" w:right="0"/>
        <w:jc w:val="left"/>
      </w:pPr>
      <w:r>
        <w:rPr/>
        <w:t>团在建工程减值准备余额约人民币</w:t>
      </w:r>
      <w:r>
        <w:rPr>
          <w:spacing w:val="-52"/>
        </w:rPr>
        <w:t> </w:t>
      </w:r>
      <w:r>
        <w:rPr>
          <w:rFonts w:ascii="Arial" w:hAnsi="Arial" w:cs="Arial" w:eastAsia="Arial" w:hint="default"/>
        </w:rPr>
        <w:t>587</w:t>
      </w:r>
      <w:r>
        <w:rPr>
          <w:rFonts w:ascii="Arial" w:hAnsi="Arial" w:cs="Arial" w:eastAsia="Arial" w:hint="default"/>
          <w:spacing w:val="-6"/>
        </w:rPr>
        <w:t> </w:t>
      </w:r>
      <w:r>
        <w:rPr/>
        <w:t>万元（</w:t>
      </w:r>
      <w:r>
        <w:rPr>
          <w:rFonts w:ascii="Arial" w:hAnsi="Arial" w:cs="Arial" w:eastAsia="Arial" w:hint="default"/>
        </w:rPr>
        <w:t>2011</w:t>
      </w:r>
      <w:r>
        <w:rPr>
          <w:rFonts w:ascii="Arial" w:hAnsi="Arial" w:cs="Arial" w:eastAsia="Arial" w:hint="default"/>
          <w:spacing w:val="-5"/>
        </w:rPr>
        <w:t> </w:t>
      </w:r>
      <w:r>
        <w:rPr/>
        <w:t>年</w:t>
      </w:r>
      <w:r>
        <w:rPr>
          <w:spacing w:val="-55"/>
        </w:rPr>
        <w:t> </w:t>
      </w:r>
      <w:r>
        <w:rPr>
          <w:rFonts w:ascii="Arial" w:hAnsi="Arial" w:cs="Arial" w:eastAsia="Arial" w:hint="default"/>
        </w:rPr>
        <w:t>12</w:t>
      </w:r>
      <w:r>
        <w:rPr>
          <w:rFonts w:ascii="Arial" w:hAnsi="Arial" w:cs="Arial" w:eastAsia="Arial" w:hint="default"/>
          <w:spacing w:val="-5"/>
        </w:rPr>
        <w:t> </w:t>
      </w:r>
      <w:r>
        <w:rPr/>
        <w:t>月</w:t>
      </w:r>
      <w:r>
        <w:rPr>
          <w:spacing w:val="-55"/>
        </w:rPr>
        <w:t> </w:t>
      </w:r>
      <w:r>
        <w:rPr>
          <w:rFonts w:ascii="Arial" w:hAnsi="Arial" w:cs="Arial" w:eastAsia="Arial" w:hint="default"/>
        </w:rPr>
        <w:t>31</w:t>
      </w:r>
      <w:r>
        <w:rPr>
          <w:rFonts w:ascii="Arial" w:hAnsi="Arial" w:cs="Arial" w:eastAsia="Arial" w:hint="default"/>
          <w:spacing w:val="-6"/>
        </w:rPr>
        <w:t> </w:t>
      </w:r>
      <w:r>
        <w:rPr/>
        <w:t>日：约人民币</w:t>
      </w:r>
      <w:r>
        <w:rPr>
          <w:spacing w:val="-54"/>
        </w:rPr>
        <w:t> </w:t>
      </w:r>
      <w:r>
        <w:rPr>
          <w:rFonts w:ascii="Arial" w:hAnsi="Arial" w:cs="Arial" w:eastAsia="Arial" w:hint="default"/>
        </w:rPr>
        <w:t>585</w:t>
      </w:r>
      <w:r>
        <w:rPr>
          <w:rFonts w:ascii="Arial" w:hAnsi="Arial" w:cs="Arial" w:eastAsia="Arial" w:hint="default"/>
          <w:spacing w:val="-5"/>
        </w:rPr>
        <w:t> </w:t>
      </w:r>
      <w:r>
        <w:rPr/>
        <w:t>万元）。本年度有约人民币</w:t>
      </w:r>
      <w:r>
        <w:rPr>
          <w:spacing w:val="-55"/>
        </w:rPr>
        <w:t> </w:t>
      </w:r>
      <w:r>
        <w:rPr>
          <w:rFonts w:ascii="Arial" w:hAnsi="Arial" w:cs="Arial" w:eastAsia="Arial" w:hint="default"/>
        </w:rPr>
        <w:t>217</w:t>
      </w:r>
      <w:r>
        <w:rPr>
          <w:rFonts w:ascii="Arial" w:hAnsi="Arial" w:cs="Arial" w:eastAsia="Arial" w:hint="default"/>
          <w:spacing w:val="-4"/>
        </w:rPr>
        <w:t> </w:t>
      </w:r>
      <w:r>
        <w:rPr/>
        <w:t>万元的在建工程减值准备随工程处置</w:t>
      </w:r>
      <w:r>
        <w:rPr>
          <w:w w:val="99"/>
        </w:rPr>
        <w:t> </w:t>
      </w:r>
      <w:r>
        <w:rPr/>
        <w:t>而转出。</w:t>
      </w:r>
    </w:p>
    <w:p>
      <w:pPr>
        <w:pStyle w:val="BodyText"/>
        <w:spacing w:line="240" w:lineRule="auto" w:before="40"/>
        <w:ind w:left="7344" w:right="7982"/>
        <w:jc w:val="center"/>
        <w:rPr>
          <w:rFonts w:ascii="Arial" w:hAnsi="Arial" w:cs="Arial" w:eastAsia="Arial" w:hint="default"/>
        </w:rPr>
      </w:pPr>
      <w:r>
        <w:rPr>
          <w:rFonts w:ascii="Arial"/>
        </w:rPr>
        <w:t>114</w:t>
      </w:r>
    </w:p>
    <w:p>
      <w:pPr>
        <w:spacing w:after="0" w:line="240" w:lineRule="auto"/>
        <w:jc w:val="center"/>
        <w:rPr>
          <w:rFonts w:ascii="Arial" w:hAnsi="Arial" w:cs="Arial" w:eastAsia="Arial" w:hint="default"/>
        </w:rPr>
        <w:sectPr>
          <w:headerReference w:type="default" r:id="rId96"/>
          <w:footerReference w:type="default" r:id="rId97"/>
          <w:pgSz w:w="16840" w:h="11910" w:orient="landscape"/>
          <w:pgMar w:header="0" w:footer="0" w:top="1100" w:bottom="280" w:left="440" w:right="660"/>
        </w:sectPr>
      </w:pPr>
    </w:p>
    <w:p>
      <w:pPr>
        <w:spacing w:line="240" w:lineRule="auto" w:before="6"/>
        <w:rPr>
          <w:rFonts w:ascii="Arial" w:hAnsi="Arial" w:cs="Arial" w:eastAsia="Arial" w:hint="default"/>
          <w:sz w:val="16"/>
          <w:szCs w:val="16"/>
        </w:rPr>
      </w:pPr>
    </w:p>
    <w:p>
      <w:pPr>
        <w:pStyle w:val="BodyText"/>
        <w:spacing w:line="240" w:lineRule="auto" w:before="31"/>
        <w:ind w:left="102" w:right="0"/>
        <w:jc w:val="left"/>
      </w:pPr>
      <w:r>
        <w:rPr>
          <w:rFonts w:ascii="Arial" w:hAnsi="Arial" w:cs="Arial" w:eastAsia="Arial" w:hint="default"/>
        </w:rPr>
        <w:t>12</w:t>
      </w:r>
      <w:r>
        <w:rPr/>
        <w:t>、工程物资</w:t>
      </w:r>
    </w:p>
    <w:p>
      <w:pPr>
        <w:spacing w:line="240" w:lineRule="auto" w:before="13"/>
        <w:rPr>
          <w:rFonts w:ascii="宋体" w:hAnsi="宋体" w:cs="宋体" w:eastAsia="宋体" w:hint="default"/>
          <w:sz w:val="10"/>
          <w:szCs w:val="10"/>
        </w:rPr>
      </w:pPr>
    </w:p>
    <w:tbl>
      <w:tblPr>
        <w:tblW w:w="0" w:type="auto"/>
        <w:jc w:val="left"/>
        <w:tblInd w:w="378" w:type="dxa"/>
        <w:tblLayout w:type="fixed"/>
        <w:tblCellMar>
          <w:top w:w="0" w:type="dxa"/>
          <w:left w:w="0" w:type="dxa"/>
          <w:bottom w:w="0" w:type="dxa"/>
          <w:right w:w="0" w:type="dxa"/>
        </w:tblCellMar>
        <w:tblLook w:val="01E0"/>
      </w:tblPr>
      <w:tblGrid>
        <w:gridCol w:w="1886"/>
        <w:gridCol w:w="1453"/>
        <w:gridCol w:w="1604"/>
        <w:gridCol w:w="1440"/>
        <w:gridCol w:w="1625"/>
        <w:gridCol w:w="1309"/>
      </w:tblGrid>
      <w:tr>
        <w:trPr>
          <w:trHeight w:val="683" w:hRule="exact"/>
        </w:trPr>
        <w:tc>
          <w:tcPr>
            <w:tcW w:w="1886"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1" w:lineRule="exact"/>
              <w:ind w:left="711"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441"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604" w:type="dxa"/>
            <w:tcBorders>
              <w:top w:val="nil" w:sz="6" w:space="0" w:color="auto"/>
              <w:left w:val="nil" w:sz="6" w:space="0" w:color="auto"/>
              <w:bottom w:val="single" w:sz="6" w:space="0" w:color="000000"/>
              <w:right w:val="nil" w:sz="6" w:space="0" w:color="auto"/>
            </w:tcBorders>
          </w:tcPr>
          <w:p>
            <w:pPr>
              <w:pStyle w:val="TableParagraph"/>
              <w:spacing w:line="179" w:lineRule="exact"/>
              <w:ind w:right="6"/>
              <w:jc w:val="center"/>
              <w:rPr>
                <w:rFonts w:ascii="宋体" w:hAnsi="宋体" w:cs="宋体" w:eastAsia="宋体" w:hint="default"/>
                <w:sz w:val="18"/>
                <w:szCs w:val="18"/>
              </w:rPr>
            </w:pPr>
            <w:r>
              <w:rPr>
                <w:rFonts w:ascii="宋体" w:hAnsi="宋体" w:cs="宋体" w:eastAsia="宋体" w:hint="default"/>
                <w:sz w:val="18"/>
                <w:szCs w:val="18"/>
              </w:rPr>
              <w:t>联通新时空</w:t>
            </w:r>
          </w:p>
          <w:p>
            <w:pPr>
              <w:pStyle w:val="TableParagraph"/>
              <w:spacing w:line="233" w:lineRule="exact"/>
              <w:ind w:right="6"/>
              <w:jc w:val="center"/>
              <w:rPr>
                <w:rFonts w:ascii="宋体" w:hAnsi="宋体" w:cs="宋体" w:eastAsia="宋体" w:hint="default"/>
                <w:sz w:val="18"/>
                <w:szCs w:val="18"/>
              </w:rPr>
            </w:pPr>
            <w:r>
              <w:rPr>
                <w:rFonts w:ascii="宋体" w:hAnsi="宋体" w:cs="宋体" w:eastAsia="宋体" w:hint="default"/>
                <w:sz w:val="18"/>
                <w:szCs w:val="18"/>
              </w:rPr>
              <w:t>资产收购转入</w:t>
            </w:r>
          </w:p>
          <w:p>
            <w:pPr>
              <w:pStyle w:val="TableParagraph"/>
              <w:spacing w:line="247" w:lineRule="exact"/>
              <w:ind w:right="12"/>
              <w:jc w:val="center"/>
              <w:rPr>
                <w:rFonts w:ascii="宋体" w:hAnsi="宋体" w:cs="宋体" w:eastAsia="宋体" w:hint="default"/>
                <w:sz w:val="18"/>
                <w:szCs w:val="18"/>
              </w:rPr>
            </w:pPr>
            <w:r>
              <w:rPr>
                <w:rFonts w:ascii="宋体" w:hAnsi="宋体" w:cs="宋体" w:eastAsia="宋体" w:hint="default"/>
                <w:sz w:val="18"/>
                <w:szCs w:val="18"/>
              </w:rPr>
              <w:t>（附注二</w:t>
            </w:r>
            <w:r>
              <w:rPr>
                <w:rFonts w:ascii="Arial" w:hAnsi="Arial" w:cs="Arial" w:eastAsia="Arial" w:hint="default"/>
                <w:sz w:val="18"/>
                <w:szCs w:val="18"/>
              </w:rPr>
              <w:t>(1)(a)</w:t>
            </w:r>
            <w:r>
              <w:rPr>
                <w:rFonts w:ascii="宋体" w:hAnsi="宋体" w:cs="宋体" w:eastAsia="宋体" w:hint="default"/>
                <w:sz w:val="18"/>
                <w:szCs w:val="18"/>
              </w:rPr>
              <w:t>）</w:t>
            </w:r>
          </w:p>
        </w:tc>
        <w:tc>
          <w:tcPr>
            <w:tcW w:w="1440"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1625"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1309"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1" w:lineRule="exact"/>
              <w:ind w:left="629"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359"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58" w:hRule="exact"/>
        </w:trPr>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工程设备</w:t>
            </w:r>
          </w:p>
        </w:tc>
        <w:tc>
          <w:tcPr>
            <w:tcW w:w="1453"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40"/>
              <w:jc w:val="right"/>
              <w:rPr>
                <w:rFonts w:ascii="Arial" w:hAnsi="Arial" w:cs="Arial" w:eastAsia="Arial" w:hint="default"/>
                <w:sz w:val="18"/>
                <w:szCs w:val="18"/>
              </w:rPr>
            </w:pPr>
            <w:r>
              <w:rPr>
                <w:rFonts w:ascii="Arial"/>
                <w:spacing w:val="-1"/>
                <w:sz w:val="18"/>
              </w:rPr>
              <w:t>1,280,861,962</w:t>
            </w:r>
          </w:p>
        </w:tc>
        <w:tc>
          <w:tcPr>
            <w:tcW w:w="1604"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4"/>
              <w:jc w:val="right"/>
              <w:rPr>
                <w:rFonts w:ascii="Arial" w:hAnsi="Arial" w:cs="Arial" w:eastAsia="Arial" w:hint="default"/>
                <w:sz w:val="18"/>
                <w:szCs w:val="18"/>
              </w:rPr>
            </w:pPr>
            <w:r>
              <w:rPr>
                <w:rFonts w:ascii="Arial"/>
                <w:w w:val="99"/>
                <w:sz w:val="18"/>
              </w:rPr>
              <w:t>-</w:t>
            </w:r>
            <w:r>
              <w:rPr>
                <w:rFonts w:ascii="Arial"/>
                <w:sz w:val="18"/>
              </w:rPr>
            </w:r>
          </w:p>
        </w:tc>
        <w:tc>
          <w:tcPr>
            <w:tcW w:w="1440"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6" w:right="0"/>
              <w:jc w:val="left"/>
              <w:rPr>
                <w:rFonts w:ascii="Arial" w:hAnsi="Arial" w:cs="Arial" w:eastAsia="Arial" w:hint="default"/>
                <w:sz w:val="18"/>
                <w:szCs w:val="18"/>
              </w:rPr>
            </w:pPr>
            <w:r>
              <w:rPr>
                <w:rFonts w:ascii="Arial"/>
                <w:sz w:val="18"/>
              </w:rPr>
              <w:t>69,644,794,546</w:t>
            </w:r>
          </w:p>
        </w:tc>
        <w:tc>
          <w:tcPr>
            <w:tcW w:w="1625"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18"/>
                <w:szCs w:val="18"/>
              </w:rPr>
            </w:pPr>
            <w:r>
              <w:rPr>
                <w:rFonts w:ascii="Arial"/>
                <w:spacing w:val="-1"/>
                <w:sz w:val="18"/>
              </w:rPr>
              <w:t>(69,445,555,794)</w:t>
            </w:r>
          </w:p>
        </w:tc>
        <w:tc>
          <w:tcPr>
            <w:tcW w:w="1309"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5" w:right="0"/>
              <w:jc w:val="left"/>
              <w:rPr>
                <w:rFonts w:ascii="Arial" w:hAnsi="Arial" w:cs="Arial" w:eastAsia="Arial" w:hint="default"/>
                <w:sz w:val="18"/>
                <w:szCs w:val="18"/>
              </w:rPr>
            </w:pPr>
            <w:r>
              <w:rPr>
                <w:rFonts w:ascii="Arial"/>
                <w:sz w:val="18"/>
              </w:rPr>
              <w:t>1,480,100,714</w:t>
            </w:r>
          </w:p>
        </w:tc>
      </w:tr>
      <w:tr>
        <w:trPr>
          <w:trHeight w:val="241" w:hRule="exact"/>
        </w:trPr>
        <w:tc>
          <w:tcPr>
            <w:tcW w:w="1886"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工程材料</w:t>
            </w:r>
          </w:p>
        </w:tc>
        <w:tc>
          <w:tcPr>
            <w:tcW w:w="1453" w:type="dxa"/>
            <w:tcBorders>
              <w:top w:val="nil" w:sz="6" w:space="0" w:color="auto"/>
              <w:left w:val="nil" w:sz="6" w:space="0" w:color="auto"/>
              <w:bottom w:val="nil" w:sz="6" w:space="0" w:color="auto"/>
              <w:right w:val="nil" w:sz="6" w:space="0" w:color="auto"/>
            </w:tcBorders>
          </w:tcPr>
          <w:p>
            <w:pPr>
              <w:pStyle w:val="TableParagraph"/>
              <w:tabs>
                <w:tab w:pos="1383" w:val="left" w:leader="none"/>
              </w:tabs>
              <w:spacing w:line="240" w:lineRule="auto" w:before="14"/>
              <w:ind w:right="6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0"/>
                <w:sz w:val="18"/>
                <w:u w:val="single" w:color="000000"/>
              </w:rPr>
              <w:t> </w:t>
            </w:r>
            <w:r>
              <w:rPr>
                <w:rFonts w:ascii="Arial"/>
                <w:spacing w:val="-1"/>
                <w:sz w:val="18"/>
                <w:u w:val="single" w:color="000000"/>
              </w:rPr>
              <w:t>1,074,582,617</w:t>
              <w:tab/>
            </w:r>
            <w:r>
              <w:rPr>
                <w:rFonts w:ascii="Arial"/>
                <w:spacing w:val="-1"/>
                <w:sz w:val="18"/>
              </w:rPr>
            </w:r>
          </w:p>
        </w:tc>
        <w:tc>
          <w:tcPr>
            <w:tcW w:w="1604" w:type="dxa"/>
            <w:tcBorders>
              <w:top w:val="nil" w:sz="6" w:space="0" w:color="auto"/>
              <w:left w:val="nil" w:sz="6" w:space="0" w:color="auto"/>
              <w:bottom w:val="nil" w:sz="6" w:space="0" w:color="auto"/>
              <w:right w:val="nil" w:sz="6" w:space="0" w:color="auto"/>
            </w:tcBorders>
          </w:tcPr>
          <w:p>
            <w:pPr>
              <w:pStyle w:val="TableParagraph"/>
              <w:tabs>
                <w:tab w:pos="607" w:val="left" w:leader="none"/>
                <w:tab w:pos="1604" w:val="left" w:leader="none"/>
              </w:tabs>
              <w:spacing w:line="240" w:lineRule="auto" w:before="14"/>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2,641,323</w:t>
              <w:tab/>
            </w:r>
            <w:r>
              <w:rPr>
                <w:rFonts w:ascii="Arial"/>
                <w:sz w:val="18"/>
              </w:rPr>
            </w:r>
          </w:p>
        </w:tc>
        <w:tc>
          <w:tcPr>
            <w:tcW w:w="1440" w:type="dxa"/>
            <w:tcBorders>
              <w:top w:val="nil" w:sz="6" w:space="0" w:color="auto"/>
              <w:left w:val="nil" w:sz="6" w:space="0" w:color="auto"/>
              <w:bottom w:val="nil" w:sz="6" w:space="0" w:color="auto"/>
              <w:right w:val="nil" w:sz="6" w:space="0" w:color="auto"/>
            </w:tcBorders>
          </w:tcPr>
          <w:p>
            <w:pPr>
              <w:pStyle w:val="TableParagraph"/>
              <w:tabs>
                <w:tab w:pos="1386" w:val="left" w:leader="none"/>
              </w:tabs>
              <w:spacing w:line="240" w:lineRule="auto" w:before="1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1"/>
                <w:sz w:val="18"/>
                <w:u w:val="single" w:color="000000"/>
              </w:rPr>
              <w:t> </w:t>
            </w:r>
            <w:r>
              <w:rPr>
                <w:rFonts w:ascii="Arial"/>
                <w:spacing w:val="-1"/>
                <w:sz w:val="18"/>
                <w:u w:val="single" w:color="000000"/>
              </w:rPr>
              <w:t>4,464,015,552</w:t>
              <w:tab/>
            </w:r>
            <w:r>
              <w:rPr>
                <w:rFonts w:ascii="Arial"/>
                <w:spacing w:val="-1"/>
                <w:sz w:val="18"/>
              </w:rPr>
            </w:r>
          </w:p>
        </w:tc>
        <w:tc>
          <w:tcPr>
            <w:tcW w:w="1625" w:type="dxa"/>
            <w:tcBorders>
              <w:top w:val="nil" w:sz="6" w:space="0" w:color="auto"/>
              <w:left w:val="nil" w:sz="6" w:space="0" w:color="auto"/>
              <w:bottom w:val="nil" w:sz="6" w:space="0" w:color="auto"/>
              <w:right w:val="nil" w:sz="6" w:space="0" w:color="auto"/>
            </w:tcBorders>
          </w:tcPr>
          <w:p>
            <w:pPr>
              <w:pStyle w:val="TableParagraph"/>
              <w:tabs>
                <w:tab w:pos="1493" w:val="left" w:leader="none"/>
              </w:tabs>
              <w:spacing w:line="240" w:lineRule="auto" w:before="14"/>
              <w:ind w:right="3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4"/>
                <w:sz w:val="18"/>
                <w:u w:val="single" w:color="000000"/>
              </w:rPr>
              <w:t> </w:t>
            </w:r>
            <w:r>
              <w:rPr>
                <w:rFonts w:ascii="Arial"/>
                <w:spacing w:val="-1"/>
                <w:sz w:val="18"/>
                <w:u w:val="single" w:color="000000"/>
              </w:rPr>
              <w:t>(5,039,923,071)</w:t>
              <w:tab/>
            </w:r>
            <w:r>
              <w:rPr>
                <w:rFonts w:ascii="Arial"/>
                <w:spacing w:val="-1"/>
                <w:sz w:val="18"/>
              </w:rPr>
            </w:r>
          </w:p>
        </w:tc>
        <w:tc>
          <w:tcPr>
            <w:tcW w:w="1309" w:type="dxa"/>
            <w:tcBorders>
              <w:top w:val="nil" w:sz="6" w:space="0" w:color="auto"/>
              <w:left w:val="nil" w:sz="6" w:space="0" w:color="auto"/>
              <w:bottom w:val="nil" w:sz="6" w:space="0" w:color="auto"/>
              <w:right w:val="nil" w:sz="6" w:space="0" w:color="auto"/>
            </w:tcBorders>
          </w:tcPr>
          <w:p>
            <w:pPr>
              <w:pStyle w:val="TableParagraph"/>
              <w:tabs>
                <w:tab w:pos="1308" w:val="left" w:leader="none"/>
              </w:tabs>
              <w:spacing w:line="240" w:lineRule="auto" w:before="14"/>
              <w:ind w:left="30"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5"/>
                <w:sz w:val="18"/>
                <w:u w:val="single" w:color="000000"/>
              </w:rPr>
              <w:t> </w:t>
            </w:r>
            <w:r>
              <w:rPr>
                <w:rFonts w:ascii="Arial"/>
                <w:sz w:val="18"/>
                <w:u w:val="single" w:color="000000"/>
              </w:rPr>
              <w:t>501,316,421</w:t>
              <w:tab/>
            </w:r>
            <w:r>
              <w:rPr>
                <w:rFonts w:ascii="Arial"/>
                <w:sz w:val="18"/>
              </w:rPr>
            </w:r>
          </w:p>
        </w:tc>
      </w:tr>
      <w:tr>
        <w:trPr>
          <w:trHeight w:val="253" w:hRule="exact"/>
        </w:trPr>
        <w:tc>
          <w:tcPr>
            <w:tcW w:w="1886" w:type="dxa"/>
            <w:tcBorders>
              <w:top w:val="nil" w:sz="6" w:space="0" w:color="auto"/>
              <w:left w:val="nil" w:sz="6" w:space="0" w:color="auto"/>
              <w:bottom w:val="nil" w:sz="6" w:space="0" w:color="auto"/>
              <w:right w:val="nil" w:sz="6" w:space="0" w:color="auto"/>
            </w:tcBorders>
          </w:tcPr>
          <w:p>
            <w:pPr>
              <w:pStyle w:val="TableParagraph"/>
              <w:spacing w:line="203" w:lineRule="exact"/>
              <w:ind w:left="2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0"/>
              <w:jc w:val="right"/>
              <w:rPr>
                <w:rFonts w:ascii="Arial" w:hAnsi="Arial" w:cs="Arial" w:eastAsia="Arial" w:hint="default"/>
                <w:sz w:val="18"/>
                <w:szCs w:val="18"/>
              </w:rPr>
            </w:pPr>
            <w:r>
              <w:rPr>
                <w:rFonts w:ascii="Arial"/>
                <w:spacing w:val="-1"/>
                <w:sz w:val="18"/>
              </w:rPr>
              <w:t>2,355,444,579</w:t>
            </w:r>
          </w:p>
        </w:tc>
        <w:tc>
          <w:tcPr>
            <w:tcW w:w="1604" w:type="dxa"/>
            <w:tcBorders>
              <w:top w:val="nil" w:sz="6" w:space="0" w:color="auto"/>
              <w:left w:val="nil" w:sz="6" w:space="0" w:color="auto"/>
              <w:bottom w:val="single" w:sz="17" w:space="0" w:color="000000"/>
              <w:right w:val="nil" w:sz="6" w:space="0" w:color="auto"/>
            </w:tcBorders>
          </w:tcPr>
          <w:p>
            <w:pPr>
              <w:pStyle w:val="TableParagraph"/>
              <w:spacing w:line="240" w:lineRule="auto" w:before="22"/>
              <w:ind w:left="607" w:right="0"/>
              <w:jc w:val="left"/>
              <w:rPr>
                <w:rFonts w:ascii="Arial" w:hAnsi="Arial" w:cs="Arial" w:eastAsia="Arial" w:hint="default"/>
                <w:sz w:val="18"/>
                <w:szCs w:val="18"/>
              </w:rPr>
            </w:pPr>
            <w:r>
              <w:rPr>
                <w:rFonts w:ascii="Arial"/>
                <w:sz w:val="18"/>
              </w:rPr>
              <w:t>2,641,323</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26" w:right="0"/>
              <w:jc w:val="left"/>
              <w:rPr>
                <w:rFonts w:ascii="Arial" w:hAnsi="Arial" w:cs="Arial" w:eastAsia="Arial" w:hint="default"/>
                <w:sz w:val="18"/>
                <w:szCs w:val="18"/>
              </w:rPr>
            </w:pPr>
            <w:r>
              <w:rPr>
                <w:rFonts w:ascii="Arial"/>
                <w:sz w:val="18"/>
              </w:rPr>
              <w:t>74,108,810,098</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8"/>
              <w:jc w:val="right"/>
              <w:rPr>
                <w:rFonts w:ascii="Arial" w:hAnsi="Arial" w:cs="Arial" w:eastAsia="Arial" w:hint="default"/>
                <w:sz w:val="18"/>
                <w:szCs w:val="18"/>
              </w:rPr>
            </w:pPr>
            <w:r>
              <w:rPr>
                <w:rFonts w:ascii="Arial"/>
                <w:spacing w:val="-1"/>
                <w:sz w:val="18"/>
              </w:rPr>
              <w:t>(74,485,478,865)</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5" w:right="0"/>
              <w:jc w:val="left"/>
              <w:rPr>
                <w:rFonts w:ascii="Arial" w:hAnsi="Arial" w:cs="Arial" w:eastAsia="Arial" w:hint="default"/>
                <w:sz w:val="18"/>
                <w:szCs w:val="18"/>
              </w:rPr>
            </w:pPr>
            <w:r>
              <w:rPr>
                <w:rFonts w:ascii="Arial"/>
                <w:sz w:val="18"/>
              </w:rPr>
              <w:t>1,981,417,135</w:t>
            </w:r>
          </w:p>
        </w:tc>
      </w:tr>
      <w:tr>
        <w:trPr>
          <w:trHeight w:val="470" w:hRule="exact"/>
        </w:trPr>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工程物资减值准备</w:t>
            </w:r>
          </w:p>
        </w:tc>
        <w:tc>
          <w:tcPr>
            <w:tcW w:w="1453" w:type="dxa"/>
            <w:tcBorders>
              <w:top w:val="nil" w:sz="6" w:space="0" w:color="auto"/>
              <w:left w:val="nil" w:sz="6" w:space="0" w:color="auto"/>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9"/>
              <w:jc w:val="right"/>
              <w:rPr>
                <w:rFonts w:ascii="Arial" w:hAnsi="Arial" w:cs="Arial" w:eastAsia="Arial" w:hint="default"/>
                <w:sz w:val="18"/>
                <w:szCs w:val="18"/>
              </w:rPr>
            </w:pPr>
            <w:r>
              <w:rPr>
                <w:rFonts w:ascii="Arial"/>
                <w:spacing w:val="-1"/>
                <w:sz w:val="18"/>
              </w:rPr>
              <w:t>(18,143,410)</w:t>
            </w:r>
          </w:p>
        </w:tc>
        <w:tc>
          <w:tcPr>
            <w:tcW w:w="1604" w:type="dxa"/>
            <w:tcBorders>
              <w:top w:val="single" w:sz="17" w:space="0" w:color="000000"/>
              <w:left w:val="nil" w:sz="6" w:space="0" w:color="auto"/>
              <w:bottom w:val="nil" w:sz="6" w:space="0" w:color="auto"/>
              <w:right w:val="nil" w:sz="6" w:space="0" w:color="auto"/>
            </w:tcBorders>
          </w:tcPr>
          <w:p>
            <w:pPr/>
          </w:p>
        </w:tc>
        <w:tc>
          <w:tcPr>
            <w:tcW w:w="1440" w:type="dxa"/>
            <w:tcBorders>
              <w:top w:val="nil" w:sz="6" w:space="0" w:color="auto"/>
              <w:left w:val="nil" w:sz="6" w:space="0" w:color="auto"/>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61"/>
              <w:jc w:val="right"/>
              <w:rPr>
                <w:rFonts w:ascii="Arial" w:hAnsi="Arial" w:cs="Arial" w:eastAsia="Arial" w:hint="default"/>
                <w:sz w:val="18"/>
                <w:szCs w:val="18"/>
              </w:rPr>
            </w:pPr>
            <w:r>
              <w:rPr>
                <w:rFonts w:ascii="Arial"/>
                <w:w w:val="99"/>
                <w:sz w:val="18"/>
              </w:rPr>
              <w:t>-</w:t>
            </w:r>
            <w:r>
              <w:rPr>
                <w:rFonts w:ascii="Arial"/>
                <w:sz w:val="18"/>
              </w:rPr>
            </w:r>
          </w:p>
        </w:tc>
        <w:tc>
          <w:tcPr>
            <w:tcW w:w="1625" w:type="dxa"/>
            <w:tcBorders>
              <w:top w:val="nil" w:sz="6" w:space="0" w:color="auto"/>
              <w:left w:val="nil" w:sz="6" w:space="0" w:color="auto"/>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58"/>
              <w:jc w:val="right"/>
              <w:rPr>
                <w:rFonts w:ascii="Arial" w:hAnsi="Arial" w:cs="Arial" w:eastAsia="Arial" w:hint="default"/>
                <w:sz w:val="18"/>
                <w:szCs w:val="18"/>
              </w:rPr>
            </w:pPr>
            <w:r>
              <w:rPr>
                <w:rFonts w:ascii="Arial"/>
                <w:spacing w:val="-1"/>
                <w:sz w:val="18"/>
              </w:rPr>
              <w:t>1,730,637</w:t>
            </w:r>
          </w:p>
        </w:tc>
        <w:tc>
          <w:tcPr>
            <w:tcW w:w="1309" w:type="dxa"/>
            <w:tcBorders>
              <w:top w:val="nil" w:sz="6" w:space="0" w:color="auto"/>
              <w:left w:val="nil" w:sz="6" w:space="0" w:color="auto"/>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76" w:right="0"/>
              <w:jc w:val="left"/>
              <w:rPr>
                <w:rFonts w:ascii="Arial" w:hAnsi="Arial" w:cs="Arial" w:eastAsia="Arial" w:hint="default"/>
                <w:sz w:val="18"/>
                <w:szCs w:val="18"/>
              </w:rPr>
            </w:pPr>
            <w:r>
              <w:rPr>
                <w:rFonts w:ascii="Arial"/>
                <w:sz w:val="18"/>
              </w:rPr>
              <w:t>(16,412,773)</w:t>
            </w:r>
          </w:p>
        </w:tc>
      </w:tr>
      <w:tr>
        <w:trPr>
          <w:trHeight w:val="472" w:hRule="exact"/>
        </w:trPr>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工程物资合计</w:t>
            </w:r>
          </w:p>
        </w:tc>
        <w:tc>
          <w:tcPr>
            <w:tcW w:w="1453" w:type="dxa"/>
            <w:tcBorders>
              <w:top w:val="single" w:sz="6"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40"/>
              <w:jc w:val="right"/>
              <w:rPr>
                <w:rFonts w:ascii="Arial" w:hAnsi="Arial" w:cs="Arial" w:eastAsia="Arial" w:hint="default"/>
                <w:sz w:val="18"/>
                <w:szCs w:val="18"/>
              </w:rPr>
            </w:pPr>
            <w:r>
              <w:rPr>
                <w:rFonts w:ascii="Arial"/>
                <w:spacing w:val="-1"/>
                <w:sz w:val="18"/>
              </w:rPr>
              <w:t>2,337,301,169</w:t>
            </w:r>
          </w:p>
        </w:tc>
        <w:tc>
          <w:tcPr>
            <w:tcW w:w="1604" w:type="dxa"/>
            <w:tcBorders>
              <w:top w:val="nil" w:sz="6" w:space="0" w:color="auto"/>
              <w:left w:val="nil" w:sz="6" w:space="0" w:color="auto"/>
              <w:bottom w:val="nil" w:sz="6" w:space="0" w:color="auto"/>
              <w:right w:val="nil" w:sz="6" w:space="0" w:color="auto"/>
            </w:tcBorders>
          </w:tcPr>
          <w:p>
            <w:pPr/>
          </w:p>
        </w:tc>
        <w:tc>
          <w:tcPr>
            <w:tcW w:w="1440" w:type="dxa"/>
            <w:tcBorders>
              <w:top w:val="single" w:sz="6"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6" w:right="0"/>
              <w:jc w:val="left"/>
              <w:rPr>
                <w:rFonts w:ascii="Arial" w:hAnsi="Arial" w:cs="Arial" w:eastAsia="Arial" w:hint="default"/>
                <w:sz w:val="18"/>
                <w:szCs w:val="18"/>
              </w:rPr>
            </w:pPr>
            <w:r>
              <w:rPr>
                <w:rFonts w:ascii="Arial"/>
                <w:sz w:val="18"/>
              </w:rPr>
              <w:t>74,108,810,098</w:t>
            </w:r>
          </w:p>
        </w:tc>
        <w:tc>
          <w:tcPr>
            <w:tcW w:w="1625" w:type="dxa"/>
            <w:tcBorders>
              <w:top w:val="single" w:sz="6"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18"/>
                <w:szCs w:val="18"/>
              </w:rPr>
            </w:pPr>
            <w:r>
              <w:rPr>
                <w:rFonts w:ascii="Arial"/>
                <w:spacing w:val="-1"/>
                <w:sz w:val="18"/>
              </w:rPr>
              <w:t>(74,483,748,228)</w:t>
            </w:r>
          </w:p>
        </w:tc>
        <w:tc>
          <w:tcPr>
            <w:tcW w:w="1309" w:type="dxa"/>
            <w:tcBorders>
              <w:top w:val="single" w:sz="6"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5" w:right="0"/>
              <w:jc w:val="left"/>
              <w:rPr>
                <w:rFonts w:ascii="Arial" w:hAnsi="Arial" w:cs="Arial" w:eastAsia="Arial" w:hint="default"/>
                <w:sz w:val="18"/>
                <w:szCs w:val="18"/>
              </w:rPr>
            </w:pPr>
            <w:r>
              <w:rPr>
                <w:rFonts w:ascii="Arial"/>
                <w:sz w:val="18"/>
              </w:rPr>
              <w:t>1,965,004,362</w:t>
            </w:r>
          </w:p>
        </w:tc>
      </w:tr>
    </w:tbl>
    <w:p>
      <w:pPr>
        <w:spacing w:line="240" w:lineRule="auto" w:before="7"/>
        <w:rPr>
          <w:rFonts w:ascii="宋体" w:hAnsi="宋体" w:cs="宋体" w:eastAsia="宋体" w:hint="default"/>
          <w:sz w:val="8"/>
          <w:szCs w:val="8"/>
        </w:rPr>
      </w:pPr>
    </w:p>
    <w:p>
      <w:pPr>
        <w:pStyle w:val="BodyText"/>
        <w:spacing w:line="286" w:lineRule="exact" w:before="60"/>
        <w:ind w:left="550" w:right="0"/>
        <w:jc w:val="left"/>
      </w:pPr>
      <w:r>
        <w:rPr>
          <w:spacing w:val="4"/>
        </w:rPr>
        <w:t>工程物资减值准备的本年减少是由于部分工程物资因处置而转出相应在以前年度已计提的减</w:t>
      </w:r>
      <w:r>
        <w:rPr>
          <w:w w:val="99"/>
        </w:rPr>
        <w:t> </w:t>
      </w:r>
      <w:r>
        <w:rPr/>
        <w:t>值准备。</w:t>
      </w:r>
    </w:p>
    <w:p>
      <w:pPr>
        <w:pStyle w:val="BodyText"/>
        <w:spacing w:line="240" w:lineRule="auto" w:before="151"/>
        <w:ind w:left="102" w:right="0"/>
        <w:jc w:val="left"/>
      </w:pPr>
      <w:r>
        <w:rPr>
          <w:rFonts w:ascii="Arial" w:hAnsi="Arial" w:cs="Arial" w:eastAsia="Arial" w:hint="default"/>
        </w:rPr>
        <w:t>13</w:t>
      </w:r>
      <w:r>
        <w:rPr/>
        <w:t>、无形资产</w:t>
      </w:r>
    </w:p>
    <w:p>
      <w:pPr>
        <w:spacing w:line="240" w:lineRule="auto" w:before="12"/>
        <w:rPr>
          <w:rFonts w:ascii="宋体" w:hAnsi="宋体" w:cs="宋体" w:eastAsia="宋体" w:hint="default"/>
          <w:sz w:val="10"/>
          <w:szCs w:val="10"/>
        </w:rPr>
      </w:pPr>
    </w:p>
    <w:tbl>
      <w:tblPr>
        <w:tblW w:w="0" w:type="auto"/>
        <w:jc w:val="left"/>
        <w:tblInd w:w="362" w:type="dxa"/>
        <w:tblLayout w:type="fixed"/>
        <w:tblCellMar>
          <w:top w:w="0" w:type="dxa"/>
          <w:left w:w="0" w:type="dxa"/>
          <w:bottom w:w="0" w:type="dxa"/>
          <w:right w:w="0" w:type="dxa"/>
        </w:tblCellMar>
        <w:tblLook w:val="01E0"/>
      </w:tblPr>
      <w:tblGrid>
        <w:gridCol w:w="1901"/>
        <w:gridCol w:w="1493"/>
        <w:gridCol w:w="1621"/>
        <w:gridCol w:w="1440"/>
        <w:gridCol w:w="1408"/>
        <w:gridCol w:w="1472"/>
      </w:tblGrid>
      <w:tr>
        <w:trPr>
          <w:trHeight w:val="683" w:hRule="exact"/>
        </w:trPr>
        <w:tc>
          <w:tcPr>
            <w:tcW w:w="1901"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1" w:lineRule="exact"/>
              <w:ind w:left="706"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436"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621" w:type="dxa"/>
            <w:tcBorders>
              <w:top w:val="nil" w:sz="6" w:space="0" w:color="auto"/>
              <w:left w:val="nil" w:sz="6" w:space="0" w:color="auto"/>
              <w:bottom w:val="single" w:sz="6" w:space="0" w:color="000000"/>
              <w:right w:val="nil" w:sz="6" w:space="0" w:color="auto"/>
            </w:tcBorders>
          </w:tcPr>
          <w:p>
            <w:pPr>
              <w:pStyle w:val="TableParagraph"/>
              <w:spacing w:line="179" w:lineRule="exact"/>
              <w:ind w:left="1" w:right="0"/>
              <w:jc w:val="center"/>
              <w:rPr>
                <w:rFonts w:ascii="宋体" w:hAnsi="宋体" w:cs="宋体" w:eastAsia="宋体" w:hint="default"/>
                <w:sz w:val="18"/>
                <w:szCs w:val="18"/>
              </w:rPr>
            </w:pPr>
            <w:r>
              <w:rPr>
                <w:rFonts w:ascii="宋体" w:hAnsi="宋体" w:cs="宋体" w:eastAsia="宋体" w:hint="default"/>
                <w:sz w:val="18"/>
                <w:szCs w:val="18"/>
              </w:rPr>
              <w:t>联通新时空</w:t>
            </w:r>
          </w:p>
          <w:p>
            <w:pPr>
              <w:pStyle w:val="TableParagraph"/>
              <w:spacing w:line="233" w:lineRule="exact"/>
              <w:ind w:left="1" w:right="0"/>
              <w:jc w:val="center"/>
              <w:rPr>
                <w:rFonts w:ascii="宋体" w:hAnsi="宋体" w:cs="宋体" w:eastAsia="宋体" w:hint="default"/>
                <w:sz w:val="18"/>
                <w:szCs w:val="18"/>
              </w:rPr>
            </w:pPr>
            <w:r>
              <w:rPr>
                <w:rFonts w:ascii="宋体" w:hAnsi="宋体" w:cs="宋体" w:eastAsia="宋体" w:hint="default"/>
                <w:sz w:val="18"/>
                <w:szCs w:val="18"/>
              </w:rPr>
              <w:t>资产收购转入</w:t>
            </w:r>
          </w:p>
          <w:p>
            <w:pPr>
              <w:pStyle w:val="TableParagraph"/>
              <w:spacing w:line="247" w:lineRule="exact"/>
              <w:ind w:left="2" w:right="0"/>
              <w:jc w:val="center"/>
              <w:rPr>
                <w:rFonts w:ascii="宋体" w:hAnsi="宋体" w:cs="宋体" w:eastAsia="宋体" w:hint="default"/>
                <w:sz w:val="18"/>
                <w:szCs w:val="18"/>
              </w:rPr>
            </w:pPr>
            <w:r>
              <w:rPr>
                <w:rFonts w:ascii="宋体" w:hAnsi="宋体" w:cs="宋体" w:eastAsia="宋体" w:hint="default"/>
                <w:sz w:val="18"/>
                <w:szCs w:val="18"/>
              </w:rPr>
              <w:t>（附注二</w:t>
            </w:r>
            <w:r>
              <w:rPr>
                <w:rFonts w:ascii="Arial" w:hAnsi="Arial" w:cs="Arial" w:eastAsia="Arial" w:hint="default"/>
                <w:sz w:val="18"/>
                <w:szCs w:val="18"/>
              </w:rPr>
              <w:t>(1)(a)</w:t>
            </w:r>
            <w:r>
              <w:rPr>
                <w:rFonts w:ascii="宋体" w:hAnsi="宋体" w:cs="宋体" w:eastAsia="宋体" w:hint="default"/>
                <w:sz w:val="18"/>
                <w:szCs w:val="18"/>
              </w:rPr>
              <w:t>）</w:t>
            </w:r>
          </w:p>
        </w:tc>
        <w:tc>
          <w:tcPr>
            <w:tcW w:w="1440"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60"/>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1408"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1472"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1" w:lineRule="exact"/>
              <w:ind w:left="805"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499"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47"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原价</w:t>
            </w:r>
          </w:p>
        </w:tc>
        <w:tc>
          <w:tcPr>
            <w:tcW w:w="1493" w:type="dxa"/>
            <w:tcBorders>
              <w:top w:val="single" w:sz="6" w:space="0" w:color="000000"/>
              <w:left w:val="nil" w:sz="6" w:space="0" w:color="auto"/>
              <w:bottom w:val="nil" w:sz="6" w:space="0" w:color="auto"/>
              <w:right w:val="nil" w:sz="6" w:space="0" w:color="auto"/>
            </w:tcBorders>
          </w:tcPr>
          <w:p>
            <w:pPr/>
          </w:p>
        </w:tc>
        <w:tc>
          <w:tcPr>
            <w:tcW w:w="1621" w:type="dxa"/>
            <w:tcBorders>
              <w:top w:val="single" w:sz="6" w:space="0" w:color="000000"/>
              <w:left w:val="nil" w:sz="6" w:space="0" w:color="auto"/>
              <w:bottom w:val="nil" w:sz="6" w:space="0" w:color="auto"/>
              <w:right w:val="nil" w:sz="6" w:space="0" w:color="auto"/>
            </w:tcBorders>
          </w:tcPr>
          <w:p>
            <w:pPr/>
          </w:p>
        </w:tc>
        <w:tc>
          <w:tcPr>
            <w:tcW w:w="1440" w:type="dxa"/>
            <w:tcBorders>
              <w:top w:val="single" w:sz="6" w:space="0" w:color="000000"/>
              <w:left w:val="nil" w:sz="6" w:space="0" w:color="auto"/>
              <w:bottom w:val="nil" w:sz="6" w:space="0" w:color="auto"/>
              <w:right w:val="nil" w:sz="6" w:space="0" w:color="auto"/>
            </w:tcBorders>
          </w:tcPr>
          <w:p>
            <w:pPr/>
          </w:p>
        </w:tc>
        <w:tc>
          <w:tcPr>
            <w:tcW w:w="1408" w:type="dxa"/>
            <w:tcBorders>
              <w:top w:val="single" w:sz="6" w:space="0" w:color="000000"/>
              <w:left w:val="nil" w:sz="6" w:space="0" w:color="auto"/>
              <w:bottom w:val="nil" w:sz="6" w:space="0" w:color="auto"/>
              <w:right w:val="nil" w:sz="6" w:space="0" w:color="auto"/>
            </w:tcBorders>
          </w:tcPr>
          <w:p>
            <w:pPr/>
          </w:p>
        </w:tc>
        <w:tc>
          <w:tcPr>
            <w:tcW w:w="1472" w:type="dxa"/>
            <w:tcBorders>
              <w:top w:val="single" w:sz="6" w:space="0" w:color="000000"/>
              <w:left w:val="nil" w:sz="6" w:space="0" w:color="auto"/>
              <w:bottom w:val="nil" w:sz="6" w:space="0" w:color="auto"/>
              <w:right w:val="nil" w:sz="6" w:space="0" w:color="auto"/>
            </w:tcBorders>
          </w:tcPr>
          <w:p>
            <w:pPr/>
          </w:p>
        </w:tc>
      </w:tr>
      <w:tr>
        <w:trPr>
          <w:trHeight w:val="244"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06" w:lineRule="exact"/>
              <w:ind w:left="3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5" w:right="0"/>
              <w:jc w:val="left"/>
              <w:rPr>
                <w:rFonts w:ascii="Arial" w:hAnsi="Arial" w:cs="Arial" w:eastAsia="Arial" w:hint="default"/>
                <w:sz w:val="18"/>
                <w:szCs w:val="18"/>
              </w:rPr>
            </w:pPr>
            <w:r>
              <w:rPr>
                <w:rFonts w:ascii="Arial"/>
                <w:sz w:val="18"/>
              </w:rPr>
              <w:t>17,435,963,624</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58"/>
              <w:jc w:val="right"/>
              <w:rPr>
                <w:rFonts w:ascii="Arial" w:hAnsi="Arial" w:cs="Arial" w:eastAsia="Arial" w:hint="default"/>
                <w:sz w:val="18"/>
                <w:szCs w:val="18"/>
              </w:rPr>
            </w:pPr>
            <w:r>
              <w:rPr>
                <w:rFonts w:ascii="Arial"/>
                <w:w w:val="99"/>
                <w:sz w:val="18"/>
              </w:rPr>
              <w:t>-</w:t>
            </w:r>
            <w:r>
              <w:rPr>
                <w:rFonts w:ascii="Arial"/>
                <w:sz w:val="18"/>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78"/>
              <w:jc w:val="right"/>
              <w:rPr>
                <w:rFonts w:ascii="Arial" w:hAnsi="Arial" w:cs="Arial" w:eastAsia="Arial" w:hint="default"/>
                <w:sz w:val="18"/>
                <w:szCs w:val="18"/>
              </w:rPr>
            </w:pPr>
            <w:r>
              <w:rPr>
                <w:rFonts w:ascii="Arial"/>
                <w:spacing w:val="-1"/>
                <w:sz w:val="18"/>
              </w:rPr>
              <w:t>247,923,158</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5"/>
              <w:jc w:val="right"/>
              <w:rPr>
                <w:rFonts w:ascii="Arial" w:hAnsi="Arial" w:cs="Arial" w:eastAsia="Arial" w:hint="default"/>
                <w:sz w:val="18"/>
                <w:szCs w:val="18"/>
              </w:rPr>
            </w:pPr>
            <w:r>
              <w:rPr>
                <w:rFonts w:ascii="Arial"/>
                <w:spacing w:val="-1"/>
                <w:sz w:val="18"/>
              </w:rPr>
              <w:t>(70,136,179)</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31" w:right="0"/>
              <w:jc w:val="left"/>
              <w:rPr>
                <w:rFonts w:ascii="Arial" w:hAnsi="Arial" w:cs="Arial" w:eastAsia="Arial" w:hint="default"/>
                <w:sz w:val="18"/>
                <w:szCs w:val="18"/>
              </w:rPr>
            </w:pPr>
            <w:r>
              <w:rPr>
                <w:rFonts w:ascii="Arial"/>
                <w:sz w:val="18"/>
              </w:rPr>
              <w:t>17,613,750,603</w:t>
            </w:r>
          </w:p>
        </w:tc>
      </w:tr>
      <w:tr>
        <w:trPr>
          <w:trHeight w:val="233"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196" w:lineRule="exact"/>
              <w:ind w:left="382"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54" w:right="0"/>
              <w:jc w:val="left"/>
              <w:rPr>
                <w:rFonts w:ascii="Arial" w:hAnsi="Arial" w:cs="Arial" w:eastAsia="Arial" w:hint="default"/>
                <w:sz w:val="18"/>
                <w:szCs w:val="18"/>
              </w:rPr>
            </w:pPr>
            <w:r>
              <w:rPr>
                <w:rFonts w:ascii="Arial"/>
                <w:sz w:val="18"/>
              </w:rPr>
              <w:t>9,745,199,918</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59" w:right="0"/>
              <w:jc w:val="left"/>
              <w:rPr>
                <w:rFonts w:ascii="Arial" w:hAnsi="Arial" w:cs="Arial" w:eastAsia="Arial" w:hint="default"/>
                <w:sz w:val="18"/>
                <w:szCs w:val="18"/>
              </w:rPr>
            </w:pPr>
            <w:r>
              <w:rPr>
                <w:rFonts w:ascii="Arial"/>
                <w:sz w:val="18"/>
              </w:rPr>
              <w:t>63,599,031</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08" w:right="0"/>
              <w:jc w:val="left"/>
              <w:rPr>
                <w:rFonts w:ascii="Arial" w:hAnsi="Arial" w:cs="Arial" w:eastAsia="Arial" w:hint="default"/>
                <w:sz w:val="18"/>
                <w:szCs w:val="18"/>
              </w:rPr>
            </w:pPr>
            <w:r>
              <w:rPr>
                <w:rFonts w:ascii="Arial"/>
                <w:sz w:val="18"/>
              </w:rPr>
              <w:t>2,572,503,150</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5"/>
              <w:jc w:val="right"/>
              <w:rPr>
                <w:rFonts w:ascii="Arial" w:hAnsi="Arial" w:cs="Arial" w:eastAsia="Arial" w:hint="default"/>
                <w:sz w:val="18"/>
                <w:szCs w:val="18"/>
              </w:rPr>
            </w:pPr>
            <w:r>
              <w:rPr>
                <w:rFonts w:ascii="Arial"/>
                <w:spacing w:val="-1"/>
                <w:sz w:val="18"/>
              </w:rPr>
              <w:t>(340,281,118)</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31" w:right="0"/>
              <w:jc w:val="left"/>
              <w:rPr>
                <w:rFonts w:ascii="Arial" w:hAnsi="Arial" w:cs="Arial" w:eastAsia="Arial" w:hint="default"/>
                <w:sz w:val="18"/>
                <w:szCs w:val="18"/>
              </w:rPr>
            </w:pPr>
            <w:r>
              <w:rPr>
                <w:rFonts w:ascii="Arial"/>
                <w:sz w:val="18"/>
              </w:rPr>
              <w:t>12,041,020,981</w:t>
            </w:r>
          </w:p>
        </w:tc>
      </w:tr>
      <w:tr>
        <w:trPr>
          <w:trHeight w:val="233"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195" w:lineRule="exact"/>
              <w:ind w:right="76"/>
              <w:jc w:val="right"/>
              <w:rPr>
                <w:rFonts w:ascii="宋体" w:hAnsi="宋体" w:cs="宋体" w:eastAsia="宋体" w:hint="default"/>
                <w:sz w:val="18"/>
                <w:szCs w:val="18"/>
              </w:rPr>
            </w:pPr>
            <w:r>
              <w:rPr>
                <w:rFonts w:ascii="宋体" w:hAnsi="宋体" w:cs="宋体" w:eastAsia="宋体" w:hint="default"/>
                <w:sz w:val="18"/>
                <w:szCs w:val="18"/>
              </w:rPr>
              <w:t>电路及设备使用权</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04" w:right="0"/>
              <w:jc w:val="left"/>
              <w:rPr>
                <w:rFonts w:ascii="Arial" w:hAnsi="Arial" w:cs="Arial" w:eastAsia="Arial" w:hint="default"/>
                <w:sz w:val="18"/>
                <w:szCs w:val="18"/>
              </w:rPr>
            </w:pPr>
            <w:r>
              <w:rPr>
                <w:rFonts w:ascii="Arial"/>
                <w:sz w:val="18"/>
              </w:rPr>
              <w:t>669,373,719</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59" w:right="0"/>
              <w:jc w:val="left"/>
              <w:rPr>
                <w:rFonts w:ascii="Arial" w:hAnsi="Arial" w:cs="Arial" w:eastAsia="Arial" w:hint="default"/>
                <w:sz w:val="18"/>
                <w:szCs w:val="18"/>
              </w:rPr>
            </w:pPr>
            <w:r>
              <w:rPr>
                <w:rFonts w:ascii="Arial"/>
                <w:sz w:val="18"/>
              </w:rPr>
              <w:t>20,213,867</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8"/>
              <w:jc w:val="right"/>
              <w:rPr>
                <w:rFonts w:ascii="Arial" w:hAnsi="Arial" w:cs="Arial" w:eastAsia="Arial" w:hint="default"/>
                <w:sz w:val="18"/>
                <w:szCs w:val="18"/>
              </w:rPr>
            </w:pPr>
            <w:r>
              <w:rPr>
                <w:rFonts w:ascii="Arial"/>
                <w:w w:val="99"/>
                <w:sz w:val="18"/>
              </w:rPr>
              <w:t>-</w:t>
            </w:r>
            <w:r>
              <w:rPr>
                <w:rFonts w:ascii="Arial"/>
                <w:sz w:val="18"/>
              </w:rPr>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5"/>
              <w:jc w:val="right"/>
              <w:rPr>
                <w:rFonts w:ascii="Arial" w:hAnsi="Arial" w:cs="Arial" w:eastAsia="Arial" w:hint="default"/>
                <w:sz w:val="18"/>
                <w:szCs w:val="18"/>
              </w:rPr>
            </w:pPr>
            <w:r>
              <w:rPr>
                <w:rFonts w:ascii="Arial"/>
                <w:w w:val="99"/>
                <w:sz w:val="18"/>
              </w:rPr>
              <w:t>-</w:t>
            </w:r>
            <w:r>
              <w:rPr>
                <w:rFonts w:ascii="Arial"/>
                <w:sz w:val="18"/>
              </w:rPr>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8"/>
              <w:jc w:val="right"/>
              <w:rPr>
                <w:rFonts w:ascii="Arial" w:hAnsi="Arial" w:cs="Arial" w:eastAsia="Arial" w:hint="default"/>
                <w:sz w:val="18"/>
                <w:szCs w:val="18"/>
              </w:rPr>
            </w:pPr>
            <w:r>
              <w:rPr>
                <w:rFonts w:ascii="Arial"/>
                <w:spacing w:val="-1"/>
                <w:sz w:val="18"/>
              </w:rPr>
              <w:t>689,587,586</w:t>
            </w:r>
          </w:p>
        </w:tc>
      </w:tr>
      <w:tr>
        <w:trPr>
          <w:trHeight w:val="241"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196" w:lineRule="exact"/>
              <w:ind w:left="3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3" w:type="dxa"/>
            <w:tcBorders>
              <w:top w:val="nil" w:sz="6" w:space="0" w:color="auto"/>
              <w:left w:val="nil" w:sz="6" w:space="0" w:color="auto"/>
              <w:bottom w:val="nil" w:sz="6" w:space="0" w:color="auto"/>
              <w:right w:val="nil" w:sz="6" w:space="0" w:color="auto"/>
            </w:tcBorders>
          </w:tcPr>
          <w:p>
            <w:pPr>
              <w:pStyle w:val="TableParagraph"/>
              <w:tabs>
                <w:tab w:pos="304" w:val="left" w:leader="none"/>
                <w:tab w:pos="1421" w:val="left" w:leader="none"/>
              </w:tabs>
              <w:spacing w:line="240" w:lineRule="auto" w:before="15"/>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302,639,930</w:t>
              <w:tab/>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tabs>
                <w:tab w:pos="559" w:val="left" w:leader="none"/>
                <w:tab w:pos="1621" w:val="left" w:leader="none"/>
              </w:tabs>
              <w:spacing w:line="240" w:lineRule="auto" w:before="15"/>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16,569,860</w:t>
              <w:tab/>
            </w:r>
            <w:r>
              <w:rPr>
                <w:rFonts w:ascii="Arial"/>
                <w:sz w:val="18"/>
              </w:rPr>
            </w:r>
          </w:p>
        </w:tc>
        <w:tc>
          <w:tcPr>
            <w:tcW w:w="1440" w:type="dxa"/>
            <w:tcBorders>
              <w:top w:val="nil" w:sz="6" w:space="0" w:color="auto"/>
              <w:left w:val="nil" w:sz="6" w:space="0" w:color="auto"/>
              <w:bottom w:val="nil" w:sz="6" w:space="0" w:color="auto"/>
              <w:right w:val="nil" w:sz="6" w:space="0" w:color="auto"/>
            </w:tcBorders>
          </w:tcPr>
          <w:p>
            <w:pPr>
              <w:pStyle w:val="TableParagraph"/>
              <w:tabs>
                <w:tab w:pos="377" w:val="left" w:leader="none"/>
                <w:tab w:pos="1358" w:val="left" w:leader="none"/>
              </w:tabs>
              <w:spacing w:line="240" w:lineRule="auto" w:before="1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79,164,775</w:t>
              <w:tab/>
            </w:r>
            <w:r>
              <w:rPr>
                <w:rFonts w:ascii="Arial"/>
                <w:spacing w:val="-1"/>
                <w:sz w:val="18"/>
              </w:rPr>
            </w:r>
          </w:p>
        </w:tc>
        <w:tc>
          <w:tcPr>
            <w:tcW w:w="1408" w:type="dxa"/>
            <w:tcBorders>
              <w:top w:val="nil" w:sz="6" w:space="0" w:color="auto"/>
              <w:left w:val="nil" w:sz="6" w:space="0" w:color="auto"/>
              <w:bottom w:val="nil" w:sz="6" w:space="0" w:color="auto"/>
              <w:right w:val="nil" w:sz="6" w:space="0" w:color="auto"/>
            </w:tcBorders>
          </w:tcPr>
          <w:p>
            <w:pPr>
              <w:pStyle w:val="TableParagraph"/>
              <w:tabs>
                <w:tab w:pos="319" w:val="left" w:leader="none"/>
              </w:tabs>
              <w:spacing w:line="240" w:lineRule="auto" w:before="15"/>
              <w:ind w:right="8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(5,749,952)</w:t>
            </w:r>
            <w:r>
              <w:rPr>
                <w:rFonts w:ascii="Arial"/>
                <w:spacing w:val="-1"/>
                <w:sz w:val="18"/>
              </w:rPr>
            </w:r>
          </w:p>
        </w:tc>
        <w:tc>
          <w:tcPr>
            <w:tcW w:w="1472" w:type="dxa"/>
            <w:tcBorders>
              <w:top w:val="nil" w:sz="6" w:space="0" w:color="auto"/>
              <w:left w:val="nil" w:sz="6" w:space="0" w:color="auto"/>
              <w:bottom w:val="nil" w:sz="6" w:space="0" w:color="auto"/>
              <w:right w:val="nil" w:sz="6" w:space="0" w:color="auto"/>
            </w:tcBorders>
          </w:tcPr>
          <w:p>
            <w:pPr>
              <w:pStyle w:val="TableParagraph"/>
              <w:tabs>
                <w:tab w:pos="381" w:val="left" w:leader="none"/>
                <w:tab w:pos="1472" w:val="left" w:leader="none"/>
              </w:tabs>
              <w:spacing w:line="240" w:lineRule="auto" w:before="15"/>
              <w:ind w:left="14"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392,624,613</w:t>
              <w:tab/>
            </w:r>
            <w:r>
              <w:rPr>
                <w:rFonts w:ascii="Arial"/>
                <w:sz w:val="18"/>
              </w:rPr>
            </w:r>
          </w:p>
        </w:tc>
      </w:tr>
      <w:tr>
        <w:trPr>
          <w:trHeight w:val="252"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03" w:lineRule="exact"/>
              <w:ind w:left="38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93" w:type="dxa"/>
            <w:tcBorders>
              <w:top w:val="nil" w:sz="6" w:space="0" w:color="auto"/>
              <w:left w:val="nil" w:sz="6" w:space="0" w:color="auto"/>
              <w:bottom w:val="nil" w:sz="6" w:space="0" w:color="auto"/>
              <w:right w:val="nil" w:sz="6" w:space="0" w:color="auto"/>
            </w:tcBorders>
          </w:tcPr>
          <w:p>
            <w:pPr>
              <w:pStyle w:val="TableParagraph"/>
              <w:tabs>
                <w:tab w:pos="1421" w:val="left" w:leader="none"/>
              </w:tabs>
              <w:spacing w:line="240" w:lineRule="auto" w:before="22"/>
              <w:ind w:right="0"/>
              <w:jc w:val="left"/>
              <w:rPr>
                <w:rFonts w:ascii="Arial" w:hAnsi="Arial" w:cs="Arial" w:eastAsia="Arial" w:hint="default"/>
                <w:sz w:val="18"/>
                <w:szCs w:val="18"/>
              </w:rPr>
            </w:pPr>
            <w:r>
              <w:rPr>
                <w:rFonts w:ascii="Arial"/>
                <w:w w:val="100"/>
                <w:sz w:val="18"/>
              </w:rPr>
            </w:r>
            <w:r>
              <w:rPr>
                <w:rFonts w:ascii="Arial"/>
                <w:spacing w:val="5"/>
                <w:w w:val="100"/>
                <w:sz w:val="18"/>
                <w:u w:val="single" w:color="000000"/>
              </w:rPr>
              <w:t> </w:t>
            </w:r>
            <w:r>
              <w:rPr>
                <w:rFonts w:ascii="Arial"/>
                <w:sz w:val="18"/>
                <w:u w:val="single" w:color="000000"/>
              </w:rPr>
              <w:t>28,153,177,191</w:t>
              <w:tab/>
            </w:r>
            <w:r>
              <w:rPr>
                <w:rFonts w:ascii="Arial"/>
                <w:sz w:val="18"/>
              </w:rPr>
            </w:r>
          </w:p>
        </w:tc>
        <w:tc>
          <w:tcPr>
            <w:tcW w:w="1621" w:type="dxa"/>
            <w:tcBorders>
              <w:top w:val="nil" w:sz="6" w:space="0" w:color="auto"/>
              <w:left w:val="nil" w:sz="6" w:space="0" w:color="auto"/>
              <w:bottom w:val="single" w:sz="17" w:space="0" w:color="000000"/>
              <w:right w:val="nil" w:sz="6" w:space="0" w:color="auto"/>
            </w:tcBorders>
          </w:tcPr>
          <w:p>
            <w:pPr>
              <w:pStyle w:val="TableParagraph"/>
              <w:spacing w:line="240" w:lineRule="auto" w:before="22"/>
              <w:ind w:left="459" w:right="0"/>
              <w:jc w:val="left"/>
              <w:rPr>
                <w:rFonts w:ascii="Arial" w:hAnsi="Arial" w:cs="Arial" w:eastAsia="Arial" w:hint="default"/>
                <w:sz w:val="18"/>
                <w:szCs w:val="18"/>
              </w:rPr>
            </w:pPr>
            <w:r>
              <w:rPr>
                <w:rFonts w:ascii="Arial"/>
                <w:sz w:val="18"/>
              </w:rPr>
              <w:t>100,382,758</w:t>
            </w:r>
          </w:p>
        </w:tc>
        <w:tc>
          <w:tcPr>
            <w:tcW w:w="1440" w:type="dxa"/>
            <w:tcBorders>
              <w:top w:val="nil" w:sz="6" w:space="0" w:color="auto"/>
              <w:left w:val="nil" w:sz="6" w:space="0" w:color="auto"/>
              <w:bottom w:val="single" w:sz="6" w:space="0" w:color="000000"/>
              <w:right w:val="nil" w:sz="6" w:space="0" w:color="auto"/>
            </w:tcBorders>
          </w:tcPr>
          <w:p>
            <w:pPr>
              <w:pStyle w:val="TableParagraph"/>
              <w:spacing w:line="240" w:lineRule="auto" w:before="22"/>
              <w:ind w:left="208" w:right="0"/>
              <w:jc w:val="left"/>
              <w:rPr>
                <w:rFonts w:ascii="Arial" w:hAnsi="Arial" w:cs="Arial" w:eastAsia="Arial" w:hint="default"/>
                <w:sz w:val="18"/>
                <w:szCs w:val="18"/>
              </w:rPr>
            </w:pPr>
            <w:r>
              <w:rPr>
                <w:rFonts w:ascii="Arial"/>
                <w:sz w:val="18"/>
              </w:rPr>
              <w:t>2,899,591,083</w:t>
            </w:r>
          </w:p>
        </w:tc>
        <w:tc>
          <w:tcPr>
            <w:tcW w:w="1408" w:type="dxa"/>
            <w:tcBorders>
              <w:top w:val="nil" w:sz="6" w:space="0" w:color="auto"/>
              <w:left w:val="nil" w:sz="6" w:space="0" w:color="auto"/>
              <w:bottom w:val="single" w:sz="6" w:space="0" w:color="000000"/>
              <w:right w:val="nil" w:sz="6" w:space="0" w:color="auto"/>
            </w:tcBorders>
          </w:tcPr>
          <w:p>
            <w:pPr>
              <w:pStyle w:val="TableParagraph"/>
              <w:spacing w:line="240" w:lineRule="auto" w:before="22"/>
              <w:ind w:right="85"/>
              <w:jc w:val="right"/>
              <w:rPr>
                <w:rFonts w:ascii="Arial" w:hAnsi="Arial" w:cs="Arial" w:eastAsia="Arial" w:hint="default"/>
                <w:sz w:val="18"/>
                <w:szCs w:val="18"/>
              </w:rPr>
            </w:pPr>
            <w:r>
              <w:rPr>
                <w:rFonts w:ascii="Arial"/>
                <w:spacing w:val="-1"/>
                <w:sz w:val="18"/>
              </w:rPr>
              <w:t>(416,167,249)</w:t>
            </w:r>
          </w:p>
        </w:tc>
        <w:tc>
          <w:tcPr>
            <w:tcW w:w="1472" w:type="dxa"/>
            <w:tcBorders>
              <w:top w:val="nil" w:sz="6" w:space="0" w:color="auto"/>
              <w:left w:val="nil" w:sz="6" w:space="0" w:color="auto"/>
              <w:bottom w:val="single" w:sz="6" w:space="0" w:color="000000"/>
              <w:right w:val="nil" w:sz="6" w:space="0" w:color="auto"/>
            </w:tcBorders>
          </w:tcPr>
          <w:p>
            <w:pPr>
              <w:pStyle w:val="TableParagraph"/>
              <w:spacing w:line="240" w:lineRule="auto" w:before="22"/>
              <w:ind w:left="131" w:right="0"/>
              <w:jc w:val="left"/>
              <w:rPr>
                <w:rFonts w:ascii="Arial" w:hAnsi="Arial" w:cs="Arial" w:eastAsia="Arial" w:hint="default"/>
                <w:sz w:val="18"/>
                <w:szCs w:val="18"/>
              </w:rPr>
            </w:pPr>
            <w:r>
              <w:rPr>
                <w:rFonts w:ascii="Arial"/>
                <w:sz w:val="18"/>
              </w:rPr>
              <w:t>30,736,983,783</w:t>
            </w:r>
          </w:p>
        </w:tc>
      </w:tr>
      <w:tr>
        <w:trPr>
          <w:trHeight w:val="324"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00" w:right="0"/>
              <w:jc w:val="left"/>
              <w:rPr>
                <w:rFonts w:ascii="宋体" w:hAnsi="宋体" w:cs="宋体" w:eastAsia="宋体" w:hint="default"/>
                <w:sz w:val="18"/>
                <w:szCs w:val="18"/>
              </w:rPr>
            </w:pPr>
            <w:r>
              <w:rPr>
                <w:rFonts w:ascii="宋体" w:hAnsi="宋体" w:cs="宋体" w:eastAsia="宋体" w:hint="default"/>
                <w:sz w:val="18"/>
                <w:szCs w:val="18"/>
              </w:rPr>
              <w:t>累计摊销</w:t>
            </w:r>
          </w:p>
        </w:tc>
        <w:tc>
          <w:tcPr>
            <w:tcW w:w="1493" w:type="dxa"/>
            <w:tcBorders>
              <w:top w:val="nil" w:sz="6" w:space="0" w:color="auto"/>
              <w:left w:val="nil" w:sz="6" w:space="0" w:color="auto"/>
              <w:bottom w:val="nil" w:sz="6" w:space="0" w:color="auto"/>
              <w:right w:val="nil" w:sz="6" w:space="0" w:color="auto"/>
            </w:tcBorders>
          </w:tcPr>
          <w:p>
            <w:pPr/>
          </w:p>
        </w:tc>
        <w:tc>
          <w:tcPr>
            <w:tcW w:w="1621" w:type="dxa"/>
            <w:tcBorders>
              <w:top w:val="single" w:sz="17" w:space="0" w:color="000000"/>
              <w:left w:val="nil" w:sz="6" w:space="0" w:color="auto"/>
              <w:bottom w:val="nil" w:sz="6" w:space="0" w:color="auto"/>
              <w:right w:val="nil" w:sz="6" w:space="0" w:color="auto"/>
            </w:tcBorders>
          </w:tcPr>
          <w:p>
            <w:pPr/>
          </w:p>
        </w:tc>
        <w:tc>
          <w:tcPr>
            <w:tcW w:w="1440" w:type="dxa"/>
            <w:tcBorders>
              <w:top w:val="single" w:sz="6" w:space="0" w:color="000000"/>
              <w:left w:val="nil" w:sz="6" w:space="0" w:color="auto"/>
              <w:bottom w:val="nil" w:sz="6" w:space="0" w:color="auto"/>
              <w:right w:val="nil" w:sz="6" w:space="0" w:color="auto"/>
            </w:tcBorders>
          </w:tcPr>
          <w:p>
            <w:pPr/>
          </w:p>
        </w:tc>
        <w:tc>
          <w:tcPr>
            <w:tcW w:w="1408" w:type="dxa"/>
            <w:tcBorders>
              <w:top w:val="single" w:sz="6" w:space="0" w:color="000000"/>
              <w:left w:val="nil" w:sz="6" w:space="0" w:color="auto"/>
              <w:bottom w:val="nil" w:sz="6" w:space="0" w:color="auto"/>
              <w:right w:val="nil" w:sz="6" w:space="0" w:color="auto"/>
            </w:tcBorders>
          </w:tcPr>
          <w:p>
            <w:pPr/>
          </w:p>
        </w:tc>
        <w:tc>
          <w:tcPr>
            <w:tcW w:w="1472" w:type="dxa"/>
            <w:tcBorders>
              <w:top w:val="single" w:sz="6" w:space="0" w:color="000000"/>
              <w:left w:val="nil" w:sz="6" w:space="0" w:color="auto"/>
              <w:bottom w:val="nil" w:sz="6" w:space="0" w:color="auto"/>
              <w:right w:val="nil" w:sz="6" w:space="0" w:color="auto"/>
            </w:tcBorders>
          </w:tcPr>
          <w:p>
            <w:pPr/>
          </w:p>
        </w:tc>
      </w:tr>
      <w:tr>
        <w:trPr>
          <w:trHeight w:val="244"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07" w:lineRule="exact"/>
              <w:ind w:left="3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94" w:right="0"/>
              <w:jc w:val="left"/>
              <w:rPr>
                <w:rFonts w:ascii="Arial" w:hAnsi="Arial" w:cs="Arial" w:eastAsia="Arial" w:hint="default"/>
                <w:sz w:val="18"/>
                <w:szCs w:val="18"/>
              </w:rPr>
            </w:pPr>
            <w:r>
              <w:rPr>
                <w:rFonts w:ascii="Arial"/>
                <w:sz w:val="18"/>
              </w:rPr>
              <w:t>(2,970,809,127)</w:t>
            </w:r>
          </w:p>
        </w:tc>
        <w:tc>
          <w:tcPr>
            <w:tcW w:w="1621"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00" w:right="0"/>
              <w:jc w:val="left"/>
              <w:rPr>
                <w:rFonts w:ascii="Arial" w:hAnsi="Arial" w:cs="Arial" w:eastAsia="Arial" w:hint="default"/>
                <w:sz w:val="18"/>
                <w:szCs w:val="18"/>
              </w:rPr>
            </w:pPr>
            <w:r>
              <w:rPr>
                <w:rFonts w:ascii="Arial"/>
                <w:sz w:val="18"/>
              </w:rPr>
              <w:t>(499,143,749)</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8" w:right="0"/>
              <w:jc w:val="left"/>
              <w:rPr>
                <w:rFonts w:ascii="Arial" w:hAnsi="Arial" w:cs="Arial" w:eastAsia="Arial" w:hint="default"/>
                <w:sz w:val="18"/>
                <w:szCs w:val="18"/>
              </w:rPr>
            </w:pPr>
            <w:r>
              <w:rPr>
                <w:rFonts w:ascii="Arial"/>
                <w:sz w:val="18"/>
              </w:rPr>
              <w:t>62,836,598</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71" w:right="0"/>
              <w:jc w:val="left"/>
              <w:rPr>
                <w:rFonts w:ascii="Arial" w:hAnsi="Arial" w:cs="Arial" w:eastAsia="Arial" w:hint="default"/>
                <w:sz w:val="18"/>
                <w:szCs w:val="18"/>
              </w:rPr>
            </w:pPr>
            <w:r>
              <w:rPr>
                <w:rFonts w:ascii="Arial"/>
                <w:sz w:val="18"/>
              </w:rPr>
              <w:t>(3,407,116,278)</w:t>
            </w:r>
          </w:p>
        </w:tc>
      </w:tr>
      <w:tr>
        <w:trPr>
          <w:trHeight w:val="234"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195" w:lineRule="exact"/>
              <w:ind w:left="382"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4" w:right="0"/>
              <w:jc w:val="left"/>
              <w:rPr>
                <w:rFonts w:ascii="Arial" w:hAnsi="Arial" w:cs="Arial" w:eastAsia="Arial" w:hint="default"/>
                <w:sz w:val="18"/>
                <w:szCs w:val="18"/>
              </w:rPr>
            </w:pPr>
            <w:r>
              <w:rPr>
                <w:rFonts w:ascii="Arial"/>
                <w:sz w:val="18"/>
              </w:rPr>
              <w:t>(4,236,202,948)</w:t>
            </w:r>
          </w:p>
        </w:tc>
        <w:tc>
          <w:tcPr>
            <w:tcW w:w="1621"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8" w:right="0"/>
              <w:jc w:val="left"/>
              <w:rPr>
                <w:rFonts w:ascii="Arial" w:hAnsi="Arial" w:cs="Arial" w:eastAsia="Arial" w:hint="default"/>
                <w:sz w:val="18"/>
                <w:szCs w:val="18"/>
              </w:rPr>
            </w:pPr>
            <w:r>
              <w:rPr>
                <w:rFonts w:ascii="Arial"/>
                <w:sz w:val="18"/>
              </w:rPr>
              <w:t>(1,777,747,425)</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59" w:right="0"/>
              <w:jc w:val="left"/>
              <w:rPr>
                <w:rFonts w:ascii="Arial" w:hAnsi="Arial" w:cs="Arial" w:eastAsia="Arial" w:hint="default"/>
                <w:sz w:val="18"/>
                <w:szCs w:val="18"/>
              </w:rPr>
            </w:pPr>
            <w:r>
              <w:rPr>
                <w:rFonts w:ascii="Arial"/>
                <w:sz w:val="18"/>
              </w:rPr>
              <w:t>338,964,941</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71" w:right="0"/>
              <w:jc w:val="left"/>
              <w:rPr>
                <w:rFonts w:ascii="Arial" w:hAnsi="Arial" w:cs="Arial" w:eastAsia="Arial" w:hint="default"/>
                <w:sz w:val="18"/>
                <w:szCs w:val="18"/>
              </w:rPr>
            </w:pPr>
            <w:r>
              <w:rPr>
                <w:rFonts w:ascii="Arial"/>
                <w:sz w:val="18"/>
              </w:rPr>
              <w:t>(5,674,985,432)</w:t>
            </w:r>
          </w:p>
        </w:tc>
      </w:tr>
      <w:tr>
        <w:trPr>
          <w:trHeight w:val="234"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196" w:lineRule="exact"/>
              <w:ind w:right="76"/>
              <w:jc w:val="right"/>
              <w:rPr>
                <w:rFonts w:ascii="宋体" w:hAnsi="宋体" w:cs="宋体" w:eastAsia="宋体" w:hint="default"/>
                <w:sz w:val="18"/>
                <w:szCs w:val="18"/>
              </w:rPr>
            </w:pPr>
            <w:r>
              <w:rPr>
                <w:rFonts w:ascii="宋体" w:hAnsi="宋体" w:cs="宋体" w:eastAsia="宋体" w:hint="default"/>
                <w:sz w:val="18"/>
                <w:szCs w:val="18"/>
              </w:rPr>
              <w:t>电路及设备使用权</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46" w:right="0"/>
              <w:jc w:val="left"/>
              <w:rPr>
                <w:rFonts w:ascii="Arial" w:hAnsi="Arial" w:cs="Arial" w:eastAsia="Arial" w:hint="default"/>
                <w:sz w:val="18"/>
                <w:szCs w:val="18"/>
              </w:rPr>
            </w:pPr>
            <w:r>
              <w:rPr>
                <w:rFonts w:ascii="Arial"/>
                <w:sz w:val="18"/>
              </w:rPr>
              <w:t>(177,949,330)</w:t>
            </w:r>
          </w:p>
        </w:tc>
        <w:tc>
          <w:tcPr>
            <w:tcW w:w="1621"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8"/>
              <w:jc w:val="right"/>
              <w:rPr>
                <w:rFonts w:ascii="Arial" w:hAnsi="Arial" w:cs="Arial" w:eastAsia="Arial" w:hint="default"/>
                <w:sz w:val="18"/>
                <w:szCs w:val="18"/>
              </w:rPr>
            </w:pPr>
            <w:r>
              <w:rPr>
                <w:rFonts w:ascii="Arial"/>
                <w:spacing w:val="-1"/>
                <w:sz w:val="18"/>
              </w:rPr>
              <w:t>(45,916,123)</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5"/>
              <w:jc w:val="right"/>
              <w:rPr>
                <w:rFonts w:ascii="Arial" w:hAnsi="Arial" w:cs="Arial" w:eastAsia="Arial" w:hint="default"/>
                <w:sz w:val="18"/>
                <w:szCs w:val="18"/>
              </w:rPr>
            </w:pPr>
            <w:r>
              <w:rPr>
                <w:rFonts w:ascii="Arial"/>
                <w:w w:val="99"/>
                <w:sz w:val="18"/>
              </w:rPr>
              <w:t>-</w:t>
            </w:r>
            <w:r>
              <w:rPr>
                <w:rFonts w:ascii="Arial"/>
                <w:sz w:val="18"/>
              </w:rPr>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22" w:right="0"/>
              <w:jc w:val="left"/>
              <w:rPr>
                <w:rFonts w:ascii="Arial" w:hAnsi="Arial" w:cs="Arial" w:eastAsia="Arial" w:hint="default"/>
                <w:sz w:val="18"/>
                <w:szCs w:val="18"/>
              </w:rPr>
            </w:pPr>
            <w:r>
              <w:rPr>
                <w:rFonts w:ascii="Arial"/>
                <w:sz w:val="18"/>
              </w:rPr>
              <w:t>(223,865,453)</w:t>
            </w:r>
          </w:p>
        </w:tc>
      </w:tr>
      <w:tr>
        <w:trPr>
          <w:trHeight w:val="241"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196" w:lineRule="exact"/>
              <w:ind w:left="3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3" w:type="dxa"/>
            <w:tcBorders>
              <w:top w:val="nil" w:sz="6" w:space="0" w:color="auto"/>
              <w:left w:val="nil" w:sz="6" w:space="0" w:color="auto"/>
              <w:bottom w:val="nil" w:sz="6" w:space="0" w:color="auto"/>
              <w:right w:val="nil" w:sz="6" w:space="0" w:color="auto"/>
            </w:tcBorders>
          </w:tcPr>
          <w:p>
            <w:pPr>
              <w:pStyle w:val="TableParagraph"/>
              <w:tabs>
                <w:tab w:pos="345" w:val="left" w:leader="none"/>
                <w:tab w:pos="1421" w:val="left" w:leader="none"/>
              </w:tabs>
              <w:spacing w:line="240" w:lineRule="auto" w:before="15"/>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(25,370,035)</w:t>
              <w:tab/>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tabs>
                <w:tab w:pos="399" w:val="left" w:leader="none"/>
              </w:tabs>
              <w:spacing w:line="240" w:lineRule="auto" w:before="15"/>
              <w:ind w:left="81"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(47,452,135)</w:t>
            </w:r>
            <w:r>
              <w:rPr>
                <w:rFonts w:ascii="Arial"/>
                <w:sz w:val="18"/>
              </w:rPr>
            </w:r>
          </w:p>
        </w:tc>
        <w:tc>
          <w:tcPr>
            <w:tcW w:w="1408" w:type="dxa"/>
            <w:tcBorders>
              <w:top w:val="nil" w:sz="6" w:space="0" w:color="auto"/>
              <w:left w:val="nil" w:sz="6" w:space="0" w:color="auto"/>
              <w:bottom w:val="nil" w:sz="6" w:space="0" w:color="auto"/>
              <w:right w:val="nil" w:sz="6" w:space="0" w:color="auto"/>
            </w:tcBorders>
          </w:tcPr>
          <w:p>
            <w:pPr>
              <w:pStyle w:val="TableParagraph"/>
              <w:tabs>
                <w:tab w:pos="377" w:val="left" w:leader="none"/>
                <w:tab w:pos="1268" w:val="left" w:leader="none"/>
              </w:tabs>
              <w:spacing w:line="240" w:lineRule="auto" w:before="15"/>
              <w:ind w:right="5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5,749,952</w:t>
              <w:tab/>
            </w:r>
            <w:r>
              <w:rPr>
                <w:rFonts w:ascii="Arial"/>
                <w:spacing w:val="-1"/>
                <w:sz w:val="18"/>
              </w:rPr>
            </w:r>
          </w:p>
        </w:tc>
        <w:tc>
          <w:tcPr>
            <w:tcW w:w="1472"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15"/>
              <w:ind w:left="14"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(67,072,218)</w:t>
            </w:r>
            <w:r>
              <w:rPr>
                <w:rFonts w:ascii="Arial"/>
                <w:sz w:val="18"/>
              </w:rPr>
            </w:r>
          </w:p>
        </w:tc>
      </w:tr>
      <w:tr>
        <w:trPr>
          <w:trHeight w:val="297"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03" w:lineRule="exact"/>
              <w:ind w:left="38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93" w:type="dxa"/>
            <w:tcBorders>
              <w:top w:val="nil" w:sz="6" w:space="0" w:color="auto"/>
              <w:left w:val="nil" w:sz="6" w:space="0" w:color="auto"/>
              <w:bottom w:val="nil" w:sz="6" w:space="0" w:color="auto"/>
              <w:right w:val="nil" w:sz="6" w:space="0" w:color="auto"/>
            </w:tcBorders>
          </w:tcPr>
          <w:p>
            <w:pPr>
              <w:pStyle w:val="TableParagraph"/>
              <w:tabs>
                <w:tab w:pos="1421" w:val="left" w:leader="none"/>
              </w:tabs>
              <w:spacing w:line="240" w:lineRule="auto" w:before="22"/>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6"/>
                <w:sz w:val="18"/>
                <w:u w:val="single" w:color="000000"/>
              </w:rPr>
              <w:t> </w:t>
            </w:r>
            <w:r>
              <w:rPr>
                <w:rFonts w:ascii="Arial"/>
                <w:sz w:val="18"/>
                <w:u w:val="single" w:color="000000"/>
              </w:rPr>
              <w:t>(7,410,331,440)</w:t>
              <w:tab/>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1"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33"/>
                <w:sz w:val="18"/>
                <w:u w:val="single" w:color="000000"/>
              </w:rPr>
              <w:t> </w:t>
            </w:r>
            <w:r>
              <w:rPr>
                <w:rFonts w:ascii="Arial"/>
                <w:sz w:val="18"/>
                <w:u w:val="single" w:color="000000"/>
              </w:rPr>
              <w:t>(2,370,259,432)</w:t>
            </w:r>
            <w:r>
              <w:rPr>
                <w:rFonts w:ascii="Arial"/>
                <w:sz w:val="18"/>
              </w:rPr>
            </w:r>
          </w:p>
        </w:tc>
        <w:tc>
          <w:tcPr>
            <w:tcW w:w="1408" w:type="dxa"/>
            <w:tcBorders>
              <w:top w:val="nil" w:sz="6" w:space="0" w:color="auto"/>
              <w:left w:val="nil" w:sz="6" w:space="0" w:color="auto"/>
              <w:bottom w:val="nil" w:sz="6" w:space="0" w:color="auto"/>
              <w:right w:val="nil" w:sz="6" w:space="0" w:color="auto"/>
            </w:tcBorders>
          </w:tcPr>
          <w:p>
            <w:pPr>
              <w:pStyle w:val="TableParagraph"/>
              <w:tabs>
                <w:tab w:pos="1268" w:val="left" w:leader="none"/>
              </w:tabs>
              <w:spacing w:line="240" w:lineRule="auto" w:before="22"/>
              <w:ind w:right="5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3"/>
                <w:sz w:val="18"/>
                <w:u w:val="single" w:color="000000"/>
              </w:rPr>
              <w:t> </w:t>
            </w:r>
            <w:r>
              <w:rPr>
                <w:rFonts w:ascii="Arial"/>
                <w:spacing w:val="-1"/>
                <w:sz w:val="18"/>
                <w:u w:val="single" w:color="000000"/>
              </w:rPr>
              <w:t>407,551,491</w:t>
              <w:tab/>
            </w:r>
            <w:r>
              <w:rPr>
                <w:rFonts w:ascii="Arial"/>
                <w:spacing w:val="-1"/>
                <w:sz w:val="18"/>
              </w:rPr>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4"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7"/>
                <w:sz w:val="18"/>
                <w:u w:val="single" w:color="000000"/>
              </w:rPr>
              <w:t> </w:t>
            </w:r>
            <w:r>
              <w:rPr>
                <w:rFonts w:ascii="Arial"/>
                <w:sz w:val="18"/>
                <w:u w:val="single" w:color="000000"/>
              </w:rPr>
              <w:t>(9,373,039,381)</w:t>
            </w:r>
            <w:r>
              <w:rPr>
                <w:rFonts w:ascii="Arial"/>
                <w:sz w:val="18"/>
              </w:rPr>
            </w:r>
          </w:p>
        </w:tc>
      </w:tr>
      <w:tr>
        <w:trPr>
          <w:trHeight w:val="279"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00"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493" w:type="dxa"/>
            <w:tcBorders>
              <w:top w:val="nil" w:sz="6" w:space="0" w:color="auto"/>
              <w:left w:val="nil" w:sz="6" w:space="0" w:color="auto"/>
              <w:bottom w:val="nil" w:sz="6" w:space="0" w:color="auto"/>
              <w:right w:val="nil" w:sz="6" w:space="0" w:color="auto"/>
            </w:tcBorders>
          </w:tcPr>
          <w:p>
            <w:pPr/>
          </w:p>
        </w:tc>
        <w:tc>
          <w:tcPr>
            <w:tcW w:w="1621"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
        </w:tc>
      </w:tr>
      <w:tr>
        <w:trPr>
          <w:trHeight w:val="244"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07" w:lineRule="exact"/>
              <w:ind w:left="3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5" w:right="0"/>
              <w:jc w:val="left"/>
              <w:rPr>
                <w:rFonts w:ascii="Arial" w:hAnsi="Arial" w:cs="Arial" w:eastAsia="Arial" w:hint="default"/>
                <w:sz w:val="18"/>
                <w:szCs w:val="18"/>
              </w:rPr>
            </w:pPr>
            <w:r>
              <w:rPr>
                <w:rFonts w:ascii="Arial"/>
                <w:sz w:val="18"/>
              </w:rPr>
              <w:t>14,465,154,497</w:t>
            </w:r>
          </w:p>
        </w:tc>
        <w:tc>
          <w:tcPr>
            <w:tcW w:w="1621"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31" w:right="0"/>
              <w:jc w:val="left"/>
              <w:rPr>
                <w:rFonts w:ascii="Arial" w:hAnsi="Arial" w:cs="Arial" w:eastAsia="Arial" w:hint="default"/>
                <w:sz w:val="18"/>
                <w:szCs w:val="18"/>
              </w:rPr>
            </w:pPr>
            <w:r>
              <w:rPr>
                <w:rFonts w:ascii="Arial"/>
                <w:sz w:val="18"/>
              </w:rPr>
              <w:t>14,206,634,325</w:t>
            </w:r>
          </w:p>
        </w:tc>
      </w:tr>
      <w:tr>
        <w:trPr>
          <w:trHeight w:val="233"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195" w:lineRule="exact"/>
              <w:ind w:left="382"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54" w:right="0"/>
              <w:jc w:val="left"/>
              <w:rPr>
                <w:rFonts w:ascii="Arial" w:hAnsi="Arial" w:cs="Arial" w:eastAsia="Arial" w:hint="default"/>
                <w:sz w:val="18"/>
                <w:szCs w:val="18"/>
              </w:rPr>
            </w:pPr>
            <w:r>
              <w:rPr>
                <w:rFonts w:ascii="Arial"/>
                <w:sz w:val="18"/>
              </w:rPr>
              <w:t>5,508,996,970</w:t>
            </w:r>
          </w:p>
        </w:tc>
        <w:tc>
          <w:tcPr>
            <w:tcW w:w="1621"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31" w:right="0"/>
              <w:jc w:val="left"/>
              <w:rPr>
                <w:rFonts w:ascii="Arial" w:hAnsi="Arial" w:cs="Arial" w:eastAsia="Arial" w:hint="default"/>
                <w:sz w:val="18"/>
                <w:szCs w:val="18"/>
              </w:rPr>
            </w:pPr>
            <w:r>
              <w:rPr>
                <w:rFonts w:ascii="Arial"/>
                <w:sz w:val="18"/>
              </w:rPr>
              <w:t>6,366,035,549</w:t>
            </w:r>
          </w:p>
        </w:tc>
      </w:tr>
      <w:tr>
        <w:trPr>
          <w:trHeight w:val="233"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196" w:lineRule="exact"/>
              <w:ind w:right="76"/>
              <w:jc w:val="right"/>
              <w:rPr>
                <w:rFonts w:ascii="宋体" w:hAnsi="宋体" w:cs="宋体" w:eastAsia="宋体" w:hint="default"/>
                <w:sz w:val="18"/>
                <w:szCs w:val="18"/>
              </w:rPr>
            </w:pPr>
            <w:r>
              <w:rPr>
                <w:rFonts w:ascii="宋体" w:hAnsi="宋体" w:cs="宋体" w:eastAsia="宋体" w:hint="default"/>
                <w:sz w:val="18"/>
                <w:szCs w:val="18"/>
              </w:rPr>
              <w:t>电路及设备使用权</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04" w:right="0"/>
              <w:jc w:val="left"/>
              <w:rPr>
                <w:rFonts w:ascii="Arial" w:hAnsi="Arial" w:cs="Arial" w:eastAsia="Arial" w:hint="default"/>
                <w:sz w:val="18"/>
                <w:szCs w:val="18"/>
              </w:rPr>
            </w:pPr>
            <w:r>
              <w:rPr>
                <w:rFonts w:ascii="Arial"/>
                <w:sz w:val="18"/>
              </w:rPr>
              <w:t>491,424,389</w:t>
            </w:r>
          </w:p>
        </w:tc>
        <w:tc>
          <w:tcPr>
            <w:tcW w:w="1621"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8"/>
              <w:jc w:val="right"/>
              <w:rPr>
                <w:rFonts w:ascii="Arial" w:hAnsi="Arial" w:cs="Arial" w:eastAsia="Arial" w:hint="default"/>
                <w:sz w:val="18"/>
                <w:szCs w:val="18"/>
              </w:rPr>
            </w:pPr>
            <w:r>
              <w:rPr>
                <w:rFonts w:ascii="Arial"/>
                <w:spacing w:val="-1"/>
                <w:sz w:val="18"/>
              </w:rPr>
              <w:t>465,722,133</w:t>
            </w:r>
          </w:p>
        </w:tc>
      </w:tr>
      <w:tr>
        <w:trPr>
          <w:trHeight w:val="241"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195" w:lineRule="exact"/>
              <w:ind w:left="3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3" w:type="dxa"/>
            <w:tcBorders>
              <w:top w:val="nil" w:sz="6" w:space="0" w:color="auto"/>
              <w:left w:val="nil" w:sz="6" w:space="0" w:color="auto"/>
              <w:bottom w:val="nil" w:sz="6" w:space="0" w:color="auto"/>
              <w:right w:val="nil" w:sz="6" w:space="0" w:color="auto"/>
            </w:tcBorders>
          </w:tcPr>
          <w:p>
            <w:pPr>
              <w:pStyle w:val="TableParagraph"/>
              <w:tabs>
                <w:tab w:pos="304" w:val="left" w:leader="none"/>
                <w:tab w:pos="1421" w:val="left" w:leader="none"/>
              </w:tabs>
              <w:spacing w:line="240" w:lineRule="auto" w:before="14"/>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277,269,895</w:t>
              <w:tab/>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tabs>
                <w:tab w:pos="381" w:val="left" w:leader="none"/>
                <w:tab w:pos="1472" w:val="left" w:leader="none"/>
              </w:tabs>
              <w:spacing w:line="240" w:lineRule="auto" w:before="14"/>
              <w:ind w:left="14"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325,552,395</w:t>
              <w:tab/>
            </w:r>
            <w:r>
              <w:rPr>
                <w:rFonts w:ascii="Arial"/>
                <w:sz w:val="18"/>
              </w:rPr>
            </w:r>
          </w:p>
        </w:tc>
      </w:tr>
      <w:tr>
        <w:trPr>
          <w:trHeight w:val="298"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03" w:lineRule="exact"/>
              <w:ind w:left="38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93" w:type="dxa"/>
            <w:tcBorders>
              <w:top w:val="nil" w:sz="6" w:space="0" w:color="auto"/>
              <w:left w:val="nil" w:sz="6" w:space="0" w:color="auto"/>
              <w:bottom w:val="nil" w:sz="6" w:space="0" w:color="auto"/>
              <w:right w:val="nil" w:sz="6" w:space="0" w:color="auto"/>
            </w:tcBorders>
          </w:tcPr>
          <w:p>
            <w:pPr>
              <w:pStyle w:val="TableParagraph"/>
              <w:tabs>
                <w:tab w:pos="1421" w:val="left" w:leader="none"/>
              </w:tabs>
              <w:spacing w:line="240" w:lineRule="auto" w:before="22"/>
              <w:ind w:right="0"/>
              <w:jc w:val="left"/>
              <w:rPr>
                <w:rFonts w:ascii="Arial" w:hAnsi="Arial" w:cs="Arial" w:eastAsia="Arial" w:hint="default"/>
                <w:sz w:val="18"/>
                <w:szCs w:val="18"/>
              </w:rPr>
            </w:pPr>
            <w:r>
              <w:rPr>
                <w:rFonts w:ascii="Arial"/>
                <w:w w:val="100"/>
                <w:sz w:val="18"/>
              </w:rPr>
            </w:r>
            <w:r>
              <w:rPr>
                <w:rFonts w:ascii="Arial"/>
                <w:spacing w:val="5"/>
                <w:w w:val="100"/>
                <w:sz w:val="18"/>
                <w:u w:val="single" w:color="000000"/>
              </w:rPr>
              <w:t> </w:t>
            </w:r>
            <w:r>
              <w:rPr>
                <w:rFonts w:ascii="Arial"/>
                <w:sz w:val="18"/>
                <w:u w:val="single" w:color="000000"/>
              </w:rPr>
              <w:t>20,742,845,751</w:t>
              <w:tab/>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tabs>
                <w:tab w:pos="1472" w:val="left" w:leader="none"/>
              </w:tabs>
              <w:spacing w:line="240" w:lineRule="auto" w:before="22"/>
              <w:ind w:left="14"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7"/>
                <w:sz w:val="18"/>
                <w:u w:val="single" w:color="000000"/>
              </w:rPr>
              <w:t> </w:t>
            </w:r>
            <w:r>
              <w:rPr>
                <w:rFonts w:ascii="Arial"/>
                <w:sz w:val="18"/>
                <w:u w:val="single" w:color="000000"/>
              </w:rPr>
              <w:t>21,363,944,402</w:t>
              <w:tab/>
            </w:r>
            <w:r>
              <w:rPr>
                <w:rFonts w:ascii="Arial"/>
                <w:sz w:val="18"/>
              </w:rPr>
            </w:r>
          </w:p>
        </w:tc>
      </w:tr>
      <w:tr>
        <w:trPr>
          <w:trHeight w:val="279"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93" w:type="dxa"/>
            <w:tcBorders>
              <w:top w:val="nil" w:sz="6" w:space="0" w:color="auto"/>
              <w:left w:val="nil" w:sz="6" w:space="0" w:color="auto"/>
              <w:bottom w:val="nil" w:sz="6" w:space="0" w:color="auto"/>
              <w:right w:val="nil" w:sz="6" w:space="0" w:color="auto"/>
            </w:tcBorders>
          </w:tcPr>
          <w:p>
            <w:pPr/>
          </w:p>
        </w:tc>
        <w:tc>
          <w:tcPr>
            <w:tcW w:w="1621"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
        </w:tc>
      </w:tr>
      <w:tr>
        <w:trPr>
          <w:trHeight w:val="244"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07" w:lineRule="exact"/>
              <w:ind w:left="382"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46" w:right="0"/>
              <w:jc w:val="left"/>
              <w:rPr>
                <w:rFonts w:ascii="Arial" w:hAnsi="Arial" w:cs="Arial" w:eastAsia="Arial" w:hint="default"/>
                <w:sz w:val="18"/>
                <w:szCs w:val="18"/>
              </w:rPr>
            </w:pPr>
            <w:r>
              <w:rPr>
                <w:rFonts w:ascii="Arial"/>
                <w:sz w:val="18"/>
              </w:rPr>
              <w:t>(3,087,756)</w:t>
            </w:r>
          </w:p>
        </w:tc>
        <w:tc>
          <w:tcPr>
            <w:tcW w:w="1621"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8"/>
              <w:jc w:val="right"/>
              <w:rPr>
                <w:rFonts w:ascii="Arial" w:hAnsi="Arial" w:cs="Arial" w:eastAsia="Arial" w:hint="default"/>
                <w:sz w:val="18"/>
                <w:szCs w:val="18"/>
              </w:rPr>
            </w:pPr>
            <w:r>
              <w:rPr>
                <w:rFonts w:ascii="Arial"/>
                <w:w w:val="99"/>
                <w:sz w:val="18"/>
              </w:rPr>
              <w:t>-</w:t>
            </w:r>
            <w:r>
              <w:rPr>
                <w:rFonts w:ascii="Arial"/>
                <w:sz w:val="18"/>
              </w:rPr>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45"/>
              <w:jc w:val="right"/>
              <w:rPr>
                <w:rFonts w:ascii="Arial" w:hAnsi="Arial" w:cs="Arial" w:eastAsia="Arial" w:hint="default"/>
                <w:sz w:val="18"/>
                <w:szCs w:val="18"/>
              </w:rPr>
            </w:pPr>
            <w:r>
              <w:rPr>
                <w:rFonts w:ascii="Arial"/>
                <w:spacing w:val="-1"/>
                <w:sz w:val="18"/>
              </w:rPr>
              <w:t>1,316,177</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8"/>
              <w:jc w:val="right"/>
              <w:rPr>
                <w:rFonts w:ascii="Arial" w:hAnsi="Arial" w:cs="Arial" w:eastAsia="Arial" w:hint="default"/>
                <w:sz w:val="18"/>
                <w:szCs w:val="18"/>
              </w:rPr>
            </w:pPr>
            <w:r>
              <w:rPr>
                <w:rFonts w:ascii="Arial"/>
                <w:spacing w:val="-1"/>
                <w:sz w:val="18"/>
              </w:rPr>
              <w:t>(1,771,579)</w:t>
            </w:r>
          </w:p>
        </w:tc>
      </w:tr>
      <w:tr>
        <w:trPr>
          <w:trHeight w:val="241"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195" w:lineRule="exact"/>
              <w:ind w:left="3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3" w:type="dxa"/>
            <w:tcBorders>
              <w:top w:val="nil" w:sz="6" w:space="0" w:color="auto"/>
              <w:left w:val="nil" w:sz="6" w:space="0" w:color="auto"/>
              <w:bottom w:val="nil" w:sz="6" w:space="0" w:color="auto"/>
              <w:right w:val="nil" w:sz="6" w:space="0" w:color="auto"/>
            </w:tcBorders>
          </w:tcPr>
          <w:p>
            <w:pPr>
              <w:pStyle w:val="TableParagraph"/>
              <w:tabs>
                <w:tab w:pos="596" w:val="left" w:leader="none"/>
                <w:tab w:pos="1421" w:val="left" w:leader="none"/>
              </w:tabs>
              <w:spacing w:line="240" w:lineRule="auto" w:before="14"/>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(130,093)</w:t>
              <w:tab/>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tabs>
                <w:tab w:pos="1218" w:val="left" w:leader="none"/>
              </w:tabs>
              <w:spacing w:line="240" w:lineRule="auto" w:before="1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408" w:type="dxa"/>
            <w:tcBorders>
              <w:top w:val="nil" w:sz="6" w:space="0" w:color="auto"/>
              <w:left w:val="nil" w:sz="6" w:space="0" w:color="auto"/>
              <w:bottom w:val="nil" w:sz="6" w:space="0" w:color="auto"/>
              <w:right w:val="nil" w:sz="6" w:space="0" w:color="auto"/>
            </w:tcBorders>
          </w:tcPr>
          <w:p>
            <w:pPr>
              <w:pStyle w:val="TableParagraph"/>
              <w:tabs>
                <w:tab w:pos="1118" w:val="left" w:leader="none"/>
                <w:tab w:pos="1268" w:val="left" w:leader="none"/>
              </w:tabs>
              <w:spacing w:line="240" w:lineRule="auto" w:before="14"/>
              <w:ind w:right="5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472" w:type="dxa"/>
            <w:tcBorders>
              <w:top w:val="nil" w:sz="6" w:space="0" w:color="auto"/>
              <w:left w:val="nil" w:sz="6" w:space="0" w:color="auto"/>
              <w:bottom w:val="nil" w:sz="6" w:space="0" w:color="auto"/>
              <w:right w:val="nil" w:sz="6" w:space="0" w:color="auto"/>
            </w:tcBorders>
          </w:tcPr>
          <w:p>
            <w:pPr>
              <w:pStyle w:val="TableParagraph"/>
              <w:tabs>
                <w:tab w:pos="673" w:val="left" w:leader="none"/>
              </w:tabs>
              <w:spacing w:line="240" w:lineRule="auto" w:before="14"/>
              <w:ind w:left="14"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(130,093)</w:t>
            </w:r>
            <w:r>
              <w:rPr>
                <w:rFonts w:ascii="Arial"/>
                <w:sz w:val="18"/>
              </w:rPr>
            </w:r>
          </w:p>
        </w:tc>
      </w:tr>
      <w:tr>
        <w:trPr>
          <w:trHeight w:val="298"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03" w:lineRule="exact"/>
              <w:ind w:left="38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93" w:type="dxa"/>
            <w:tcBorders>
              <w:top w:val="nil" w:sz="6" w:space="0" w:color="auto"/>
              <w:left w:val="nil" w:sz="6" w:space="0" w:color="auto"/>
              <w:bottom w:val="nil" w:sz="6" w:space="0" w:color="auto"/>
              <w:right w:val="nil" w:sz="6" w:space="0" w:color="auto"/>
            </w:tcBorders>
          </w:tcPr>
          <w:p>
            <w:pPr>
              <w:pStyle w:val="TableParagraph"/>
              <w:tabs>
                <w:tab w:pos="446" w:val="left" w:leader="none"/>
                <w:tab w:pos="1421" w:val="left" w:leader="none"/>
              </w:tabs>
              <w:spacing w:line="240" w:lineRule="auto" w:before="22"/>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(3,217,849)</w:t>
              <w:tab/>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tabs>
                <w:tab w:pos="1218" w:val="left" w:leader="none"/>
              </w:tabs>
              <w:spacing w:line="240" w:lineRule="auto" w:before="22"/>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408" w:type="dxa"/>
            <w:tcBorders>
              <w:top w:val="nil" w:sz="6" w:space="0" w:color="auto"/>
              <w:left w:val="nil" w:sz="6" w:space="0" w:color="auto"/>
              <w:bottom w:val="nil" w:sz="6" w:space="0" w:color="auto"/>
              <w:right w:val="nil" w:sz="6" w:space="0" w:color="auto"/>
            </w:tcBorders>
          </w:tcPr>
          <w:p>
            <w:pPr>
              <w:pStyle w:val="TableParagraph"/>
              <w:tabs>
                <w:tab w:pos="377" w:val="left" w:leader="none"/>
                <w:tab w:pos="1268" w:val="left" w:leader="none"/>
              </w:tabs>
              <w:spacing w:line="240" w:lineRule="auto" w:before="22"/>
              <w:ind w:right="5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1,316,177</w:t>
              <w:tab/>
            </w:r>
            <w:r>
              <w:rPr>
                <w:rFonts w:ascii="Arial"/>
                <w:spacing w:val="-1"/>
                <w:sz w:val="18"/>
              </w:rPr>
            </w:r>
          </w:p>
        </w:tc>
        <w:tc>
          <w:tcPr>
            <w:tcW w:w="1472" w:type="dxa"/>
            <w:tcBorders>
              <w:top w:val="nil" w:sz="6" w:space="0" w:color="auto"/>
              <w:left w:val="nil" w:sz="6" w:space="0" w:color="auto"/>
              <w:bottom w:val="nil" w:sz="6" w:space="0" w:color="auto"/>
              <w:right w:val="nil" w:sz="6" w:space="0" w:color="auto"/>
            </w:tcBorders>
          </w:tcPr>
          <w:p>
            <w:pPr>
              <w:pStyle w:val="TableParagraph"/>
              <w:tabs>
                <w:tab w:pos="523" w:val="left" w:leader="none"/>
              </w:tabs>
              <w:spacing w:line="240" w:lineRule="auto" w:before="22"/>
              <w:ind w:left="14"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(1,901,672)</w:t>
            </w:r>
            <w:r>
              <w:rPr>
                <w:rFonts w:ascii="Arial"/>
                <w:sz w:val="18"/>
              </w:rPr>
            </w:r>
          </w:p>
        </w:tc>
      </w:tr>
      <w:tr>
        <w:trPr>
          <w:trHeight w:val="279"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93" w:type="dxa"/>
            <w:tcBorders>
              <w:top w:val="nil" w:sz="6" w:space="0" w:color="auto"/>
              <w:left w:val="nil" w:sz="6" w:space="0" w:color="auto"/>
              <w:bottom w:val="nil" w:sz="6" w:space="0" w:color="auto"/>
              <w:right w:val="nil" w:sz="6" w:space="0" w:color="auto"/>
            </w:tcBorders>
          </w:tcPr>
          <w:p>
            <w:pPr/>
          </w:p>
        </w:tc>
        <w:tc>
          <w:tcPr>
            <w:tcW w:w="1621"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
        </w:tc>
      </w:tr>
      <w:tr>
        <w:trPr>
          <w:trHeight w:val="245"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06" w:lineRule="exact"/>
              <w:ind w:left="3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5" w:right="0"/>
              <w:jc w:val="left"/>
              <w:rPr>
                <w:rFonts w:ascii="Arial" w:hAnsi="Arial" w:cs="Arial" w:eastAsia="Arial" w:hint="default"/>
                <w:sz w:val="18"/>
                <w:szCs w:val="18"/>
              </w:rPr>
            </w:pPr>
            <w:r>
              <w:rPr>
                <w:rFonts w:ascii="Arial"/>
                <w:sz w:val="18"/>
              </w:rPr>
              <w:t>14,465,154,497</w:t>
            </w:r>
          </w:p>
        </w:tc>
        <w:tc>
          <w:tcPr>
            <w:tcW w:w="1621"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31" w:right="0"/>
              <w:jc w:val="left"/>
              <w:rPr>
                <w:rFonts w:ascii="Arial" w:hAnsi="Arial" w:cs="Arial" w:eastAsia="Arial" w:hint="default"/>
                <w:sz w:val="18"/>
                <w:szCs w:val="18"/>
              </w:rPr>
            </w:pPr>
            <w:r>
              <w:rPr>
                <w:rFonts w:ascii="Arial"/>
                <w:sz w:val="18"/>
              </w:rPr>
              <w:t>14,206,634,325</w:t>
            </w:r>
          </w:p>
        </w:tc>
      </w:tr>
      <w:tr>
        <w:trPr>
          <w:trHeight w:val="233"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195" w:lineRule="exact"/>
              <w:ind w:left="382"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54" w:right="0"/>
              <w:jc w:val="left"/>
              <w:rPr>
                <w:rFonts w:ascii="Arial" w:hAnsi="Arial" w:cs="Arial" w:eastAsia="Arial" w:hint="default"/>
                <w:sz w:val="18"/>
                <w:szCs w:val="18"/>
              </w:rPr>
            </w:pPr>
            <w:r>
              <w:rPr>
                <w:rFonts w:ascii="Arial"/>
                <w:sz w:val="18"/>
              </w:rPr>
              <w:t>5,505,909,214</w:t>
            </w:r>
          </w:p>
        </w:tc>
        <w:tc>
          <w:tcPr>
            <w:tcW w:w="1621"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31" w:right="0"/>
              <w:jc w:val="left"/>
              <w:rPr>
                <w:rFonts w:ascii="Arial" w:hAnsi="Arial" w:cs="Arial" w:eastAsia="Arial" w:hint="default"/>
                <w:sz w:val="18"/>
                <w:szCs w:val="18"/>
              </w:rPr>
            </w:pPr>
            <w:r>
              <w:rPr>
                <w:rFonts w:ascii="Arial"/>
                <w:sz w:val="18"/>
              </w:rPr>
              <w:t>6,364,263,970</w:t>
            </w:r>
          </w:p>
        </w:tc>
      </w:tr>
      <w:tr>
        <w:trPr>
          <w:trHeight w:val="233"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196" w:lineRule="exact"/>
              <w:ind w:right="76"/>
              <w:jc w:val="right"/>
              <w:rPr>
                <w:rFonts w:ascii="宋体" w:hAnsi="宋体" w:cs="宋体" w:eastAsia="宋体" w:hint="default"/>
                <w:sz w:val="18"/>
                <w:szCs w:val="18"/>
              </w:rPr>
            </w:pPr>
            <w:r>
              <w:rPr>
                <w:rFonts w:ascii="宋体" w:hAnsi="宋体" w:cs="宋体" w:eastAsia="宋体" w:hint="default"/>
                <w:sz w:val="18"/>
                <w:szCs w:val="18"/>
              </w:rPr>
              <w:t>电路及设备使用权</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04" w:right="0"/>
              <w:jc w:val="left"/>
              <w:rPr>
                <w:rFonts w:ascii="Arial" w:hAnsi="Arial" w:cs="Arial" w:eastAsia="Arial" w:hint="default"/>
                <w:sz w:val="18"/>
                <w:szCs w:val="18"/>
              </w:rPr>
            </w:pPr>
            <w:r>
              <w:rPr>
                <w:rFonts w:ascii="Arial"/>
                <w:sz w:val="18"/>
              </w:rPr>
              <w:t>491,424,389</w:t>
            </w:r>
          </w:p>
        </w:tc>
        <w:tc>
          <w:tcPr>
            <w:tcW w:w="1621"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8"/>
              <w:jc w:val="right"/>
              <w:rPr>
                <w:rFonts w:ascii="Arial" w:hAnsi="Arial" w:cs="Arial" w:eastAsia="Arial" w:hint="default"/>
                <w:sz w:val="18"/>
                <w:szCs w:val="18"/>
              </w:rPr>
            </w:pPr>
            <w:r>
              <w:rPr>
                <w:rFonts w:ascii="Arial"/>
                <w:spacing w:val="-1"/>
                <w:sz w:val="18"/>
              </w:rPr>
              <w:t>465,722,133</w:t>
            </w:r>
          </w:p>
        </w:tc>
      </w:tr>
      <w:tr>
        <w:trPr>
          <w:trHeight w:val="241"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195" w:lineRule="exact"/>
              <w:ind w:left="3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3" w:type="dxa"/>
            <w:tcBorders>
              <w:top w:val="nil" w:sz="6" w:space="0" w:color="auto"/>
              <w:left w:val="nil" w:sz="6" w:space="0" w:color="auto"/>
              <w:bottom w:val="nil" w:sz="6" w:space="0" w:color="auto"/>
              <w:right w:val="nil" w:sz="6" w:space="0" w:color="auto"/>
            </w:tcBorders>
          </w:tcPr>
          <w:p>
            <w:pPr>
              <w:pStyle w:val="TableParagraph"/>
              <w:tabs>
                <w:tab w:pos="304" w:val="left" w:leader="none"/>
                <w:tab w:pos="1421" w:val="left" w:leader="none"/>
              </w:tabs>
              <w:spacing w:line="240" w:lineRule="auto" w:before="14"/>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277,139,802</w:t>
              <w:tab/>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tabs>
                <w:tab w:pos="381" w:val="left" w:leader="none"/>
                <w:tab w:pos="1472" w:val="left" w:leader="none"/>
              </w:tabs>
              <w:spacing w:line="240" w:lineRule="auto" w:before="14"/>
              <w:ind w:left="14"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325,422,302</w:t>
              <w:tab/>
            </w:r>
            <w:r>
              <w:rPr>
                <w:rFonts w:ascii="Arial"/>
                <w:sz w:val="18"/>
              </w:rPr>
            </w:r>
          </w:p>
        </w:tc>
      </w:tr>
      <w:tr>
        <w:trPr>
          <w:trHeight w:val="255"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03" w:lineRule="exact"/>
              <w:ind w:left="38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93" w:type="dxa"/>
            <w:tcBorders>
              <w:top w:val="nil" w:sz="6" w:space="0" w:color="auto"/>
              <w:left w:val="nil" w:sz="6" w:space="0" w:color="auto"/>
              <w:bottom w:val="single" w:sz="17" w:space="0" w:color="000000"/>
              <w:right w:val="nil" w:sz="6" w:space="0" w:color="auto"/>
            </w:tcBorders>
          </w:tcPr>
          <w:p>
            <w:pPr>
              <w:pStyle w:val="TableParagraph"/>
              <w:spacing w:line="240" w:lineRule="auto" w:before="22"/>
              <w:ind w:left="55" w:right="0"/>
              <w:jc w:val="left"/>
              <w:rPr>
                <w:rFonts w:ascii="Arial" w:hAnsi="Arial" w:cs="Arial" w:eastAsia="Arial" w:hint="default"/>
                <w:sz w:val="18"/>
                <w:szCs w:val="18"/>
              </w:rPr>
            </w:pPr>
            <w:r>
              <w:rPr>
                <w:rFonts w:ascii="Arial"/>
                <w:sz w:val="18"/>
              </w:rPr>
              <w:t>20,739,627,902</w:t>
            </w:r>
          </w:p>
        </w:tc>
        <w:tc>
          <w:tcPr>
            <w:tcW w:w="1621"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single" w:sz="17" w:space="0" w:color="000000"/>
              <w:right w:val="nil" w:sz="6" w:space="0" w:color="auto"/>
            </w:tcBorders>
          </w:tcPr>
          <w:p>
            <w:pPr>
              <w:pStyle w:val="TableParagraph"/>
              <w:spacing w:line="240" w:lineRule="auto" w:before="22"/>
              <w:ind w:left="131" w:right="0"/>
              <w:jc w:val="left"/>
              <w:rPr>
                <w:rFonts w:ascii="Arial" w:hAnsi="Arial" w:cs="Arial" w:eastAsia="Arial" w:hint="default"/>
                <w:sz w:val="18"/>
                <w:szCs w:val="18"/>
              </w:rPr>
            </w:pPr>
            <w:r>
              <w:rPr>
                <w:rFonts w:ascii="Arial"/>
                <w:sz w:val="18"/>
              </w:rPr>
              <w:t>21,362,042,730</w:t>
            </w:r>
          </w:p>
        </w:tc>
      </w:tr>
    </w:tbl>
    <w:p>
      <w:pPr>
        <w:spacing w:after="0" w:line="240" w:lineRule="auto"/>
        <w:jc w:val="left"/>
        <w:rPr>
          <w:rFonts w:ascii="Arial" w:hAnsi="Arial" w:cs="Arial" w:eastAsia="Arial" w:hint="default"/>
          <w:sz w:val="18"/>
          <w:szCs w:val="18"/>
        </w:rPr>
        <w:sectPr>
          <w:footerReference w:type="default" r:id="rId98"/>
          <w:pgSz w:w="11910" w:h="16840"/>
          <w:pgMar w:footer="457" w:header="0" w:top="3040" w:bottom="640" w:left="1280" w:right="820"/>
          <w:pgNumType w:start="115"/>
        </w:sectPr>
      </w:pPr>
    </w:p>
    <w:p>
      <w:pPr>
        <w:spacing w:line="240" w:lineRule="auto" w:before="12"/>
        <w:rPr>
          <w:rFonts w:ascii="宋体" w:hAnsi="宋体" w:cs="宋体" w:eastAsia="宋体" w:hint="default"/>
          <w:sz w:val="14"/>
          <w:szCs w:val="14"/>
        </w:rPr>
      </w:pPr>
    </w:p>
    <w:p>
      <w:pPr>
        <w:pStyle w:val="BodyText"/>
        <w:spacing w:line="240" w:lineRule="auto" w:before="31"/>
        <w:ind w:left="102" w:right="89"/>
        <w:jc w:val="left"/>
      </w:pPr>
      <w:r>
        <w:rPr>
          <w:rFonts w:ascii="Arial" w:hAnsi="Arial" w:cs="Arial" w:eastAsia="Arial" w:hint="default"/>
        </w:rPr>
        <w:t>13</w:t>
      </w:r>
      <w:r>
        <w:rPr/>
        <w:t>、无形资产（续）</w:t>
      </w:r>
    </w:p>
    <w:p>
      <w:pPr>
        <w:spacing w:line="240" w:lineRule="auto" w:before="0"/>
        <w:rPr>
          <w:rFonts w:ascii="宋体" w:hAnsi="宋体" w:cs="宋体" w:eastAsia="宋体" w:hint="default"/>
          <w:sz w:val="18"/>
          <w:szCs w:val="18"/>
        </w:rPr>
      </w:pPr>
    </w:p>
    <w:p>
      <w:pPr>
        <w:pStyle w:val="BodyText"/>
        <w:spacing w:line="240" w:lineRule="auto"/>
        <w:ind w:left="550" w:right="89"/>
        <w:jc w:val="left"/>
      </w:pPr>
      <w:r>
        <w:rPr/>
        <w:t>于</w:t>
      </w:r>
      <w:r>
        <w:rPr>
          <w:spacing w:val="-58"/>
        </w:rPr>
        <w:t> </w:t>
      </w:r>
      <w:r>
        <w:rPr>
          <w:rFonts w:ascii="Arial" w:hAnsi="Arial" w:cs="Arial" w:eastAsia="Arial" w:hint="default"/>
        </w:rPr>
        <w:t>2012</w:t>
      </w:r>
      <w:r>
        <w:rPr>
          <w:rFonts w:ascii="Arial" w:hAnsi="Arial" w:cs="Arial" w:eastAsia="Arial" w:hint="default"/>
          <w:spacing w:val="-9"/>
        </w:rPr>
        <w:t> </w:t>
      </w:r>
      <w:r>
        <w:rPr/>
        <w:t>年度，无形资产的摊销金额约人民币</w:t>
      </w:r>
      <w:r>
        <w:rPr>
          <w:spacing w:val="-57"/>
        </w:rPr>
        <w:t> </w:t>
      </w:r>
      <w:r>
        <w:rPr>
          <w:rFonts w:ascii="Arial" w:hAnsi="Arial" w:cs="Arial" w:eastAsia="Arial" w:hint="default"/>
        </w:rPr>
        <w:t>23.70</w:t>
      </w:r>
      <w:r>
        <w:rPr>
          <w:rFonts w:ascii="Arial" w:hAnsi="Arial" w:cs="Arial" w:eastAsia="Arial" w:hint="default"/>
          <w:spacing w:val="-9"/>
        </w:rPr>
        <w:t> </w:t>
      </w:r>
      <w:r>
        <w:rPr/>
        <w:t>亿元（</w:t>
      </w:r>
      <w:r>
        <w:rPr>
          <w:rFonts w:ascii="Arial" w:hAnsi="Arial" w:cs="Arial" w:eastAsia="Arial" w:hint="default"/>
        </w:rPr>
        <w:t>2011</w:t>
      </w:r>
      <w:r>
        <w:rPr>
          <w:rFonts w:ascii="Arial" w:hAnsi="Arial" w:cs="Arial" w:eastAsia="Arial" w:hint="default"/>
          <w:spacing w:val="-9"/>
        </w:rPr>
        <w:t> </w:t>
      </w:r>
      <w:r>
        <w:rPr/>
        <w:t>年：约人民币</w:t>
      </w:r>
      <w:r>
        <w:rPr>
          <w:spacing w:val="-58"/>
        </w:rPr>
        <w:t> </w:t>
      </w:r>
      <w:r>
        <w:rPr>
          <w:rFonts w:ascii="Arial" w:hAnsi="Arial" w:cs="Arial" w:eastAsia="Arial" w:hint="default"/>
        </w:rPr>
        <w:t>19.82</w:t>
      </w:r>
      <w:r>
        <w:rPr>
          <w:rFonts w:ascii="Arial" w:hAnsi="Arial" w:cs="Arial" w:eastAsia="Arial" w:hint="default"/>
          <w:spacing w:val="-9"/>
        </w:rPr>
        <w:t> </w:t>
      </w:r>
      <w:r>
        <w:rPr/>
        <w:t>亿元）。</w:t>
      </w:r>
    </w:p>
    <w:p>
      <w:pPr>
        <w:spacing w:line="240" w:lineRule="auto" w:before="12"/>
        <w:rPr>
          <w:rFonts w:ascii="宋体" w:hAnsi="宋体" w:cs="宋体" w:eastAsia="宋体" w:hint="default"/>
          <w:sz w:val="17"/>
          <w:szCs w:val="17"/>
        </w:rPr>
      </w:pPr>
    </w:p>
    <w:p>
      <w:pPr>
        <w:pStyle w:val="BodyText"/>
        <w:spacing w:line="240" w:lineRule="auto"/>
        <w:ind w:left="102" w:right="89"/>
        <w:jc w:val="left"/>
      </w:pPr>
      <w:r>
        <w:rPr>
          <w:rFonts w:ascii="Arial" w:hAnsi="Arial" w:cs="Arial" w:eastAsia="Arial" w:hint="default"/>
        </w:rPr>
        <w:t>14</w:t>
      </w:r>
      <w:r>
        <w:rPr/>
        <w:t>、长期待摊费用</w:t>
      </w:r>
    </w:p>
    <w:p>
      <w:pPr>
        <w:spacing w:line="240" w:lineRule="auto" w:before="12"/>
        <w:rPr>
          <w:rFonts w:ascii="宋体" w:hAnsi="宋体" w:cs="宋体" w:eastAsia="宋体" w:hint="default"/>
          <w:sz w:val="19"/>
          <w:szCs w:val="19"/>
        </w:rPr>
      </w:pPr>
    </w:p>
    <w:tbl>
      <w:tblPr>
        <w:tblW w:w="0" w:type="auto"/>
        <w:jc w:val="left"/>
        <w:tblInd w:w="332" w:type="dxa"/>
        <w:tblLayout w:type="fixed"/>
        <w:tblCellMar>
          <w:top w:w="0" w:type="dxa"/>
          <w:left w:w="0" w:type="dxa"/>
          <w:bottom w:w="0" w:type="dxa"/>
          <w:right w:w="0" w:type="dxa"/>
        </w:tblCellMar>
        <w:tblLook w:val="01E0"/>
      </w:tblPr>
      <w:tblGrid>
        <w:gridCol w:w="2390"/>
        <w:gridCol w:w="1260"/>
        <w:gridCol w:w="106"/>
        <w:gridCol w:w="1460"/>
        <w:gridCol w:w="106"/>
        <w:gridCol w:w="1244"/>
        <w:gridCol w:w="106"/>
        <w:gridCol w:w="1244"/>
        <w:gridCol w:w="106"/>
        <w:gridCol w:w="1379"/>
      </w:tblGrid>
      <w:tr>
        <w:trPr>
          <w:trHeight w:val="608" w:hRule="exact"/>
        </w:trPr>
        <w:tc>
          <w:tcPr>
            <w:tcW w:w="239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14" w:lineRule="exact"/>
              <w:ind w:left="661" w:right="0"/>
              <w:jc w:val="left"/>
              <w:rPr>
                <w:rFonts w:ascii="宋体" w:hAnsi="宋体" w:cs="宋体" w:eastAsia="宋体" w:hint="default"/>
                <w:sz w:val="16"/>
                <w:szCs w:val="16"/>
              </w:rPr>
            </w:pPr>
            <w:r>
              <w:rPr>
                <w:rFonts w:ascii="Arial" w:hAnsi="Arial" w:cs="Arial" w:eastAsia="Arial" w:hint="default"/>
                <w:sz w:val="16"/>
                <w:szCs w:val="16"/>
              </w:rPr>
              <w:t>2011</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left="421"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106"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single" w:sz="6" w:space="0" w:color="000000"/>
              <w:right w:val="nil" w:sz="6" w:space="0" w:color="auto"/>
            </w:tcBorders>
          </w:tcPr>
          <w:p>
            <w:pPr>
              <w:pStyle w:val="TableParagraph"/>
              <w:spacing w:line="159" w:lineRule="exact"/>
              <w:ind w:left="457" w:right="0" w:firstLine="159"/>
              <w:jc w:val="left"/>
              <w:rPr>
                <w:rFonts w:ascii="宋体" w:hAnsi="宋体" w:cs="宋体" w:eastAsia="宋体" w:hint="default"/>
                <w:sz w:val="16"/>
                <w:szCs w:val="16"/>
              </w:rPr>
            </w:pPr>
            <w:r>
              <w:rPr>
                <w:rFonts w:ascii="宋体" w:hAnsi="宋体" w:cs="宋体" w:eastAsia="宋体" w:hint="default"/>
                <w:sz w:val="16"/>
                <w:szCs w:val="16"/>
              </w:rPr>
              <w:t>联通新时空</w:t>
            </w:r>
          </w:p>
          <w:p>
            <w:pPr>
              <w:pStyle w:val="TableParagraph"/>
              <w:spacing w:line="208" w:lineRule="exact"/>
              <w:ind w:left="412" w:right="0"/>
              <w:jc w:val="center"/>
              <w:rPr>
                <w:rFonts w:ascii="宋体" w:hAnsi="宋体" w:cs="宋体" w:eastAsia="宋体" w:hint="default"/>
                <w:sz w:val="16"/>
                <w:szCs w:val="16"/>
              </w:rPr>
            </w:pPr>
            <w:r>
              <w:rPr>
                <w:rFonts w:ascii="宋体" w:hAnsi="宋体" w:cs="宋体" w:eastAsia="宋体" w:hint="default"/>
                <w:sz w:val="16"/>
                <w:szCs w:val="16"/>
              </w:rPr>
              <w:t>资产收购转入</w:t>
            </w:r>
          </w:p>
          <w:p>
            <w:pPr>
              <w:pStyle w:val="TableParagraph"/>
              <w:spacing w:line="220" w:lineRule="exact"/>
              <w:ind w:left="267" w:right="0"/>
              <w:jc w:val="center"/>
              <w:rPr>
                <w:rFonts w:ascii="宋体" w:hAnsi="宋体" w:cs="宋体" w:eastAsia="宋体" w:hint="default"/>
                <w:sz w:val="16"/>
                <w:szCs w:val="16"/>
              </w:rPr>
            </w:pPr>
            <w:r>
              <w:rPr>
                <w:rFonts w:ascii="宋体" w:hAnsi="宋体" w:cs="宋体" w:eastAsia="宋体" w:hint="default"/>
                <w:w w:val="95"/>
                <w:sz w:val="16"/>
                <w:szCs w:val="16"/>
              </w:rPr>
              <w:t>（附注二</w:t>
            </w:r>
            <w:r>
              <w:rPr>
                <w:rFonts w:ascii="Arial" w:hAnsi="Arial" w:cs="Arial" w:eastAsia="Arial" w:hint="default"/>
                <w:w w:val="95"/>
                <w:sz w:val="16"/>
                <w:szCs w:val="16"/>
              </w:rPr>
              <w:t>(1)(a)</w:t>
            </w:r>
            <w:r>
              <w:rPr>
                <w:rFonts w:ascii="宋体" w:hAnsi="宋体" w:cs="宋体" w:eastAsia="宋体" w:hint="default"/>
                <w:w w:val="95"/>
                <w:sz w:val="16"/>
                <w:szCs w:val="16"/>
              </w:rPr>
              <w:t>）</w:t>
            </w:r>
            <w:r>
              <w:rPr>
                <w:rFonts w:ascii="宋体" w:hAnsi="宋体" w:cs="宋体" w:eastAsia="宋体" w:hint="default"/>
                <w:sz w:val="16"/>
                <w:szCs w:val="16"/>
              </w:rPr>
            </w:r>
          </w:p>
        </w:tc>
        <w:tc>
          <w:tcPr>
            <w:tcW w:w="106"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83"/>
              <w:jc w:val="right"/>
              <w:rPr>
                <w:rFonts w:ascii="宋体" w:hAnsi="宋体" w:cs="宋体" w:eastAsia="宋体" w:hint="default"/>
                <w:sz w:val="16"/>
                <w:szCs w:val="16"/>
              </w:rPr>
            </w:pPr>
            <w:r>
              <w:rPr>
                <w:rFonts w:ascii="宋体" w:hAnsi="宋体" w:cs="宋体" w:eastAsia="宋体" w:hint="default"/>
                <w:w w:val="95"/>
                <w:sz w:val="16"/>
                <w:szCs w:val="16"/>
              </w:rPr>
              <w:t>本年增加</w:t>
            </w:r>
            <w:r>
              <w:rPr>
                <w:rFonts w:ascii="宋体" w:hAnsi="宋体" w:cs="宋体" w:eastAsia="宋体" w:hint="default"/>
                <w:sz w:val="16"/>
                <w:szCs w:val="16"/>
              </w:rPr>
            </w:r>
          </w:p>
        </w:tc>
        <w:tc>
          <w:tcPr>
            <w:tcW w:w="106"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514" w:right="0"/>
              <w:jc w:val="left"/>
              <w:rPr>
                <w:rFonts w:ascii="宋体" w:hAnsi="宋体" w:cs="宋体" w:eastAsia="宋体" w:hint="default"/>
                <w:sz w:val="16"/>
                <w:szCs w:val="16"/>
              </w:rPr>
            </w:pPr>
            <w:r>
              <w:rPr>
                <w:rFonts w:ascii="宋体" w:hAnsi="宋体" w:cs="宋体" w:eastAsia="宋体" w:hint="default"/>
                <w:sz w:val="16"/>
                <w:szCs w:val="16"/>
              </w:rPr>
              <w:t>本年摊销</w:t>
            </w:r>
          </w:p>
        </w:tc>
        <w:tc>
          <w:tcPr>
            <w:tcW w:w="106"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14" w:lineRule="exact"/>
              <w:ind w:left="780" w:right="0"/>
              <w:jc w:val="left"/>
              <w:rPr>
                <w:rFonts w:ascii="宋体" w:hAnsi="宋体" w:cs="宋体" w:eastAsia="宋体" w:hint="default"/>
                <w:sz w:val="16"/>
                <w:szCs w:val="16"/>
              </w:rPr>
            </w:pPr>
            <w:r>
              <w:rPr>
                <w:rFonts w:ascii="Arial" w:hAnsi="Arial" w:cs="Arial" w:eastAsia="Arial" w:hint="default"/>
                <w:sz w:val="16"/>
                <w:szCs w:val="16"/>
              </w:rPr>
              <w:t>2012</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left="540"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r>
      <w:tr>
        <w:trPr>
          <w:trHeight w:val="407" w:hRule="exact"/>
        </w:trPr>
        <w:tc>
          <w:tcPr>
            <w:tcW w:w="23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03" w:right="0"/>
              <w:jc w:val="left"/>
              <w:rPr>
                <w:rFonts w:ascii="宋体" w:hAnsi="宋体" w:cs="宋体" w:eastAsia="宋体" w:hint="default"/>
                <w:sz w:val="16"/>
                <w:szCs w:val="16"/>
              </w:rPr>
            </w:pPr>
            <w:r>
              <w:rPr>
                <w:rFonts w:ascii="宋体" w:hAnsi="宋体" w:cs="宋体" w:eastAsia="宋体" w:hint="default"/>
                <w:sz w:val="16"/>
                <w:szCs w:val="16"/>
              </w:rPr>
              <w:t>长期预付租金</w:t>
            </w:r>
          </w:p>
        </w:tc>
        <w:tc>
          <w:tcPr>
            <w:tcW w:w="1260"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
              <w:jc w:val="right"/>
              <w:rPr>
                <w:rFonts w:ascii="Arial" w:hAnsi="Arial" w:cs="Arial" w:eastAsia="Arial" w:hint="default"/>
                <w:sz w:val="16"/>
                <w:szCs w:val="16"/>
              </w:rPr>
            </w:pPr>
            <w:r>
              <w:rPr>
                <w:rFonts w:ascii="Arial"/>
                <w:w w:val="95"/>
                <w:sz w:val="16"/>
              </w:rPr>
              <w:t>2,713,032,812</w:t>
            </w:r>
            <w:r>
              <w:rPr>
                <w:rFonts w:ascii="Arial"/>
                <w:sz w:val="16"/>
              </w:rPr>
            </w:r>
          </w:p>
        </w:tc>
        <w:tc>
          <w:tcPr>
            <w:tcW w:w="106" w:type="dxa"/>
            <w:tcBorders>
              <w:top w:val="nil" w:sz="6" w:space="0" w:color="auto"/>
              <w:left w:val="nil" w:sz="6" w:space="0" w:color="auto"/>
              <w:bottom w:val="nil" w:sz="6" w:space="0" w:color="auto"/>
              <w:right w:val="nil" w:sz="6" w:space="0" w:color="auto"/>
            </w:tcBorders>
          </w:tcPr>
          <w:p>
            <w:pPr/>
          </w:p>
        </w:tc>
        <w:tc>
          <w:tcPr>
            <w:tcW w:w="1460"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6"/>
              <w:jc w:val="right"/>
              <w:rPr>
                <w:rFonts w:ascii="Arial" w:hAnsi="Arial" w:cs="Arial" w:eastAsia="Arial" w:hint="default"/>
                <w:sz w:val="16"/>
                <w:szCs w:val="16"/>
              </w:rPr>
            </w:pPr>
            <w:r>
              <w:rPr>
                <w:rFonts w:ascii="Arial"/>
                <w:w w:val="95"/>
                <w:sz w:val="16"/>
              </w:rPr>
              <w:t>3,794,169</w:t>
            </w:r>
            <w:r>
              <w:rPr>
                <w:rFonts w:ascii="Arial"/>
                <w:sz w:val="16"/>
              </w:rPr>
            </w:r>
          </w:p>
        </w:tc>
        <w:tc>
          <w:tcPr>
            <w:tcW w:w="106" w:type="dxa"/>
            <w:tcBorders>
              <w:top w:val="nil" w:sz="6" w:space="0" w:color="auto"/>
              <w:left w:val="nil" w:sz="6" w:space="0" w:color="auto"/>
              <w:bottom w:val="nil" w:sz="6" w:space="0" w:color="auto"/>
              <w:right w:val="nil" w:sz="6" w:space="0" w:color="auto"/>
            </w:tcBorders>
          </w:tcPr>
          <w:p>
            <w:pPr/>
          </w:p>
        </w:tc>
        <w:tc>
          <w:tcPr>
            <w:tcW w:w="1244"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5"/>
              <w:jc w:val="right"/>
              <w:rPr>
                <w:rFonts w:ascii="Arial" w:hAnsi="Arial" w:cs="Arial" w:eastAsia="Arial" w:hint="default"/>
                <w:sz w:val="16"/>
                <w:szCs w:val="16"/>
              </w:rPr>
            </w:pPr>
            <w:r>
              <w:rPr>
                <w:rFonts w:ascii="Arial"/>
                <w:w w:val="95"/>
                <w:sz w:val="16"/>
              </w:rPr>
              <w:t>773,475,698</w:t>
            </w:r>
            <w:r>
              <w:rPr>
                <w:rFonts w:ascii="Arial"/>
                <w:sz w:val="16"/>
              </w:rPr>
            </w:r>
          </w:p>
        </w:tc>
        <w:tc>
          <w:tcPr>
            <w:tcW w:w="106" w:type="dxa"/>
            <w:tcBorders>
              <w:top w:val="nil" w:sz="6" w:space="0" w:color="auto"/>
              <w:left w:val="nil" w:sz="6" w:space="0" w:color="auto"/>
              <w:bottom w:val="nil" w:sz="6" w:space="0" w:color="auto"/>
              <w:right w:val="nil" w:sz="6" w:space="0" w:color="auto"/>
            </w:tcBorders>
          </w:tcPr>
          <w:p>
            <w:pPr/>
          </w:p>
        </w:tc>
        <w:tc>
          <w:tcPr>
            <w:tcW w:w="1244"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4" w:right="0"/>
              <w:jc w:val="left"/>
              <w:rPr>
                <w:rFonts w:ascii="Arial" w:hAnsi="Arial" w:cs="Arial" w:eastAsia="Arial" w:hint="default"/>
                <w:sz w:val="16"/>
                <w:szCs w:val="16"/>
              </w:rPr>
            </w:pPr>
            <w:r>
              <w:rPr>
                <w:rFonts w:ascii="Arial"/>
                <w:sz w:val="16"/>
              </w:rPr>
              <w:t>(502,294,866)</w:t>
            </w:r>
          </w:p>
        </w:tc>
        <w:tc>
          <w:tcPr>
            <w:tcW w:w="106" w:type="dxa"/>
            <w:tcBorders>
              <w:top w:val="nil" w:sz="6" w:space="0" w:color="auto"/>
              <w:left w:val="nil" w:sz="6" w:space="0" w:color="auto"/>
              <w:bottom w:val="nil" w:sz="6" w:space="0" w:color="auto"/>
              <w:right w:val="nil" w:sz="6" w:space="0" w:color="auto"/>
            </w:tcBorders>
          </w:tcPr>
          <w:p>
            <w:pPr/>
          </w:p>
        </w:tc>
        <w:tc>
          <w:tcPr>
            <w:tcW w:w="1379"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5" w:right="0"/>
              <w:jc w:val="left"/>
              <w:rPr>
                <w:rFonts w:ascii="Arial" w:hAnsi="Arial" w:cs="Arial" w:eastAsia="Arial" w:hint="default"/>
                <w:sz w:val="16"/>
                <w:szCs w:val="16"/>
              </w:rPr>
            </w:pPr>
            <w:r>
              <w:rPr>
                <w:rFonts w:ascii="Arial"/>
                <w:sz w:val="16"/>
              </w:rPr>
              <w:t>2,988,007,813</w:t>
            </w:r>
          </w:p>
        </w:tc>
      </w:tr>
      <w:tr>
        <w:trPr>
          <w:trHeight w:val="208" w:hRule="exact"/>
        </w:trPr>
        <w:tc>
          <w:tcPr>
            <w:tcW w:w="2390" w:type="dxa"/>
            <w:tcBorders>
              <w:top w:val="nil" w:sz="6" w:space="0" w:color="auto"/>
              <w:left w:val="nil" w:sz="6" w:space="0" w:color="auto"/>
              <w:bottom w:val="nil" w:sz="6" w:space="0" w:color="auto"/>
              <w:right w:val="nil" w:sz="6" w:space="0" w:color="auto"/>
            </w:tcBorders>
          </w:tcPr>
          <w:p>
            <w:pPr>
              <w:pStyle w:val="TableParagraph"/>
              <w:spacing w:line="174" w:lineRule="exact"/>
              <w:ind w:left="203" w:right="0"/>
              <w:jc w:val="left"/>
              <w:rPr>
                <w:rFonts w:ascii="宋体" w:hAnsi="宋体" w:cs="宋体" w:eastAsia="宋体" w:hint="default"/>
                <w:sz w:val="16"/>
                <w:szCs w:val="16"/>
              </w:rPr>
            </w:pPr>
            <w:r>
              <w:rPr>
                <w:rFonts w:ascii="宋体" w:hAnsi="宋体" w:cs="宋体" w:eastAsia="宋体" w:hint="default"/>
                <w:sz w:val="16"/>
                <w:szCs w:val="16"/>
              </w:rPr>
              <w:t>装移机成本</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3"/>
              <w:jc w:val="right"/>
              <w:rPr>
                <w:rFonts w:ascii="Arial" w:hAnsi="Arial" w:cs="Arial" w:eastAsia="Arial" w:hint="default"/>
                <w:sz w:val="16"/>
                <w:szCs w:val="16"/>
              </w:rPr>
            </w:pPr>
            <w:r>
              <w:rPr>
                <w:rFonts w:ascii="Arial"/>
                <w:w w:val="95"/>
                <w:sz w:val="16"/>
              </w:rPr>
              <w:t>1,021,536,280</w:t>
            </w:r>
            <w:r>
              <w:rPr>
                <w:rFonts w:ascii="Arial"/>
                <w:sz w:val="16"/>
              </w:rPr>
            </w:r>
          </w:p>
        </w:tc>
        <w:tc>
          <w:tcPr>
            <w:tcW w:w="106"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5"/>
              <w:jc w:val="right"/>
              <w:rPr>
                <w:rFonts w:ascii="Arial" w:hAnsi="Arial" w:cs="Arial" w:eastAsia="Arial" w:hint="default"/>
                <w:sz w:val="16"/>
                <w:szCs w:val="16"/>
              </w:rPr>
            </w:pPr>
            <w:r>
              <w:rPr>
                <w:rFonts w:ascii="Arial"/>
                <w:w w:val="99"/>
                <w:sz w:val="16"/>
              </w:rPr>
              <w:t>-</w:t>
            </w:r>
            <w:r>
              <w:rPr>
                <w:rFonts w:ascii="Arial"/>
                <w:sz w:val="16"/>
              </w:rPr>
            </w:r>
          </w:p>
        </w:tc>
        <w:tc>
          <w:tcPr>
            <w:tcW w:w="106"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5"/>
              <w:jc w:val="right"/>
              <w:rPr>
                <w:rFonts w:ascii="Arial" w:hAnsi="Arial" w:cs="Arial" w:eastAsia="Arial" w:hint="default"/>
                <w:sz w:val="16"/>
                <w:szCs w:val="16"/>
              </w:rPr>
            </w:pPr>
            <w:r>
              <w:rPr>
                <w:rFonts w:ascii="Arial"/>
                <w:w w:val="95"/>
                <w:sz w:val="16"/>
              </w:rPr>
              <w:t>310,172,213</w:t>
            </w:r>
            <w:r>
              <w:rPr>
                <w:rFonts w:ascii="Arial"/>
                <w:sz w:val="16"/>
              </w:rPr>
            </w:r>
          </w:p>
        </w:tc>
        <w:tc>
          <w:tcPr>
            <w:tcW w:w="106"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94" w:right="0"/>
              <w:jc w:val="left"/>
              <w:rPr>
                <w:rFonts w:ascii="Arial" w:hAnsi="Arial" w:cs="Arial" w:eastAsia="Arial" w:hint="default"/>
                <w:sz w:val="16"/>
                <w:szCs w:val="16"/>
              </w:rPr>
            </w:pPr>
            <w:r>
              <w:rPr>
                <w:rFonts w:ascii="Arial"/>
                <w:sz w:val="16"/>
              </w:rPr>
              <w:t>(532,470,059)</w:t>
            </w:r>
          </w:p>
        </w:tc>
        <w:tc>
          <w:tcPr>
            <w:tcW w:w="106"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9"/>
              <w:jc w:val="right"/>
              <w:rPr>
                <w:rFonts w:ascii="Arial" w:hAnsi="Arial" w:cs="Arial" w:eastAsia="Arial" w:hint="default"/>
                <w:sz w:val="16"/>
                <w:szCs w:val="16"/>
              </w:rPr>
            </w:pPr>
            <w:r>
              <w:rPr>
                <w:rFonts w:ascii="Arial"/>
                <w:w w:val="95"/>
                <w:sz w:val="16"/>
              </w:rPr>
              <w:t>799,238,434</w:t>
            </w:r>
            <w:r>
              <w:rPr>
                <w:rFonts w:ascii="Arial"/>
                <w:sz w:val="16"/>
              </w:rPr>
            </w:r>
          </w:p>
        </w:tc>
      </w:tr>
      <w:tr>
        <w:trPr>
          <w:trHeight w:val="208" w:hRule="exact"/>
        </w:trPr>
        <w:tc>
          <w:tcPr>
            <w:tcW w:w="2390" w:type="dxa"/>
            <w:tcBorders>
              <w:top w:val="nil" w:sz="6" w:space="0" w:color="auto"/>
              <w:left w:val="nil" w:sz="6" w:space="0" w:color="auto"/>
              <w:bottom w:val="nil" w:sz="6" w:space="0" w:color="auto"/>
              <w:right w:val="nil" w:sz="6" w:space="0" w:color="auto"/>
            </w:tcBorders>
          </w:tcPr>
          <w:p>
            <w:pPr>
              <w:pStyle w:val="TableParagraph"/>
              <w:spacing w:line="174" w:lineRule="exact"/>
              <w:ind w:left="200" w:right="0"/>
              <w:jc w:val="left"/>
              <w:rPr>
                <w:rFonts w:ascii="宋体" w:hAnsi="宋体" w:cs="宋体" w:eastAsia="宋体" w:hint="default"/>
                <w:sz w:val="16"/>
                <w:szCs w:val="16"/>
              </w:rPr>
            </w:pPr>
            <w:r>
              <w:rPr>
                <w:rFonts w:ascii="宋体" w:hAnsi="宋体" w:cs="宋体" w:eastAsia="宋体" w:hint="default"/>
                <w:sz w:val="16"/>
                <w:szCs w:val="16"/>
              </w:rPr>
              <w:t>外市电引入</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3"/>
              <w:jc w:val="right"/>
              <w:rPr>
                <w:rFonts w:ascii="Arial" w:hAnsi="Arial" w:cs="Arial" w:eastAsia="Arial" w:hint="default"/>
                <w:sz w:val="16"/>
                <w:szCs w:val="16"/>
              </w:rPr>
            </w:pPr>
            <w:r>
              <w:rPr>
                <w:rFonts w:ascii="Arial"/>
                <w:w w:val="95"/>
                <w:sz w:val="16"/>
              </w:rPr>
              <w:t>1,418,527,779</w:t>
            </w:r>
            <w:r>
              <w:rPr>
                <w:rFonts w:ascii="Arial"/>
                <w:sz w:val="16"/>
              </w:rPr>
            </w:r>
          </w:p>
        </w:tc>
        <w:tc>
          <w:tcPr>
            <w:tcW w:w="106"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5"/>
              <w:jc w:val="right"/>
              <w:rPr>
                <w:rFonts w:ascii="Arial" w:hAnsi="Arial" w:cs="Arial" w:eastAsia="Arial" w:hint="default"/>
                <w:sz w:val="16"/>
                <w:szCs w:val="16"/>
              </w:rPr>
            </w:pPr>
            <w:r>
              <w:rPr>
                <w:rFonts w:ascii="Arial"/>
                <w:w w:val="99"/>
                <w:sz w:val="16"/>
              </w:rPr>
              <w:t>-</w:t>
            </w:r>
            <w:r>
              <w:rPr>
                <w:rFonts w:ascii="Arial"/>
                <w:sz w:val="16"/>
              </w:rPr>
            </w:r>
          </w:p>
        </w:tc>
        <w:tc>
          <w:tcPr>
            <w:tcW w:w="106"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5"/>
              <w:jc w:val="right"/>
              <w:rPr>
                <w:rFonts w:ascii="Arial" w:hAnsi="Arial" w:cs="Arial" w:eastAsia="Arial" w:hint="default"/>
                <w:sz w:val="16"/>
                <w:szCs w:val="16"/>
              </w:rPr>
            </w:pPr>
            <w:r>
              <w:rPr>
                <w:rFonts w:ascii="Arial"/>
                <w:w w:val="95"/>
                <w:sz w:val="16"/>
              </w:rPr>
              <w:t>832,882,743</w:t>
            </w:r>
            <w:r>
              <w:rPr>
                <w:rFonts w:ascii="Arial"/>
                <w:sz w:val="16"/>
              </w:rPr>
            </w:r>
          </w:p>
        </w:tc>
        <w:tc>
          <w:tcPr>
            <w:tcW w:w="106"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94" w:right="0"/>
              <w:jc w:val="left"/>
              <w:rPr>
                <w:rFonts w:ascii="Arial" w:hAnsi="Arial" w:cs="Arial" w:eastAsia="Arial" w:hint="default"/>
                <w:sz w:val="16"/>
                <w:szCs w:val="16"/>
              </w:rPr>
            </w:pPr>
            <w:r>
              <w:rPr>
                <w:rFonts w:ascii="Arial"/>
                <w:sz w:val="16"/>
              </w:rPr>
              <w:t>(548,323,176)</w:t>
            </w:r>
          </w:p>
        </w:tc>
        <w:tc>
          <w:tcPr>
            <w:tcW w:w="106"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5" w:right="0"/>
              <w:jc w:val="left"/>
              <w:rPr>
                <w:rFonts w:ascii="Arial" w:hAnsi="Arial" w:cs="Arial" w:eastAsia="Arial" w:hint="default"/>
                <w:sz w:val="16"/>
                <w:szCs w:val="16"/>
              </w:rPr>
            </w:pPr>
            <w:r>
              <w:rPr>
                <w:rFonts w:ascii="Arial"/>
                <w:sz w:val="16"/>
              </w:rPr>
              <w:t>1,703,087,346</w:t>
            </w:r>
          </w:p>
        </w:tc>
      </w:tr>
      <w:tr>
        <w:trPr>
          <w:trHeight w:val="208" w:hRule="exact"/>
        </w:trPr>
        <w:tc>
          <w:tcPr>
            <w:tcW w:w="2390" w:type="dxa"/>
            <w:tcBorders>
              <w:top w:val="nil" w:sz="6" w:space="0" w:color="auto"/>
              <w:left w:val="nil" w:sz="6" w:space="0" w:color="auto"/>
              <w:bottom w:val="nil" w:sz="6" w:space="0" w:color="auto"/>
              <w:right w:val="nil" w:sz="6" w:space="0" w:color="auto"/>
            </w:tcBorders>
          </w:tcPr>
          <w:p>
            <w:pPr>
              <w:pStyle w:val="TableParagraph"/>
              <w:spacing w:line="174" w:lineRule="exact"/>
              <w:ind w:left="203" w:right="0"/>
              <w:jc w:val="left"/>
              <w:rPr>
                <w:rFonts w:ascii="宋体" w:hAnsi="宋体" w:cs="宋体" w:eastAsia="宋体" w:hint="default"/>
                <w:sz w:val="16"/>
                <w:szCs w:val="16"/>
              </w:rPr>
            </w:pPr>
            <w:r>
              <w:rPr>
                <w:rFonts w:ascii="宋体" w:hAnsi="宋体" w:cs="宋体" w:eastAsia="宋体" w:hint="default"/>
                <w:sz w:val="16"/>
                <w:szCs w:val="16"/>
              </w:rPr>
              <w:t>经营租入固定资产改良</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3"/>
              <w:jc w:val="right"/>
              <w:rPr>
                <w:rFonts w:ascii="Arial" w:hAnsi="Arial" w:cs="Arial" w:eastAsia="Arial" w:hint="default"/>
                <w:sz w:val="16"/>
                <w:szCs w:val="16"/>
              </w:rPr>
            </w:pPr>
            <w:r>
              <w:rPr>
                <w:rFonts w:ascii="Arial"/>
                <w:w w:val="95"/>
                <w:sz w:val="16"/>
              </w:rPr>
              <w:t>1,339,705,456</w:t>
            </w:r>
            <w:r>
              <w:rPr>
                <w:rFonts w:ascii="Arial"/>
                <w:sz w:val="16"/>
              </w:rPr>
            </w:r>
          </w:p>
        </w:tc>
        <w:tc>
          <w:tcPr>
            <w:tcW w:w="106"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6"/>
              <w:jc w:val="right"/>
              <w:rPr>
                <w:rFonts w:ascii="Arial" w:hAnsi="Arial" w:cs="Arial" w:eastAsia="Arial" w:hint="default"/>
                <w:sz w:val="16"/>
                <w:szCs w:val="16"/>
              </w:rPr>
            </w:pPr>
            <w:r>
              <w:rPr>
                <w:rFonts w:ascii="Arial"/>
                <w:w w:val="95"/>
                <w:sz w:val="16"/>
              </w:rPr>
              <w:t>28,057,310</w:t>
            </w:r>
            <w:r>
              <w:rPr>
                <w:rFonts w:ascii="Arial"/>
                <w:sz w:val="16"/>
              </w:rPr>
            </w:r>
          </w:p>
        </w:tc>
        <w:tc>
          <w:tcPr>
            <w:tcW w:w="106"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5"/>
              <w:jc w:val="right"/>
              <w:rPr>
                <w:rFonts w:ascii="Arial" w:hAnsi="Arial" w:cs="Arial" w:eastAsia="Arial" w:hint="default"/>
                <w:sz w:val="16"/>
                <w:szCs w:val="16"/>
              </w:rPr>
            </w:pPr>
            <w:r>
              <w:rPr>
                <w:rFonts w:ascii="Arial"/>
                <w:w w:val="95"/>
                <w:sz w:val="16"/>
              </w:rPr>
              <w:t>825,521,755</w:t>
            </w:r>
            <w:r>
              <w:rPr>
                <w:rFonts w:ascii="Arial"/>
                <w:sz w:val="16"/>
              </w:rPr>
            </w:r>
          </w:p>
        </w:tc>
        <w:tc>
          <w:tcPr>
            <w:tcW w:w="106"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94" w:right="0"/>
              <w:jc w:val="left"/>
              <w:rPr>
                <w:rFonts w:ascii="Arial" w:hAnsi="Arial" w:cs="Arial" w:eastAsia="Arial" w:hint="default"/>
                <w:sz w:val="16"/>
                <w:szCs w:val="16"/>
              </w:rPr>
            </w:pPr>
            <w:r>
              <w:rPr>
                <w:rFonts w:ascii="Arial"/>
                <w:sz w:val="16"/>
              </w:rPr>
              <w:t>(550,112,467)</w:t>
            </w:r>
          </w:p>
        </w:tc>
        <w:tc>
          <w:tcPr>
            <w:tcW w:w="106"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5" w:right="0"/>
              <w:jc w:val="left"/>
              <w:rPr>
                <w:rFonts w:ascii="Arial" w:hAnsi="Arial" w:cs="Arial" w:eastAsia="Arial" w:hint="default"/>
                <w:sz w:val="16"/>
                <w:szCs w:val="16"/>
              </w:rPr>
            </w:pPr>
            <w:r>
              <w:rPr>
                <w:rFonts w:ascii="Arial"/>
                <w:sz w:val="16"/>
              </w:rPr>
              <w:t>1,643,172,054</w:t>
            </w:r>
          </w:p>
        </w:tc>
      </w:tr>
      <w:tr>
        <w:trPr>
          <w:trHeight w:val="415" w:hRule="exact"/>
        </w:trPr>
        <w:tc>
          <w:tcPr>
            <w:tcW w:w="2390" w:type="dxa"/>
            <w:tcBorders>
              <w:top w:val="nil" w:sz="6" w:space="0" w:color="auto"/>
              <w:left w:val="nil" w:sz="6" w:space="0" w:color="auto"/>
              <w:bottom w:val="nil" w:sz="6" w:space="0" w:color="auto"/>
              <w:right w:val="nil" w:sz="6" w:space="0" w:color="auto"/>
            </w:tcBorders>
          </w:tcPr>
          <w:p>
            <w:pPr>
              <w:pStyle w:val="TableParagraph"/>
              <w:spacing w:line="173" w:lineRule="exact"/>
              <w:ind w:left="204" w:right="0"/>
              <w:jc w:val="left"/>
              <w:rPr>
                <w:rFonts w:ascii="宋体" w:hAnsi="宋体" w:cs="宋体" w:eastAsia="宋体" w:hint="default"/>
                <w:sz w:val="16"/>
                <w:szCs w:val="16"/>
              </w:rPr>
            </w:pPr>
            <w:r>
              <w:rPr>
                <w:rFonts w:ascii="宋体" w:hAnsi="宋体" w:cs="宋体" w:eastAsia="宋体" w:hint="default"/>
                <w:sz w:val="16"/>
                <w:szCs w:val="16"/>
              </w:rPr>
              <w:t>一次性不退还收入的直接相关</w:t>
            </w:r>
          </w:p>
          <w:p>
            <w:pPr>
              <w:pStyle w:val="TableParagraph"/>
              <w:spacing w:line="208" w:lineRule="exact"/>
              <w:ind w:left="365" w:right="0"/>
              <w:jc w:val="left"/>
              <w:rPr>
                <w:rFonts w:ascii="宋体" w:hAnsi="宋体" w:cs="宋体" w:eastAsia="宋体" w:hint="default"/>
                <w:sz w:val="16"/>
                <w:szCs w:val="16"/>
              </w:rPr>
            </w:pPr>
            <w:r>
              <w:rPr>
                <w:rFonts w:ascii="宋体" w:hAnsi="宋体" w:cs="宋体" w:eastAsia="宋体" w:hint="default"/>
                <w:sz w:val="16"/>
                <w:szCs w:val="16"/>
              </w:rPr>
              <w:t>成本</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3"/>
              <w:jc w:val="right"/>
              <w:rPr>
                <w:rFonts w:ascii="Arial" w:hAnsi="Arial" w:cs="Arial" w:eastAsia="Arial" w:hint="default"/>
                <w:sz w:val="16"/>
                <w:szCs w:val="16"/>
              </w:rPr>
            </w:pPr>
            <w:r>
              <w:rPr>
                <w:rFonts w:ascii="Arial"/>
                <w:w w:val="95"/>
                <w:sz w:val="16"/>
              </w:rPr>
              <w:t>390,577,053</w:t>
            </w:r>
            <w:r>
              <w:rPr>
                <w:rFonts w:ascii="Arial"/>
                <w:sz w:val="16"/>
              </w:rPr>
            </w:r>
          </w:p>
        </w:tc>
        <w:tc>
          <w:tcPr>
            <w:tcW w:w="106"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15"/>
              <w:jc w:val="right"/>
              <w:rPr>
                <w:rFonts w:ascii="Arial" w:hAnsi="Arial" w:cs="Arial" w:eastAsia="Arial" w:hint="default"/>
                <w:sz w:val="16"/>
                <w:szCs w:val="16"/>
              </w:rPr>
            </w:pPr>
            <w:r>
              <w:rPr>
                <w:rFonts w:ascii="Arial"/>
                <w:w w:val="99"/>
                <w:sz w:val="16"/>
              </w:rPr>
              <w:t>-</w:t>
            </w:r>
            <w:r>
              <w:rPr>
                <w:rFonts w:ascii="Arial"/>
                <w:sz w:val="16"/>
              </w:rPr>
            </w:r>
          </w:p>
        </w:tc>
        <w:tc>
          <w:tcPr>
            <w:tcW w:w="106"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5"/>
              <w:jc w:val="right"/>
              <w:rPr>
                <w:rFonts w:ascii="Arial" w:hAnsi="Arial" w:cs="Arial" w:eastAsia="Arial" w:hint="default"/>
                <w:sz w:val="16"/>
                <w:szCs w:val="16"/>
              </w:rPr>
            </w:pPr>
            <w:r>
              <w:rPr>
                <w:rFonts w:ascii="Arial"/>
                <w:w w:val="95"/>
                <w:sz w:val="16"/>
              </w:rPr>
              <w:t>51,846,934</w:t>
            </w:r>
            <w:r>
              <w:rPr>
                <w:rFonts w:ascii="Arial"/>
                <w:sz w:val="16"/>
              </w:rPr>
            </w:r>
          </w:p>
        </w:tc>
        <w:tc>
          <w:tcPr>
            <w:tcW w:w="106"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94" w:right="0"/>
              <w:jc w:val="left"/>
              <w:rPr>
                <w:rFonts w:ascii="Arial" w:hAnsi="Arial" w:cs="Arial" w:eastAsia="Arial" w:hint="default"/>
                <w:sz w:val="16"/>
                <w:szCs w:val="16"/>
              </w:rPr>
            </w:pPr>
            <w:r>
              <w:rPr>
                <w:rFonts w:ascii="Arial"/>
                <w:sz w:val="16"/>
              </w:rPr>
              <w:t>(230,234,882)</w:t>
            </w:r>
          </w:p>
        </w:tc>
        <w:tc>
          <w:tcPr>
            <w:tcW w:w="106"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89"/>
              <w:jc w:val="right"/>
              <w:rPr>
                <w:rFonts w:ascii="Arial" w:hAnsi="Arial" w:cs="Arial" w:eastAsia="Arial" w:hint="default"/>
                <w:sz w:val="16"/>
                <w:szCs w:val="16"/>
              </w:rPr>
            </w:pPr>
            <w:r>
              <w:rPr>
                <w:rFonts w:ascii="Arial"/>
                <w:w w:val="95"/>
                <w:sz w:val="16"/>
              </w:rPr>
              <w:t>212,189,105</w:t>
            </w:r>
            <w:r>
              <w:rPr>
                <w:rFonts w:ascii="Arial"/>
                <w:sz w:val="16"/>
              </w:rPr>
            </w:r>
          </w:p>
        </w:tc>
      </w:tr>
      <w:tr>
        <w:trPr>
          <w:trHeight w:val="208" w:hRule="exact"/>
        </w:trPr>
        <w:tc>
          <w:tcPr>
            <w:tcW w:w="2390" w:type="dxa"/>
            <w:tcBorders>
              <w:top w:val="nil" w:sz="6" w:space="0" w:color="auto"/>
              <w:left w:val="nil" w:sz="6" w:space="0" w:color="auto"/>
              <w:bottom w:val="nil" w:sz="6" w:space="0" w:color="auto"/>
              <w:right w:val="nil" w:sz="6" w:space="0" w:color="auto"/>
            </w:tcBorders>
          </w:tcPr>
          <w:p>
            <w:pPr>
              <w:pStyle w:val="TableParagraph"/>
              <w:spacing w:line="174" w:lineRule="exact"/>
              <w:ind w:left="204" w:right="0"/>
              <w:jc w:val="left"/>
              <w:rPr>
                <w:rFonts w:ascii="宋体" w:hAnsi="宋体" w:cs="宋体" w:eastAsia="宋体" w:hint="default"/>
                <w:sz w:val="16"/>
                <w:szCs w:val="16"/>
              </w:rPr>
            </w:pPr>
            <w:r>
              <w:rPr>
                <w:rFonts w:ascii="宋体" w:hAnsi="宋体" w:cs="宋体" w:eastAsia="宋体" w:hint="default"/>
                <w:sz w:val="16"/>
                <w:szCs w:val="16"/>
              </w:rPr>
              <w:t>长期预付线路租赁及网络改良</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3"/>
              <w:jc w:val="right"/>
              <w:rPr>
                <w:rFonts w:ascii="Arial" w:hAnsi="Arial" w:cs="Arial" w:eastAsia="Arial" w:hint="default"/>
                <w:sz w:val="16"/>
                <w:szCs w:val="16"/>
              </w:rPr>
            </w:pPr>
            <w:r>
              <w:rPr>
                <w:rFonts w:ascii="Arial"/>
                <w:w w:val="95"/>
                <w:sz w:val="16"/>
              </w:rPr>
              <w:t>714,159,892</w:t>
            </w:r>
            <w:r>
              <w:rPr>
                <w:rFonts w:ascii="Arial"/>
                <w:sz w:val="16"/>
              </w:rPr>
            </w:r>
          </w:p>
        </w:tc>
        <w:tc>
          <w:tcPr>
            <w:tcW w:w="106"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6"/>
              <w:jc w:val="right"/>
              <w:rPr>
                <w:rFonts w:ascii="Arial" w:hAnsi="Arial" w:cs="Arial" w:eastAsia="Arial" w:hint="default"/>
                <w:sz w:val="16"/>
                <w:szCs w:val="16"/>
              </w:rPr>
            </w:pPr>
            <w:r>
              <w:rPr>
                <w:rFonts w:ascii="Arial"/>
                <w:w w:val="95"/>
                <w:sz w:val="16"/>
              </w:rPr>
              <w:t>32,759,604</w:t>
            </w:r>
            <w:r>
              <w:rPr>
                <w:rFonts w:ascii="Arial"/>
                <w:sz w:val="16"/>
              </w:rPr>
            </w:r>
          </w:p>
        </w:tc>
        <w:tc>
          <w:tcPr>
            <w:tcW w:w="106"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5"/>
              <w:jc w:val="right"/>
              <w:rPr>
                <w:rFonts w:ascii="Arial" w:hAnsi="Arial" w:cs="Arial" w:eastAsia="Arial" w:hint="default"/>
                <w:sz w:val="16"/>
                <w:szCs w:val="16"/>
              </w:rPr>
            </w:pPr>
            <w:r>
              <w:rPr>
                <w:rFonts w:ascii="Arial"/>
                <w:w w:val="95"/>
                <w:sz w:val="16"/>
              </w:rPr>
              <w:t>414,937,599</w:t>
            </w:r>
            <w:r>
              <w:rPr>
                <w:rFonts w:ascii="Arial"/>
                <w:sz w:val="16"/>
              </w:rPr>
            </w:r>
          </w:p>
        </w:tc>
        <w:tc>
          <w:tcPr>
            <w:tcW w:w="106"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94" w:right="0"/>
              <w:jc w:val="left"/>
              <w:rPr>
                <w:rFonts w:ascii="Arial" w:hAnsi="Arial" w:cs="Arial" w:eastAsia="Arial" w:hint="default"/>
                <w:sz w:val="16"/>
                <w:szCs w:val="16"/>
              </w:rPr>
            </w:pPr>
            <w:r>
              <w:rPr>
                <w:rFonts w:ascii="Arial"/>
                <w:sz w:val="16"/>
              </w:rPr>
              <w:t>(216,791,174)</w:t>
            </w:r>
          </w:p>
        </w:tc>
        <w:tc>
          <w:tcPr>
            <w:tcW w:w="106"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9"/>
              <w:jc w:val="right"/>
              <w:rPr>
                <w:rFonts w:ascii="Arial" w:hAnsi="Arial" w:cs="Arial" w:eastAsia="Arial" w:hint="default"/>
                <w:sz w:val="16"/>
                <w:szCs w:val="16"/>
              </w:rPr>
            </w:pPr>
            <w:r>
              <w:rPr>
                <w:rFonts w:ascii="Arial"/>
                <w:w w:val="95"/>
                <w:sz w:val="16"/>
              </w:rPr>
              <w:t>945,065,921</w:t>
            </w:r>
            <w:r>
              <w:rPr>
                <w:rFonts w:ascii="Arial"/>
                <w:sz w:val="16"/>
              </w:rPr>
            </w:r>
          </w:p>
        </w:tc>
      </w:tr>
      <w:tr>
        <w:trPr>
          <w:trHeight w:val="307" w:hRule="exact"/>
        </w:trPr>
        <w:tc>
          <w:tcPr>
            <w:tcW w:w="2390" w:type="dxa"/>
            <w:tcBorders>
              <w:top w:val="nil" w:sz="6" w:space="0" w:color="auto"/>
              <w:left w:val="nil" w:sz="6" w:space="0" w:color="auto"/>
              <w:bottom w:val="nil" w:sz="6" w:space="0" w:color="auto"/>
              <w:right w:val="nil" w:sz="6" w:space="0" w:color="auto"/>
            </w:tcBorders>
          </w:tcPr>
          <w:p>
            <w:pPr>
              <w:pStyle w:val="TableParagraph"/>
              <w:spacing w:line="174" w:lineRule="exact"/>
              <w:ind w:left="203"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260" w:type="dxa"/>
            <w:tcBorders>
              <w:top w:val="nil" w:sz="6" w:space="0" w:color="auto"/>
              <w:left w:val="nil" w:sz="6" w:space="0" w:color="auto"/>
              <w:bottom w:val="nil" w:sz="6" w:space="0" w:color="auto"/>
              <w:right w:val="nil" w:sz="6" w:space="0" w:color="auto"/>
            </w:tcBorders>
          </w:tcPr>
          <w:p>
            <w:pPr>
              <w:pStyle w:val="TableParagraph"/>
              <w:tabs>
                <w:tab w:pos="326" w:val="left" w:leader="none"/>
                <w:tab w:pos="1259" w:val="left" w:leader="none"/>
              </w:tabs>
              <w:spacing w:line="240" w:lineRule="auto" w:before="13"/>
              <w:ind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502,760,102</w:t>
            </w:r>
            <w:r>
              <w:rPr>
                <w:rFonts w:ascii="Arial"/>
                <w:sz w:val="16"/>
                <w:u w:val="single" w:color="000000"/>
              </w:rPr>
              <w:tab/>
            </w:r>
            <w:r>
              <w:rPr>
                <w:rFonts w:ascii="Arial"/>
                <w:sz w:val="16"/>
              </w:rPr>
            </w:r>
          </w:p>
        </w:tc>
        <w:tc>
          <w:tcPr>
            <w:tcW w:w="106"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tabs>
                <w:tab w:pos="631" w:val="left" w:leader="none"/>
                <w:tab w:pos="1460" w:val="left" w:leader="none"/>
              </w:tabs>
              <w:spacing w:line="240" w:lineRule="auto" w:before="13"/>
              <w:ind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6,973,898</w:t>
            </w:r>
            <w:r>
              <w:rPr>
                <w:rFonts w:ascii="Arial"/>
                <w:sz w:val="16"/>
                <w:u w:val="single" w:color="000000"/>
              </w:rPr>
              <w:tab/>
            </w:r>
            <w:r>
              <w:rPr>
                <w:rFonts w:ascii="Arial"/>
                <w:sz w:val="16"/>
              </w:rPr>
            </w:r>
          </w:p>
        </w:tc>
        <w:tc>
          <w:tcPr>
            <w:tcW w:w="106"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tabs>
                <w:tab w:pos="308" w:val="left" w:leader="none"/>
                <w:tab w:pos="1244" w:val="left" w:leader="none"/>
              </w:tabs>
              <w:spacing w:line="240" w:lineRule="auto" w:before="13"/>
              <w:ind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278,071,858</w:t>
            </w:r>
            <w:r>
              <w:rPr>
                <w:rFonts w:ascii="Arial"/>
                <w:sz w:val="16"/>
                <w:u w:val="single" w:color="000000"/>
              </w:rPr>
              <w:tab/>
            </w:r>
            <w:r>
              <w:rPr>
                <w:rFonts w:ascii="Arial"/>
                <w:sz w:val="16"/>
              </w:rPr>
            </w:r>
          </w:p>
        </w:tc>
        <w:tc>
          <w:tcPr>
            <w:tcW w:w="106"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tabs>
                <w:tab w:pos="1244" w:val="left" w:leader="none"/>
              </w:tabs>
              <w:spacing w:line="240" w:lineRule="auto" w:before="13"/>
              <w:ind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16"/>
                <w:sz w:val="16"/>
                <w:u w:val="single" w:color="000000"/>
              </w:rPr>
              <w:t> </w:t>
            </w:r>
            <w:r>
              <w:rPr>
                <w:rFonts w:ascii="Arial"/>
                <w:sz w:val="16"/>
                <w:u w:val="single" w:color="000000"/>
              </w:rPr>
              <w:t>(179,607,792)</w:t>
              <w:tab/>
            </w:r>
            <w:r>
              <w:rPr>
                <w:rFonts w:ascii="Arial"/>
                <w:sz w:val="16"/>
              </w:rPr>
            </w:r>
          </w:p>
        </w:tc>
        <w:tc>
          <w:tcPr>
            <w:tcW w:w="106"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Style w:val="TableParagraph"/>
              <w:tabs>
                <w:tab w:pos="399" w:val="left" w:leader="none"/>
                <w:tab w:pos="1378" w:val="left" w:leader="none"/>
              </w:tabs>
              <w:spacing w:line="240" w:lineRule="auto" w:before="13"/>
              <w:ind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608,198,066</w:t>
            </w:r>
            <w:r>
              <w:rPr>
                <w:rFonts w:ascii="Arial"/>
                <w:sz w:val="16"/>
                <w:u w:val="single" w:color="000000"/>
              </w:rPr>
              <w:tab/>
            </w:r>
            <w:r>
              <w:rPr>
                <w:rFonts w:ascii="Arial"/>
                <w:sz w:val="16"/>
              </w:rPr>
            </w:r>
          </w:p>
        </w:tc>
      </w:tr>
      <w:tr>
        <w:trPr>
          <w:trHeight w:val="322" w:hRule="exact"/>
        </w:trPr>
        <w:tc>
          <w:tcPr>
            <w:tcW w:w="239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03" w:right="0"/>
              <w:jc w:val="left"/>
              <w:rPr>
                <w:rFonts w:ascii="宋体" w:hAnsi="宋体" w:cs="宋体" w:eastAsia="宋体" w:hint="default"/>
                <w:sz w:val="16"/>
                <w:szCs w:val="16"/>
              </w:rPr>
            </w:pPr>
            <w:r>
              <w:rPr>
                <w:rFonts w:ascii="宋体" w:hAnsi="宋体" w:cs="宋体" w:eastAsia="宋体" w:hint="default"/>
                <w:sz w:val="16"/>
                <w:szCs w:val="16"/>
              </w:rPr>
              <w:t>长期待摊费用合计</w:t>
            </w:r>
          </w:p>
        </w:tc>
        <w:tc>
          <w:tcPr>
            <w:tcW w:w="1260"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43"/>
              <w:jc w:val="right"/>
              <w:rPr>
                <w:rFonts w:ascii="Arial" w:hAnsi="Arial" w:cs="Arial" w:eastAsia="Arial" w:hint="default"/>
                <w:sz w:val="16"/>
                <w:szCs w:val="16"/>
              </w:rPr>
            </w:pPr>
            <w:r>
              <w:rPr>
                <w:rFonts w:ascii="Arial"/>
                <w:w w:val="95"/>
                <w:sz w:val="16"/>
              </w:rPr>
              <w:t>8,100,299,374</w:t>
            </w:r>
            <w:r>
              <w:rPr>
                <w:rFonts w:ascii="Arial"/>
                <w:sz w:val="16"/>
              </w:rPr>
            </w:r>
          </w:p>
        </w:tc>
        <w:tc>
          <w:tcPr>
            <w:tcW w:w="106"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116"/>
              <w:jc w:val="right"/>
              <w:rPr>
                <w:rFonts w:ascii="Arial" w:hAnsi="Arial" w:cs="Arial" w:eastAsia="Arial" w:hint="default"/>
                <w:sz w:val="16"/>
                <w:szCs w:val="16"/>
              </w:rPr>
            </w:pPr>
            <w:r>
              <w:rPr>
                <w:rFonts w:ascii="Arial"/>
                <w:w w:val="95"/>
                <w:sz w:val="16"/>
              </w:rPr>
              <w:t>71,584,981</w:t>
            </w:r>
            <w:r>
              <w:rPr>
                <w:rFonts w:ascii="Arial"/>
                <w:sz w:val="16"/>
              </w:rPr>
            </w:r>
          </w:p>
        </w:tc>
        <w:tc>
          <w:tcPr>
            <w:tcW w:w="106"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46"/>
              <w:jc w:val="right"/>
              <w:rPr>
                <w:rFonts w:ascii="Arial" w:hAnsi="Arial" w:cs="Arial" w:eastAsia="Arial" w:hint="default"/>
                <w:sz w:val="16"/>
                <w:szCs w:val="16"/>
              </w:rPr>
            </w:pPr>
            <w:r>
              <w:rPr>
                <w:rFonts w:ascii="Arial"/>
                <w:w w:val="95"/>
                <w:sz w:val="16"/>
              </w:rPr>
              <w:t>3,486,908,800</w:t>
            </w:r>
            <w:r>
              <w:rPr>
                <w:rFonts w:ascii="Arial"/>
                <w:sz w:val="16"/>
              </w:rPr>
            </w:r>
          </w:p>
        </w:tc>
        <w:tc>
          <w:tcPr>
            <w:tcW w:w="106"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left="61" w:right="0"/>
              <w:jc w:val="left"/>
              <w:rPr>
                <w:rFonts w:ascii="Arial" w:hAnsi="Arial" w:cs="Arial" w:eastAsia="Arial" w:hint="default"/>
                <w:sz w:val="16"/>
                <w:szCs w:val="16"/>
              </w:rPr>
            </w:pPr>
            <w:r>
              <w:rPr>
                <w:rFonts w:ascii="Arial"/>
                <w:sz w:val="16"/>
              </w:rPr>
              <w:t>(2,759,834,416)</w:t>
            </w:r>
          </w:p>
        </w:tc>
        <w:tc>
          <w:tcPr>
            <w:tcW w:w="106"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left="265" w:right="0"/>
              <w:jc w:val="left"/>
              <w:rPr>
                <w:rFonts w:ascii="Arial" w:hAnsi="Arial" w:cs="Arial" w:eastAsia="Arial" w:hint="default"/>
                <w:sz w:val="16"/>
                <w:szCs w:val="16"/>
              </w:rPr>
            </w:pPr>
            <w:r>
              <w:rPr>
                <w:rFonts w:ascii="Arial"/>
                <w:sz w:val="16"/>
              </w:rPr>
              <w:t>8,898,958,739</w:t>
            </w:r>
          </w:p>
        </w:tc>
      </w:tr>
    </w:tbl>
    <w:p>
      <w:pPr>
        <w:spacing w:line="240" w:lineRule="auto" w:before="9"/>
        <w:rPr>
          <w:rFonts w:ascii="宋体" w:hAnsi="宋体" w:cs="宋体" w:eastAsia="宋体" w:hint="default"/>
          <w:sz w:val="11"/>
          <w:szCs w:val="11"/>
        </w:rPr>
      </w:pPr>
    </w:p>
    <w:p>
      <w:pPr>
        <w:pStyle w:val="BodyText"/>
        <w:spacing w:line="240" w:lineRule="auto" w:before="31"/>
        <w:ind w:left="102" w:right="89"/>
        <w:jc w:val="left"/>
      </w:pPr>
      <w:r>
        <w:rPr>
          <w:rFonts w:ascii="Arial" w:hAnsi="Arial" w:cs="Arial" w:eastAsia="Arial" w:hint="default"/>
        </w:rPr>
        <w:t>15</w:t>
      </w:r>
      <w:r>
        <w:rPr/>
        <w:t>、资产减值准备</w:t>
      </w:r>
    </w:p>
    <w:p>
      <w:pPr>
        <w:spacing w:line="240" w:lineRule="auto" w:before="12"/>
        <w:rPr>
          <w:rFonts w:ascii="宋体" w:hAnsi="宋体" w:cs="宋体" w:eastAsia="宋体" w:hint="default"/>
          <w:sz w:val="19"/>
          <w:szCs w:val="19"/>
        </w:rPr>
      </w:pPr>
    </w:p>
    <w:tbl>
      <w:tblPr>
        <w:tblW w:w="0" w:type="auto"/>
        <w:jc w:val="left"/>
        <w:tblInd w:w="554" w:type="dxa"/>
        <w:tblLayout w:type="fixed"/>
        <w:tblCellMar>
          <w:top w:w="0" w:type="dxa"/>
          <w:left w:w="0" w:type="dxa"/>
          <w:bottom w:w="0" w:type="dxa"/>
          <w:right w:w="0" w:type="dxa"/>
        </w:tblCellMar>
        <w:tblLook w:val="01E0"/>
      </w:tblPr>
      <w:tblGrid>
        <w:gridCol w:w="2193"/>
        <w:gridCol w:w="1612"/>
        <w:gridCol w:w="1350"/>
        <w:gridCol w:w="1156"/>
        <w:gridCol w:w="1253"/>
        <w:gridCol w:w="1608"/>
      </w:tblGrid>
      <w:tr>
        <w:trPr>
          <w:trHeight w:val="400" w:hRule="exact"/>
        </w:trPr>
        <w:tc>
          <w:tcPr>
            <w:tcW w:w="2193"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single" w:sz="6" w:space="0" w:color="000000"/>
              <w:right w:val="nil" w:sz="6" w:space="0" w:color="auto"/>
            </w:tcBorders>
          </w:tcPr>
          <w:p>
            <w:pPr>
              <w:pStyle w:val="TableParagraph"/>
              <w:spacing w:line="164" w:lineRule="exact"/>
              <w:ind w:left="941" w:right="0"/>
              <w:jc w:val="left"/>
              <w:rPr>
                <w:rFonts w:ascii="宋体" w:hAnsi="宋体" w:cs="宋体" w:eastAsia="宋体" w:hint="default"/>
                <w:sz w:val="16"/>
                <w:szCs w:val="16"/>
              </w:rPr>
            </w:pPr>
            <w:r>
              <w:rPr>
                <w:rFonts w:ascii="Arial" w:hAnsi="Arial" w:cs="Arial" w:eastAsia="Arial" w:hint="default"/>
                <w:sz w:val="16"/>
                <w:szCs w:val="16"/>
              </w:rPr>
              <w:t>2011</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left="701"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1350"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30"/>
              <w:jc w:val="right"/>
              <w:rPr>
                <w:rFonts w:ascii="宋体" w:hAnsi="宋体" w:cs="宋体" w:eastAsia="宋体" w:hint="default"/>
                <w:sz w:val="16"/>
                <w:szCs w:val="16"/>
              </w:rPr>
            </w:pPr>
            <w:r>
              <w:rPr>
                <w:rFonts w:ascii="宋体" w:hAnsi="宋体" w:cs="宋体" w:eastAsia="宋体" w:hint="default"/>
                <w:w w:val="95"/>
                <w:sz w:val="16"/>
                <w:szCs w:val="16"/>
              </w:rPr>
              <w:t>本年增加</w:t>
            </w:r>
            <w:r>
              <w:rPr>
                <w:rFonts w:ascii="宋体" w:hAnsi="宋体" w:cs="宋体" w:eastAsia="宋体" w:hint="default"/>
                <w:sz w:val="16"/>
                <w:szCs w:val="16"/>
              </w:rPr>
            </w:r>
          </w:p>
        </w:tc>
        <w:tc>
          <w:tcPr>
            <w:tcW w:w="2408" w:type="dxa"/>
            <w:gridSpan w:val="2"/>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本年减少</w:t>
            </w:r>
          </w:p>
        </w:tc>
        <w:tc>
          <w:tcPr>
            <w:tcW w:w="1608" w:type="dxa"/>
            <w:tcBorders>
              <w:top w:val="nil" w:sz="6" w:space="0" w:color="auto"/>
              <w:left w:val="nil" w:sz="6" w:space="0" w:color="auto"/>
              <w:bottom w:val="single" w:sz="6" w:space="0" w:color="000000"/>
              <w:right w:val="nil" w:sz="6" w:space="0" w:color="auto"/>
            </w:tcBorders>
          </w:tcPr>
          <w:p>
            <w:pPr>
              <w:pStyle w:val="TableParagraph"/>
              <w:spacing w:line="164" w:lineRule="exact"/>
              <w:ind w:left="1006" w:right="0"/>
              <w:jc w:val="left"/>
              <w:rPr>
                <w:rFonts w:ascii="宋体" w:hAnsi="宋体" w:cs="宋体" w:eastAsia="宋体" w:hint="default"/>
                <w:sz w:val="16"/>
                <w:szCs w:val="16"/>
              </w:rPr>
            </w:pPr>
            <w:r>
              <w:rPr>
                <w:rFonts w:ascii="Arial" w:hAnsi="Arial" w:cs="Arial" w:eastAsia="Arial" w:hint="default"/>
                <w:sz w:val="16"/>
                <w:szCs w:val="16"/>
              </w:rPr>
              <w:t>2012</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left="766"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r>
      <w:tr>
        <w:trPr>
          <w:trHeight w:val="222" w:hRule="exact"/>
        </w:trPr>
        <w:tc>
          <w:tcPr>
            <w:tcW w:w="2193" w:type="dxa"/>
            <w:tcBorders>
              <w:top w:val="nil" w:sz="6" w:space="0" w:color="auto"/>
              <w:left w:val="nil" w:sz="6" w:space="0" w:color="auto"/>
              <w:bottom w:val="nil" w:sz="6" w:space="0" w:color="auto"/>
              <w:right w:val="nil" w:sz="6" w:space="0" w:color="auto"/>
            </w:tcBorders>
          </w:tcPr>
          <w:p>
            <w:pPr/>
          </w:p>
        </w:tc>
        <w:tc>
          <w:tcPr>
            <w:tcW w:w="1612" w:type="dxa"/>
            <w:tcBorders>
              <w:top w:val="single" w:sz="6" w:space="0" w:color="000000"/>
              <w:left w:val="nil" w:sz="6" w:space="0" w:color="auto"/>
              <w:bottom w:val="nil" w:sz="6" w:space="0" w:color="auto"/>
              <w:right w:val="nil" w:sz="6" w:space="0" w:color="auto"/>
            </w:tcBorders>
          </w:tcPr>
          <w:p>
            <w:pPr/>
          </w:p>
        </w:tc>
        <w:tc>
          <w:tcPr>
            <w:tcW w:w="1350" w:type="dxa"/>
            <w:tcBorders>
              <w:top w:val="single" w:sz="6" w:space="0" w:color="000000"/>
              <w:left w:val="nil" w:sz="6" w:space="0" w:color="auto"/>
              <w:bottom w:val="nil" w:sz="6" w:space="0" w:color="auto"/>
              <w:right w:val="nil" w:sz="6" w:space="0" w:color="auto"/>
            </w:tcBorders>
          </w:tcPr>
          <w:p>
            <w:pPr/>
          </w:p>
        </w:tc>
        <w:tc>
          <w:tcPr>
            <w:tcW w:w="1156" w:type="dxa"/>
            <w:tcBorders>
              <w:top w:val="single" w:sz="6" w:space="0" w:color="000000"/>
              <w:left w:val="nil" w:sz="6" w:space="0" w:color="auto"/>
              <w:bottom w:val="single" w:sz="6" w:space="0" w:color="000000"/>
              <w:right w:val="nil" w:sz="6" w:space="0" w:color="auto"/>
            </w:tcBorders>
          </w:tcPr>
          <w:p>
            <w:pPr>
              <w:pStyle w:val="TableParagraph"/>
              <w:spacing w:line="182" w:lineRule="exact"/>
              <w:ind w:left="193" w:right="0"/>
              <w:jc w:val="left"/>
              <w:rPr>
                <w:rFonts w:ascii="宋体" w:hAnsi="宋体" w:cs="宋体" w:eastAsia="宋体" w:hint="default"/>
                <w:sz w:val="16"/>
                <w:szCs w:val="16"/>
              </w:rPr>
            </w:pPr>
            <w:r>
              <w:rPr>
                <w:rFonts w:ascii="宋体" w:hAnsi="宋体" w:cs="宋体" w:eastAsia="宋体" w:hint="default"/>
                <w:sz w:val="16"/>
                <w:szCs w:val="16"/>
              </w:rPr>
              <w:t>转回（注）</w:t>
            </w:r>
          </w:p>
        </w:tc>
        <w:tc>
          <w:tcPr>
            <w:tcW w:w="1253" w:type="dxa"/>
            <w:tcBorders>
              <w:top w:val="single" w:sz="6" w:space="0" w:color="000000"/>
              <w:left w:val="nil" w:sz="6" w:space="0" w:color="auto"/>
              <w:bottom w:val="single" w:sz="6" w:space="0" w:color="000000"/>
              <w:right w:val="nil" w:sz="6" w:space="0" w:color="auto"/>
            </w:tcBorders>
          </w:tcPr>
          <w:p>
            <w:pPr>
              <w:pStyle w:val="TableParagraph"/>
              <w:spacing w:line="182" w:lineRule="exact"/>
              <w:ind w:right="84"/>
              <w:jc w:val="right"/>
              <w:rPr>
                <w:rFonts w:ascii="宋体" w:hAnsi="宋体" w:cs="宋体" w:eastAsia="宋体" w:hint="default"/>
                <w:sz w:val="16"/>
                <w:szCs w:val="16"/>
              </w:rPr>
            </w:pPr>
            <w:r>
              <w:rPr>
                <w:rFonts w:ascii="宋体" w:hAnsi="宋体" w:cs="宋体" w:eastAsia="宋体" w:hint="default"/>
                <w:w w:val="95"/>
                <w:sz w:val="16"/>
                <w:szCs w:val="16"/>
              </w:rPr>
              <w:t>转销</w:t>
            </w:r>
            <w:r>
              <w:rPr>
                <w:rFonts w:ascii="宋体" w:hAnsi="宋体" w:cs="宋体" w:eastAsia="宋体" w:hint="default"/>
                <w:sz w:val="16"/>
                <w:szCs w:val="16"/>
              </w:rPr>
            </w:r>
          </w:p>
        </w:tc>
        <w:tc>
          <w:tcPr>
            <w:tcW w:w="1608" w:type="dxa"/>
            <w:tcBorders>
              <w:top w:val="single" w:sz="6" w:space="0" w:color="000000"/>
              <w:left w:val="nil" w:sz="6" w:space="0" w:color="auto"/>
              <w:bottom w:val="nil" w:sz="6" w:space="0" w:color="auto"/>
              <w:right w:val="nil" w:sz="6" w:space="0" w:color="auto"/>
            </w:tcBorders>
          </w:tcPr>
          <w:p>
            <w:pPr/>
          </w:p>
        </w:tc>
      </w:tr>
      <w:tr>
        <w:trPr>
          <w:trHeight w:val="407" w:hRule="exact"/>
        </w:trPr>
        <w:tc>
          <w:tcPr>
            <w:tcW w:w="2193"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1612" w:type="dxa"/>
            <w:tcBorders>
              <w:top w:val="nil" w:sz="6" w:space="0" w:color="auto"/>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14" w:right="0"/>
              <w:jc w:val="left"/>
              <w:rPr>
                <w:rFonts w:ascii="Arial" w:hAnsi="Arial" w:cs="Arial" w:eastAsia="Arial" w:hint="default"/>
                <w:sz w:val="16"/>
                <w:szCs w:val="16"/>
              </w:rPr>
            </w:pPr>
            <w:r>
              <w:rPr>
                <w:rFonts w:ascii="Arial"/>
                <w:sz w:val="16"/>
              </w:rPr>
              <w:t>(4,033,036,425)</w:t>
            </w:r>
          </w:p>
        </w:tc>
        <w:tc>
          <w:tcPr>
            <w:tcW w:w="1350" w:type="dxa"/>
            <w:tcBorders>
              <w:top w:val="nil" w:sz="6" w:space="0" w:color="auto"/>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4"/>
              <w:jc w:val="right"/>
              <w:rPr>
                <w:rFonts w:ascii="Arial" w:hAnsi="Arial" w:cs="Arial" w:eastAsia="Arial" w:hint="default"/>
                <w:sz w:val="16"/>
                <w:szCs w:val="16"/>
              </w:rPr>
            </w:pPr>
            <w:r>
              <w:rPr>
                <w:rFonts w:ascii="Arial"/>
                <w:w w:val="95"/>
                <w:sz w:val="16"/>
              </w:rPr>
              <w:t>(3,271,279,649)</w:t>
            </w:r>
            <w:r>
              <w:rPr>
                <w:rFonts w:ascii="Arial"/>
                <w:sz w:val="16"/>
              </w:rPr>
            </w:r>
          </w:p>
        </w:tc>
        <w:tc>
          <w:tcPr>
            <w:tcW w:w="115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3" w:right="0"/>
              <w:jc w:val="left"/>
              <w:rPr>
                <w:rFonts w:ascii="Arial" w:hAnsi="Arial" w:cs="Arial" w:eastAsia="Arial" w:hint="default"/>
                <w:sz w:val="16"/>
                <w:szCs w:val="16"/>
              </w:rPr>
            </w:pPr>
            <w:r>
              <w:rPr>
                <w:rFonts w:ascii="Arial"/>
                <w:sz w:val="16"/>
              </w:rPr>
              <w:t>60,592,908</w:t>
            </w:r>
          </w:p>
        </w:tc>
        <w:tc>
          <w:tcPr>
            <w:tcW w:w="1253"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Arial" w:hAnsi="Arial" w:cs="Arial" w:eastAsia="Arial" w:hint="default"/>
                <w:sz w:val="16"/>
                <w:szCs w:val="16"/>
              </w:rPr>
            </w:pPr>
            <w:r>
              <w:rPr>
                <w:rFonts w:ascii="Arial"/>
                <w:sz w:val="16"/>
              </w:rPr>
              <w:t>2,735,091,602</w:t>
            </w:r>
          </w:p>
        </w:tc>
        <w:tc>
          <w:tcPr>
            <w:tcW w:w="1608" w:type="dxa"/>
            <w:tcBorders>
              <w:top w:val="nil" w:sz="6" w:space="0" w:color="auto"/>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6"/>
              <w:jc w:val="right"/>
              <w:rPr>
                <w:rFonts w:ascii="Arial" w:hAnsi="Arial" w:cs="Arial" w:eastAsia="Arial" w:hint="default"/>
                <w:sz w:val="16"/>
                <w:szCs w:val="16"/>
              </w:rPr>
            </w:pPr>
            <w:r>
              <w:rPr>
                <w:rFonts w:ascii="Arial"/>
                <w:w w:val="95"/>
                <w:sz w:val="16"/>
              </w:rPr>
              <w:t>(4,508,631,564)</w:t>
            </w:r>
            <w:r>
              <w:rPr>
                <w:rFonts w:ascii="Arial"/>
                <w:sz w:val="16"/>
              </w:rPr>
            </w:r>
          </w:p>
        </w:tc>
      </w:tr>
      <w:tr>
        <w:trPr>
          <w:trHeight w:val="223" w:hRule="exact"/>
        </w:trPr>
        <w:tc>
          <w:tcPr>
            <w:tcW w:w="2193" w:type="dxa"/>
            <w:tcBorders>
              <w:top w:val="single" w:sz="6" w:space="0" w:color="000000"/>
              <w:left w:val="single" w:sz="6" w:space="0" w:color="000000"/>
              <w:bottom w:val="nil" w:sz="6" w:space="0" w:color="auto"/>
              <w:right w:val="nil" w:sz="6" w:space="0" w:color="auto"/>
            </w:tcBorders>
          </w:tcPr>
          <w:p>
            <w:pPr>
              <w:pStyle w:val="TableParagraph"/>
              <w:spacing w:line="182" w:lineRule="exact"/>
              <w:ind w:right="0"/>
              <w:jc w:val="left"/>
              <w:rPr>
                <w:rFonts w:ascii="宋体" w:hAnsi="宋体" w:cs="宋体" w:eastAsia="宋体" w:hint="default"/>
                <w:sz w:val="16"/>
                <w:szCs w:val="16"/>
              </w:rPr>
            </w:pPr>
            <w:r>
              <w:rPr>
                <w:rFonts w:ascii="宋体" w:hAnsi="宋体" w:cs="宋体" w:eastAsia="宋体" w:hint="default"/>
                <w:sz w:val="16"/>
                <w:szCs w:val="16"/>
              </w:rPr>
              <w:t>其中：应收账款坏账准备</w:t>
            </w:r>
          </w:p>
        </w:tc>
        <w:tc>
          <w:tcPr>
            <w:tcW w:w="1612"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314" w:right="0"/>
              <w:jc w:val="left"/>
              <w:rPr>
                <w:rFonts w:ascii="Arial" w:hAnsi="Arial" w:cs="Arial" w:eastAsia="Arial" w:hint="default"/>
                <w:sz w:val="16"/>
                <w:szCs w:val="16"/>
              </w:rPr>
            </w:pPr>
            <w:r>
              <w:rPr>
                <w:rFonts w:ascii="Arial"/>
                <w:sz w:val="16"/>
              </w:rPr>
              <w:t>(3,554,880,841)</w:t>
            </w:r>
          </w:p>
        </w:tc>
        <w:tc>
          <w:tcPr>
            <w:tcW w:w="1350"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104"/>
              <w:jc w:val="right"/>
              <w:rPr>
                <w:rFonts w:ascii="Arial" w:hAnsi="Arial" w:cs="Arial" w:eastAsia="Arial" w:hint="default"/>
                <w:sz w:val="16"/>
                <w:szCs w:val="16"/>
              </w:rPr>
            </w:pPr>
            <w:r>
              <w:rPr>
                <w:rFonts w:ascii="Arial"/>
                <w:w w:val="95"/>
                <w:sz w:val="16"/>
              </w:rPr>
              <w:t>(3,267,513,528)</w:t>
            </w:r>
            <w:r>
              <w:rPr>
                <w:rFonts w:ascii="Arial"/>
                <w:sz w:val="16"/>
              </w:rPr>
            </w:r>
          </w:p>
        </w:tc>
        <w:tc>
          <w:tcPr>
            <w:tcW w:w="1156"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183" w:right="0"/>
              <w:jc w:val="left"/>
              <w:rPr>
                <w:rFonts w:ascii="Arial" w:hAnsi="Arial" w:cs="Arial" w:eastAsia="Arial" w:hint="default"/>
                <w:sz w:val="16"/>
                <w:szCs w:val="16"/>
              </w:rPr>
            </w:pPr>
            <w:r>
              <w:rPr>
                <w:rFonts w:ascii="Arial"/>
                <w:sz w:val="16"/>
              </w:rPr>
              <w:t>56,826,787</w:t>
            </w:r>
          </w:p>
        </w:tc>
        <w:tc>
          <w:tcPr>
            <w:tcW w:w="1253"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163" w:right="0"/>
              <w:jc w:val="left"/>
              <w:rPr>
                <w:rFonts w:ascii="Arial" w:hAnsi="Arial" w:cs="Arial" w:eastAsia="Arial" w:hint="default"/>
                <w:sz w:val="16"/>
                <w:szCs w:val="16"/>
              </w:rPr>
            </w:pPr>
            <w:r>
              <w:rPr>
                <w:rFonts w:ascii="Arial"/>
                <w:sz w:val="16"/>
              </w:rPr>
              <w:t>2,686,828,825</w:t>
            </w:r>
          </w:p>
        </w:tc>
        <w:tc>
          <w:tcPr>
            <w:tcW w:w="1608" w:type="dxa"/>
            <w:tcBorders>
              <w:top w:val="single" w:sz="6" w:space="0" w:color="000000"/>
              <w:left w:val="nil" w:sz="6" w:space="0" w:color="auto"/>
              <w:bottom w:val="nil" w:sz="6" w:space="0" w:color="auto"/>
              <w:right w:val="single" w:sz="6" w:space="0" w:color="000000"/>
            </w:tcBorders>
          </w:tcPr>
          <w:p>
            <w:pPr>
              <w:pStyle w:val="TableParagraph"/>
              <w:spacing w:line="240" w:lineRule="auto" w:before="21"/>
              <w:ind w:right="19"/>
              <w:jc w:val="right"/>
              <w:rPr>
                <w:rFonts w:ascii="Arial" w:hAnsi="Arial" w:cs="Arial" w:eastAsia="Arial" w:hint="default"/>
                <w:sz w:val="16"/>
                <w:szCs w:val="16"/>
              </w:rPr>
            </w:pPr>
            <w:r>
              <w:rPr>
                <w:rFonts w:ascii="Arial"/>
                <w:w w:val="95"/>
                <w:sz w:val="16"/>
              </w:rPr>
              <w:t>(4,078,738,757)</w:t>
            </w:r>
            <w:r>
              <w:rPr>
                <w:rFonts w:ascii="Arial"/>
                <w:sz w:val="16"/>
              </w:rPr>
            </w:r>
          </w:p>
        </w:tc>
      </w:tr>
      <w:tr>
        <w:trPr>
          <w:trHeight w:val="206" w:hRule="exact"/>
        </w:trPr>
        <w:tc>
          <w:tcPr>
            <w:tcW w:w="2193" w:type="dxa"/>
            <w:tcBorders>
              <w:top w:val="nil" w:sz="6" w:space="0" w:color="auto"/>
              <w:left w:val="single" w:sz="6" w:space="0" w:color="000000"/>
              <w:bottom w:val="single" w:sz="6" w:space="0" w:color="000000"/>
              <w:right w:val="nil" w:sz="6" w:space="0" w:color="auto"/>
            </w:tcBorders>
          </w:tcPr>
          <w:p>
            <w:pPr>
              <w:pStyle w:val="TableParagraph"/>
              <w:spacing w:line="174" w:lineRule="exact"/>
              <w:ind w:left="504" w:right="0"/>
              <w:jc w:val="left"/>
              <w:rPr>
                <w:rFonts w:ascii="宋体" w:hAnsi="宋体" w:cs="宋体" w:eastAsia="宋体" w:hint="default"/>
                <w:sz w:val="16"/>
                <w:szCs w:val="16"/>
              </w:rPr>
            </w:pPr>
            <w:r>
              <w:rPr>
                <w:rFonts w:ascii="宋体" w:hAnsi="宋体" w:cs="宋体" w:eastAsia="宋体" w:hint="default"/>
                <w:sz w:val="16"/>
                <w:szCs w:val="16"/>
              </w:rPr>
              <w:t>其他应收款坏账准备</w:t>
            </w:r>
          </w:p>
        </w:tc>
        <w:tc>
          <w:tcPr>
            <w:tcW w:w="1612" w:type="dxa"/>
            <w:tcBorders>
              <w:top w:val="nil" w:sz="6" w:space="0" w:color="auto"/>
              <w:left w:val="nil" w:sz="6" w:space="0" w:color="auto"/>
              <w:bottom w:val="single" w:sz="6" w:space="0" w:color="000000"/>
              <w:right w:val="nil" w:sz="6" w:space="0" w:color="auto"/>
            </w:tcBorders>
          </w:tcPr>
          <w:p>
            <w:pPr>
              <w:pStyle w:val="TableParagraph"/>
              <w:spacing w:line="240" w:lineRule="auto" w:before="13"/>
              <w:ind w:left="447" w:right="0"/>
              <w:jc w:val="left"/>
              <w:rPr>
                <w:rFonts w:ascii="Arial" w:hAnsi="Arial" w:cs="Arial" w:eastAsia="Arial" w:hint="default"/>
                <w:sz w:val="16"/>
                <w:szCs w:val="16"/>
              </w:rPr>
            </w:pPr>
            <w:r>
              <w:rPr>
                <w:rFonts w:ascii="Arial"/>
                <w:sz w:val="16"/>
              </w:rPr>
              <w:t>(478,155,584)</w:t>
            </w:r>
          </w:p>
        </w:tc>
        <w:tc>
          <w:tcPr>
            <w:tcW w:w="1350" w:type="dxa"/>
            <w:tcBorders>
              <w:top w:val="nil" w:sz="6" w:space="0" w:color="auto"/>
              <w:left w:val="nil" w:sz="6" w:space="0" w:color="auto"/>
              <w:bottom w:val="single" w:sz="6" w:space="0" w:color="000000"/>
              <w:right w:val="nil" w:sz="6" w:space="0" w:color="auto"/>
            </w:tcBorders>
          </w:tcPr>
          <w:p>
            <w:pPr>
              <w:pStyle w:val="TableParagraph"/>
              <w:spacing w:line="240" w:lineRule="auto" w:before="13"/>
              <w:ind w:right="103"/>
              <w:jc w:val="right"/>
              <w:rPr>
                <w:rFonts w:ascii="Arial" w:hAnsi="Arial" w:cs="Arial" w:eastAsia="Arial" w:hint="default"/>
                <w:sz w:val="16"/>
                <w:szCs w:val="16"/>
              </w:rPr>
            </w:pPr>
            <w:r>
              <w:rPr>
                <w:rFonts w:ascii="Arial"/>
                <w:w w:val="95"/>
                <w:sz w:val="16"/>
              </w:rPr>
              <w:t>(3,766,121)</w:t>
            </w:r>
            <w:r>
              <w:rPr>
                <w:rFonts w:ascii="Arial"/>
                <w:sz w:val="16"/>
              </w:rPr>
            </w:r>
          </w:p>
        </w:tc>
        <w:tc>
          <w:tcPr>
            <w:tcW w:w="1156" w:type="dxa"/>
            <w:tcBorders>
              <w:top w:val="nil" w:sz="6" w:space="0" w:color="auto"/>
              <w:left w:val="nil" w:sz="6" w:space="0" w:color="auto"/>
              <w:bottom w:val="single" w:sz="6" w:space="0" w:color="000000"/>
              <w:right w:val="nil" w:sz="6" w:space="0" w:color="auto"/>
            </w:tcBorders>
          </w:tcPr>
          <w:p>
            <w:pPr>
              <w:pStyle w:val="TableParagraph"/>
              <w:spacing w:line="240" w:lineRule="auto" w:before="13"/>
              <w:ind w:left="272" w:right="0"/>
              <w:jc w:val="left"/>
              <w:rPr>
                <w:rFonts w:ascii="Arial" w:hAnsi="Arial" w:cs="Arial" w:eastAsia="Arial" w:hint="default"/>
                <w:sz w:val="16"/>
                <w:szCs w:val="16"/>
              </w:rPr>
            </w:pPr>
            <w:r>
              <w:rPr>
                <w:rFonts w:ascii="Arial"/>
                <w:sz w:val="16"/>
              </w:rPr>
              <w:t>3,766,121</w:t>
            </w:r>
          </w:p>
        </w:tc>
        <w:tc>
          <w:tcPr>
            <w:tcW w:w="1253" w:type="dxa"/>
            <w:tcBorders>
              <w:top w:val="nil" w:sz="6" w:space="0" w:color="auto"/>
              <w:left w:val="nil" w:sz="6" w:space="0" w:color="auto"/>
              <w:bottom w:val="single" w:sz="6" w:space="0" w:color="000000"/>
              <w:right w:val="nil" w:sz="6" w:space="0" w:color="auto"/>
            </w:tcBorders>
          </w:tcPr>
          <w:p>
            <w:pPr>
              <w:pStyle w:val="TableParagraph"/>
              <w:spacing w:line="240" w:lineRule="auto" w:before="13"/>
              <w:ind w:left="386" w:right="0"/>
              <w:jc w:val="left"/>
              <w:rPr>
                <w:rFonts w:ascii="Arial" w:hAnsi="Arial" w:cs="Arial" w:eastAsia="Arial" w:hint="default"/>
                <w:sz w:val="16"/>
                <w:szCs w:val="16"/>
              </w:rPr>
            </w:pPr>
            <w:r>
              <w:rPr>
                <w:rFonts w:ascii="Arial"/>
                <w:sz w:val="16"/>
              </w:rPr>
              <w:t>48,262,777</w:t>
            </w:r>
          </w:p>
        </w:tc>
        <w:tc>
          <w:tcPr>
            <w:tcW w:w="1608" w:type="dxa"/>
            <w:tcBorders>
              <w:top w:val="nil" w:sz="6" w:space="0" w:color="auto"/>
              <w:left w:val="nil" w:sz="6" w:space="0" w:color="auto"/>
              <w:bottom w:val="single" w:sz="6" w:space="0" w:color="000000"/>
              <w:right w:val="single" w:sz="6" w:space="0" w:color="000000"/>
            </w:tcBorders>
          </w:tcPr>
          <w:p>
            <w:pPr>
              <w:pStyle w:val="TableParagraph"/>
              <w:spacing w:line="240" w:lineRule="auto" w:before="13"/>
              <w:ind w:right="19"/>
              <w:jc w:val="right"/>
              <w:rPr>
                <w:rFonts w:ascii="Arial" w:hAnsi="Arial" w:cs="Arial" w:eastAsia="Arial" w:hint="default"/>
                <w:sz w:val="16"/>
                <w:szCs w:val="16"/>
              </w:rPr>
            </w:pPr>
            <w:r>
              <w:rPr>
                <w:rFonts w:ascii="Arial"/>
                <w:w w:val="95"/>
                <w:sz w:val="16"/>
              </w:rPr>
              <w:t>(429,892,807)</w:t>
            </w:r>
            <w:r>
              <w:rPr>
                <w:rFonts w:ascii="Arial"/>
                <w:sz w:val="16"/>
              </w:rPr>
            </w:r>
          </w:p>
        </w:tc>
      </w:tr>
      <w:tr>
        <w:trPr>
          <w:trHeight w:val="229" w:hRule="exact"/>
        </w:trPr>
        <w:tc>
          <w:tcPr>
            <w:tcW w:w="2193" w:type="dxa"/>
            <w:tcBorders>
              <w:top w:val="single" w:sz="6" w:space="0" w:color="000000"/>
              <w:left w:val="nil" w:sz="6" w:space="0" w:color="auto"/>
              <w:bottom w:val="nil" w:sz="6" w:space="0" w:color="auto"/>
              <w:right w:val="nil" w:sz="6" w:space="0" w:color="auto"/>
            </w:tcBorders>
          </w:tcPr>
          <w:p>
            <w:pPr>
              <w:pStyle w:val="TableParagraph"/>
              <w:spacing w:line="183" w:lineRule="exact"/>
              <w:ind w:right="0"/>
              <w:jc w:val="left"/>
              <w:rPr>
                <w:rFonts w:ascii="宋体" w:hAnsi="宋体" w:cs="宋体" w:eastAsia="宋体" w:hint="default"/>
                <w:sz w:val="16"/>
                <w:szCs w:val="16"/>
              </w:rPr>
            </w:pPr>
            <w:r>
              <w:rPr>
                <w:rFonts w:ascii="宋体" w:hAnsi="宋体" w:cs="宋体" w:eastAsia="宋体" w:hint="default"/>
                <w:sz w:val="16"/>
                <w:szCs w:val="16"/>
              </w:rPr>
              <w:t>存货跌价准备</w:t>
            </w:r>
          </w:p>
        </w:tc>
        <w:tc>
          <w:tcPr>
            <w:tcW w:w="1612"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447" w:right="0"/>
              <w:jc w:val="left"/>
              <w:rPr>
                <w:rFonts w:ascii="Arial" w:hAnsi="Arial" w:cs="Arial" w:eastAsia="Arial" w:hint="default"/>
                <w:sz w:val="16"/>
                <w:szCs w:val="16"/>
              </w:rPr>
            </w:pPr>
            <w:r>
              <w:rPr>
                <w:rFonts w:ascii="Arial"/>
                <w:sz w:val="16"/>
              </w:rPr>
              <w:t>(196,042,474)</w:t>
            </w:r>
          </w:p>
        </w:tc>
        <w:tc>
          <w:tcPr>
            <w:tcW w:w="1350"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104"/>
              <w:jc w:val="right"/>
              <w:rPr>
                <w:rFonts w:ascii="Arial" w:hAnsi="Arial" w:cs="Arial" w:eastAsia="Arial" w:hint="default"/>
                <w:sz w:val="16"/>
                <w:szCs w:val="16"/>
              </w:rPr>
            </w:pPr>
            <w:r>
              <w:rPr>
                <w:rFonts w:ascii="Arial"/>
                <w:w w:val="95"/>
                <w:sz w:val="16"/>
              </w:rPr>
              <w:t>(141,844,654)</w:t>
            </w:r>
            <w:r>
              <w:rPr>
                <w:rFonts w:ascii="Arial"/>
                <w:sz w:val="16"/>
              </w:rPr>
            </w:r>
          </w:p>
        </w:tc>
        <w:tc>
          <w:tcPr>
            <w:tcW w:w="1156"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169"/>
              <w:jc w:val="right"/>
              <w:rPr>
                <w:rFonts w:ascii="Arial" w:hAnsi="Arial" w:cs="Arial" w:eastAsia="Arial" w:hint="default"/>
                <w:sz w:val="16"/>
                <w:szCs w:val="16"/>
              </w:rPr>
            </w:pPr>
            <w:r>
              <w:rPr>
                <w:rFonts w:ascii="Arial"/>
                <w:w w:val="99"/>
                <w:sz w:val="16"/>
              </w:rPr>
              <w:t>-</w:t>
            </w:r>
            <w:r>
              <w:rPr>
                <w:rFonts w:ascii="Arial"/>
                <w:sz w:val="16"/>
              </w:rPr>
            </w:r>
          </w:p>
        </w:tc>
        <w:tc>
          <w:tcPr>
            <w:tcW w:w="1253"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left="297" w:right="0"/>
              <w:jc w:val="left"/>
              <w:rPr>
                <w:rFonts w:ascii="Arial" w:hAnsi="Arial" w:cs="Arial" w:eastAsia="Arial" w:hint="default"/>
                <w:sz w:val="16"/>
                <w:szCs w:val="16"/>
              </w:rPr>
            </w:pPr>
            <w:r>
              <w:rPr>
                <w:rFonts w:ascii="Arial"/>
                <w:sz w:val="16"/>
              </w:rPr>
              <w:t>149,561,001</w:t>
            </w:r>
          </w:p>
        </w:tc>
        <w:tc>
          <w:tcPr>
            <w:tcW w:w="1608" w:type="dxa"/>
            <w:tcBorders>
              <w:top w:val="single" w:sz="6" w:space="0" w:color="000000"/>
              <w:left w:val="nil" w:sz="6" w:space="0" w:color="auto"/>
              <w:bottom w:val="nil" w:sz="6" w:space="0" w:color="auto"/>
              <w:right w:val="nil" w:sz="6" w:space="0" w:color="auto"/>
            </w:tcBorders>
          </w:tcPr>
          <w:p>
            <w:pPr>
              <w:pStyle w:val="TableParagraph"/>
              <w:spacing w:line="240" w:lineRule="auto" w:before="21"/>
              <w:ind w:right="26"/>
              <w:jc w:val="right"/>
              <w:rPr>
                <w:rFonts w:ascii="Arial" w:hAnsi="Arial" w:cs="Arial" w:eastAsia="Arial" w:hint="default"/>
                <w:sz w:val="16"/>
                <w:szCs w:val="16"/>
              </w:rPr>
            </w:pPr>
            <w:r>
              <w:rPr>
                <w:rFonts w:ascii="Arial"/>
                <w:w w:val="95"/>
                <w:sz w:val="16"/>
              </w:rPr>
              <w:t>(188,326,127)</w:t>
            </w:r>
            <w:r>
              <w:rPr>
                <w:rFonts w:ascii="Arial"/>
                <w:sz w:val="16"/>
              </w:rPr>
            </w:r>
          </w:p>
        </w:tc>
      </w:tr>
      <w:tr>
        <w:trPr>
          <w:trHeight w:val="212" w:hRule="exact"/>
        </w:trPr>
        <w:tc>
          <w:tcPr>
            <w:tcW w:w="2193" w:type="dxa"/>
            <w:tcBorders>
              <w:top w:val="nil" w:sz="6" w:space="0" w:color="auto"/>
              <w:left w:val="nil" w:sz="6" w:space="0" w:color="auto"/>
              <w:bottom w:val="nil" w:sz="6" w:space="0" w:color="auto"/>
              <w:right w:val="nil" w:sz="6" w:space="0" w:color="auto"/>
            </w:tcBorders>
          </w:tcPr>
          <w:p>
            <w:pPr>
              <w:pStyle w:val="TableParagraph"/>
              <w:spacing w:line="179" w:lineRule="exact"/>
              <w:ind w:right="0"/>
              <w:jc w:val="left"/>
              <w:rPr>
                <w:rFonts w:ascii="宋体" w:hAnsi="宋体" w:cs="宋体" w:eastAsia="宋体" w:hint="default"/>
                <w:sz w:val="16"/>
                <w:szCs w:val="16"/>
              </w:rPr>
            </w:pPr>
            <w:r>
              <w:rPr>
                <w:rFonts w:ascii="宋体" w:hAnsi="宋体" w:cs="宋体" w:eastAsia="宋体" w:hint="default"/>
                <w:sz w:val="16"/>
                <w:szCs w:val="16"/>
              </w:rPr>
              <w:t>固定资产减值准备</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24" w:right="0"/>
              <w:jc w:val="left"/>
              <w:rPr>
                <w:rFonts w:ascii="Arial" w:hAnsi="Arial" w:cs="Arial" w:eastAsia="Arial" w:hint="default"/>
                <w:sz w:val="16"/>
                <w:szCs w:val="16"/>
              </w:rPr>
            </w:pPr>
            <w:r>
              <w:rPr>
                <w:rFonts w:ascii="Arial"/>
                <w:sz w:val="16"/>
              </w:rPr>
              <w:t>(12,136,028,990)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6"/>
              <w:jc w:val="right"/>
              <w:rPr>
                <w:rFonts w:ascii="Arial" w:hAnsi="Arial" w:cs="Arial" w:eastAsia="Arial" w:hint="default"/>
                <w:sz w:val="16"/>
                <w:szCs w:val="16"/>
              </w:rPr>
            </w:pPr>
            <w:r>
              <w:rPr>
                <w:rFonts w:ascii="Arial"/>
                <w:w w:val="99"/>
                <w:sz w:val="16"/>
              </w:rPr>
              <w:t>-</w:t>
            </w:r>
            <w:r>
              <w:rPr>
                <w:rFonts w:ascii="Arial"/>
                <w:sz w:val="16"/>
              </w:rPr>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69"/>
              <w:jc w:val="right"/>
              <w:rPr>
                <w:rFonts w:ascii="Arial" w:hAnsi="Arial" w:cs="Arial" w:eastAsia="Arial" w:hint="default"/>
                <w:sz w:val="16"/>
                <w:szCs w:val="16"/>
              </w:rPr>
            </w:pPr>
            <w:r>
              <w:rPr>
                <w:rFonts w:ascii="Arial"/>
                <w:w w:val="99"/>
                <w:sz w:val="16"/>
              </w:rPr>
              <w:t>-</w:t>
            </w:r>
            <w:r>
              <w:rPr>
                <w:rFonts w:ascii="Arial"/>
                <w:sz w:val="16"/>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97" w:right="0"/>
              <w:jc w:val="left"/>
              <w:rPr>
                <w:rFonts w:ascii="Arial" w:hAnsi="Arial" w:cs="Arial" w:eastAsia="Arial" w:hint="default"/>
                <w:sz w:val="16"/>
                <w:szCs w:val="16"/>
              </w:rPr>
            </w:pPr>
            <w:r>
              <w:rPr>
                <w:rFonts w:ascii="Arial"/>
                <w:sz w:val="16"/>
              </w:rPr>
              <w:t>152,075,372</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6"/>
              <w:jc w:val="right"/>
              <w:rPr>
                <w:rFonts w:ascii="Arial" w:hAnsi="Arial" w:cs="Arial" w:eastAsia="Arial" w:hint="default"/>
                <w:sz w:val="16"/>
                <w:szCs w:val="16"/>
              </w:rPr>
            </w:pPr>
            <w:r>
              <w:rPr>
                <w:rFonts w:ascii="Arial"/>
                <w:w w:val="95"/>
                <w:sz w:val="16"/>
              </w:rPr>
              <w:t>(11,983,953,618)</w:t>
            </w:r>
            <w:r>
              <w:rPr>
                <w:rFonts w:ascii="Arial"/>
                <w:sz w:val="16"/>
              </w:rPr>
            </w:r>
          </w:p>
        </w:tc>
      </w:tr>
      <w:tr>
        <w:trPr>
          <w:trHeight w:val="208" w:hRule="exact"/>
        </w:trPr>
        <w:tc>
          <w:tcPr>
            <w:tcW w:w="2193" w:type="dxa"/>
            <w:tcBorders>
              <w:top w:val="nil" w:sz="6" w:space="0" w:color="auto"/>
              <w:left w:val="nil" w:sz="6" w:space="0" w:color="auto"/>
              <w:bottom w:val="nil" w:sz="6" w:space="0" w:color="auto"/>
              <w:right w:val="nil" w:sz="6" w:space="0" w:color="auto"/>
            </w:tcBorders>
          </w:tcPr>
          <w:p>
            <w:pPr>
              <w:pStyle w:val="TableParagraph"/>
              <w:spacing w:line="174" w:lineRule="exact"/>
              <w:ind w:right="0"/>
              <w:jc w:val="left"/>
              <w:rPr>
                <w:rFonts w:ascii="宋体" w:hAnsi="宋体" w:cs="宋体" w:eastAsia="宋体" w:hint="default"/>
                <w:sz w:val="16"/>
                <w:szCs w:val="16"/>
              </w:rPr>
            </w:pPr>
            <w:r>
              <w:rPr>
                <w:rFonts w:ascii="宋体" w:hAnsi="宋体" w:cs="宋体" w:eastAsia="宋体" w:hint="default"/>
                <w:sz w:val="16"/>
                <w:szCs w:val="16"/>
              </w:rPr>
              <w:t>在建工程减值准备</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625" w:right="0"/>
              <w:jc w:val="left"/>
              <w:rPr>
                <w:rFonts w:ascii="Arial" w:hAnsi="Arial" w:cs="Arial" w:eastAsia="Arial" w:hint="default"/>
                <w:sz w:val="16"/>
                <w:szCs w:val="16"/>
              </w:rPr>
            </w:pPr>
            <w:r>
              <w:rPr>
                <w:rFonts w:ascii="Arial"/>
                <w:sz w:val="16"/>
              </w:rPr>
              <w:t>(5,852,050)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3"/>
              <w:jc w:val="right"/>
              <w:rPr>
                <w:rFonts w:ascii="Arial" w:hAnsi="Arial" w:cs="Arial" w:eastAsia="Arial" w:hint="default"/>
                <w:sz w:val="16"/>
                <w:szCs w:val="16"/>
              </w:rPr>
            </w:pPr>
            <w:r>
              <w:rPr>
                <w:rFonts w:ascii="Arial"/>
                <w:w w:val="95"/>
                <w:sz w:val="16"/>
              </w:rPr>
              <w:t>(2,188,067)</w:t>
            </w:r>
            <w:r>
              <w:rPr>
                <w:rFonts w:ascii="Arial"/>
                <w:sz w:val="16"/>
              </w:rPr>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9"/>
              <w:jc w:val="right"/>
              <w:rPr>
                <w:rFonts w:ascii="Arial" w:hAnsi="Arial" w:cs="Arial" w:eastAsia="Arial" w:hint="default"/>
                <w:sz w:val="16"/>
                <w:szCs w:val="16"/>
              </w:rPr>
            </w:pPr>
            <w:r>
              <w:rPr>
                <w:rFonts w:ascii="Arial"/>
                <w:w w:val="99"/>
                <w:sz w:val="16"/>
              </w:rPr>
              <w:t>-</w:t>
            </w:r>
            <w:r>
              <w:rPr>
                <w:rFonts w:ascii="Arial"/>
                <w:sz w:val="16"/>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75" w:right="0"/>
              <w:jc w:val="left"/>
              <w:rPr>
                <w:rFonts w:ascii="Arial" w:hAnsi="Arial" w:cs="Arial" w:eastAsia="Arial" w:hint="default"/>
                <w:sz w:val="16"/>
                <w:szCs w:val="16"/>
              </w:rPr>
            </w:pPr>
            <w:r>
              <w:rPr>
                <w:rFonts w:ascii="Arial"/>
                <w:sz w:val="16"/>
              </w:rPr>
              <w:t>2,167,174</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Arial" w:hAnsi="Arial" w:cs="Arial" w:eastAsia="Arial" w:hint="default"/>
                <w:sz w:val="16"/>
                <w:szCs w:val="16"/>
              </w:rPr>
            </w:pPr>
            <w:r>
              <w:rPr>
                <w:rFonts w:ascii="Arial"/>
                <w:w w:val="95"/>
                <w:sz w:val="16"/>
              </w:rPr>
              <w:t>(5,872,943)</w:t>
            </w:r>
            <w:r>
              <w:rPr>
                <w:rFonts w:ascii="Arial"/>
                <w:sz w:val="16"/>
              </w:rPr>
            </w:r>
          </w:p>
        </w:tc>
      </w:tr>
      <w:tr>
        <w:trPr>
          <w:trHeight w:val="208" w:hRule="exact"/>
        </w:trPr>
        <w:tc>
          <w:tcPr>
            <w:tcW w:w="2193" w:type="dxa"/>
            <w:tcBorders>
              <w:top w:val="nil" w:sz="6" w:space="0" w:color="auto"/>
              <w:left w:val="nil" w:sz="6" w:space="0" w:color="auto"/>
              <w:bottom w:val="nil" w:sz="6" w:space="0" w:color="auto"/>
              <w:right w:val="nil" w:sz="6" w:space="0" w:color="auto"/>
            </w:tcBorders>
          </w:tcPr>
          <w:p>
            <w:pPr>
              <w:pStyle w:val="TableParagraph"/>
              <w:spacing w:line="174" w:lineRule="exact"/>
              <w:ind w:right="0"/>
              <w:jc w:val="left"/>
              <w:rPr>
                <w:rFonts w:ascii="宋体" w:hAnsi="宋体" w:cs="宋体" w:eastAsia="宋体" w:hint="default"/>
                <w:sz w:val="16"/>
                <w:szCs w:val="16"/>
              </w:rPr>
            </w:pPr>
            <w:r>
              <w:rPr>
                <w:rFonts w:ascii="宋体" w:hAnsi="宋体" w:cs="宋体" w:eastAsia="宋体" w:hint="default"/>
                <w:sz w:val="16"/>
                <w:szCs w:val="16"/>
              </w:rPr>
              <w:t>无形资产减值准备</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625" w:right="0"/>
              <w:jc w:val="left"/>
              <w:rPr>
                <w:rFonts w:ascii="Arial" w:hAnsi="Arial" w:cs="Arial" w:eastAsia="Arial" w:hint="default"/>
                <w:sz w:val="16"/>
                <w:szCs w:val="16"/>
              </w:rPr>
            </w:pPr>
            <w:r>
              <w:rPr>
                <w:rFonts w:ascii="Arial"/>
                <w:sz w:val="16"/>
              </w:rPr>
              <w:t>(3,217,849)</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56"/>
              <w:jc w:val="right"/>
              <w:rPr>
                <w:rFonts w:ascii="Arial" w:hAnsi="Arial" w:cs="Arial" w:eastAsia="Arial" w:hint="default"/>
                <w:sz w:val="16"/>
                <w:szCs w:val="16"/>
              </w:rPr>
            </w:pPr>
            <w:r>
              <w:rPr>
                <w:rFonts w:ascii="Arial"/>
                <w:w w:val="99"/>
                <w:sz w:val="16"/>
              </w:rPr>
              <w:t>-</w:t>
            </w:r>
            <w:r>
              <w:rPr>
                <w:rFonts w:ascii="Arial"/>
                <w:sz w:val="16"/>
              </w:rPr>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9"/>
              <w:jc w:val="right"/>
              <w:rPr>
                <w:rFonts w:ascii="Arial" w:hAnsi="Arial" w:cs="Arial" w:eastAsia="Arial" w:hint="default"/>
                <w:sz w:val="16"/>
                <w:szCs w:val="16"/>
              </w:rPr>
            </w:pPr>
            <w:r>
              <w:rPr>
                <w:rFonts w:ascii="Arial"/>
                <w:w w:val="99"/>
                <w:sz w:val="16"/>
              </w:rPr>
              <w:t>-</w:t>
            </w:r>
            <w:r>
              <w:rPr>
                <w:rFonts w:ascii="Arial"/>
                <w:sz w:val="16"/>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75" w:right="0"/>
              <w:jc w:val="left"/>
              <w:rPr>
                <w:rFonts w:ascii="Arial" w:hAnsi="Arial" w:cs="Arial" w:eastAsia="Arial" w:hint="default"/>
                <w:sz w:val="16"/>
                <w:szCs w:val="16"/>
              </w:rPr>
            </w:pPr>
            <w:r>
              <w:rPr>
                <w:rFonts w:ascii="Arial"/>
                <w:sz w:val="16"/>
              </w:rPr>
              <w:t>1,316,177</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Arial" w:hAnsi="Arial" w:cs="Arial" w:eastAsia="Arial" w:hint="default"/>
                <w:sz w:val="16"/>
                <w:szCs w:val="16"/>
              </w:rPr>
            </w:pPr>
            <w:r>
              <w:rPr>
                <w:rFonts w:ascii="Arial"/>
                <w:w w:val="95"/>
                <w:sz w:val="16"/>
              </w:rPr>
              <w:t>(1,901,672)</w:t>
            </w:r>
            <w:r>
              <w:rPr>
                <w:rFonts w:ascii="Arial"/>
                <w:sz w:val="16"/>
              </w:rPr>
            </w:r>
          </w:p>
        </w:tc>
      </w:tr>
      <w:tr>
        <w:trPr>
          <w:trHeight w:val="307" w:hRule="exact"/>
        </w:trPr>
        <w:tc>
          <w:tcPr>
            <w:tcW w:w="2193" w:type="dxa"/>
            <w:tcBorders>
              <w:top w:val="nil" w:sz="6" w:space="0" w:color="auto"/>
              <w:left w:val="nil" w:sz="6" w:space="0" w:color="auto"/>
              <w:bottom w:val="nil" w:sz="6" w:space="0" w:color="auto"/>
              <w:right w:val="nil" w:sz="6" w:space="0" w:color="auto"/>
            </w:tcBorders>
          </w:tcPr>
          <w:p>
            <w:pPr>
              <w:pStyle w:val="TableParagraph"/>
              <w:spacing w:line="174" w:lineRule="exact"/>
              <w:ind w:right="0"/>
              <w:jc w:val="left"/>
              <w:rPr>
                <w:rFonts w:ascii="宋体" w:hAnsi="宋体" w:cs="宋体" w:eastAsia="宋体" w:hint="default"/>
                <w:sz w:val="16"/>
                <w:szCs w:val="16"/>
              </w:rPr>
            </w:pPr>
            <w:r>
              <w:rPr>
                <w:rFonts w:ascii="宋体" w:hAnsi="宋体" w:cs="宋体" w:eastAsia="宋体" w:hint="default"/>
                <w:sz w:val="16"/>
                <w:szCs w:val="16"/>
              </w:rPr>
              <w:t>工程物资减值准备</w:t>
            </w:r>
          </w:p>
        </w:tc>
        <w:tc>
          <w:tcPr>
            <w:tcW w:w="1612" w:type="dxa"/>
            <w:tcBorders>
              <w:top w:val="nil" w:sz="6" w:space="0" w:color="auto"/>
              <w:left w:val="nil" w:sz="6" w:space="0" w:color="auto"/>
              <w:bottom w:val="nil" w:sz="6" w:space="0" w:color="auto"/>
              <w:right w:val="nil" w:sz="6" w:space="0" w:color="auto"/>
            </w:tcBorders>
          </w:tcPr>
          <w:p>
            <w:pPr>
              <w:pStyle w:val="TableParagraph"/>
              <w:tabs>
                <w:tab w:pos="536" w:val="left" w:leader="none"/>
                <w:tab w:pos="2750" w:val="left" w:leader="none"/>
              </w:tabs>
              <w:spacing w:line="240" w:lineRule="auto" w:before="13"/>
              <w:ind w:right="-1139"/>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(18,143,410)</w:t>
            </w:r>
            <w:r>
              <w:rPr>
                <w:rFonts w:ascii="Arial"/>
                <w:spacing w:val="9"/>
                <w:sz w:val="16"/>
                <w:u w:val="single" w:color="000000"/>
              </w:rPr>
              <w:t> </w:t>
            </w:r>
            <w:r>
              <w:rPr>
                <w:rFonts w:ascii="Arial"/>
                <w:spacing w:val="9"/>
                <w:sz w:val="16"/>
              </w:rPr>
            </w:r>
            <w:r>
              <w:rPr>
                <w:rFonts w:ascii="Arial"/>
                <w:spacing w:val="4"/>
                <w:sz w:val="16"/>
              </w:rPr>
              <w:t> </w:t>
            </w:r>
            <w:r>
              <w:rPr>
                <w:rFonts w:ascii="Arial"/>
                <w:spacing w:val="4"/>
                <w:w w:val="99"/>
                <w:sz w:val="16"/>
              </w:rPr>
            </w:r>
            <w:r>
              <w:rPr>
                <w:rFonts w:ascii="Arial"/>
                <w:w w:val="99"/>
                <w:sz w:val="16"/>
                <w:u w:val="single" w:color="000000"/>
              </w:rPr>
              <w:t> </w:t>
            </w:r>
            <w:r>
              <w:rPr>
                <w:rFonts w:ascii="Arial"/>
                <w:sz w:val="16"/>
                <w:u w:val="single" w:color="000000"/>
              </w:rPr>
              <w:tab/>
            </w:r>
            <w:r>
              <w:rPr>
                <w:rFonts w:ascii="Arial"/>
                <w:sz w:val="16"/>
              </w:rPr>
            </w:r>
          </w:p>
        </w:tc>
        <w:tc>
          <w:tcPr>
            <w:tcW w:w="1350" w:type="dxa"/>
            <w:tcBorders>
              <w:top w:val="nil" w:sz="6" w:space="0" w:color="auto"/>
              <w:left w:val="nil" w:sz="6" w:space="0" w:color="auto"/>
              <w:bottom w:val="nil" w:sz="6" w:space="0" w:color="auto"/>
              <w:right w:val="nil" w:sz="6" w:space="0" w:color="auto"/>
            </w:tcBorders>
          </w:tcPr>
          <w:p>
            <w:pPr>
              <w:pStyle w:val="TableParagraph"/>
              <w:tabs>
                <w:tab w:pos="161" w:val="left" w:leader="none"/>
              </w:tabs>
              <w:spacing w:line="240" w:lineRule="auto" w:before="13"/>
              <w:ind w:right="48"/>
              <w:jc w:val="right"/>
              <w:rPr>
                <w:rFonts w:ascii="Arial" w:hAnsi="Arial" w:cs="Arial" w:eastAsia="Arial" w:hint="default"/>
                <w:sz w:val="16"/>
                <w:szCs w:val="16"/>
              </w:rPr>
            </w:pPr>
            <w:r>
              <w:rPr>
                <w:rFonts w:ascii="Arial"/>
                <w:w w:val="99"/>
                <w:sz w:val="16"/>
              </w:rPr>
            </w:r>
            <w:r>
              <w:rPr>
                <w:rFonts w:ascii="Arial"/>
                <w:w w:val="95"/>
                <w:sz w:val="16"/>
                <w:u w:val="single" w:color="000000"/>
              </w:rPr>
              <w:t>-</w:t>
            </w:r>
            <w:r>
              <w:rPr>
                <w:rFonts w:ascii="Arial"/>
                <w:sz w:val="16"/>
                <w:u w:val="single" w:color="000000"/>
              </w:rPr>
              <w:tab/>
            </w:r>
            <w:r>
              <w:rPr>
                <w:rFonts w:ascii="Arial"/>
                <w:sz w:val="16"/>
              </w:rPr>
            </w:r>
          </w:p>
        </w:tc>
        <w:tc>
          <w:tcPr>
            <w:tcW w:w="1156" w:type="dxa"/>
            <w:tcBorders>
              <w:top w:val="nil" w:sz="6" w:space="0" w:color="auto"/>
              <w:left w:val="nil" w:sz="6" w:space="0" w:color="auto"/>
              <w:bottom w:val="nil" w:sz="6" w:space="0" w:color="auto"/>
              <w:right w:val="nil" w:sz="6" w:space="0" w:color="auto"/>
            </w:tcBorders>
          </w:tcPr>
          <w:p>
            <w:pPr>
              <w:pStyle w:val="TableParagraph"/>
              <w:tabs>
                <w:tab w:pos="931" w:val="left" w:leader="none"/>
                <w:tab w:pos="1630" w:val="left" w:leader="none"/>
              </w:tabs>
              <w:spacing w:line="240" w:lineRule="auto" w:before="13"/>
              <w:ind w:right="-476"/>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w:t>
              <w:tab/>
            </w:r>
            <w:r>
              <w:rPr>
                <w:rFonts w:ascii="Arial"/>
                <w:sz w:val="16"/>
              </w:rPr>
            </w:r>
          </w:p>
        </w:tc>
        <w:tc>
          <w:tcPr>
            <w:tcW w:w="1253" w:type="dxa"/>
            <w:tcBorders>
              <w:top w:val="nil" w:sz="6" w:space="0" w:color="auto"/>
              <w:left w:val="nil" w:sz="6" w:space="0" w:color="auto"/>
              <w:bottom w:val="nil" w:sz="6" w:space="0" w:color="auto"/>
              <w:right w:val="nil" w:sz="6" w:space="0" w:color="auto"/>
            </w:tcBorders>
          </w:tcPr>
          <w:p>
            <w:pPr>
              <w:pStyle w:val="TableParagraph"/>
              <w:tabs>
                <w:tab w:pos="1252" w:val="left" w:leader="none"/>
              </w:tabs>
              <w:spacing w:line="240" w:lineRule="auto" w:before="13"/>
              <w:ind w:left="475" w:right="0"/>
              <w:jc w:val="left"/>
              <w:rPr>
                <w:rFonts w:ascii="Arial" w:hAnsi="Arial" w:cs="Arial" w:eastAsia="Arial" w:hint="default"/>
                <w:sz w:val="16"/>
                <w:szCs w:val="16"/>
              </w:rPr>
            </w:pPr>
            <w:r>
              <w:rPr>
                <w:rFonts w:ascii="Arial"/>
                <w:w w:val="99"/>
                <w:sz w:val="16"/>
              </w:rPr>
            </w:r>
            <w:r>
              <w:rPr>
                <w:rFonts w:ascii="Arial"/>
                <w:sz w:val="16"/>
                <w:u w:val="single" w:color="000000"/>
              </w:rPr>
              <w:t>1,730,637</w:t>
              <w:tab/>
            </w:r>
            <w:r>
              <w:rPr>
                <w:rFonts w:ascii="Arial"/>
                <w:sz w:val="16"/>
              </w:rPr>
            </w:r>
          </w:p>
        </w:tc>
        <w:tc>
          <w:tcPr>
            <w:tcW w:w="1608" w:type="dxa"/>
            <w:tcBorders>
              <w:top w:val="nil" w:sz="6" w:space="0" w:color="auto"/>
              <w:left w:val="nil" w:sz="6" w:space="0" w:color="auto"/>
              <w:bottom w:val="nil" w:sz="6" w:space="0" w:color="auto"/>
              <w:right w:val="nil" w:sz="6" w:space="0" w:color="auto"/>
            </w:tcBorders>
          </w:tcPr>
          <w:p>
            <w:pPr>
              <w:pStyle w:val="TableParagraph"/>
              <w:tabs>
                <w:tab w:pos="619" w:val="left" w:leader="none"/>
              </w:tabs>
              <w:spacing w:line="240" w:lineRule="auto" w:before="13"/>
              <w:ind w:right="26"/>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(16,412,773)</w:t>
            </w:r>
            <w:r>
              <w:rPr>
                <w:rFonts w:ascii="Arial"/>
                <w:w w:val="95"/>
                <w:sz w:val="16"/>
              </w:rPr>
            </w:r>
            <w:r>
              <w:rPr>
                <w:rFonts w:ascii="Arial"/>
                <w:sz w:val="16"/>
              </w:rPr>
            </w:r>
          </w:p>
        </w:tc>
      </w:tr>
      <w:tr>
        <w:trPr>
          <w:trHeight w:val="322" w:hRule="exact"/>
        </w:trPr>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612"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left="224" w:right="0"/>
              <w:jc w:val="left"/>
              <w:rPr>
                <w:rFonts w:ascii="Arial" w:hAnsi="Arial" w:cs="Arial" w:eastAsia="Arial" w:hint="default"/>
                <w:sz w:val="16"/>
                <w:szCs w:val="16"/>
              </w:rPr>
            </w:pPr>
            <w:r>
              <w:rPr>
                <w:rFonts w:ascii="Arial"/>
                <w:sz w:val="16"/>
              </w:rPr>
              <w:t>(16,392,321,198)</w:t>
            </w:r>
          </w:p>
        </w:tc>
        <w:tc>
          <w:tcPr>
            <w:tcW w:w="1350"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104"/>
              <w:jc w:val="right"/>
              <w:rPr>
                <w:rFonts w:ascii="Arial" w:hAnsi="Arial" w:cs="Arial" w:eastAsia="Arial" w:hint="default"/>
                <w:sz w:val="16"/>
                <w:szCs w:val="16"/>
              </w:rPr>
            </w:pPr>
            <w:r>
              <w:rPr>
                <w:rFonts w:ascii="Arial"/>
                <w:w w:val="95"/>
                <w:sz w:val="16"/>
              </w:rPr>
              <w:t>(3,415,312,370)</w:t>
            </w:r>
            <w:r>
              <w:rPr>
                <w:rFonts w:ascii="Arial"/>
                <w:sz w:val="16"/>
              </w:rPr>
            </w:r>
          </w:p>
        </w:tc>
        <w:tc>
          <w:tcPr>
            <w:tcW w:w="1156"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left="183" w:right="0"/>
              <w:jc w:val="left"/>
              <w:rPr>
                <w:rFonts w:ascii="Arial" w:hAnsi="Arial" w:cs="Arial" w:eastAsia="Arial" w:hint="default"/>
                <w:sz w:val="16"/>
                <w:szCs w:val="16"/>
              </w:rPr>
            </w:pPr>
            <w:r>
              <w:rPr>
                <w:rFonts w:ascii="Arial"/>
                <w:sz w:val="16"/>
              </w:rPr>
              <w:t>60,592,908</w:t>
            </w:r>
          </w:p>
        </w:tc>
        <w:tc>
          <w:tcPr>
            <w:tcW w:w="1253"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left="163" w:right="0"/>
              <w:jc w:val="left"/>
              <w:rPr>
                <w:rFonts w:ascii="Arial" w:hAnsi="Arial" w:cs="Arial" w:eastAsia="Arial" w:hint="default"/>
                <w:sz w:val="16"/>
                <w:szCs w:val="16"/>
              </w:rPr>
            </w:pPr>
            <w:r>
              <w:rPr>
                <w:rFonts w:ascii="Arial"/>
                <w:sz w:val="16"/>
              </w:rPr>
              <w:t>3,041,941,963</w:t>
            </w:r>
          </w:p>
        </w:tc>
        <w:tc>
          <w:tcPr>
            <w:tcW w:w="1608"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26"/>
              <w:jc w:val="right"/>
              <w:rPr>
                <w:rFonts w:ascii="Arial" w:hAnsi="Arial" w:cs="Arial" w:eastAsia="Arial" w:hint="default"/>
                <w:sz w:val="16"/>
                <w:szCs w:val="16"/>
              </w:rPr>
            </w:pPr>
            <w:r>
              <w:rPr>
                <w:rFonts w:ascii="Arial"/>
                <w:w w:val="95"/>
                <w:sz w:val="16"/>
              </w:rPr>
              <w:t>(16,705,098,697)</w:t>
            </w:r>
            <w:r>
              <w:rPr>
                <w:rFonts w:ascii="Arial"/>
                <w:sz w:val="16"/>
              </w:rPr>
            </w:r>
          </w:p>
        </w:tc>
      </w:tr>
    </w:tbl>
    <w:p>
      <w:pPr>
        <w:spacing w:line="240" w:lineRule="auto" w:before="9"/>
        <w:rPr>
          <w:rFonts w:ascii="宋体" w:hAnsi="宋体" w:cs="宋体" w:eastAsia="宋体" w:hint="default"/>
          <w:sz w:val="11"/>
          <w:szCs w:val="11"/>
        </w:rPr>
      </w:pPr>
    </w:p>
    <w:p>
      <w:pPr>
        <w:pStyle w:val="BodyText"/>
        <w:spacing w:line="240" w:lineRule="auto" w:before="31"/>
        <w:ind w:left="591" w:right="89"/>
        <w:jc w:val="left"/>
      </w:pPr>
      <w:r>
        <w:rPr>
          <w:spacing w:val="-28"/>
        </w:rPr>
        <w:t>注：于</w:t>
      </w:r>
      <w:r>
        <w:rPr>
          <w:spacing w:val="-56"/>
        </w:rPr>
        <w:t> </w:t>
      </w:r>
      <w:r>
        <w:rPr>
          <w:rFonts w:ascii="Arial" w:hAnsi="Arial" w:cs="Arial" w:eastAsia="Arial" w:hint="default"/>
        </w:rPr>
        <w:t>2012</w:t>
      </w:r>
      <w:r>
        <w:rPr>
          <w:rFonts w:ascii="Arial" w:hAnsi="Arial" w:cs="Arial" w:eastAsia="Arial" w:hint="default"/>
          <w:spacing w:val="-7"/>
        </w:rPr>
        <w:t> </w:t>
      </w:r>
      <w:r>
        <w:rPr>
          <w:spacing w:val="-3"/>
        </w:rPr>
        <w:t>年度，本集团因资产价值回升而转回以前期间计提的坏账准备约人民币</w:t>
      </w:r>
      <w:r>
        <w:rPr>
          <w:spacing w:val="-56"/>
        </w:rPr>
        <w:t> </w:t>
      </w:r>
      <w:r>
        <w:rPr>
          <w:rFonts w:ascii="Arial" w:hAnsi="Arial" w:cs="Arial" w:eastAsia="Arial" w:hint="default"/>
        </w:rPr>
        <w:t>0.61</w:t>
      </w:r>
      <w:r>
        <w:rPr>
          <w:rFonts w:ascii="Arial" w:hAnsi="Arial" w:cs="Arial" w:eastAsia="Arial" w:hint="default"/>
          <w:spacing w:val="-7"/>
        </w:rPr>
        <w:t> </w:t>
      </w:r>
      <w:r>
        <w:rPr/>
        <w:t>亿元。</w:t>
      </w:r>
    </w:p>
    <w:p>
      <w:pPr>
        <w:spacing w:after="0" w:line="240" w:lineRule="auto"/>
        <w:jc w:val="left"/>
        <w:sectPr>
          <w:headerReference w:type="default" r:id="rId99"/>
          <w:pgSz w:w="11910" w:h="16840"/>
          <w:pgMar w:header="1184" w:footer="457" w:top="3040" w:bottom="640" w:left="1280" w:right="780"/>
        </w:sectPr>
      </w:pPr>
    </w:p>
    <w:p>
      <w:pPr>
        <w:spacing w:line="240" w:lineRule="auto" w:before="12"/>
        <w:rPr>
          <w:rFonts w:ascii="宋体" w:hAnsi="宋体" w:cs="宋体" w:eastAsia="宋体" w:hint="default"/>
          <w:sz w:val="14"/>
          <w:szCs w:val="14"/>
        </w:rPr>
      </w:pPr>
    </w:p>
    <w:p>
      <w:pPr>
        <w:pStyle w:val="BodyText"/>
        <w:spacing w:line="240" w:lineRule="auto" w:before="31"/>
        <w:ind w:left="102" w:right="0"/>
        <w:jc w:val="left"/>
      </w:pPr>
      <w:r>
        <w:rPr>
          <w:rFonts w:ascii="Arial" w:hAnsi="Arial" w:cs="Arial" w:eastAsia="Arial" w:hint="default"/>
        </w:rPr>
        <w:t>16</w:t>
      </w:r>
      <w:r>
        <w:rPr/>
        <w:t>、短期借款</w:t>
      </w:r>
    </w:p>
    <w:p>
      <w:pPr>
        <w:spacing w:line="240" w:lineRule="auto" w:before="9"/>
        <w:rPr>
          <w:rFonts w:ascii="宋体" w:hAnsi="宋体" w:cs="宋体" w:eastAsia="宋体" w:hint="default"/>
          <w:sz w:val="20"/>
          <w:szCs w:val="20"/>
        </w:rPr>
      </w:pPr>
    </w:p>
    <w:tbl>
      <w:tblPr>
        <w:tblW w:w="0" w:type="auto"/>
        <w:jc w:val="left"/>
        <w:tblInd w:w="362" w:type="dxa"/>
        <w:tblLayout w:type="fixed"/>
        <w:tblCellMar>
          <w:top w:w="0" w:type="dxa"/>
          <w:left w:w="0" w:type="dxa"/>
          <w:bottom w:w="0" w:type="dxa"/>
          <w:right w:w="0" w:type="dxa"/>
        </w:tblCellMar>
        <w:tblLook w:val="01E0"/>
      </w:tblPr>
      <w:tblGrid>
        <w:gridCol w:w="3602"/>
        <w:gridCol w:w="764"/>
        <w:gridCol w:w="108"/>
        <w:gridCol w:w="2319"/>
        <w:gridCol w:w="116"/>
        <w:gridCol w:w="2435"/>
      </w:tblGrid>
      <w:tr>
        <w:trPr>
          <w:trHeight w:val="261" w:hRule="exact"/>
        </w:trPr>
        <w:tc>
          <w:tcPr>
            <w:tcW w:w="3602" w:type="dxa"/>
            <w:tcBorders>
              <w:top w:val="nil" w:sz="6" w:space="0" w:color="auto"/>
              <w:left w:val="nil" w:sz="6" w:space="0" w:color="auto"/>
              <w:bottom w:val="nil" w:sz="6" w:space="0" w:color="auto"/>
              <w:right w:val="nil" w:sz="6" w:space="0" w:color="auto"/>
            </w:tcBorders>
          </w:tcPr>
          <w:p>
            <w:pPr/>
          </w:p>
        </w:tc>
        <w:tc>
          <w:tcPr>
            <w:tcW w:w="764" w:type="dxa"/>
            <w:tcBorders>
              <w:top w:val="nil" w:sz="6" w:space="0" w:color="auto"/>
              <w:left w:val="nil" w:sz="6" w:space="0" w:color="auto"/>
              <w:bottom w:val="single" w:sz="6" w:space="0" w:color="000000"/>
              <w:right w:val="nil" w:sz="6" w:space="0" w:color="auto"/>
            </w:tcBorders>
          </w:tcPr>
          <w:p>
            <w:pPr>
              <w:pStyle w:val="TableParagraph"/>
              <w:spacing w:line="220" w:lineRule="exact"/>
              <w:ind w:right="1"/>
              <w:jc w:val="center"/>
              <w:rPr>
                <w:rFonts w:ascii="宋体" w:hAnsi="宋体" w:cs="宋体" w:eastAsia="宋体" w:hint="default"/>
                <w:sz w:val="22"/>
                <w:szCs w:val="22"/>
              </w:rPr>
            </w:pPr>
            <w:r>
              <w:rPr>
                <w:rFonts w:ascii="宋体" w:hAnsi="宋体" w:cs="宋体" w:eastAsia="宋体" w:hint="default"/>
                <w:sz w:val="22"/>
                <w:szCs w:val="22"/>
              </w:rPr>
              <w:t>币种</w:t>
            </w:r>
          </w:p>
        </w:tc>
        <w:tc>
          <w:tcPr>
            <w:tcW w:w="108"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single" w:sz="6" w:space="0" w:color="000000"/>
              <w:right w:val="nil" w:sz="6" w:space="0" w:color="auto"/>
            </w:tcBorders>
          </w:tcPr>
          <w:p>
            <w:pPr>
              <w:pStyle w:val="TableParagraph"/>
              <w:spacing w:line="235" w:lineRule="exact"/>
              <w:ind w:right="71"/>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16" w:type="dxa"/>
            <w:tcBorders>
              <w:top w:val="nil" w:sz="6" w:space="0" w:color="auto"/>
              <w:left w:val="nil" w:sz="6" w:space="0" w:color="auto"/>
              <w:bottom w:val="nil" w:sz="6" w:space="0" w:color="auto"/>
              <w:right w:val="nil" w:sz="6" w:space="0" w:color="auto"/>
            </w:tcBorders>
          </w:tcPr>
          <w:p>
            <w:pPr/>
          </w:p>
        </w:tc>
        <w:tc>
          <w:tcPr>
            <w:tcW w:w="2435" w:type="dxa"/>
            <w:tcBorders>
              <w:top w:val="nil" w:sz="6" w:space="0" w:color="auto"/>
              <w:left w:val="nil" w:sz="6" w:space="0" w:color="auto"/>
              <w:bottom w:val="single" w:sz="6" w:space="0" w:color="000000"/>
              <w:right w:val="nil" w:sz="6" w:space="0" w:color="auto"/>
            </w:tcBorders>
          </w:tcPr>
          <w:p>
            <w:pPr>
              <w:pStyle w:val="TableParagraph"/>
              <w:spacing w:line="235" w:lineRule="exact"/>
              <w:ind w:right="89"/>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8"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信用借款</w:t>
            </w:r>
          </w:p>
        </w:tc>
        <w:tc>
          <w:tcPr>
            <w:tcW w:w="764"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center"/>
              <w:rPr>
                <w:rFonts w:ascii="宋体" w:hAnsi="宋体" w:cs="宋体" w:eastAsia="宋体" w:hint="default"/>
                <w:sz w:val="22"/>
                <w:szCs w:val="22"/>
              </w:rPr>
            </w:pPr>
            <w:r>
              <w:rPr>
                <w:rFonts w:ascii="宋体" w:hAnsi="宋体" w:cs="宋体" w:eastAsia="宋体" w:hint="default"/>
                <w:sz w:val="22"/>
                <w:szCs w:val="22"/>
              </w:rPr>
              <w:t>人民币</w:t>
            </w:r>
          </w:p>
        </w:tc>
        <w:tc>
          <w:tcPr>
            <w:tcW w:w="108" w:type="dxa"/>
            <w:tcBorders>
              <w:top w:val="nil" w:sz="6" w:space="0" w:color="auto"/>
              <w:left w:val="nil" w:sz="6" w:space="0" w:color="auto"/>
              <w:bottom w:val="nil" w:sz="6" w:space="0" w:color="auto"/>
              <w:right w:val="nil" w:sz="6" w:space="0" w:color="auto"/>
            </w:tcBorders>
          </w:tcPr>
          <w:p>
            <w:pPr/>
          </w:p>
        </w:tc>
        <w:tc>
          <w:tcPr>
            <w:tcW w:w="2319"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20"/>
              <w:jc w:val="right"/>
              <w:rPr>
                <w:rFonts w:ascii="Arial" w:hAnsi="Arial" w:cs="Arial" w:eastAsia="Arial" w:hint="default"/>
                <w:sz w:val="22"/>
                <w:szCs w:val="22"/>
              </w:rPr>
            </w:pPr>
            <w:r>
              <w:rPr>
                <w:rFonts w:ascii="Arial"/>
                <w:spacing w:val="-1"/>
                <w:sz w:val="22"/>
              </w:rPr>
              <w:t>39,780,000,170</w:t>
            </w:r>
          </w:p>
        </w:tc>
        <w:tc>
          <w:tcPr>
            <w:tcW w:w="116" w:type="dxa"/>
            <w:tcBorders>
              <w:top w:val="nil" w:sz="6" w:space="0" w:color="auto"/>
              <w:left w:val="nil" w:sz="6" w:space="0" w:color="auto"/>
              <w:bottom w:val="nil" w:sz="6" w:space="0" w:color="auto"/>
              <w:right w:val="nil" w:sz="6" w:space="0" w:color="auto"/>
            </w:tcBorders>
          </w:tcPr>
          <w:p>
            <w:pPr/>
          </w:p>
        </w:tc>
        <w:tc>
          <w:tcPr>
            <w:tcW w:w="2435"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6"/>
              <w:jc w:val="right"/>
              <w:rPr>
                <w:rFonts w:ascii="Arial" w:hAnsi="Arial" w:cs="Arial" w:eastAsia="Arial" w:hint="default"/>
                <w:sz w:val="22"/>
                <w:szCs w:val="22"/>
              </w:rPr>
            </w:pPr>
            <w:r>
              <w:rPr>
                <w:rFonts w:ascii="Arial"/>
                <w:spacing w:val="-1"/>
                <w:sz w:val="22"/>
              </w:rPr>
              <w:t>17,810,000,000</w:t>
            </w:r>
          </w:p>
        </w:tc>
      </w:tr>
      <w:tr>
        <w:trPr>
          <w:trHeight w:val="419" w:hRule="exact"/>
        </w:trPr>
        <w:tc>
          <w:tcPr>
            <w:tcW w:w="3602" w:type="dxa"/>
            <w:tcBorders>
              <w:top w:val="nil" w:sz="6" w:space="0" w:color="auto"/>
              <w:left w:val="nil" w:sz="6" w:space="0" w:color="auto"/>
              <w:bottom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tcPr>
          <w:p>
            <w:pPr>
              <w:pStyle w:val="TableParagraph"/>
              <w:spacing w:line="239" w:lineRule="exact"/>
              <w:ind w:right="1"/>
              <w:jc w:val="center"/>
              <w:rPr>
                <w:rFonts w:ascii="宋体" w:hAnsi="宋体" w:cs="宋体" w:eastAsia="宋体" w:hint="default"/>
                <w:sz w:val="22"/>
                <w:szCs w:val="22"/>
              </w:rPr>
            </w:pPr>
            <w:r>
              <w:rPr>
                <w:rFonts w:ascii="宋体" w:hAnsi="宋体" w:cs="宋体" w:eastAsia="宋体" w:hint="default"/>
                <w:sz w:val="22"/>
                <w:szCs w:val="22"/>
              </w:rPr>
              <w:t>港币</w:t>
            </w:r>
          </w:p>
        </w:tc>
        <w:tc>
          <w:tcPr>
            <w:tcW w:w="108"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Style w:val="TableParagraph"/>
              <w:tabs>
                <w:tab w:pos="667" w:val="left" w:leader="none"/>
                <w:tab w:pos="2318"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29,395,125,000</w:t>
              <w:tab/>
            </w:r>
            <w:r>
              <w:rPr>
                <w:rFonts w:ascii="Arial"/>
                <w:spacing w:val="-1"/>
                <w:sz w:val="22"/>
              </w:rPr>
            </w:r>
          </w:p>
        </w:tc>
        <w:tc>
          <w:tcPr>
            <w:tcW w:w="116" w:type="dxa"/>
            <w:tcBorders>
              <w:top w:val="nil" w:sz="6" w:space="0" w:color="auto"/>
              <w:left w:val="nil" w:sz="6" w:space="0" w:color="auto"/>
              <w:bottom w:val="nil" w:sz="6" w:space="0" w:color="auto"/>
              <w:right w:val="nil" w:sz="6" w:space="0" w:color="auto"/>
            </w:tcBorders>
          </w:tcPr>
          <w:p>
            <w:pPr/>
          </w:p>
        </w:tc>
        <w:tc>
          <w:tcPr>
            <w:tcW w:w="2435" w:type="dxa"/>
            <w:tcBorders>
              <w:top w:val="nil" w:sz="6" w:space="0" w:color="auto"/>
              <w:left w:val="nil" w:sz="6" w:space="0" w:color="auto"/>
              <w:bottom w:val="nil" w:sz="6" w:space="0" w:color="auto"/>
              <w:right w:val="nil" w:sz="6" w:space="0" w:color="auto"/>
            </w:tcBorders>
          </w:tcPr>
          <w:p>
            <w:pPr>
              <w:pStyle w:val="TableParagraph"/>
              <w:tabs>
                <w:tab w:pos="797" w:val="left" w:leader="none"/>
                <w:tab w:pos="2434"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14,511,530,000</w:t>
              <w:tab/>
            </w:r>
            <w:r>
              <w:rPr>
                <w:rFonts w:ascii="Arial"/>
                <w:spacing w:val="-1"/>
                <w:sz w:val="22"/>
              </w:rPr>
            </w:r>
          </w:p>
        </w:tc>
      </w:tr>
      <w:tr>
        <w:trPr>
          <w:trHeight w:val="430"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764"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21"/>
              <w:jc w:val="right"/>
              <w:rPr>
                <w:rFonts w:ascii="Arial" w:hAnsi="Arial" w:cs="Arial" w:eastAsia="Arial" w:hint="default"/>
                <w:sz w:val="22"/>
                <w:szCs w:val="22"/>
              </w:rPr>
            </w:pPr>
            <w:r>
              <w:rPr>
                <w:rFonts w:ascii="Arial"/>
                <w:spacing w:val="-1"/>
                <w:sz w:val="22"/>
              </w:rPr>
              <w:t>69,175,125,170</w:t>
            </w:r>
          </w:p>
        </w:tc>
        <w:tc>
          <w:tcPr>
            <w:tcW w:w="116" w:type="dxa"/>
            <w:tcBorders>
              <w:top w:val="nil" w:sz="6" w:space="0" w:color="auto"/>
              <w:left w:val="nil" w:sz="6" w:space="0" w:color="auto"/>
              <w:bottom w:val="nil" w:sz="6" w:space="0" w:color="auto"/>
              <w:right w:val="nil" w:sz="6" w:space="0" w:color="auto"/>
            </w:tcBorders>
          </w:tcPr>
          <w:p>
            <w:pPr/>
          </w:p>
        </w:tc>
        <w:tc>
          <w:tcPr>
            <w:tcW w:w="2435"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06"/>
              <w:jc w:val="right"/>
              <w:rPr>
                <w:rFonts w:ascii="Arial" w:hAnsi="Arial" w:cs="Arial" w:eastAsia="Arial" w:hint="default"/>
                <w:sz w:val="22"/>
                <w:szCs w:val="22"/>
              </w:rPr>
            </w:pPr>
            <w:r>
              <w:rPr>
                <w:rFonts w:ascii="Arial"/>
                <w:spacing w:val="-1"/>
                <w:sz w:val="22"/>
              </w:rPr>
              <w:t>32,321,530,000</w:t>
            </w:r>
          </w:p>
        </w:tc>
      </w:tr>
    </w:tbl>
    <w:p>
      <w:pPr>
        <w:spacing w:line="240" w:lineRule="auto" w:before="5"/>
        <w:rPr>
          <w:rFonts w:ascii="宋体" w:hAnsi="宋体" w:cs="宋体" w:eastAsia="宋体" w:hint="default"/>
          <w:sz w:val="12"/>
          <w:szCs w:val="12"/>
        </w:rPr>
      </w:pPr>
    </w:p>
    <w:p>
      <w:pPr>
        <w:pStyle w:val="BodyText"/>
        <w:spacing w:line="295" w:lineRule="exact" w:before="31"/>
        <w:ind w:left="550" w:right="0"/>
        <w:jc w:val="left"/>
      </w:pPr>
      <w:r>
        <w:rPr/>
        <w:t>于</w:t>
      </w:r>
      <w:r>
        <w:rPr>
          <w:spacing w:val="-61"/>
        </w:rPr>
        <w:t> </w:t>
      </w:r>
      <w:r>
        <w:rPr>
          <w:rFonts w:ascii="Arial" w:hAnsi="Arial" w:cs="Arial" w:eastAsia="Arial" w:hint="default"/>
        </w:rPr>
        <w:t>2012</w:t>
      </w:r>
      <w:r>
        <w:rPr>
          <w:rFonts w:ascii="Arial" w:hAnsi="Arial" w:cs="Arial" w:eastAsia="Arial" w:hint="default"/>
          <w:spacing w:val="-12"/>
        </w:rPr>
        <w:t> </w:t>
      </w:r>
      <w:r>
        <w:rPr/>
        <w:t>年</w:t>
      </w:r>
      <w:r>
        <w:rPr>
          <w:spacing w:val="-61"/>
        </w:rPr>
        <w:t> </w:t>
      </w:r>
      <w:r>
        <w:rPr>
          <w:rFonts w:ascii="Arial" w:hAnsi="Arial" w:cs="Arial" w:eastAsia="Arial" w:hint="default"/>
        </w:rPr>
        <w:t>12</w:t>
      </w:r>
      <w:r>
        <w:rPr>
          <w:rFonts w:ascii="Arial" w:hAnsi="Arial" w:cs="Arial" w:eastAsia="Arial" w:hint="default"/>
          <w:spacing w:val="-12"/>
        </w:rPr>
        <w:t> </w:t>
      </w:r>
      <w:r>
        <w:rPr/>
        <w:t>月</w:t>
      </w:r>
      <w:r>
        <w:rPr>
          <w:spacing w:val="-61"/>
        </w:rPr>
        <w:t> </w:t>
      </w:r>
      <w:r>
        <w:rPr>
          <w:rFonts w:ascii="Arial" w:hAnsi="Arial" w:cs="Arial" w:eastAsia="Arial" w:hint="default"/>
        </w:rPr>
        <w:t>31</w:t>
      </w:r>
      <w:r>
        <w:rPr>
          <w:rFonts w:ascii="Arial" w:hAnsi="Arial" w:cs="Arial" w:eastAsia="Arial" w:hint="default"/>
          <w:spacing w:val="-12"/>
        </w:rPr>
        <w:t> </w:t>
      </w:r>
      <w:r>
        <w:rPr/>
        <w:t>日，人民币短期借款的年利率的利率范围为</w:t>
      </w:r>
      <w:r>
        <w:rPr>
          <w:spacing w:val="-59"/>
        </w:rPr>
        <w:t> </w:t>
      </w:r>
      <w:r>
        <w:rPr>
          <w:rFonts w:ascii="Arial" w:hAnsi="Arial" w:cs="Arial" w:eastAsia="Arial" w:hint="default"/>
        </w:rPr>
        <w:t>3.62%-5.27%</w:t>
      </w:r>
      <w:r>
        <w:rPr/>
        <w:t>（</w:t>
      </w:r>
      <w:r>
        <w:rPr>
          <w:rFonts w:ascii="Arial" w:hAnsi="Arial" w:cs="Arial" w:eastAsia="Arial" w:hint="default"/>
        </w:rPr>
        <w:t>2011</w:t>
      </w:r>
      <w:r>
        <w:rPr>
          <w:rFonts w:ascii="Arial" w:hAnsi="Arial" w:cs="Arial" w:eastAsia="Arial" w:hint="default"/>
          <w:spacing w:val="-12"/>
        </w:rPr>
        <w:t> </w:t>
      </w:r>
      <w:r>
        <w:rPr/>
        <w:t>年</w:t>
      </w:r>
      <w:r>
        <w:rPr>
          <w:spacing w:val="-61"/>
        </w:rPr>
        <w:t> </w:t>
      </w:r>
      <w:r>
        <w:rPr>
          <w:rFonts w:ascii="Arial" w:hAnsi="Arial" w:cs="Arial" w:eastAsia="Arial" w:hint="default"/>
        </w:rPr>
        <w:t>12</w:t>
      </w:r>
      <w:r>
        <w:rPr>
          <w:rFonts w:ascii="Arial" w:hAnsi="Arial" w:cs="Arial" w:eastAsia="Arial" w:hint="default"/>
          <w:spacing w:val="-12"/>
        </w:rPr>
        <w:t> </w:t>
      </w:r>
      <w:r>
        <w:rPr/>
        <w:t>月</w:t>
      </w:r>
    </w:p>
    <w:p>
      <w:pPr>
        <w:pStyle w:val="BodyText"/>
        <w:spacing w:line="286" w:lineRule="exact"/>
        <w:ind w:left="550" w:right="0"/>
        <w:jc w:val="left"/>
        <w:rPr>
          <w:rFonts w:ascii="Arial" w:hAnsi="Arial" w:cs="Arial" w:eastAsia="Arial" w:hint="default"/>
        </w:rPr>
      </w:pPr>
      <w:r>
        <w:rPr>
          <w:rFonts w:ascii="Arial" w:hAnsi="Arial" w:cs="Arial" w:eastAsia="Arial" w:hint="default"/>
        </w:rPr>
        <w:t>31 </w:t>
      </w:r>
      <w:r>
        <w:rPr>
          <w:spacing w:val="-2"/>
        </w:rPr>
        <w:t>日：</w:t>
      </w:r>
      <w:r>
        <w:rPr>
          <w:rFonts w:ascii="Arial" w:hAnsi="Arial" w:cs="Arial" w:eastAsia="Arial" w:hint="default"/>
          <w:spacing w:val="-2"/>
        </w:rPr>
        <w:t>1.09%-6.10%</w:t>
      </w:r>
      <w:r>
        <w:rPr>
          <w:spacing w:val="-2"/>
        </w:rPr>
        <w:t>），港币短期借款的年利率的利率范围为香港银行同业拆借利率加</w:t>
      </w:r>
      <w:r>
        <w:rPr>
          <w:spacing w:val="-68"/>
        </w:rPr>
        <w:t> </w:t>
      </w:r>
      <w:r>
        <w:rPr>
          <w:rFonts w:ascii="Arial" w:hAnsi="Arial" w:cs="Arial" w:eastAsia="Arial" w:hint="default"/>
        </w:rPr>
        <w:t>1.00%</w:t>
      </w:r>
    </w:p>
    <w:p>
      <w:pPr>
        <w:pStyle w:val="BodyText"/>
        <w:spacing w:line="408" w:lineRule="auto"/>
        <w:ind w:left="544" w:right="1562" w:firstLine="6"/>
        <w:jc w:val="left"/>
      </w:pPr>
      <w:r>
        <w:rPr/>
        <w:t>至</w:t>
      </w:r>
      <w:r>
        <w:rPr>
          <w:spacing w:val="-57"/>
        </w:rPr>
        <w:t> </w:t>
      </w:r>
      <w:r>
        <w:rPr>
          <w:rFonts w:ascii="Arial" w:hAnsi="Arial" w:cs="Arial" w:eastAsia="Arial" w:hint="default"/>
        </w:rPr>
        <w:t>2.15%</w:t>
      </w:r>
      <w:r>
        <w:rPr/>
        <w:t>（</w:t>
      </w:r>
      <w:r>
        <w:rPr>
          <w:rFonts w:ascii="Arial" w:hAnsi="Arial" w:cs="Arial" w:eastAsia="Arial" w:hint="default"/>
        </w:rPr>
        <w:t>2011</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日：香港银行同业拆借利率加</w:t>
      </w:r>
      <w:r>
        <w:rPr>
          <w:spacing w:val="-55"/>
        </w:rPr>
        <w:t> </w:t>
      </w:r>
      <w:r>
        <w:rPr>
          <w:rFonts w:ascii="Arial" w:hAnsi="Arial" w:cs="Arial" w:eastAsia="Arial" w:hint="default"/>
        </w:rPr>
        <w:t>0.63%</w:t>
      </w:r>
      <w:r>
        <w:rPr/>
        <w:t>至</w:t>
      </w:r>
      <w:r>
        <w:rPr>
          <w:spacing w:val="-57"/>
        </w:rPr>
        <w:t> </w:t>
      </w:r>
      <w:r>
        <w:rPr>
          <w:rFonts w:ascii="Arial" w:hAnsi="Arial" w:cs="Arial" w:eastAsia="Arial" w:hint="default"/>
        </w:rPr>
        <w:t>2.15%</w:t>
      </w:r>
      <w:r>
        <w:rPr/>
        <w:t>）。</w:t>
      </w:r>
      <w:r>
        <w:rPr>
          <w:w w:val="99"/>
        </w:rPr>
        <w:t> </w:t>
      </w:r>
      <w:r>
        <w:rPr/>
        <w:t>于</w:t>
      </w:r>
      <w:r>
        <w:rPr>
          <w:spacing w:val="-56"/>
        </w:rPr>
        <w:t> </w:t>
      </w:r>
      <w:r>
        <w:rPr>
          <w:rFonts w:ascii="Arial" w:hAnsi="Arial" w:cs="Arial" w:eastAsia="Arial" w:hint="default"/>
        </w:rPr>
        <w:t>2012</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日及</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日，本集团无银行保证借款。</w:t>
      </w:r>
    </w:p>
    <w:p>
      <w:pPr>
        <w:pStyle w:val="BodyText"/>
        <w:spacing w:line="240" w:lineRule="auto" w:before="39"/>
        <w:ind w:left="544" w:right="0"/>
        <w:jc w:val="left"/>
      </w:pPr>
      <w:r>
        <w:rPr/>
        <w:t>于</w:t>
      </w:r>
      <w:r>
        <w:rPr>
          <w:spacing w:val="-57"/>
        </w:rPr>
        <w:t> </w:t>
      </w:r>
      <w:r>
        <w:rPr>
          <w:rFonts w:ascii="Arial" w:hAnsi="Arial" w:cs="Arial" w:eastAsia="Arial" w:hint="default"/>
        </w:rPr>
        <w:t>2012</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日及</w:t>
      </w:r>
      <w:r>
        <w:rPr>
          <w:spacing w:val="-57"/>
        </w:rPr>
        <w:t> </w:t>
      </w:r>
      <w:r>
        <w:rPr>
          <w:rFonts w:ascii="Arial" w:hAnsi="Arial" w:cs="Arial" w:eastAsia="Arial" w:hint="default"/>
        </w:rPr>
        <w:t>2011</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日，本集团无已到期但尚未偿还的短期借款。</w:t>
      </w:r>
    </w:p>
    <w:p>
      <w:pPr>
        <w:spacing w:line="240" w:lineRule="auto" w:before="3"/>
        <w:rPr>
          <w:rFonts w:ascii="宋体" w:hAnsi="宋体" w:cs="宋体" w:eastAsia="宋体" w:hint="default"/>
          <w:sz w:val="16"/>
          <w:szCs w:val="16"/>
        </w:rPr>
      </w:pPr>
    </w:p>
    <w:p>
      <w:pPr>
        <w:pStyle w:val="BodyText"/>
        <w:spacing w:line="240" w:lineRule="auto"/>
        <w:ind w:left="102" w:right="0"/>
        <w:jc w:val="left"/>
      </w:pPr>
      <w:r>
        <w:rPr>
          <w:rFonts w:ascii="Arial" w:hAnsi="Arial" w:cs="Arial" w:eastAsia="Arial" w:hint="default"/>
        </w:rPr>
        <w:t>17</w:t>
      </w:r>
      <w:r>
        <w:rPr/>
        <w:t>、应付短期债券</w:t>
      </w:r>
    </w:p>
    <w:p>
      <w:pPr>
        <w:spacing w:line="240" w:lineRule="auto" w:before="11"/>
        <w:rPr>
          <w:rFonts w:ascii="宋体" w:hAnsi="宋体" w:cs="宋体" w:eastAsia="宋体" w:hint="default"/>
          <w:sz w:val="20"/>
          <w:szCs w:val="20"/>
        </w:rPr>
      </w:pPr>
    </w:p>
    <w:tbl>
      <w:tblPr>
        <w:tblW w:w="0" w:type="auto"/>
        <w:jc w:val="left"/>
        <w:tblInd w:w="546" w:type="dxa"/>
        <w:tblLayout w:type="fixed"/>
        <w:tblCellMar>
          <w:top w:w="0" w:type="dxa"/>
          <w:left w:w="0" w:type="dxa"/>
          <w:bottom w:w="0" w:type="dxa"/>
          <w:right w:w="0" w:type="dxa"/>
        </w:tblCellMar>
        <w:tblLook w:val="01E0"/>
      </w:tblPr>
      <w:tblGrid>
        <w:gridCol w:w="1284"/>
        <w:gridCol w:w="859"/>
        <w:gridCol w:w="116"/>
        <w:gridCol w:w="1525"/>
        <w:gridCol w:w="107"/>
        <w:gridCol w:w="790"/>
        <w:gridCol w:w="112"/>
        <w:gridCol w:w="1358"/>
        <w:gridCol w:w="106"/>
        <w:gridCol w:w="1379"/>
        <w:gridCol w:w="112"/>
        <w:gridCol w:w="1350"/>
      </w:tblGrid>
      <w:tr>
        <w:trPr>
          <w:trHeight w:val="449" w:hRule="exact"/>
        </w:trPr>
        <w:tc>
          <w:tcPr>
            <w:tcW w:w="1284"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9"/>
              <w:jc w:val="center"/>
              <w:rPr>
                <w:rFonts w:ascii="宋体" w:hAnsi="宋体" w:cs="宋体" w:eastAsia="宋体" w:hint="default"/>
                <w:sz w:val="18"/>
                <w:szCs w:val="18"/>
              </w:rPr>
            </w:pPr>
            <w:r>
              <w:rPr>
                <w:rFonts w:ascii="宋体" w:hAnsi="宋体" w:cs="宋体" w:eastAsia="宋体" w:hint="default"/>
                <w:sz w:val="18"/>
                <w:szCs w:val="18"/>
              </w:rPr>
              <w:t>项目</w:t>
            </w:r>
          </w:p>
        </w:tc>
        <w:tc>
          <w:tcPr>
            <w:tcW w:w="859"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116"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07"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3" w:right="0"/>
              <w:jc w:val="center"/>
              <w:rPr>
                <w:rFonts w:ascii="宋体" w:hAnsi="宋体" w:cs="宋体" w:eastAsia="宋体" w:hint="default"/>
                <w:sz w:val="18"/>
                <w:szCs w:val="18"/>
              </w:rPr>
            </w:pPr>
            <w:r>
              <w:rPr>
                <w:rFonts w:ascii="宋体" w:hAnsi="宋体" w:cs="宋体" w:eastAsia="宋体" w:hint="default"/>
                <w:sz w:val="18"/>
                <w:szCs w:val="18"/>
              </w:rPr>
              <w:t>票面利率</w:t>
            </w:r>
          </w:p>
        </w:tc>
        <w:tc>
          <w:tcPr>
            <w:tcW w:w="112"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面值总额</w:t>
            </w:r>
          </w:p>
        </w:tc>
        <w:tc>
          <w:tcPr>
            <w:tcW w:w="106"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single" w:sz="6" w:space="0" w:color="000000"/>
              <w:right w:val="nil" w:sz="6" w:space="0" w:color="auto"/>
            </w:tcBorders>
          </w:tcPr>
          <w:p>
            <w:pPr>
              <w:pStyle w:val="TableParagraph"/>
              <w:spacing w:line="186" w:lineRule="exact"/>
              <w:ind w:left="704"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434"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2"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single" w:sz="6" w:space="0" w:color="000000"/>
              <w:right w:val="nil" w:sz="6" w:space="0" w:color="auto"/>
            </w:tcBorders>
          </w:tcPr>
          <w:p>
            <w:pPr>
              <w:pStyle w:val="TableParagraph"/>
              <w:spacing w:line="186" w:lineRule="exact"/>
              <w:ind w:left="663"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393"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80" w:hRule="exact"/>
        </w:trPr>
        <w:tc>
          <w:tcPr>
            <w:tcW w:w="1284"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年第一期</w:t>
            </w:r>
          </w:p>
        </w:tc>
        <w:tc>
          <w:tcPr>
            <w:tcW w:w="859"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77" w:right="0"/>
              <w:jc w:val="left"/>
              <w:rPr>
                <w:rFonts w:ascii="宋体" w:hAnsi="宋体" w:cs="宋体" w:eastAsia="宋体" w:hint="default"/>
                <w:sz w:val="18"/>
                <w:szCs w:val="18"/>
              </w:rPr>
            </w:pPr>
            <w:r>
              <w:rPr>
                <w:rFonts w:ascii="Arial" w:hAnsi="Arial" w:cs="Arial" w:eastAsia="Arial" w:hint="default"/>
                <w:sz w:val="18"/>
                <w:szCs w:val="18"/>
              </w:rPr>
              <w:t>365</w:t>
            </w:r>
            <w:r>
              <w:rPr>
                <w:rFonts w:ascii="Arial" w:hAnsi="Arial" w:cs="Arial" w:eastAsia="Arial" w:hint="default"/>
                <w:spacing w:val="-7"/>
                <w:sz w:val="18"/>
                <w:szCs w:val="18"/>
              </w:rPr>
              <w:t> </w:t>
            </w:r>
            <w:r>
              <w:rPr>
                <w:rFonts w:ascii="宋体" w:hAnsi="宋体" w:cs="宋体" w:eastAsia="宋体" w:hint="default"/>
                <w:sz w:val="18"/>
                <w:szCs w:val="18"/>
              </w:rPr>
              <w:t>天</w:t>
            </w:r>
          </w:p>
        </w:tc>
        <w:tc>
          <w:tcPr>
            <w:tcW w:w="116" w:type="dxa"/>
            <w:tcBorders>
              <w:top w:val="nil" w:sz="6" w:space="0" w:color="auto"/>
              <w:left w:val="nil" w:sz="6" w:space="0" w:color="auto"/>
              <w:bottom w:val="nil" w:sz="6" w:space="0" w:color="auto"/>
              <w:right w:val="nil" w:sz="6" w:space="0" w:color="auto"/>
            </w:tcBorders>
          </w:tcPr>
          <w:p>
            <w:pPr/>
          </w:p>
        </w:tc>
        <w:tc>
          <w:tcPr>
            <w:tcW w:w="1525"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61" w:right="0"/>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8</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07" w:type="dxa"/>
            <w:tcBorders>
              <w:top w:val="nil" w:sz="6" w:space="0" w:color="auto"/>
              <w:left w:val="nil" w:sz="6" w:space="0" w:color="auto"/>
              <w:bottom w:val="nil" w:sz="6" w:space="0" w:color="auto"/>
              <w:right w:val="nil" w:sz="6" w:space="0" w:color="auto"/>
            </w:tcBorders>
          </w:tcPr>
          <w:p>
            <w:pPr/>
          </w:p>
        </w:tc>
        <w:tc>
          <w:tcPr>
            <w:tcW w:w="790"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center"/>
              <w:rPr>
                <w:rFonts w:ascii="Arial" w:hAnsi="Arial" w:cs="Arial" w:eastAsia="Arial" w:hint="default"/>
                <w:sz w:val="18"/>
                <w:szCs w:val="18"/>
              </w:rPr>
            </w:pPr>
            <w:r>
              <w:rPr>
                <w:rFonts w:ascii="Arial"/>
                <w:sz w:val="18"/>
              </w:rPr>
              <w:t>5.23%</w:t>
            </w:r>
          </w:p>
        </w:tc>
        <w:tc>
          <w:tcPr>
            <w:tcW w:w="112" w:type="dxa"/>
            <w:tcBorders>
              <w:top w:val="nil" w:sz="6" w:space="0" w:color="auto"/>
              <w:left w:val="nil" w:sz="6" w:space="0" w:color="auto"/>
              <w:bottom w:val="nil" w:sz="6" w:space="0" w:color="auto"/>
              <w:right w:val="nil" w:sz="6" w:space="0" w:color="auto"/>
            </w:tcBorders>
          </w:tcPr>
          <w:p>
            <w:pPr/>
          </w:p>
        </w:tc>
        <w:tc>
          <w:tcPr>
            <w:tcW w:w="1358"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9"/>
              <w:jc w:val="right"/>
              <w:rPr>
                <w:rFonts w:ascii="Arial" w:hAnsi="Arial" w:cs="Arial" w:eastAsia="Arial" w:hint="default"/>
                <w:sz w:val="18"/>
                <w:szCs w:val="18"/>
              </w:rPr>
            </w:pPr>
            <w:r>
              <w:rPr>
                <w:rFonts w:ascii="Arial"/>
                <w:spacing w:val="-1"/>
                <w:sz w:val="18"/>
              </w:rPr>
              <w:t>15,000,000,000</w:t>
            </w:r>
          </w:p>
        </w:tc>
        <w:tc>
          <w:tcPr>
            <w:tcW w:w="106" w:type="dxa"/>
            <w:tcBorders>
              <w:top w:val="nil" w:sz="6" w:space="0" w:color="auto"/>
              <w:left w:val="nil" w:sz="6" w:space="0" w:color="auto"/>
              <w:bottom w:val="nil" w:sz="6" w:space="0" w:color="auto"/>
              <w:right w:val="nil" w:sz="6" w:space="0" w:color="auto"/>
            </w:tcBorders>
          </w:tcPr>
          <w:p>
            <w:pPr/>
          </w:p>
        </w:tc>
        <w:tc>
          <w:tcPr>
            <w:tcW w:w="1379"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60"/>
              <w:jc w:val="right"/>
              <w:rPr>
                <w:rFonts w:ascii="Arial" w:hAnsi="Arial" w:cs="Arial" w:eastAsia="Arial" w:hint="default"/>
                <w:sz w:val="18"/>
                <w:szCs w:val="18"/>
              </w:rPr>
            </w:pPr>
            <w:r>
              <w:rPr>
                <w:rFonts w:ascii="Arial"/>
                <w:w w:val="99"/>
                <w:sz w:val="18"/>
              </w:rPr>
              <w:t>-</w:t>
            </w:r>
            <w:r>
              <w:rPr>
                <w:rFonts w:ascii="Arial"/>
                <w:sz w:val="18"/>
              </w:rPr>
            </w:r>
          </w:p>
        </w:tc>
        <w:tc>
          <w:tcPr>
            <w:tcW w:w="112" w:type="dxa"/>
            <w:tcBorders>
              <w:top w:val="nil" w:sz="6" w:space="0" w:color="auto"/>
              <w:left w:val="nil" w:sz="6" w:space="0" w:color="auto"/>
              <w:bottom w:val="nil" w:sz="6" w:space="0" w:color="auto"/>
              <w:right w:val="nil" w:sz="6" w:space="0" w:color="auto"/>
            </w:tcBorders>
          </w:tcPr>
          <w:p>
            <w:pPr/>
          </w:p>
        </w:tc>
        <w:tc>
          <w:tcPr>
            <w:tcW w:w="1350"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 w:right="0"/>
              <w:jc w:val="left"/>
              <w:rPr>
                <w:rFonts w:ascii="Arial" w:hAnsi="Arial" w:cs="Arial" w:eastAsia="Arial" w:hint="default"/>
                <w:sz w:val="18"/>
                <w:szCs w:val="18"/>
              </w:rPr>
            </w:pPr>
            <w:r>
              <w:rPr>
                <w:rFonts w:ascii="Arial"/>
                <w:sz w:val="18"/>
              </w:rPr>
              <w:t>15,000,000,000</w:t>
            </w:r>
          </w:p>
        </w:tc>
      </w:tr>
      <w:tr>
        <w:trPr>
          <w:trHeight w:val="233" w:hRule="exact"/>
        </w:trPr>
        <w:tc>
          <w:tcPr>
            <w:tcW w:w="1284" w:type="dxa"/>
            <w:tcBorders>
              <w:top w:val="nil" w:sz="6" w:space="0" w:color="auto"/>
              <w:left w:val="nil" w:sz="6" w:space="0" w:color="auto"/>
              <w:bottom w:val="nil" w:sz="6" w:space="0" w:color="auto"/>
              <w:right w:val="nil" w:sz="6" w:space="0" w:color="auto"/>
            </w:tcBorders>
          </w:tcPr>
          <w:p>
            <w:pPr>
              <w:pStyle w:val="TableParagraph"/>
              <w:spacing w:line="208" w:lineRule="exact"/>
              <w:ind w:left="15"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年第二期</w:t>
            </w:r>
          </w:p>
        </w:tc>
        <w:tc>
          <w:tcPr>
            <w:tcW w:w="859" w:type="dxa"/>
            <w:tcBorders>
              <w:top w:val="nil" w:sz="6" w:space="0" w:color="auto"/>
              <w:left w:val="nil" w:sz="6" w:space="0" w:color="auto"/>
              <w:bottom w:val="nil" w:sz="6" w:space="0" w:color="auto"/>
              <w:right w:val="nil" w:sz="6" w:space="0" w:color="auto"/>
            </w:tcBorders>
          </w:tcPr>
          <w:p>
            <w:pPr>
              <w:pStyle w:val="TableParagraph"/>
              <w:spacing w:line="208" w:lineRule="exact"/>
              <w:ind w:left="177" w:right="0"/>
              <w:jc w:val="left"/>
              <w:rPr>
                <w:rFonts w:ascii="宋体" w:hAnsi="宋体" w:cs="宋体" w:eastAsia="宋体" w:hint="default"/>
                <w:sz w:val="18"/>
                <w:szCs w:val="18"/>
              </w:rPr>
            </w:pPr>
            <w:r>
              <w:rPr>
                <w:rFonts w:ascii="Arial" w:hAnsi="Arial" w:cs="Arial" w:eastAsia="Arial" w:hint="default"/>
                <w:sz w:val="18"/>
                <w:szCs w:val="18"/>
              </w:rPr>
              <w:t>365</w:t>
            </w:r>
            <w:r>
              <w:rPr>
                <w:rFonts w:ascii="Arial" w:hAnsi="Arial" w:cs="Arial" w:eastAsia="Arial" w:hint="default"/>
                <w:spacing w:val="-7"/>
                <w:sz w:val="18"/>
                <w:szCs w:val="18"/>
              </w:rPr>
              <w:t> </w:t>
            </w:r>
            <w:r>
              <w:rPr>
                <w:rFonts w:ascii="宋体" w:hAnsi="宋体" w:cs="宋体" w:eastAsia="宋体" w:hint="default"/>
                <w:sz w:val="18"/>
                <w:szCs w:val="18"/>
              </w:rPr>
              <w:t>天</w:t>
            </w:r>
          </w:p>
        </w:tc>
        <w:tc>
          <w:tcPr>
            <w:tcW w:w="116"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Style w:val="TableParagraph"/>
              <w:spacing w:line="208" w:lineRule="exact"/>
              <w:ind w:left="28" w:right="0"/>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Arial" w:hAnsi="Arial" w:cs="Arial" w:eastAsia="Arial" w:hint="default"/>
                <w:sz w:val="18"/>
                <w:szCs w:val="18"/>
              </w:rPr>
              <w:t>10</w:t>
            </w:r>
            <w:r>
              <w:rPr>
                <w:rFonts w:ascii="Arial" w:hAnsi="Arial" w:cs="Arial" w:eastAsia="Arial"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Arial" w:hAnsi="Arial" w:cs="Arial" w:eastAsia="Arial" w:hint="default"/>
                <w:sz w:val="18"/>
                <w:szCs w:val="18"/>
              </w:rPr>
              <w:t>20</w:t>
            </w:r>
            <w:r>
              <w:rPr>
                <w:rFonts w:ascii="Arial" w:hAnsi="Arial" w:cs="Arial" w:eastAsia="Arial" w:hint="default"/>
                <w:spacing w:val="-21"/>
                <w:sz w:val="18"/>
                <w:szCs w:val="18"/>
              </w:rPr>
              <w:t> </w:t>
            </w:r>
            <w:r>
              <w:rPr>
                <w:rFonts w:ascii="宋体" w:hAnsi="宋体" w:cs="宋体" w:eastAsia="宋体" w:hint="default"/>
                <w:sz w:val="18"/>
                <w:szCs w:val="18"/>
              </w:rPr>
              <w:t>日</w:t>
            </w:r>
          </w:p>
        </w:tc>
        <w:tc>
          <w:tcPr>
            <w:tcW w:w="107"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8" w:right="0"/>
              <w:jc w:val="center"/>
              <w:rPr>
                <w:rFonts w:ascii="Arial" w:hAnsi="Arial" w:cs="Arial" w:eastAsia="Arial" w:hint="default"/>
                <w:sz w:val="18"/>
                <w:szCs w:val="18"/>
              </w:rPr>
            </w:pPr>
            <w:r>
              <w:rPr>
                <w:rFonts w:ascii="Arial"/>
                <w:sz w:val="18"/>
              </w:rPr>
              <w:t>5.78%</w:t>
            </w:r>
          </w:p>
        </w:tc>
        <w:tc>
          <w:tcPr>
            <w:tcW w:w="112"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9"/>
              <w:jc w:val="right"/>
              <w:rPr>
                <w:rFonts w:ascii="Arial" w:hAnsi="Arial" w:cs="Arial" w:eastAsia="Arial" w:hint="default"/>
                <w:sz w:val="18"/>
                <w:szCs w:val="18"/>
              </w:rPr>
            </w:pPr>
            <w:r>
              <w:rPr>
                <w:rFonts w:ascii="Arial"/>
                <w:spacing w:val="-1"/>
                <w:sz w:val="18"/>
              </w:rPr>
              <w:t>8,000,000,000</w:t>
            </w:r>
          </w:p>
        </w:tc>
        <w:tc>
          <w:tcPr>
            <w:tcW w:w="106"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0"/>
              <w:jc w:val="right"/>
              <w:rPr>
                <w:rFonts w:ascii="Arial" w:hAnsi="Arial" w:cs="Arial" w:eastAsia="Arial" w:hint="default"/>
                <w:sz w:val="18"/>
                <w:szCs w:val="18"/>
              </w:rPr>
            </w:pPr>
            <w:r>
              <w:rPr>
                <w:rFonts w:ascii="Arial"/>
                <w:w w:val="99"/>
                <w:sz w:val="18"/>
              </w:rPr>
              <w:t>-</w:t>
            </w:r>
            <w:r>
              <w:rPr>
                <w:rFonts w:ascii="Arial"/>
                <w:sz w:val="18"/>
              </w:rPr>
            </w:r>
          </w:p>
        </w:tc>
        <w:tc>
          <w:tcPr>
            <w:tcW w:w="112"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9" w:right="0"/>
              <w:jc w:val="left"/>
              <w:rPr>
                <w:rFonts w:ascii="Arial" w:hAnsi="Arial" w:cs="Arial" w:eastAsia="Arial" w:hint="default"/>
                <w:sz w:val="18"/>
                <w:szCs w:val="18"/>
              </w:rPr>
            </w:pPr>
            <w:r>
              <w:rPr>
                <w:rFonts w:ascii="Arial"/>
                <w:sz w:val="18"/>
              </w:rPr>
              <w:t>8,000,000,000</w:t>
            </w:r>
          </w:p>
        </w:tc>
      </w:tr>
      <w:tr>
        <w:trPr>
          <w:trHeight w:val="467" w:hRule="exact"/>
        </w:trPr>
        <w:tc>
          <w:tcPr>
            <w:tcW w:w="1284" w:type="dxa"/>
            <w:tcBorders>
              <w:top w:val="nil" w:sz="6" w:space="0" w:color="auto"/>
              <w:left w:val="nil" w:sz="6" w:space="0" w:color="auto"/>
              <w:bottom w:val="nil" w:sz="6" w:space="0" w:color="auto"/>
              <w:right w:val="nil" w:sz="6" w:space="0" w:color="auto"/>
            </w:tcBorders>
          </w:tcPr>
          <w:p>
            <w:pPr>
              <w:pStyle w:val="TableParagraph"/>
              <w:spacing w:line="201" w:lineRule="exact"/>
              <w:ind w:left="15"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年第五期</w:t>
            </w:r>
          </w:p>
          <w:p>
            <w:pPr>
              <w:pStyle w:val="TableParagraph"/>
              <w:spacing w:line="228" w:lineRule="exact"/>
              <w:ind w:left="168" w:right="0"/>
              <w:jc w:val="left"/>
              <w:rPr>
                <w:rFonts w:ascii="宋体" w:hAnsi="宋体" w:cs="宋体" w:eastAsia="宋体" w:hint="default"/>
                <w:sz w:val="18"/>
                <w:szCs w:val="18"/>
              </w:rPr>
            </w:pPr>
            <w:r>
              <w:rPr>
                <w:rFonts w:ascii="宋体" w:hAnsi="宋体" w:cs="宋体" w:eastAsia="宋体" w:hint="default"/>
                <w:sz w:val="18"/>
                <w:szCs w:val="18"/>
              </w:rPr>
              <w:t>超短期融资券</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77" w:right="0"/>
              <w:jc w:val="left"/>
              <w:rPr>
                <w:rFonts w:ascii="宋体" w:hAnsi="宋体" w:cs="宋体" w:eastAsia="宋体" w:hint="default"/>
                <w:sz w:val="18"/>
                <w:szCs w:val="18"/>
              </w:rPr>
            </w:pPr>
            <w:r>
              <w:rPr>
                <w:rFonts w:ascii="Arial" w:hAnsi="Arial" w:cs="Arial" w:eastAsia="Arial" w:hint="default"/>
                <w:sz w:val="18"/>
                <w:szCs w:val="18"/>
              </w:rPr>
              <w:t>180</w:t>
            </w:r>
            <w:r>
              <w:rPr>
                <w:rFonts w:ascii="Arial" w:hAnsi="Arial" w:cs="Arial" w:eastAsia="Arial" w:hint="default"/>
                <w:spacing w:val="-7"/>
                <w:sz w:val="18"/>
                <w:szCs w:val="18"/>
              </w:rPr>
              <w:t> </w:t>
            </w:r>
            <w:r>
              <w:rPr>
                <w:rFonts w:ascii="宋体" w:hAnsi="宋体" w:cs="宋体" w:eastAsia="宋体" w:hint="default"/>
                <w:sz w:val="18"/>
                <w:szCs w:val="18"/>
              </w:rPr>
              <w:t>天</w:t>
            </w:r>
          </w:p>
        </w:tc>
        <w:tc>
          <w:tcPr>
            <w:tcW w:w="116"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8" w:right="0"/>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Arial" w:hAnsi="Arial" w:cs="Arial" w:eastAsia="Arial" w:hint="default"/>
                <w:sz w:val="18"/>
                <w:szCs w:val="18"/>
              </w:rPr>
              <w:t>11</w:t>
            </w:r>
            <w:r>
              <w:rPr>
                <w:rFonts w:ascii="Arial" w:hAnsi="Arial" w:cs="Arial" w:eastAsia="Arial"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Arial" w:hAnsi="Arial" w:cs="Arial" w:eastAsia="Arial" w:hint="default"/>
                <w:sz w:val="18"/>
                <w:szCs w:val="18"/>
              </w:rPr>
              <w:t>21</w:t>
            </w:r>
            <w:r>
              <w:rPr>
                <w:rFonts w:ascii="Arial" w:hAnsi="Arial" w:cs="Arial" w:eastAsia="Arial" w:hint="default"/>
                <w:spacing w:val="-21"/>
                <w:sz w:val="18"/>
                <w:szCs w:val="18"/>
              </w:rPr>
              <w:t> </w:t>
            </w:r>
            <w:r>
              <w:rPr>
                <w:rFonts w:ascii="宋体" w:hAnsi="宋体" w:cs="宋体" w:eastAsia="宋体" w:hint="default"/>
                <w:sz w:val="18"/>
                <w:szCs w:val="18"/>
              </w:rPr>
              <w:t>日</w:t>
            </w:r>
          </w:p>
        </w:tc>
        <w:tc>
          <w:tcPr>
            <w:tcW w:w="107"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Arial" w:hAnsi="Arial" w:cs="Arial" w:eastAsia="Arial" w:hint="default"/>
                <w:sz w:val="18"/>
                <w:szCs w:val="18"/>
              </w:rPr>
            </w:pPr>
            <w:r>
              <w:rPr>
                <w:rFonts w:ascii="Arial"/>
                <w:sz w:val="18"/>
              </w:rPr>
              <w:t>4.65%</w:t>
            </w:r>
          </w:p>
        </w:tc>
        <w:tc>
          <w:tcPr>
            <w:tcW w:w="112"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9"/>
              <w:jc w:val="right"/>
              <w:rPr>
                <w:rFonts w:ascii="Arial" w:hAnsi="Arial" w:cs="Arial" w:eastAsia="Arial" w:hint="default"/>
                <w:sz w:val="18"/>
                <w:szCs w:val="18"/>
              </w:rPr>
            </w:pPr>
            <w:r>
              <w:rPr>
                <w:rFonts w:ascii="Arial"/>
                <w:spacing w:val="-1"/>
                <w:sz w:val="18"/>
              </w:rPr>
              <w:t>15,000,000,000</w:t>
            </w:r>
          </w:p>
        </w:tc>
        <w:tc>
          <w:tcPr>
            <w:tcW w:w="106"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0"/>
              <w:jc w:val="right"/>
              <w:rPr>
                <w:rFonts w:ascii="Arial" w:hAnsi="Arial" w:cs="Arial" w:eastAsia="Arial" w:hint="default"/>
                <w:sz w:val="18"/>
                <w:szCs w:val="18"/>
              </w:rPr>
            </w:pPr>
            <w:r>
              <w:rPr>
                <w:rFonts w:ascii="Arial"/>
                <w:w w:val="99"/>
                <w:sz w:val="18"/>
              </w:rPr>
              <w:t>-</w:t>
            </w:r>
            <w:r>
              <w:rPr>
                <w:rFonts w:ascii="Arial"/>
                <w:sz w:val="18"/>
              </w:rPr>
            </w:r>
          </w:p>
        </w:tc>
        <w:tc>
          <w:tcPr>
            <w:tcW w:w="112"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left"/>
              <w:rPr>
                <w:rFonts w:ascii="Arial" w:hAnsi="Arial" w:cs="Arial" w:eastAsia="Arial" w:hint="default"/>
                <w:sz w:val="18"/>
                <w:szCs w:val="18"/>
              </w:rPr>
            </w:pPr>
            <w:r>
              <w:rPr>
                <w:rFonts w:ascii="Arial"/>
                <w:sz w:val="18"/>
              </w:rPr>
              <w:t>15,000,000,000</w:t>
            </w:r>
          </w:p>
        </w:tc>
      </w:tr>
      <w:tr>
        <w:trPr>
          <w:trHeight w:val="233" w:hRule="exact"/>
        </w:trPr>
        <w:tc>
          <w:tcPr>
            <w:tcW w:w="1284" w:type="dxa"/>
            <w:tcBorders>
              <w:top w:val="nil" w:sz="6" w:space="0" w:color="auto"/>
              <w:left w:val="nil" w:sz="6" w:space="0" w:color="auto"/>
              <w:bottom w:val="nil" w:sz="6" w:space="0" w:color="auto"/>
              <w:right w:val="nil" w:sz="6" w:space="0" w:color="auto"/>
            </w:tcBorders>
          </w:tcPr>
          <w:p>
            <w:pPr>
              <w:pStyle w:val="TableParagraph"/>
              <w:spacing w:line="209" w:lineRule="exact"/>
              <w:ind w:left="15"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年第一期</w:t>
            </w:r>
          </w:p>
        </w:tc>
        <w:tc>
          <w:tcPr>
            <w:tcW w:w="859" w:type="dxa"/>
            <w:tcBorders>
              <w:top w:val="nil" w:sz="6" w:space="0" w:color="auto"/>
              <w:left w:val="nil" w:sz="6" w:space="0" w:color="auto"/>
              <w:bottom w:val="nil" w:sz="6" w:space="0" w:color="auto"/>
              <w:right w:val="nil" w:sz="6" w:space="0" w:color="auto"/>
            </w:tcBorders>
          </w:tcPr>
          <w:p>
            <w:pPr>
              <w:pStyle w:val="TableParagraph"/>
              <w:spacing w:line="209" w:lineRule="exact"/>
              <w:ind w:left="177" w:right="0"/>
              <w:jc w:val="left"/>
              <w:rPr>
                <w:rFonts w:ascii="宋体" w:hAnsi="宋体" w:cs="宋体" w:eastAsia="宋体" w:hint="default"/>
                <w:sz w:val="18"/>
                <w:szCs w:val="18"/>
              </w:rPr>
            </w:pPr>
            <w:r>
              <w:rPr>
                <w:rFonts w:ascii="Arial" w:hAnsi="Arial" w:cs="Arial" w:eastAsia="Arial" w:hint="default"/>
                <w:sz w:val="18"/>
                <w:szCs w:val="18"/>
              </w:rPr>
              <w:t>365</w:t>
            </w:r>
            <w:r>
              <w:rPr>
                <w:rFonts w:ascii="Arial" w:hAnsi="Arial" w:cs="Arial" w:eastAsia="Arial" w:hint="default"/>
                <w:spacing w:val="-7"/>
                <w:sz w:val="18"/>
                <w:szCs w:val="18"/>
              </w:rPr>
              <w:t> </w:t>
            </w:r>
            <w:r>
              <w:rPr>
                <w:rFonts w:ascii="宋体" w:hAnsi="宋体" w:cs="宋体" w:eastAsia="宋体" w:hint="default"/>
                <w:sz w:val="18"/>
                <w:szCs w:val="18"/>
              </w:rPr>
              <w:t>天</w:t>
            </w:r>
          </w:p>
        </w:tc>
        <w:tc>
          <w:tcPr>
            <w:tcW w:w="116"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Style w:val="TableParagraph"/>
              <w:spacing w:line="209" w:lineRule="exact"/>
              <w:ind w:left="61"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7</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07"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8" w:right="0"/>
              <w:jc w:val="center"/>
              <w:rPr>
                <w:rFonts w:ascii="Arial" w:hAnsi="Arial" w:cs="Arial" w:eastAsia="Arial" w:hint="default"/>
                <w:sz w:val="18"/>
                <w:szCs w:val="18"/>
              </w:rPr>
            </w:pPr>
            <w:r>
              <w:rPr>
                <w:rFonts w:ascii="Arial"/>
                <w:sz w:val="18"/>
              </w:rPr>
              <w:t>3.45%</w:t>
            </w:r>
          </w:p>
        </w:tc>
        <w:tc>
          <w:tcPr>
            <w:tcW w:w="112"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9"/>
              <w:jc w:val="right"/>
              <w:rPr>
                <w:rFonts w:ascii="Arial" w:hAnsi="Arial" w:cs="Arial" w:eastAsia="Arial" w:hint="default"/>
                <w:sz w:val="18"/>
                <w:szCs w:val="18"/>
              </w:rPr>
            </w:pPr>
            <w:r>
              <w:rPr>
                <w:rFonts w:ascii="Arial"/>
                <w:spacing w:val="-1"/>
                <w:sz w:val="18"/>
              </w:rPr>
              <w:t>15,000,000,000</w:t>
            </w:r>
          </w:p>
        </w:tc>
        <w:tc>
          <w:tcPr>
            <w:tcW w:w="106"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6" w:right="0"/>
              <w:jc w:val="left"/>
              <w:rPr>
                <w:rFonts w:ascii="Arial" w:hAnsi="Arial" w:cs="Arial" w:eastAsia="Arial" w:hint="default"/>
                <w:sz w:val="18"/>
                <w:szCs w:val="18"/>
              </w:rPr>
            </w:pPr>
            <w:r>
              <w:rPr>
                <w:rFonts w:ascii="Arial"/>
                <w:sz w:val="18"/>
              </w:rPr>
              <w:t>15,000,000,000</w:t>
            </w:r>
          </w:p>
        </w:tc>
        <w:tc>
          <w:tcPr>
            <w:tcW w:w="112"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8"/>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1284" w:type="dxa"/>
            <w:tcBorders>
              <w:top w:val="nil" w:sz="6" w:space="0" w:color="auto"/>
              <w:left w:val="nil" w:sz="6" w:space="0" w:color="auto"/>
              <w:bottom w:val="nil" w:sz="6" w:space="0" w:color="auto"/>
              <w:right w:val="nil" w:sz="6" w:space="0" w:color="auto"/>
            </w:tcBorders>
          </w:tcPr>
          <w:p>
            <w:pPr>
              <w:pStyle w:val="TableParagraph"/>
              <w:spacing w:line="208" w:lineRule="exact"/>
              <w:ind w:left="15"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年第二期</w:t>
            </w:r>
          </w:p>
        </w:tc>
        <w:tc>
          <w:tcPr>
            <w:tcW w:w="859" w:type="dxa"/>
            <w:tcBorders>
              <w:top w:val="nil" w:sz="6" w:space="0" w:color="auto"/>
              <w:left w:val="nil" w:sz="6" w:space="0" w:color="auto"/>
              <w:bottom w:val="nil" w:sz="6" w:space="0" w:color="auto"/>
              <w:right w:val="nil" w:sz="6" w:space="0" w:color="auto"/>
            </w:tcBorders>
          </w:tcPr>
          <w:p>
            <w:pPr>
              <w:pStyle w:val="TableParagraph"/>
              <w:spacing w:line="208" w:lineRule="exact"/>
              <w:ind w:left="177" w:right="0"/>
              <w:jc w:val="left"/>
              <w:rPr>
                <w:rFonts w:ascii="宋体" w:hAnsi="宋体" w:cs="宋体" w:eastAsia="宋体" w:hint="default"/>
                <w:sz w:val="18"/>
                <w:szCs w:val="18"/>
              </w:rPr>
            </w:pPr>
            <w:r>
              <w:rPr>
                <w:rFonts w:ascii="Arial" w:hAnsi="Arial" w:cs="Arial" w:eastAsia="Arial" w:hint="default"/>
                <w:sz w:val="18"/>
                <w:szCs w:val="18"/>
              </w:rPr>
              <w:t>365</w:t>
            </w:r>
            <w:r>
              <w:rPr>
                <w:rFonts w:ascii="Arial" w:hAnsi="Arial" w:cs="Arial" w:eastAsia="Arial" w:hint="default"/>
                <w:spacing w:val="-7"/>
                <w:sz w:val="18"/>
                <w:szCs w:val="18"/>
              </w:rPr>
              <w:t> </w:t>
            </w:r>
            <w:r>
              <w:rPr>
                <w:rFonts w:ascii="宋体" w:hAnsi="宋体" w:cs="宋体" w:eastAsia="宋体" w:hint="default"/>
                <w:sz w:val="18"/>
                <w:szCs w:val="18"/>
              </w:rPr>
              <w:t>天</w:t>
            </w:r>
          </w:p>
        </w:tc>
        <w:tc>
          <w:tcPr>
            <w:tcW w:w="116"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Style w:val="TableParagraph"/>
              <w:spacing w:line="208" w:lineRule="exact"/>
              <w:ind w:left="28"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Arial" w:hAnsi="Arial" w:cs="Arial" w:eastAsia="Arial" w:hint="default"/>
                <w:sz w:val="18"/>
                <w:szCs w:val="18"/>
              </w:rPr>
              <w:t>10</w:t>
            </w:r>
            <w:r>
              <w:rPr>
                <w:rFonts w:ascii="Arial" w:hAnsi="Arial" w:cs="Arial" w:eastAsia="Arial"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Arial" w:hAnsi="Arial" w:cs="Arial" w:eastAsia="Arial" w:hint="default"/>
                <w:sz w:val="18"/>
                <w:szCs w:val="18"/>
              </w:rPr>
              <w:t>24</w:t>
            </w:r>
            <w:r>
              <w:rPr>
                <w:rFonts w:ascii="Arial" w:hAnsi="Arial" w:cs="Arial" w:eastAsia="Arial" w:hint="default"/>
                <w:spacing w:val="-21"/>
                <w:sz w:val="18"/>
                <w:szCs w:val="18"/>
              </w:rPr>
              <w:t> </w:t>
            </w:r>
            <w:r>
              <w:rPr>
                <w:rFonts w:ascii="宋体" w:hAnsi="宋体" w:cs="宋体" w:eastAsia="宋体" w:hint="default"/>
                <w:sz w:val="18"/>
                <w:szCs w:val="18"/>
              </w:rPr>
              <w:t>日</w:t>
            </w:r>
          </w:p>
        </w:tc>
        <w:tc>
          <w:tcPr>
            <w:tcW w:w="107"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8" w:right="0"/>
              <w:jc w:val="center"/>
              <w:rPr>
                <w:rFonts w:ascii="Arial" w:hAnsi="Arial" w:cs="Arial" w:eastAsia="Arial" w:hint="default"/>
                <w:sz w:val="18"/>
                <w:szCs w:val="18"/>
              </w:rPr>
            </w:pPr>
            <w:r>
              <w:rPr>
                <w:rFonts w:ascii="Arial"/>
                <w:sz w:val="18"/>
              </w:rPr>
              <w:t>4.20%</w:t>
            </w:r>
          </w:p>
        </w:tc>
        <w:tc>
          <w:tcPr>
            <w:tcW w:w="112"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9"/>
              <w:jc w:val="right"/>
              <w:rPr>
                <w:rFonts w:ascii="Arial" w:hAnsi="Arial" w:cs="Arial" w:eastAsia="Arial" w:hint="default"/>
                <w:sz w:val="18"/>
                <w:szCs w:val="18"/>
              </w:rPr>
            </w:pPr>
            <w:r>
              <w:rPr>
                <w:rFonts w:ascii="Arial"/>
                <w:spacing w:val="-1"/>
                <w:sz w:val="18"/>
              </w:rPr>
              <w:t>15,000,000,000</w:t>
            </w:r>
          </w:p>
        </w:tc>
        <w:tc>
          <w:tcPr>
            <w:tcW w:w="106"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66" w:right="0"/>
              <w:jc w:val="left"/>
              <w:rPr>
                <w:rFonts w:ascii="Arial" w:hAnsi="Arial" w:cs="Arial" w:eastAsia="Arial" w:hint="default"/>
                <w:sz w:val="18"/>
                <w:szCs w:val="18"/>
              </w:rPr>
            </w:pPr>
            <w:r>
              <w:rPr>
                <w:rFonts w:ascii="Arial"/>
                <w:sz w:val="18"/>
              </w:rPr>
              <w:t>15,000,000,000</w:t>
            </w:r>
          </w:p>
        </w:tc>
        <w:tc>
          <w:tcPr>
            <w:tcW w:w="112"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8"/>
              <w:jc w:val="right"/>
              <w:rPr>
                <w:rFonts w:ascii="Arial" w:hAnsi="Arial" w:cs="Arial" w:eastAsia="Arial" w:hint="default"/>
                <w:sz w:val="18"/>
                <w:szCs w:val="18"/>
              </w:rPr>
            </w:pPr>
            <w:r>
              <w:rPr>
                <w:rFonts w:ascii="Arial"/>
                <w:w w:val="99"/>
                <w:sz w:val="18"/>
              </w:rPr>
              <w:t>-</w:t>
            </w:r>
            <w:r>
              <w:rPr>
                <w:rFonts w:ascii="Arial"/>
                <w:sz w:val="18"/>
              </w:rPr>
            </w:r>
          </w:p>
        </w:tc>
      </w:tr>
      <w:tr>
        <w:trPr>
          <w:trHeight w:val="345" w:hRule="exact"/>
        </w:trPr>
        <w:tc>
          <w:tcPr>
            <w:tcW w:w="1284" w:type="dxa"/>
            <w:tcBorders>
              <w:top w:val="nil" w:sz="6" w:space="0" w:color="auto"/>
              <w:left w:val="nil" w:sz="6" w:space="0" w:color="auto"/>
              <w:bottom w:val="nil" w:sz="6" w:space="0" w:color="auto"/>
              <w:right w:val="nil" w:sz="6" w:space="0" w:color="auto"/>
            </w:tcBorders>
          </w:tcPr>
          <w:p>
            <w:pPr>
              <w:pStyle w:val="TableParagraph"/>
              <w:spacing w:line="209" w:lineRule="exact"/>
              <w:ind w:left="15"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年第三期</w:t>
            </w:r>
          </w:p>
        </w:tc>
        <w:tc>
          <w:tcPr>
            <w:tcW w:w="859" w:type="dxa"/>
            <w:tcBorders>
              <w:top w:val="nil" w:sz="6" w:space="0" w:color="auto"/>
              <w:left w:val="nil" w:sz="6" w:space="0" w:color="auto"/>
              <w:bottom w:val="nil" w:sz="6" w:space="0" w:color="auto"/>
              <w:right w:val="nil" w:sz="6" w:space="0" w:color="auto"/>
            </w:tcBorders>
          </w:tcPr>
          <w:p>
            <w:pPr>
              <w:pStyle w:val="TableParagraph"/>
              <w:spacing w:line="209" w:lineRule="exact"/>
              <w:ind w:left="177" w:right="0"/>
              <w:jc w:val="left"/>
              <w:rPr>
                <w:rFonts w:ascii="宋体" w:hAnsi="宋体" w:cs="宋体" w:eastAsia="宋体" w:hint="default"/>
                <w:sz w:val="18"/>
                <w:szCs w:val="18"/>
              </w:rPr>
            </w:pPr>
            <w:r>
              <w:rPr>
                <w:rFonts w:ascii="Arial" w:hAnsi="Arial" w:cs="Arial" w:eastAsia="Arial" w:hint="default"/>
                <w:sz w:val="18"/>
                <w:szCs w:val="18"/>
              </w:rPr>
              <w:t>365</w:t>
            </w:r>
            <w:r>
              <w:rPr>
                <w:rFonts w:ascii="Arial" w:hAnsi="Arial" w:cs="Arial" w:eastAsia="Arial" w:hint="default"/>
                <w:spacing w:val="-7"/>
                <w:sz w:val="18"/>
                <w:szCs w:val="18"/>
              </w:rPr>
              <w:t> </w:t>
            </w:r>
            <w:r>
              <w:rPr>
                <w:rFonts w:ascii="宋体" w:hAnsi="宋体" w:cs="宋体" w:eastAsia="宋体" w:hint="default"/>
                <w:sz w:val="18"/>
                <w:szCs w:val="18"/>
              </w:rPr>
              <w:t>天</w:t>
            </w:r>
          </w:p>
        </w:tc>
        <w:tc>
          <w:tcPr>
            <w:tcW w:w="116"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Style w:val="TableParagraph"/>
              <w:spacing w:line="209" w:lineRule="exact"/>
              <w:ind w:left="28"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Arial" w:hAnsi="Arial" w:cs="Arial" w:eastAsia="Arial" w:hint="default"/>
                <w:sz w:val="18"/>
                <w:szCs w:val="18"/>
              </w:rPr>
              <w:t>10</w:t>
            </w:r>
            <w:r>
              <w:rPr>
                <w:rFonts w:ascii="Arial" w:hAnsi="Arial" w:cs="Arial" w:eastAsia="Arial"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Arial" w:hAnsi="Arial" w:cs="Arial" w:eastAsia="Arial" w:hint="default"/>
                <w:sz w:val="18"/>
                <w:szCs w:val="18"/>
              </w:rPr>
              <w:t>25</w:t>
            </w:r>
            <w:r>
              <w:rPr>
                <w:rFonts w:ascii="Arial" w:hAnsi="Arial" w:cs="Arial" w:eastAsia="Arial" w:hint="default"/>
                <w:spacing w:val="-21"/>
                <w:sz w:val="18"/>
                <w:szCs w:val="18"/>
              </w:rPr>
              <w:t> </w:t>
            </w:r>
            <w:r>
              <w:rPr>
                <w:rFonts w:ascii="宋体" w:hAnsi="宋体" w:cs="宋体" w:eastAsia="宋体" w:hint="default"/>
                <w:sz w:val="18"/>
                <w:szCs w:val="18"/>
              </w:rPr>
              <w:t>日</w:t>
            </w:r>
          </w:p>
        </w:tc>
        <w:tc>
          <w:tcPr>
            <w:tcW w:w="107"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8" w:right="0"/>
              <w:jc w:val="center"/>
              <w:rPr>
                <w:rFonts w:ascii="Arial" w:hAnsi="Arial" w:cs="Arial" w:eastAsia="Arial" w:hint="default"/>
                <w:sz w:val="18"/>
                <w:szCs w:val="18"/>
              </w:rPr>
            </w:pPr>
            <w:r>
              <w:rPr>
                <w:rFonts w:ascii="Arial"/>
                <w:sz w:val="18"/>
              </w:rPr>
              <w:t>4.20%</w:t>
            </w:r>
          </w:p>
        </w:tc>
        <w:tc>
          <w:tcPr>
            <w:tcW w:w="112"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9"/>
              <w:jc w:val="right"/>
              <w:rPr>
                <w:rFonts w:ascii="Arial" w:hAnsi="Arial" w:cs="Arial" w:eastAsia="Arial" w:hint="default"/>
                <w:sz w:val="18"/>
                <w:szCs w:val="18"/>
              </w:rPr>
            </w:pPr>
            <w:r>
              <w:rPr>
                <w:rFonts w:ascii="Arial"/>
                <w:spacing w:val="-1"/>
                <w:sz w:val="18"/>
              </w:rPr>
              <w:t>8,000,000,000</w:t>
            </w:r>
          </w:p>
        </w:tc>
        <w:tc>
          <w:tcPr>
            <w:tcW w:w="106"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Style w:val="TableParagraph"/>
              <w:tabs>
                <w:tab w:pos="1378" w:val="left" w:leader="none"/>
              </w:tabs>
              <w:spacing w:line="240" w:lineRule="auto" w:before="15"/>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5"/>
                <w:sz w:val="18"/>
                <w:u w:val="single" w:color="000000"/>
              </w:rPr>
              <w:t> </w:t>
            </w:r>
            <w:r>
              <w:rPr>
                <w:rFonts w:ascii="Arial"/>
                <w:sz w:val="18"/>
                <w:u w:val="single" w:color="000000"/>
              </w:rPr>
              <w:t>8,000,000,000</w:t>
              <w:tab/>
            </w:r>
            <w:r>
              <w:rPr>
                <w:rFonts w:ascii="Arial"/>
                <w:sz w:val="18"/>
              </w:rPr>
            </w:r>
          </w:p>
        </w:tc>
        <w:tc>
          <w:tcPr>
            <w:tcW w:w="112"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tabs>
                <w:tab w:pos="1199" w:val="left" w:leader="none"/>
                <w:tab w:pos="1349" w:val="left" w:leader="none"/>
              </w:tabs>
              <w:spacing w:line="240" w:lineRule="auto" w:before="15"/>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r>
      <w:tr>
        <w:trPr>
          <w:trHeight w:val="358" w:hRule="exact"/>
        </w:trPr>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9"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left="66" w:right="0"/>
              <w:jc w:val="left"/>
              <w:rPr>
                <w:rFonts w:ascii="Arial" w:hAnsi="Arial" w:cs="Arial" w:eastAsia="Arial" w:hint="default"/>
                <w:sz w:val="18"/>
                <w:szCs w:val="18"/>
              </w:rPr>
            </w:pPr>
            <w:r>
              <w:rPr>
                <w:rFonts w:ascii="Arial"/>
                <w:sz w:val="18"/>
              </w:rPr>
              <w:t>38,000,000,000</w:t>
            </w:r>
          </w:p>
        </w:tc>
        <w:tc>
          <w:tcPr>
            <w:tcW w:w="112"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left="9" w:right="0"/>
              <w:jc w:val="left"/>
              <w:rPr>
                <w:rFonts w:ascii="Arial" w:hAnsi="Arial" w:cs="Arial" w:eastAsia="Arial" w:hint="default"/>
                <w:sz w:val="18"/>
                <w:szCs w:val="18"/>
              </w:rPr>
            </w:pPr>
            <w:r>
              <w:rPr>
                <w:rFonts w:ascii="Arial"/>
                <w:sz w:val="18"/>
              </w:rPr>
              <w:t>38,000,000,000</w:t>
            </w:r>
          </w:p>
        </w:tc>
      </w:tr>
    </w:tbl>
    <w:p>
      <w:pPr>
        <w:spacing w:after="0" w:line="240" w:lineRule="auto"/>
        <w:jc w:val="left"/>
        <w:rPr>
          <w:rFonts w:ascii="Arial" w:hAnsi="Arial" w:cs="Arial" w:eastAsia="Arial" w:hint="default"/>
          <w:sz w:val="18"/>
          <w:szCs w:val="18"/>
        </w:rPr>
        <w:sectPr>
          <w:headerReference w:type="default" r:id="rId100"/>
          <w:pgSz w:w="11910" w:h="16840"/>
          <w:pgMar w:header="1184" w:footer="457" w:top="3040" w:bottom="640" w:left="1280" w:right="820"/>
        </w:sectPr>
      </w:pPr>
    </w:p>
    <w:p>
      <w:pPr>
        <w:spacing w:line="240" w:lineRule="auto" w:before="12"/>
        <w:rPr>
          <w:rFonts w:ascii="宋体" w:hAnsi="宋体" w:cs="宋体" w:eastAsia="宋体" w:hint="default"/>
          <w:sz w:val="14"/>
          <w:szCs w:val="14"/>
        </w:rPr>
      </w:pPr>
    </w:p>
    <w:p>
      <w:pPr>
        <w:pStyle w:val="BodyText"/>
        <w:spacing w:line="427" w:lineRule="auto" w:before="31"/>
        <w:ind w:left="550" w:right="4965" w:hanging="448"/>
        <w:jc w:val="left"/>
      </w:pPr>
      <w:r>
        <w:rPr>
          <w:rFonts w:ascii="Arial" w:hAnsi="Arial" w:cs="Arial" w:eastAsia="Arial" w:hint="default"/>
        </w:rPr>
        <w:t>17</w:t>
      </w:r>
      <w:r>
        <w:rPr/>
        <w:t>、应付短期债券（续）</w:t>
      </w:r>
      <w:r>
        <w:rPr>
          <w:w w:val="99"/>
        </w:rPr>
        <w:t> </w:t>
      </w:r>
      <w:r>
        <w:rPr>
          <w:w w:val="95"/>
        </w:rPr>
        <w:t>短期债券之应计利息分析如下：</w:t>
      </w:r>
      <w:r>
        <w:rPr/>
      </w:r>
    </w:p>
    <w:p>
      <w:pPr>
        <w:spacing w:line="240" w:lineRule="auto" w:before="1"/>
        <w:rPr>
          <w:rFonts w:ascii="宋体" w:hAnsi="宋体" w:cs="宋体" w:eastAsia="宋体" w:hint="default"/>
          <w:sz w:val="8"/>
          <w:szCs w:val="8"/>
        </w:rPr>
      </w:pPr>
    </w:p>
    <w:tbl>
      <w:tblPr>
        <w:tblW w:w="0" w:type="auto"/>
        <w:jc w:val="left"/>
        <w:tblInd w:w="362" w:type="dxa"/>
        <w:tblLayout w:type="fixed"/>
        <w:tblCellMar>
          <w:top w:w="0" w:type="dxa"/>
          <w:left w:w="0" w:type="dxa"/>
          <w:bottom w:w="0" w:type="dxa"/>
          <w:right w:w="0" w:type="dxa"/>
        </w:tblCellMar>
        <w:tblLook w:val="01E0"/>
      </w:tblPr>
      <w:tblGrid>
        <w:gridCol w:w="3296"/>
        <w:gridCol w:w="1394"/>
        <w:gridCol w:w="1476"/>
        <w:gridCol w:w="1548"/>
        <w:gridCol w:w="1540"/>
      </w:tblGrid>
      <w:tr>
        <w:trPr>
          <w:trHeight w:val="237" w:hRule="exact"/>
        </w:trPr>
        <w:tc>
          <w:tcPr>
            <w:tcW w:w="9255" w:type="dxa"/>
            <w:gridSpan w:val="5"/>
            <w:tcBorders>
              <w:top w:val="nil" w:sz="6" w:space="0" w:color="auto"/>
              <w:left w:val="nil" w:sz="6" w:space="0" w:color="auto"/>
              <w:bottom w:val="nil" w:sz="6" w:space="0" w:color="auto"/>
              <w:right w:val="nil" w:sz="6" w:space="0" w:color="auto"/>
            </w:tcBorders>
          </w:tcPr>
          <w:p>
            <w:pPr>
              <w:pStyle w:val="TableParagraph"/>
              <w:spacing w:line="215" w:lineRule="exact"/>
              <w:ind w:left="4966" w:right="0"/>
              <w:jc w:val="left"/>
              <w:rPr>
                <w:rFonts w:ascii="宋体" w:hAnsi="宋体" w:cs="宋体" w:eastAsia="宋体" w:hint="default"/>
                <w:sz w:val="20"/>
                <w:szCs w:val="20"/>
              </w:rPr>
            </w:pPr>
            <w:r>
              <w:rPr>
                <w:rFonts w:ascii="宋体" w:hAnsi="宋体" w:cs="宋体" w:eastAsia="宋体" w:hint="default"/>
                <w:sz w:val="20"/>
                <w:szCs w:val="20"/>
              </w:rPr>
              <w:t>应计利息（附注五</w:t>
            </w:r>
            <w:r>
              <w:rPr>
                <w:rFonts w:ascii="Arial" w:hAnsi="Arial" w:cs="Arial" w:eastAsia="Arial" w:hint="default"/>
                <w:sz w:val="20"/>
                <w:szCs w:val="20"/>
              </w:rPr>
              <w:t>(23)</w:t>
            </w:r>
            <w:r>
              <w:rPr>
                <w:rFonts w:ascii="宋体" w:hAnsi="宋体" w:cs="宋体" w:eastAsia="宋体" w:hint="default"/>
                <w:sz w:val="20"/>
                <w:szCs w:val="20"/>
              </w:rPr>
              <w:t>）</w:t>
            </w:r>
          </w:p>
        </w:tc>
      </w:tr>
      <w:tr>
        <w:trPr>
          <w:trHeight w:val="595" w:hRule="exact"/>
        </w:trPr>
        <w:tc>
          <w:tcPr>
            <w:tcW w:w="3296" w:type="dxa"/>
            <w:tcBorders>
              <w:top w:val="nil" w:sz="6" w:space="0" w:color="auto"/>
              <w:left w:val="nil" w:sz="6" w:space="0" w:color="auto"/>
              <w:bottom w:val="nil" w:sz="6" w:space="0" w:color="auto"/>
              <w:right w:val="nil" w:sz="6" w:space="0" w:color="auto"/>
            </w:tcBorders>
          </w:tcPr>
          <w:p>
            <w:pPr/>
          </w:p>
        </w:tc>
        <w:tc>
          <w:tcPr>
            <w:tcW w:w="1394" w:type="dxa"/>
            <w:tcBorders>
              <w:top w:val="single" w:sz="6" w:space="0" w:color="000000"/>
              <w:left w:val="nil" w:sz="6" w:space="0" w:color="auto"/>
              <w:bottom w:val="single" w:sz="6" w:space="0" w:color="000000"/>
              <w:right w:val="nil" w:sz="6" w:space="0" w:color="auto"/>
            </w:tcBorders>
          </w:tcPr>
          <w:p>
            <w:pPr>
              <w:pStyle w:val="TableParagraph"/>
              <w:spacing w:line="275" w:lineRule="exact"/>
              <w:ind w:left="60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p>
          <w:p>
            <w:pPr>
              <w:pStyle w:val="TableParagraph"/>
              <w:spacing w:line="240" w:lineRule="auto" w:before="14"/>
              <w:ind w:left="309"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1476" w:type="dxa"/>
            <w:tcBorders>
              <w:top w:val="single" w:sz="6" w:space="0" w:color="000000"/>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3"/>
              <w:jc w:val="right"/>
              <w:rPr>
                <w:rFonts w:ascii="宋体" w:hAnsi="宋体" w:cs="宋体" w:eastAsia="宋体" w:hint="default"/>
                <w:sz w:val="20"/>
                <w:szCs w:val="20"/>
              </w:rPr>
            </w:pPr>
            <w:r>
              <w:rPr>
                <w:rFonts w:ascii="宋体" w:hAnsi="宋体" w:cs="宋体" w:eastAsia="宋体" w:hint="default"/>
                <w:spacing w:val="-1"/>
                <w:sz w:val="20"/>
                <w:szCs w:val="20"/>
              </w:rPr>
              <w:t>本年应计利息</w:t>
            </w:r>
          </w:p>
        </w:tc>
        <w:tc>
          <w:tcPr>
            <w:tcW w:w="1548" w:type="dxa"/>
            <w:tcBorders>
              <w:top w:val="single" w:sz="6" w:space="0" w:color="000000"/>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59"/>
              <w:jc w:val="right"/>
              <w:rPr>
                <w:rFonts w:ascii="宋体" w:hAnsi="宋体" w:cs="宋体" w:eastAsia="宋体" w:hint="default"/>
                <w:sz w:val="20"/>
                <w:szCs w:val="20"/>
              </w:rPr>
            </w:pPr>
            <w:r>
              <w:rPr>
                <w:rFonts w:ascii="宋体" w:hAnsi="宋体" w:cs="宋体" w:eastAsia="宋体" w:hint="default"/>
                <w:spacing w:val="-1"/>
                <w:sz w:val="20"/>
                <w:szCs w:val="20"/>
              </w:rPr>
              <w:t>本年已付利息</w:t>
            </w:r>
          </w:p>
        </w:tc>
        <w:tc>
          <w:tcPr>
            <w:tcW w:w="1540" w:type="dxa"/>
            <w:tcBorders>
              <w:top w:val="single" w:sz="6" w:space="0" w:color="000000"/>
              <w:left w:val="nil" w:sz="6" w:space="0" w:color="auto"/>
              <w:bottom w:val="single" w:sz="6" w:space="0" w:color="000000"/>
              <w:right w:val="nil" w:sz="6" w:space="0" w:color="auto"/>
            </w:tcBorders>
          </w:tcPr>
          <w:p>
            <w:pPr>
              <w:pStyle w:val="TableParagraph"/>
              <w:spacing w:line="275" w:lineRule="exact"/>
              <w:ind w:left="782"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p>
          <w:p>
            <w:pPr>
              <w:pStyle w:val="TableParagraph"/>
              <w:spacing w:line="240" w:lineRule="auto" w:before="14"/>
              <w:ind w:left="482"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r>
      <w:tr>
        <w:trPr>
          <w:trHeight w:val="460" w:hRule="exact"/>
        </w:trPr>
        <w:tc>
          <w:tcPr>
            <w:tcW w:w="3296"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7"/>
                <w:sz w:val="20"/>
                <w:szCs w:val="20"/>
              </w:rPr>
              <w:t> </w:t>
            </w:r>
            <w:r>
              <w:rPr>
                <w:rFonts w:ascii="宋体" w:hAnsi="宋体" w:cs="宋体" w:eastAsia="宋体" w:hint="default"/>
                <w:sz w:val="20"/>
                <w:szCs w:val="20"/>
              </w:rPr>
              <w:t>年第一期（注）</w:t>
            </w:r>
          </w:p>
        </w:tc>
        <w:tc>
          <w:tcPr>
            <w:tcW w:w="1394"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19" w:right="0"/>
              <w:jc w:val="left"/>
              <w:rPr>
                <w:rFonts w:ascii="Arial" w:hAnsi="Arial" w:cs="Arial" w:eastAsia="Arial" w:hint="default"/>
                <w:sz w:val="20"/>
                <w:szCs w:val="20"/>
              </w:rPr>
            </w:pPr>
            <w:r>
              <w:rPr>
                <w:rFonts w:ascii="Arial"/>
                <w:sz w:val="20"/>
              </w:rPr>
              <w:t>276,504,098</w:t>
            </w:r>
          </w:p>
        </w:tc>
        <w:tc>
          <w:tcPr>
            <w:tcW w:w="1476"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59"/>
              <w:jc w:val="right"/>
              <w:rPr>
                <w:rFonts w:ascii="Arial" w:hAnsi="Arial" w:cs="Arial" w:eastAsia="Arial" w:hint="default"/>
                <w:sz w:val="20"/>
                <w:szCs w:val="20"/>
              </w:rPr>
            </w:pPr>
            <w:r>
              <w:rPr>
                <w:rFonts w:ascii="Arial"/>
                <w:spacing w:val="-1"/>
                <w:sz w:val="20"/>
              </w:rPr>
              <w:t>507,995,902</w:t>
            </w:r>
          </w:p>
        </w:tc>
        <w:tc>
          <w:tcPr>
            <w:tcW w:w="1548"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75"/>
              <w:jc w:val="right"/>
              <w:rPr>
                <w:rFonts w:ascii="Arial" w:hAnsi="Arial" w:cs="Arial" w:eastAsia="Arial" w:hint="default"/>
                <w:sz w:val="20"/>
                <w:szCs w:val="20"/>
              </w:rPr>
            </w:pPr>
            <w:r>
              <w:rPr>
                <w:rFonts w:ascii="Arial"/>
                <w:spacing w:val="-1"/>
                <w:sz w:val="20"/>
              </w:rPr>
              <w:t>(784,500,000)</w:t>
            </w:r>
          </w:p>
        </w:tc>
        <w:tc>
          <w:tcPr>
            <w:tcW w:w="1540"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41"/>
              <w:jc w:val="right"/>
              <w:rPr>
                <w:rFonts w:ascii="Arial" w:hAnsi="Arial" w:cs="Arial" w:eastAsia="Arial" w:hint="default"/>
                <w:sz w:val="20"/>
                <w:szCs w:val="20"/>
              </w:rPr>
            </w:pPr>
            <w:r>
              <w:rPr>
                <w:rFonts w:ascii="Arial"/>
                <w:w w:val="100"/>
                <w:sz w:val="20"/>
              </w:rPr>
              <w:t>-</w:t>
            </w:r>
          </w:p>
        </w:tc>
      </w:tr>
      <w:tr>
        <w:trPr>
          <w:trHeight w:val="290" w:hRule="exact"/>
        </w:trPr>
        <w:tc>
          <w:tcPr>
            <w:tcW w:w="329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7"/>
                <w:sz w:val="20"/>
                <w:szCs w:val="20"/>
              </w:rPr>
              <w:t> </w:t>
            </w:r>
            <w:r>
              <w:rPr>
                <w:rFonts w:ascii="宋体" w:hAnsi="宋体" w:cs="宋体" w:eastAsia="宋体" w:hint="default"/>
                <w:sz w:val="20"/>
                <w:szCs w:val="20"/>
              </w:rPr>
              <w:t>年第二期（注）</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31" w:right="0"/>
              <w:jc w:val="left"/>
              <w:rPr>
                <w:rFonts w:ascii="Arial" w:hAnsi="Arial" w:cs="Arial" w:eastAsia="Arial" w:hint="default"/>
                <w:sz w:val="20"/>
                <w:szCs w:val="20"/>
              </w:rPr>
            </w:pPr>
            <w:r>
              <w:rPr>
                <w:rFonts w:ascii="Arial"/>
                <w:sz w:val="20"/>
              </w:rPr>
              <w:t>92,227,322</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9"/>
              <w:jc w:val="right"/>
              <w:rPr>
                <w:rFonts w:ascii="Arial" w:hAnsi="Arial" w:cs="Arial" w:eastAsia="Arial" w:hint="default"/>
                <w:sz w:val="20"/>
                <w:szCs w:val="20"/>
              </w:rPr>
            </w:pPr>
            <w:r>
              <w:rPr>
                <w:rFonts w:ascii="Arial"/>
                <w:spacing w:val="-1"/>
                <w:sz w:val="20"/>
              </w:rPr>
              <w:t>370,172,678</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5"/>
              <w:jc w:val="right"/>
              <w:rPr>
                <w:rFonts w:ascii="Arial" w:hAnsi="Arial" w:cs="Arial" w:eastAsia="Arial" w:hint="default"/>
                <w:sz w:val="20"/>
                <w:szCs w:val="20"/>
              </w:rPr>
            </w:pPr>
            <w:r>
              <w:rPr>
                <w:rFonts w:ascii="Arial"/>
                <w:spacing w:val="-1"/>
                <w:sz w:val="20"/>
              </w:rPr>
              <w:t>(462,400,000)</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1"/>
              <w:jc w:val="right"/>
              <w:rPr>
                <w:rFonts w:ascii="Arial" w:hAnsi="Arial" w:cs="Arial" w:eastAsia="Arial" w:hint="default"/>
                <w:sz w:val="20"/>
                <w:szCs w:val="20"/>
              </w:rPr>
            </w:pPr>
            <w:r>
              <w:rPr>
                <w:rFonts w:ascii="Arial"/>
                <w:w w:val="100"/>
                <w:sz w:val="20"/>
              </w:rPr>
              <w:t>-</w:t>
            </w:r>
          </w:p>
        </w:tc>
      </w:tr>
      <w:tr>
        <w:trPr>
          <w:trHeight w:val="290" w:hRule="exact"/>
        </w:trPr>
        <w:tc>
          <w:tcPr>
            <w:tcW w:w="329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9"/>
                <w:sz w:val="20"/>
                <w:szCs w:val="20"/>
              </w:rPr>
              <w:t> </w:t>
            </w:r>
            <w:r>
              <w:rPr>
                <w:rFonts w:ascii="宋体" w:hAnsi="宋体" w:cs="宋体" w:eastAsia="宋体" w:hint="default"/>
                <w:sz w:val="20"/>
                <w:szCs w:val="20"/>
              </w:rPr>
              <w:t>年第五期超短期融资券（注）</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31" w:right="0"/>
              <w:jc w:val="left"/>
              <w:rPr>
                <w:rFonts w:ascii="Arial" w:hAnsi="Arial" w:cs="Arial" w:eastAsia="Arial" w:hint="default"/>
                <w:sz w:val="20"/>
                <w:szCs w:val="20"/>
              </w:rPr>
            </w:pPr>
            <w:r>
              <w:rPr>
                <w:rFonts w:ascii="Arial"/>
                <w:sz w:val="20"/>
              </w:rPr>
              <w:t>78,135,247</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9"/>
              <w:jc w:val="right"/>
              <w:rPr>
                <w:rFonts w:ascii="Arial" w:hAnsi="Arial" w:cs="Arial" w:eastAsia="Arial" w:hint="default"/>
                <w:sz w:val="20"/>
                <w:szCs w:val="20"/>
              </w:rPr>
            </w:pPr>
            <w:r>
              <w:rPr>
                <w:rFonts w:ascii="Arial"/>
                <w:spacing w:val="-1"/>
                <w:sz w:val="20"/>
              </w:rPr>
              <w:t>264,897,541</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5"/>
              <w:jc w:val="right"/>
              <w:rPr>
                <w:rFonts w:ascii="Arial" w:hAnsi="Arial" w:cs="Arial" w:eastAsia="Arial" w:hint="default"/>
                <w:sz w:val="20"/>
                <w:szCs w:val="20"/>
              </w:rPr>
            </w:pPr>
            <w:r>
              <w:rPr>
                <w:rFonts w:ascii="Arial"/>
                <w:spacing w:val="-1"/>
                <w:sz w:val="20"/>
              </w:rPr>
              <w:t>(343,032,788)</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1"/>
              <w:jc w:val="right"/>
              <w:rPr>
                <w:rFonts w:ascii="Arial" w:hAnsi="Arial" w:cs="Arial" w:eastAsia="Arial" w:hint="default"/>
                <w:sz w:val="20"/>
                <w:szCs w:val="20"/>
              </w:rPr>
            </w:pPr>
            <w:r>
              <w:rPr>
                <w:rFonts w:ascii="Arial"/>
                <w:w w:val="100"/>
                <w:sz w:val="20"/>
              </w:rPr>
              <w:t>-</w:t>
            </w:r>
          </w:p>
        </w:tc>
      </w:tr>
      <w:tr>
        <w:trPr>
          <w:trHeight w:val="290" w:hRule="exact"/>
        </w:trPr>
        <w:tc>
          <w:tcPr>
            <w:tcW w:w="3296"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8"/>
                <w:sz w:val="20"/>
                <w:szCs w:val="20"/>
              </w:rPr>
              <w:t> </w:t>
            </w:r>
            <w:r>
              <w:rPr>
                <w:rFonts w:ascii="宋体" w:hAnsi="宋体" w:cs="宋体" w:eastAsia="宋体" w:hint="default"/>
                <w:sz w:val="20"/>
                <w:szCs w:val="20"/>
              </w:rPr>
              <w:t>年第一期超短期融资券（注）</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9"/>
              <w:jc w:val="right"/>
              <w:rPr>
                <w:rFonts w:ascii="Arial" w:hAnsi="Arial" w:cs="Arial" w:eastAsia="Arial" w:hint="default"/>
                <w:sz w:val="20"/>
                <w:szCs w:val="20"/>
              </w:rPr>
            </w:pPr>
            <w:r>
              <w:rPr>
                <w:rFonts w:ascii="Arial"/>
                <w:w w:val="100"/>
                <w:sz w:val="20"/>
              </w:rPr>
              <w:t>-</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0"/>
              <w:jc w:val="right"/>
              <w:rPr>
                <w:rFonts w:ascii="Arial" w:hAnsi="Arial" w:cs="Arial" w:eastAsia="Arial" w:hint="default"/>
                <w:sz w:val="20"/>
                <w:szCs w:val="20"/>
              </w:rPr>
            </w:pPr>
            <w:r>
              <w:rPr>
                <w:rFonts w:ascii="Arial"/>
                <w:spacing w:val="-1"/>
                <w:sz w:val="20"/>
              </w:rPr>
              <w:t>95,671,233</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5"/>
              <w:jc w:val="right"/>
              <w:rPr>
                <w:rFonts w:ascii="Arial" w:hAnsi="Arial" w:cs="Arial" w:eastAsia="Arial" w:hint="default"/>
                <w:sz w:val="20"/>
                <w:szCs w:val="20"/>
              </w:rPr>
            </w:pPr>
            <w:r>
              <w:rPr>
                <w:rFonts w:ascii="Arial"/>
                <w:spacing w:val="-1"/>
                <w:sz w:val="20"/>
              </w:rPr>
              <w:t>(95,671,233)</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1"/>
              <w:jc w:val="right"/>
              <w:rPr>
                <w:rFonts w:ascii="Arial" w:hAnsi="Arial" w:cs="Arial" w:eastAsia="Arial" w:hint="default"/>
                <w:sz w:val="20"/>
                <w:szCs w:val="20"/>
              </w:rPr>
            </w:pPr>
            <w:r>
              <w:rPr>
                <w:rFonts w:ascii="Arial"/>
                <w:w w:val="100"/>
                <w:sz w:val="20"/>
              </w:rPr>
              <w:t>-</w:t>
            </w:r>
          </w:p>
        </w:tc>
      </w:tr>
      <w:tr>
        <w:trPr>
          <w:trHeight w:val="290" w:hRule="exact"/>
        </w:trPr>
        <w:tc>
          <w:tcPr>
            <w:tcW w:w="329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9"/>
                <w:sz w:val="20"/>
                <w:szCs w:val="20"/>
              </w:rPr>
              <w:t> </w:t>
            </w:r>
            <w:r>
              <w:rPr>
                <w:rFonts w:ascii="宋体" w:hAnsi="宋体" w:cs="宋体" w:eastAsia="宋体" w:hint="default"/>
                <w:sz w:val="20"/>
                <w:szCs w:val="20"/>
              </w:rPr>
              <w:t>年第二期超短期融资券（注）</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9"/>
              <w:jc w:val="right"/>
              <w:rPr>
                <w:rFonts w:ascii="Arial" w:hAnsi="Arial" w:cs="Arial" w:eastAsia="Arial" w:hint="default"/>
                <w:sz w:val="20"/>
                <w:szCs w:val="20"/>
              </w:rPr>
            </w:pPr>
            <w:r>
              <w:rPr>
                <w:rFonts w:ascii="Arial"/>
                <w:w w:val="100"/>
                <w:sz w:val="20"/>
              </w:rPr>
              <w:t>-</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60"/>
              <w:jc w:val="right"/>
              <w:rPr>
                <w:rFonts w:ascii="Arial" w:hAnsi="Arial" w:cs="Arial" w:eastAsia="Arial" w:hint="default"/>
                <w:sz w:val="20"/>
                <w:szCs w:val="20"/>
              </w:rPr>
            </w:pPr>
            <w:r>
              <w:rPr>
                <w:rFonts w:ascii="Arial"/>
                <w:spacing w:val="-1"/>
                <w:sz w:val="20"/>
              </w:rPr>
              <w:t>91,232,876</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5"/>
              <w:jc w:val="right"/>
              <w:rPr>
                <w:rFonts w:ascii="Arial" w:hAnsi="Arial" w:cs="Arial" w:eastAsia="Arial" w:hint="default"/>
                <w:sz w:val="20"/>
                <w:szCs w:val="20"/>
              </w:rPr>
            </w:pPr>
            <w:r>
              <w:rPr>
                <w:rFonts w:ascii="Arial"/>
                <w:spacing w:val="-1"/>
                <w:sz w:val="20"/>
              </w:rPr>
              <w:t>(91,232,876)</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1"/>
              <w:jc w:val="right"/>
              <w:rPr>
                <w:rFonts w:ascii="Arial" w:hAnsi="Arial" w:cs="Arial" w:eastAsia="Arial" w:hint="default"/>
                <w:sz w:val="20"/>
                <w:szCs w:val="20"/>
              </w:rPr>
            </w:pPr>
            <w:r>
              <w:rPr>
                <w:rFonts w:ascii="Arial"/>
                <w:w w:val="100"/>
                <w:sz w:val="20"/>
              </w:rPr>
              <w:t>-</w:t>
            </w:r>
          </w:p>
        </w:tc>
      </w:tr>
      <w:tr>
        <w:trPr>
          <w:trHeight w:val="290" w:hRule="exact"/>
        </w:trPr>
        <w:tc>
          <w:tcPr>
            <w:tcW w:w="329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7"/>
                <w:sz w:val="20"/>
                <w:szCs w:val="20"/>
              </w:rPr>
              <w:t> </w:t>
            </w:r>
            <w:r>
              <w:rPr>
                <w:rFonts w:ascii="宋体" w:hAnsi="宋体" w:cs="宋体" w:eastAsia="宋体" w:hint="default"/>
                <w:sz w:val="20"/>
                <w:szCs w:val="20"/>
              </w:rPr>
              <w:t>年第一期（注）</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9"/>
              <w:jc w:val="right"/>
              <w:rPr>
                <w:rFonts w:ascii="Arial" w:hAnsi="Arial" w:cs="Arial" w:eastAsia="Arial" w:hint="default"/>
                <w:sz w:val="20"/>
                <w:szCs w:val="20"/>
              </w:rPr>
            </w:pPr>
            <w:r>
              <w:rPr>
                <w:rFonts w:ascii="Arial"/>
                <w:w w:val="100"/>
                <w:sz w:val="20"/>
              </w:rPr>
              <w:t>-</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9"/>
              <w:jc w:val="right"/>
              <w:rPr>
                <w:rFonts w:ascii="Arial" w:hAnsi="Arial" w:cs="Arial" w:eastAsia="Arial" w:hint="default"/>
                <w:sz w:val="20"/>
                <w:szCs w:val="20"/>
              </w:rPr>
            </w:pPr>
            <w:r>
              <w:rPr>
                <w:rFonts w:ascii="Arial"/>
                <w:spacing w:val="-1"/>
                <w:sz w:val="20"/>
              </w:rPr>
              <w:t>245,280,823</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1"/>
              <w:jc w:val="right"/>
              <w:rPr>
                <w:rFonts w:ascii="Arial" w:hAnsi="Arial" w:cs="Arial" w:eastAsia="Arial" w:hint="default"/>
                <w:sz w:val="20"/>
                <w:szCs w:val="20"/>
              </w:rPr>
            </w:pPr>
            <w:r>
              <w:rPr>
                <w:rFonts w:ascii="Arial"/>
                <w:w w:val="100"/>
                <w:sz w:val="20"/>
              </w:rPr>
              <w:t>-</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3" w:right="0"/>
              <w:jc w:val="left"/>
              <w:rPr>
                <w:rFonts w:ascii="Arial" w:hAnsi="Arial" w:cs="Arial" w:eastAsia="Arial" w:hint="default"/>
                <w:sz w:val="20"/>
                <w:szCs w:val="20"/>
              </w:rPr>
            </w:pPr>
            <w:r>
              <w:rPr>
                <w:rFonts w:ascii="Arial"/>
                <w:sz w:val="20"/>
              </w:rPr>
              <w:t>245,280,823</w:t>
            </w:r>
          </w:p>
        </w:tc>
      </w:tr>
      <w:tr>
        <w:trPr>
          <w:trHeight w:val="290" w:hRule="exact"/>
        </w:trPr>
        <w:tc>
          <w:tcPr>
            <w:tcW w:w="3296"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7"/>
                <w:sz w:val="20"/>
                <w:szCs w:val="20"/>
              </w:rPr>
              <w:t> </w:t>
            </w:r>
            <w:r>
              <w:rPr>
                <w:rFonts w:ascii="宋体" w:hAnsi="宋体" w:cs="宋体" w:eastAsia="宋体" w:hint="default"/>
                <w:sz w:val="20"/>
                <w:szCs w:val="20"/>
              </w:rPr>
              <w:t>年第二期（注）</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9"/>
              <w:jc w:val="right"/>
              <w:rPr>
                <w:rFonts w:ascii="Arial" w:hAnsi="Arial" w:cs="Arial" w:eastAsia="Arial" w:hint="default"/>
                <w:sz w:val="20"/>
                <w:szCs w:val="20"/>
              </w:rPr>
            </w:pPr>
            <w:r>
              <w:rPr>
                <w:rFonts w:ascii="Arial"/>
                <w:w w:val="100"/>
                <w:sz w:val="20"/>
              </w:rPr>
              <w:t>-</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9"/>
              <w:jc w:val="right"/>
              <w:rPr>
                <w:rFonts w:ascii="Arial" w:hAnsi="Arial" w:cs="Arial" w:eastAsia="Arial" w:hint="default"/>
                <w:sz w:val="20"/>
                <w:szCs w:val="20"/>
              </w:rPr>
            </w:pPr>
            <w:r>
              <w:rPr>
                <w:rFonts w:ascii="Arial"/>
                <w:spacing w:val="-1"/>
                <w:sz w:val="20"/>
              </w:rPr>
              <w:t>119,095,890</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1"/>
              <w:jc w:val="right"/>
              <w:rPr>
                <w:rFonts w:ascii="Arial" w:hAnsi="Arial" w:cs="Arial" w:eastAsia="Arial" w:hint="default"/>
                <w:sz w:val="20"/>
                <w:szCs w:val="20"/>
              </w:rPr>
            </w:pPr>
            <w:r>
              <w:rPr>
                <w:rFonts w:ascii="Arial"/>
                <w:w w:val="100"/>
                <w:sz w:val="20"/>
              </w:rPr>
              <w:t>-</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3" w:right="0"/>
              <w:jc w:val="left"/>
              <w:rPr>
                <w:rFonts w:ascii="Arial" w:hAnsi="Arial" w:cs="Arial" w:eastAsia="Arial" w:hint="default"/>
                <w:sz w:val="20"/>
                <w:szCs w:val="20"/>
              </w:rPr>
            </w:pPr>
            <w:r>
              <w:rPr>
                <w:rFonts w:ascii="Arial"/>
                <w:sz w:val="20"/>
              </w:rPr>
              <w:t>119,095,890</w:t>
            </w:r>
          </w:p>
        </w:tc>
      </w:tr>
      <w:tr>
        <w:trPr>
          <w:trHeight w:val="370" w:hRule="exact"/>
        </w:trPr>
        <w:tc>
          <w:tcPr>
            <w:tcW w:w="3296" w:type="dxa"/>
            <w:tcBorders>
              <w:top w:val="nil" w:sz="6" w:space="0" w:color="auto"/>
              <w:left w:val="nil" w:sz="6" w:space="0" w:color="auto"/>
              <w:bottom w:val="nil" w:sz="6" w:space="0" w:color="auto"/>
              <w:right w:val="nil" w:sz="6" w:space="0" w:color="auto"/>
            </w:tcBorders>
          </w:tcPr>
          <w:p>
            <w:pPr>
              <w:pStyle w:val="TableParagraph"/>
              <w:tabs>
                <w:tab w:pos="3250" w:val="left" w:leader="none"/>
                <w:tab w:pos="4562" w:val="left" w:leader="none"/>
              </w:tabs>
              <w:spacing w:line="240" w:lineRule="exact"/>
              <w:ind w:left="200" w:right="-1267"/>
              <w:jc w:val="left"/>
              <w:rPr>
                <w:rFonts w:ascii="Arial" w:hAnsi="Arial" w:cs="Arial" w:eastAsia="Arial" w:hint="default"/>
                <w:sz w:val="20"/>
                <w:szCs w:val="20"/>
              </w:rPr>
            </w:pPr>
            <w:r>
              <w:rPr>
                <w:rFonts w:ascii="Arial" w:hAnsi="Arial" w:cs="Arial" w:eastAsia="Arial" w:hint="default"/>
                <w:sz w:val="20"/>
                <w:szCs w:val="20"/>
              </w:rPr>
              <w:t>2012</w:t>
            </w:r>
            <w:r>
              <w:rPr>
                <w:rFonts w:ascii="Arial" w:hAnsi="Arial" w:cs="Arial" w:eastAsia="Arial" w:hint="default"/>
                <w:spacing w:val="-7"/>
                <w:sz w:val="20"/>
                <w:szCs w:val="20"/>
              </w:rPr>
              <w:t> </w:t>
            </w:r>
            <w:r>
              <w:rPr>
                <w:rFonts w:ascii="宋体" w:hAnsi="宋体" w:cs="宋体" w:eastAsia="宋体" w:hint="default"/>
                <w:sz w:val="20"/>
                <w:szCs w:val="20"/>
              </w:rPr>
              <w:t>年第三期（注）</w:t>
              <w:tab/>
            </w:r>
            <w:r>
              <w:rPr>
                <w:rFonts w:ascii="Arial" w:hAnsi="Arial" w:cs="Arial" w:eastAsia="Arial" w:hint="default"/>
                <w:w w:val="100"/>
                <w:position w:val="-2"/>
                <w:sz w:val="20"/>
                <w:szCs w:val="20"/>
              </w:rPr>
            </w:r>
            <w:r>
              <w:rPr>
                <w:rFonts w:ascii="Arial" w:hAnsi="Arial" w:cs="Arial" w:eastAsia="Arial" w:hint="default"/>
                <w:w w:val="100"/>
                <w:position w:val="-2"/>
                <w:sz w:val="20"/>
                <w:szCs w:val="20"/>
                <w:u w:val="single" w:color="000000"/>
              </w:rPr>
              <w:t> </w:t>
            </w:r>
            <w:r>
              <w:rPr>
                <w:rFonts w:ascii="Arial" w:hAnsi="Arial" w:cs="Arial" w:eastAsia="Arial" w:hint="default"/>
                <w:position w:val="-2"/>
                <w:sz w:val="20"/>
                <w:szCs w:val="20"/>
                <w:u w:val="single" w:color="000000"/>
              </w:rPr>
              <w:tab/>
            </w:r>
            <w:r>
              <w:rPr>
                <w:rFonts w:ascii="Arial" w:hAnsi="Arial" w:cs="Arial" w:eastAsia="Arial" w:hint="default"/>
                <w:sz w:val="20"/>
                <w:szCs w:val="20"/>
              </w:rPr>
            </w:r>
          </w:p>
        </w:tc>
        <w:tc>
          <w:tcPr>
            <w:tcW w:w="1394" w:type="dxa"/>
            <w:tcBorders>
              <w:top w:val="nil" w:sz="6" w:space="0" w:color="auto"/>
              <w:left w:val="nil" w:sz="6" w:space="0" w:color="auto"/>
              <w:bottom w:val="nil" w:sz="6" w:space="0" w:color="auto"/>
              <w:right w:val="nil" w:sz="6" w:space="0" w:color="auto"/>
            </w:tcBorders>
          </w:tcPr>
          <w:p>
            <w:pPr>
              <w:pStyle w:val="TableParagraph"/>
              <w:tabs>
                <w:tab w:pos="128" w:val="left" w:leader="none"/>
              </w:tabs>
              <w:spacing w:line="240" w:lineRule="auto" w:before="39"/>
              <w:ind w:right="0"/>
              <w:jc w:val="right"/>
              <w:rPr>
                <w:rFonts w:ascii="Arial" w:hAnsi="Arial" w:cs="Arial" w:eastAsia="Arial" w:hint="default"/>
                <w:sz w:val="20"/>
                <w:szCs w:val="20"/>
              </w:rPr>
            </w:pPr>
            <w:r>
              <w:rPr>
                <w:rFonts w:ascii="Arial"/>
                <w:w w:val="100"/>
                <w:sz w:val="20"/>
              </w:rPr>
            </w:r>
            <w:r>
              <w:rPr>
                <w:rFonts w:ascii="Arial"/>
                <w:sz w:val="20"/>
                <w:u w:val="single" w:color="000000"/>
              </w:rPr>
              <w:t>-</w:t>
              <w:tab/>
            </w:r>
            <w:r>
              <w:rPr>
                <w:rFonts w:ascii="Arial"/>
                <w:sz w:val="20"/>
              </w:rPr>
            </w:r>
          </w:p>
        </w:tc>
        <w:tc>
          <w:tcPr>
            <w:tcW w:w="1476" w:type="dxa"/>
            <w:tcBorders>
              <w:top w:val="nil" w:sz="6" w:space="0" w:color="auto"/>
              <w:left w:val="nil" w:sz="6" w:space="0" w:color="auto"/>
              <w:bottom w:val="nil" w:sz="6" w:space="0" w:color="auto"/>
              <w:right w:val="nil" w:sz="6" w:space="0" w:color="auto"/>
            </w:tcBorders>
          </w:tcPr>
          <w:p>
            <w:pPr>
              <w:pStyle w:val="TableParagraph"/>
              <w:tabs>
                <w:tab w:pos="331" w:val="left" w:leader="none"/>
                <w:tab w:pos="1394" w:val="left" w:leader="none"/>
              </w:tabs>
              <w:spacing w:line="240" w:lineRule="auto" w:before="39"/>
              <w:ind w:right="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62,597,260</w:t>
              <w:tab/>
            </w:r>
            <w:r>
              <w:rPr>
                <w:rFonts w:ascii="Arial"/>
                <w:spacing w:val="-1"/>
                <w:sz w:val="20"/>
              </w:rPr>
            </w:r>
          </w:p>
        </w:tc>
        <w:tc>
          <w:tcPr>
            <w:tcW w:w="1548" w:type="dxa"/>
            <w:tcBorders>
              <w:top w:val="nil" w:sz="6" w:space="0" w:color="auto"/>
              <w:left w:val="nil" w:sz="6" w:space="0" w:color="auto"/>
              <w:bottom w:val="nil" w:sz="6" w:space="0" w:color="auto"/>
              <w:right w:val="nil" w:sz="6" w:space="0" w:color="auto"/>
            </w:tcBorders>
          </w:tcPr>
          <w:p>
            <w:pPr>
              <w:pStyle w:val="TableParagraph"/>
              <w:tabs>
                <w:tab w:pos="1247" w:val="left" w:leader="none"/>
                <w:tab w:pos="1457" w:val="left" w:leader="none"/>
              </w:tabs>
              <w:spacing w:line="240" w:lineRule="auto" w:before="39"/>
              <w:ind w:right="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tab/>
            </w:r>
            <w:r>
              <w:rPr>
                <w:rFonts w:ascii="Arial"/>
                <w:sz w:val="20"/>
              </w:rPr>
            </w:r>
          </w:p>
        </w:tc>
        <w:tc>
          <w:tcPr>
            <w:tcW w:w="1540" w:type="dxa"/>
            <w:tcBorders>
              <w:top w:val="nil" w:sz="6" w:space="0" w:color="auto"/>
              <w:left w:val="nil" w:sz="6" w:space="0" w:color="auto"/>
              <w:bottom w:val="nil" w:sz="6" w:space="0" w:color="auto"/>
              <w:right w:val="nil" w:sz="6" w:space="0" w:color="auto"/>
            </w:tcBorders>
          </w:tcPr>
          <w:p>
            <w:pPr>
              <w:pStyle w:val="TableParagraph"/>
              <w:tabs>
                <w:tab w:pos="394" w:val="left" w:leader="none"/>
                <w:tab w:pos="1539" w:val="left" w:leader="none"/>
              </w:tabs>
              <w:spacing w:line="240" w:lineRule="auto" w:before="39"/>
              <w:ind w:left="81"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62,597,260</w:t>
              <w:tab/>
            </w:r>
            <w:r>
              <w:rPr>
                <w:rFonts w:ascii="Arial"/>
                <w:sz w:val="20"/>
              </w:rPr>
            </w:r>
          </w:p>
        </w:tc>
      </w:tr>
      <w:tr>
        <w:trPr>
          <w:trHeight w:val="359" w:hRule="exact"/>
        </w:trPr>
        <w:tc>
          <w:tcPr>
            <w:tcW w:w="3296" w:type="dxa"/>
            <w:tcBorders>
              <w:top w:val="nil" w:sz="6" w:space="0" w:color="auto"/>
              <w:left w:val="nil" w:sz="6" w:space="0" w:color="auto"/>
              <w:bottom w:val="single" w:sz="17" w:space="0" w:color="000000"/>
              <w:right w:val="nil" w:sz="6" w:space="0" w:color="auto"/>
            </w:tcBorders>
          </w:tcPr>
          <w:p>
            <w:pPr>
              <w:pStyle w:val="TableParagraph"/>
              <w:spacing w:line="240" w:lineRule="auto" w:before="43"/>
              <w:ind w:left="200"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394" w:type="dxa"/>
            <w:tcBorders>
              <w:top w:val="nil" w:sz="6" w:space="0" w:color="auto"/>
              <w:left w:val="nil" w:sz="6" w:space="0" w:color="auto"/>
              <w:bottom w:val="single" w:sz="17" w:space="0" w:color="000000"/>
              <w:right w:val="nil" w:sz="6" w:space="0" w:color="auto"/>
            </w:tcBorders>
          </w:tcPr>
          <w:p>
            <w:pPr>
              <w:pStyle w:val="TableParagraph"/>
              <w:spacing w:line="240" w:lineRule="auto" w:before="102"/>
              <w:ind w:left="219" w:right="0"/>
              <w:jc w:val="left"/>
              <w:rPr>
                <w:rFonts w:ascii="Arial" w:hAnsi="Arial" w:cs="Arial" w:eastAsia="Arial" w:hint="default"/>
                <w:sz w:val="20"/>
                <w:szCs w:val="20"/>
              </w:rPr>
            </w:pPr>
            <w:r>
              <w:rPr>
                <w:rFonts w:ascii="Arial"/>
                <w:sz w:val="20"/>
              </w:rPr>
              <w:t>446,866,667</w:t>
            </w:r>
          </w:p>
        </w:tc>
        <w:tc>
          <w:tcPr>
            <w:tcW w:w="1476" w:type="dxa"/>
            <w:tcBorders>
              <w:top w:val="nil" w:sz="6" w:space="0" w:color="auto"/>
              <w:left w:val="nil" w:sz="6" w:space="0" w:color="auto"/>
              <w:bottom w:val="single" w:sz="17" w:space="0" w:color="000000"/>
              <w:right w:val="nil" w:sz="6" w:space="0" w:color="auto"/>
            </w:tcBorders>
          </w:tcPr>
          <w:p>
            <w:pPr>
              <w:pStyle w:val="TableParagraph"/>
              <w:spacing w:line="240" w:lineRule="auto" w:before="102"/>
              <w:ind w:right="60"/>
              <w:jc w:val="right"/>
              <w:rPr>
                <w:rFonts w:ascii="Arial" w:hAnsi="Arial" w:cs="Arial" w:eastAsia="Arial" w:hint="default"/>
                <w:sz w:val="20"/>
                <w:szCs w:val="20"/>
              </w:rPr>
            </w:pPr>
            <w:r>
              <w:rPr>
                <w:rFonts w:ascii="Arial"/>
                <w:spacing w:val="-1"/>
                <w:sz w:val="20"/>
              </w:rPr>
              <w:t>1,756,944,203</w:t>
            </w:r>
          </w:p>
        </w:tc>
        <w:tc>
          <w:tcPr>
            <w:tcW w:w="1548" w:type="dxa"/>
            <w:tcBorders>
              <w:top w:val="nil" w:sz="6" w:space="0" w:color="auto"/>
              <w:left w:val="nil" w:sz="6" w:space="0" w:color="auto"/>
              <w:bottom w:val="single" w:sz="17" w:space="0" w:color="000000"/>
              <w:right w:val="nil" w:sz="6" w:space="0" w:color="auto"/>
            </w:tcBorders>
          </w:tcPr>
          <w:p>
            <w:pPr>
              <w:pStyle w:val="TableParagraph"/>
              <w:spacing w:line="240" w:lineRule="auto" w:before="102"/>
              <w:ind w:right="42"/>
              <w:jc w:val="right"/>
              <w:rPr>
                <w:rFonts w:ascii="Arial" w:hAnsi="Arial" w:cs="Arial" w:eastAsia="Arial" w:hint="default"/>
                <w:sz w:val="20"/>
                <w:szCs w:val="20"/>
              </w:rPr>
            </w:pPr>
            <w:r>
              <w:rPr>
                <w:rFonts w:ascii="Arial"/>
                <w:spacing w:val="-1"/>
                <w:sz w:val="20"/>
              </w:rPr>
              <w:t>(1,776,836,897)</w:t>
            </w:r>
          </w:p>
        </w:tc>
        <w:tc>
          <w:tcPr>
            <w:tcW w:w="1540" w:type="dxa"/>
            <w:tcBorders>
              <w:top w:val="nil" w:sz="6" w:space="0" w:color="auto"/>
              <w:left w:val="nil" w:sz="6" w:space="0" w:color="auto"/>
              <w:bottom w:val="single" w:sz="17" w:space="0" w:color="000000"/>
              <w:right w:val="nil" w:sz="6" w:space="0" w:color="auto"/>
            </w:tcBorders>
          </w:tcPr>
          <w:p>
            <w:pPr>
              <w:pStyle w:val="TableParagraph"/>
              <w:spacing w:line="240" w:lineRule="auto" w:before="102"/>
              <w:ind w:left="283" w:right="0"/>
              <w:jc w:val="left"/>
              <w:rPr>
                <w:rFonts w:ascii="Arial" w:hAnsi="Arial" w:cs="Arial" w:eastAsia="Arial" w:hint="default"/>
                <w:sz w:val="20"/>
                <w:szCs w:val="20"/>
              </w:rPr>
            </w:pPr>
            <w:r>
              <w:rPr>
                <w:rFonts w:ascii="Arial"/>
                <w:sz w:val="20"/>
              </w:rPr>
              <w:t>426,973,973</w:t>
            </w:r>
          </w:p>
        </w:tc>
      </w:tr>
    </w:tbl>
    <w:p>
      <w:pPr>
        <w:spacing w:line="240" w:lineRule="auto" w:before="12"/>
        <w:rPr>
          <w:rFonts w:ascii="宋体" w:hAnsi="宋体" w:cs="宋体" w:eastAsia="宋体" w:hint="default"/>
          <w:sz w:val="8"/>
          <w:szCs w:val="8"/>
        </w:rPr>
      </w:pPr>
    </w:p>
    <w:p>
      <w:pPr>
        <w:pStyle w:val="BodyText"/>
        <w:spacing w:line="284" w:lineRule="exact" w:before="61"/>
        <w:ind w:left="984" w:right="238" w:hanging="414"/>
        <w:jc w:val="left"/>
        <w:rPr>
          <w:rFonts w:ascii="Arial" w:hAnsi="Arial" w:cs="Arial" w:eastAsia="Arial" w:hint="default"/>
        </w:rPr>
      </w:pPr>
      <w:r>
        <w:rPr/>
        <w:t>注：应付短期债券为本集团所属联通运营公司面向银行间债券市场发行的短期融资券以及超短</w:t>
      </w:r>
      <w:r>
        <w:rPr>
          <w:w w:val="99"/>
        </w:rPr>
        <w:t> </w:t>
      </w:r>
      <w:r>
        <w:rPr/>
        <w:t>期融资券，均无担保，并于到期按面值加利息兑付。联通运营公司分别于</w:t>
      </w:r>
      <w:r>
        <w:rPr>
          <w:spacing w:val="-55"/>
        </w:rPr>
        <w:t> </w:t>
      </w:r>
      <w:r>
        <w:rPr>
          <w:rFonts w:ascii="Arial" w:hAnsi="Arial" w:cs="Arial" w:eastAsia="Arial" w:hint="default"/>
        </w:rPr>
        <w:t>2012</w:t>
      </w:r>
      <w:r>
        <w:rPr>
          <w:rFonts w:ascii="Arial" w:hAnsi="Arial" w:cs="Arial" w:eastAsia="Arial" w:hint="default"/>
          <w:spacing w:val="-10"/>
        </w:rPr>
        <w:t> </w:t>
      </w:r>
      <w:r>
        <w:rPr/>
        <w:t>年</w:t>
      </w:r>
      <w:r>
        <w:rPr>
          <w:spacing w:val="-59"/>
        </w:rPr>
        <w:t> </w:t>
      </w:r>
      <w:r>
        <w:rPr>
          <w:rFonts w:ascii="Arial" w:hAnsi="Arial" w:cs="Arial" w:eastAsia="Arial" w:hint="default"/>
        </w:rPr>
        <w:t>5</w:t>
      </w:r>
      <w:r>
        <w:rPr>
          <w:rFonts w:ascii="Arial" w:hAnsi="Arial" w:cs="Arial" w:eastAsia="Arial" w:hint="default"/>
          <w:spacing w:val="-10"/>
        </w:rPr>
        <w:t> </w:t>
      </w:r>
      <w:r>
        <w:rPr/>
        <w:t>月</w:t>
      </w:r>
      <w:r>
        <w:rPr>
          <w:spacing w:val="-59"/>
        </w:rPr>
        <w:t> </w:t>
      </w:r>
      <w:r>
        <w:rPr>
          <w:rFonts w:ascii="Arial" w:hAnsi="Arial" w:cs="Arial" w:eastAsia="Arial" w:hint="default"/>
        </w:rPr>
        <w:t>16</w:t>
      </w:r>
    </w:p>
    <w:p>
      <w:pPr>
        <w:pStyle w:val="BodyText"/>
        <w:spacing w:line="266" w:lineRule="exact"/>
        <w:ind w:left="984" w:right="89"/>
        <w:jc w:val="left"/>
      </w:pPr>
      <w:r>
        <w:rPr/>
        <w:t>日和</w:t>
      </w:r>
      <w:r>
        <w:rPr>
          <w:spacing w:val="-57"/>
        </w:rPr>
        <w:t> </w:t>
      </w:r>
      <w:r>
        <w:rPr>
          <w:rFonts w:ascii="Arial" w:hAnsi="Arial" w:cs="Arial" w:eastAsia="Arial" w:hint="default"/>
        </w:rPr>
        <w:t>2012</w:t>
      </w:r>
      <w:r>
        <w:rPr>
          <w:rFonts w:ascii="Arial" w:hAnsi="Arial" w:cs="Arial" w:eastAsia="Arial" w:hint="default"/>
          <w:spacing w:val="-7"/>
        </w:rPr>
        <w:t> </w:t>
      </w:r>
      <w:r>
        <w:rPr/>
        <w:t>年</w:t>
      </w:r>
      <w:r>
        <w:rPr>
          <w:spacing w:val="-57"/>
        </w:rPr>
        <w:t> </w:t>
      </w:r>
      <w:r>
        <w:rPr>
          <w:rFonts w:ascii="Arial" w:hAnsi="Arial" w:cs="Arial" w:eastAsia="Arial" w:hint="default"/>
        </w:rPr>
        <w:t>8</w:t>
      </w:r>
      <w:r>
        <w:rPr>
          <w:rFonts w:ascii="Arial" w:hAnsi="Arial" w:cs="Arial" w:eastAsia="Arial" w:hint="default"/>
          <w:spacing w:val="-7"/>
        </w:rPr>
        <w:t> </w:t>
      </w:r>
      <w:r>
        <w:rPr/>
        <w:t>月</w:t>
      </w:r>
      <w:r>
        <w:rPr>
          <w:spacing w:val="-57"/>
        </w:rPr>
        <w:t> </w:t>
      </w:r>
      <w:r>
        <w:rPr>
          <w:rFonts w:ascii="Arial" w:hAnsi="Arial" w:cs="Arial" w:eastAsia="Arial" w:hint="default"/>
        </w:rPr>
        <w:t>28</w:t>
      </w:r>
      <w:r>
        <w:rPr>
          <w:rFonts w:ascii="Arial" w:hAnsi="Arial" w:cs="Arial" w:eastAsia="Arial" w:hint="default"/>
          <w:spacing w:val="-7"/>
        </w:rPr>
        <w:t> </w:t>
      </w:r>
      <w:r>
        <w:rPr/>
        <w:t>日，向银行间债券市场发行</w:t>
      </w:r>
      <w:r>
        <w:rPr>
          <w:spacing w:val="-56"/>
        </w:rPr>
        <w:t> </w:t>
      </w:r>
      <w:r>
        <w:rPr>
          <w:rFonts w:ascii="Arial" w:hAnsi="Arial" w:cs="Arial" w:eastAsia="Arial" w:hint="default"/>
        </w:rPr>
        <w:t>2012</w:t>
      </w:r>
      <w:r>
        <w:rPr>
          <w:rFonts w:ascii="Arial" w:hAnsi="Arial" w:cs="Arial" w:eastAsia="Arial" w:hint="default"/>
          <w:spacing w:val="-7"/>
        </w:rPr>
        <w:t> </w:t>
      </w:r>
      <w:r>
        <w:rPr/>
        <w:t>年第一期及第二期超短期融资券，</w:t>
      </w:r>
    </w:p>
    <w:p>
      <w:pPr>
        <w:pStyle w:val="BodyText"/>
        <w:spacing w:line="286" w:lineRule="exact"/>
        <w:ind w:left="984" w:right="89"/>
        <w:jc w:val="left"/>
        <w:rPr>
          <w:rFonts w:ascii="Arial" w:hAnsi="Arial" w:cs="Arial" w:eastAsia="Arial" w:hint="default"/>
        </w:rPr>
      </w:pPr>
      <w:r>
        <w:rPr/>
        <w:t>票面总额均为</w:t>
      </w:r>
      <w:r>
        <w:rPr>
          <w:spacing w:val="-58"/>
        </w:rPr>
        <w:t> </w:t>
      </w:r>
      <w:r>
        <w:rPr>
          <w:rFonts w:ascii="Arial" w:hAnsi="Arial" w:cs="Arial" w:eastAsia="Arial" w:hint="default"/>
        </w:rPr>
        <w:t>150</w:t>
      </w:r>
      <w:r>
        <w:rPr>
          <w:rFonts w:ascii="Arial" w:hAnsi="Arial" w:cs="Arial" w:eastAsia="Arial" w:hint="default"/>
          <w:spacing w:val="-10"/>
        </w:rPr>
        <w:t> </w:t>
      </w:r>
      <w:r>
        <w:rPr>
          <w:spacing w:val="-3"/>
        </w:rPr>
        <w:t>亿元，票面利率分别为</w:t>
      </w:r>
      <w:r>
        <w:rPr>
          <w:spacing w:val="-59"/>
        </w:rPr>
        <w:t> </w:t>
      </w:r>
      <w:r>
        <w:rPr>
          <w:rFonts w:ascii="Arial" w:hAnsi="Arial" w:cs="Arial" w:eastAsia="Arial" w:hint="default"/>
        </w:rPr>
        <w:t>3.88%</w:t>
      </w:r>
      <w:r>
        <w:rPr/>
        <w:t>和</w:t>
      </w:r>
      <w:r>
        <w:rPr>
          <w:spacing w:val="-59"/>
        </w:rPr>
        <w:t> </w:t>
      </w:r>
      <w:r>
        <w:rPr>
          <w:rFonts w:ascii="Arial" w:hAnsi="Arial" w:cs="Arial" w:eastAsia="Arial" w:hint="default"/>
        </w:rPr>
        <w:t>3.70%</w:t>
      </w:r>
      <w:r>
        <w:rPr/>
        <w:t>，债券期限均为</w:t>
      </w:r>
      <w:r>
        <w:rPr>
          <w:spacing w:val="-59"/>
        </w:rPr>
        <w:t> </w:t>
      </w:r>
      <w:r>
        <w:rPr>
          <w:rFonts w:ascii="Arial" w:hAnsi="Arial" w:cs="Arial" w:eastAsia="Arial" w:hint="default"/>
        </w:rPr>
        <w:t>60</w:t>
      </w:r>
      <w:r>
        <w:rPr>
          <w:rFonts w:ascii="Arial" w:hAnsi="Arial" w:cs="Arial" w:eastAsia="Arial" w:hint="default"/>
          <w:spacing w:val="-10"/>
        </w:rPr>
        <w:t> </w:t>
      </w:r>
      <w:r>
        <w:rPr>
          <w:spacing w:val="-7"/>
        </w:rPr>
        <w:t>天。于</w:t>
      </w:r>
      <w:r>
        <w:rPr>
          <w:spacing w:val="-59"/>
        </w:rPr>
        <w:t> </w:t>
      </w:r>
      <w:r>
        <w:rPr>
          <w:rFonts w:ascii="Arial" w:hAnsi="Arial" w:cs="Arial" w:eastAsia="Arial" w:hint="default"/>
        </w:rPr>
        <w:t>2012</w:t>
      </w:r>
    </w:p>
    <w:p>
      <w:pPr>
        <w:pStyle w:val="BodyText"/>
        <w:spacing w:line="286" w:lineRule="exact"/>
        <w:ind w:left="984" w:right="89"/>
        <w:jc w:val="left"/>
        <w:rPr>
          <w:rFonts w:ascii="Arial" w:hAnsi="Arial" w:cs="Arial" w:eastAsia="Arial" w:hint="default"/>
        </w:rPr>
      </w:pPr>
      <w:r>
        <w:rPr/>
        <w:t>年</w:t>
      </w:r>
      <w:r>
        <w:rPr>
          <w:spacing w:val="-54"/>
        </w:rPr>
        <w:t> </w:t>
      </w:r>
      <w:r>
        <w:rPr>
          <w:rFonts w:ascii="Arial" w:hAnsi="Arial" w:cs="Arial" w:eastAsia="Arial" w:hint="default"/>
        </w:rPr>
        <w:t>12</w:t>
      </w:r>
      <w:r>
        <w:rPr>
          <w:rFonts w:ascii="Arial" w:hAnsi="Arial" w:cs="Arial" w:eastAsia="Arial" w:hint="default"/>
          <w:spacing w:val="-5"/>
        </w:rPr>
        <w:t> </w:t>
      </w:r>
      <w:r>
        <w:rPr/>
        <w:t>月</w:t>
      </w:r>
      <w:r>
        <w:rPr>
          <w:spacing w:val="-54"/>
        </w:rPr>
        <w:t> </w:t>
      </w:r>
      <w:r>
        <w:rPr>
          <w:rFonts w:ascii="Arial" w:hAnsi="Arial" w:cs="Arial" w:eastAsia="Arial" w:hint="default"/>
        </w:rPr>
        <w:t>31</w:t>
      </w:r>
      <w:r>
        <w:rPr>
          <w:rFonts w:ascii="Arial" w:hAnsi="Arial" w:cs="Arial" w:eastAsia="Arial" w:hint="default"/>
          <w:spacing w:val="-5"/>
        </w:rPr>
        <w:t> </w:t>
      </w:r>
      <w:r>
        <w:rPr>
          <w:spacing w:val="-14"/>
        </w:rPr>
        <w:t>日，上述</w:t>
      </w:r>
      <w:r>
        <w:rPr>
          <w:spacing w:val="-54"/>
        </w:rPr>
        <w:t> </w:t>
      </w:r>
      <w:r>
        <w:rPr>
          <w:rFonts w:ascii="Arial" w:hAnsi="Arial" w:cs="Arial" w:eastAsia="Arial" w:hint="default"/>
        </w:rPr>
        <w:t>2011</w:t>
      </w:r>
      <w:r>
        <w:rPr>
          <w:rFonts w:ascii="Arial" w:hAnsi="Arial" w:cs="Arial" w:eastAsia="Arial" w:hint="default"/>
          <w:spacing w:val="-5"/>
        </w:rPr>
        <w:t> </w:t>
      </w:r>
      <w:r>
        <w:rPr>
          <w:spacing w:val="-7"/>
        </w:rPr>
        <w:t>年第一期、</w:t>
      </w:r>
      <w:r>
        <w:rPr>
          <w:rFonts w:ascii="Arial" w:hAnsi="Arial" w:cs="Arial" w:eastAsia="Arial" w:hint="default"/>
          <w:spacing w:val="-7"/>
        </w:rPr>
        <w:t>2011</w:t>
      </w:r>
      <w:r>
        <w:rPr>
          <w:rFonts w:ascii="Arial" w:hAnsi="Arial" w:cs="Arial" w:eastAsia="Arial" w:hint="default"/>
          <w:spacing w:val="-5"/>
        </w:rPr>
        <w:t> </w:t>
      </w:r>
      <w:r>
        <w:rPr>
          <w:spacing w:val="-7"/>
        </w:rPr>
        <w:t>年第二期、</w:t>
      </w:r>
      <w:r>
        <w:rPr>
          <w:rFonts w:ascii="Arial" w:hAnsi="Arial" w:cs="Arial" w:eastAsia="Arial" w:hint="default"/>
          <w:spacing w:val="-7"/>
        </w:rPr>
        <w:t>2011</w:t>
      </w:r>
      <w:r>
        <w:rPr>
          <w:rFonts w:ascii="Arial" w:hAnsi="Arial" w:cs="Arial" w:eastAsia="Arial" w:hint="default"/>
          <w:spacing w:val="-4"/>
        </w:rPr>
        <w:t> </w:t>
      </w:r>
      <w:r>
        <w:rPr>
          <w:spacing w:val="-4"/>
        </w:rPr>
        <w:t>年第五期超短期融资券、</w:t>
      </w:r>
      <w:r>
        <w:rPr>
          <w:rFonts w:ascii="Arial" w:hAnsi="Arial" w:cs="Arial" w:eastAsia="Arial" w:hint="default"/>
          <w:spacing w:val="-4"/>
        </w:rPr>
        <w:t>2012</w:t>
      </w:r>
    </w:p>
    <w:p>
      <w:pPr>
        <w:pStyle w:val="BodyText"/>
        <w:spacing w:line="295" w:lineRule="exact"/>
        <w:ind w:left="984" w:right="89"/>
        <w:jc w:val="left"/>
      </w:pPr>
      <w:r>
        <w:rPr/>
        <w:t>年第一期超短期融资券以及</w:t>
      </w:r>
      <w:r>
        <w:rPr>
          <w:spacing w:val="-62"/>
        </w:rPr>
        <w:t> </w:t>
      </w:r>
      <w:r>
        <w:rPr>
          <w:rFonts w:ascii="Arial" w:hAnsi="Arial" w:cs="Arial" w:eastAsia="Arial" w:hint="default"/>
        </w:rPr>
        <w:t>2012</w:t>
      </w:r>
      <w:r>
        <w:rPr>
          <w:rFonts w:ascii="Arial" w:hAnsi="Arial" w:cs="Arial" w:eastAsia="Arial" w:hint="default"/>
          <w:spacing w:val="-14"/>
        </w:rPr>
        <w:t> </w:t>
      </w:r>
      <w:r>
        <w:rPr/>
        <w:t>年第二期超短期融资券均已到期并全额还本付息。</w:t>
      </w:r>
    </w:p>
    <w:p>
      <w:pPr>
        <w:pStyle w:val="BodyText"/>
        <w:spacing w:line="240" w:lineRule="auto" w:before="165"/>
        <w:ind w:left="102" w:right="89"/>
        <w:jc w:val="left"/>
      </w:pPr>
      <w:r>
        <w:rPr>
          <w:rFonts w:ascii="Arial" w:hAnsi="Arial" w:cs="Arial" w:eastAsia="Arial" w:hint="default"/>
        </w:rPr>
        <w:t>18</w:t>
      </w:r>
      <w:r>
        <w:rPr/>
        <w:t>、应付票据</w:t>
      </w:r>
    </w:p>
    <w:p>
      <w:pPr>
        <w:spacing w:line="240" w:lineRule="auto" w:before="4"/>
        <w:rPr>
          <w:rFonts w:ascii="宋体" w:hAnsi="宋体" w:cs="宋体" w:eastAsia="宋体" w:hint="default"/>
          <w:sz w:val="22"/>
          <w:szCs w:val="22"/>
        </w:rPr>
      </w:pPr>
    </w:p>
    <w:tbl>
      <w:tblPr>
        <w:tblW w:w="0" w:type="auto"/>
        <w:jc w:val="left"/>
        <w:tblInd w:w="351" w:type="dxa"/>
        <w:tblLayout w:type="fixed"/>
        <w:tblCellMar>
          <w:top w:w="0" w:type="dxa"/>
          <w:left w:w="0" w:type="dxa"/>
          <w:bottom w:w="0" w:type="dxa"/>
          <w:right w:w="0" w:type="dxa"/>
        </w:tblCellMar>
        <w:tblLook w:val="01E0"/>
      </w:tblPr>
      <w:tblGrid>
        <w:gridCol w:w="4508"/>
        <w:gridCol w:w="2291"/>
        <w:gridCol w:w="110"/>
        <w:gridCol w:w="2472"/>
      </w:tblGrid>
      <w:tr>
        <w:trPr>
          <w:trHeight w:val="261" w:hRule="exact"/>
        </w:trPr>
        <w:tc>
          <w:tcPr>
            <w:tcW w:w="4508" w:type="dxa"/>
            <w:tcBorders>
              <w:top w:val="nil" w:sz="6" w:space="0" w:color="auto"/>
              <w:left w:val="nil" w:sz="6" w:space="0" w:color="auto"/>
              <w:bottom w:val="nil" w:sz="6" w:space="0" w:color="auto"/>
              <w:right w:val="nil" w:sz="6" w:space="0" w:color="auto"/>
            </w:tcBorders>
          </w:tcPr>
          <w:p>
            <w:pPr/>
          </w:p>
        </w:tc>
        <w:tc>
          <w:tcPr>
            <w:tcW w:w="2291" w:type="dxa"/>
            <w:tcBorders>
              <w:top w:val="nil" w:sz="6" w:space="0" w:color="auto"/>
              <w:left w:val="nil" w:sz="6" w:space="0" w:color="auto"/>
              <w:bottom w:val="single" w:sz="6" w:space="0" w:color="000000"/>
              <w:right w:val="nil" w:sz="6" w:space="0" w:color="auto"/>
            </w:tcBorders>
          </w:tcPr>
          <w:p>
            <w:pPr>
              <w:pStyle w:val="TableParagraph"/>
              <w:spacing w:line="235" w:lineRule="exact"/>
              <w:ind w:right="42"/>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10"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6" w:space="0" w:color="000000"/>
              <w:right w:val="nil" w:sz="6" w:space="0" w:color="auto"/>
            </w:tcBorders>
          </w:tcPr>
          <w:p>
            <w:pPr>
              <w:pStyle w:val="TableParagraph"/>
              <w:spacing w:line="235" w:lineRule="exact"/>
              <w:ind w:right="60"/>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82" w:hRule="exact"/>
        </w:trPr>
        <w:tc>
          <w:tcPr>
            <w:tcW w:w="450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商业承兑汇票</w:t>
            </w:r>
          </w:p>
        </w:tc>
        <w:tc>
          <w:tcPr>
            <w:tcW w:w="2291" w:type="dxa"/>
            <w:tcBorders>
              <w:top w:val="single" w:sz="6" w:space="0" w:color="000000"/>
              <w:left w:val="nil" w:sz="6" w:space="0" w:color="auto"/>
              <w:bottom w:val="single" w:sz="17"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76"/>
              <w:jc w:val="right"/>
              <w:rPr>
                <w:rFonts w:ascii="Arial" w:hAnsi="Arial" w:cs="Arial" w:eastAsia="Arial" w:hint="default"/>
                <w:sz w:val="22"/>
                <w:szCs w:val="22"/>
              </w:rPr>
            </w:pPr>
            <w:r>
              <w:rPr>
                <w:rFonts w:ascii="Arial"/>
                <w:w w:val="95"/>
                <w:sz w:val="22"/>
              </w:rPr>
              <w:t>285,077,142</w:t>
            </w:r>
            <w:r>
              <w:rPr>
                <w:rFonts w:ascii="Arial"/>
                <w:sz w:val="22"/>
              </w:rPr>
            </w:r>
          </w:p>
        </w:tc>
        <w:tc>
          <w:tcPr>
            <w:tcW w:w="110" w:type="dxa"/>
            <w:tcBorders>
              <w:top w:val="nil" w:sz="6" w:space="0" w:color="auto"/>
              <w:left w:val="nil" w:sz="6" w:space="0" w:color="auto"/>
              <w:bottom w:val="nil" w:sz="6" w:space="0" w:color="auto"/>
              <w:right w:val="nil" w:sz="6" w:space="0" w:color="auto"/>
            </w:tcBorders>
          </w:tcPr>
          <w:p>
            <w:pPr/>
          </w:p>
        </w:tc>
        <w:tc>
          <w:tcPr>
            <w:tcW w:w="2472" w:type="dxa"/>
            <w:tcBorders>
              <w:top w:val="single" w:sz="6" w:space="0" w:color="000000"/>
              <w:left w:val="nil" w:sz="6" w:space="0" w:color="auto"/>
              <w:bottom w:val="single" w:sz="17"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6"/>
              <w:jc w:val="right"/>
              <w:rPr>
                <w:rFonts w:ascii="Arial" w:hAnsi="Arial" w:cs="Arial" w:eastAsia="Arial" w:hint="default"/>
                <w:sz w:val="22"/>
                <w:szCs w:val="22"/>
              </w:rPr>
            </w:pPr>
            <w:r>
              <w:rPr>
                <w:rFonts w:ascii="Arial"/>
                <w:spacing w:val="-1"/>
                <w:sz w:val="22"/>
              </w:rPr>
              <w:t>1,046,319,417</w:t>
            </w:r>
          </w:p>
        </w:tc>
      </w:tr>
    </w:tbl>
    <w:p>
      <w:pPr>
        <w:spacing w:line="240" w:lineRule="auto" w:before="11"/>
        <w:rPr>
          <w:rFonts w:ascii="宋体" w:hAnsi="宋体" w:cs="宋体" w:eastAsia="宋体" w:hint="default"/>
          <w:sz w:val="8"/>
          <w:szCs w:val="8"/>
        </w:rPr>
      </w:pPr>
    </w:p>
    <w:p>
      <w:pPr>
        <w:pStyle w:val="BodyText"/>
        <w:spacing w:line="240" w:lineRule="auto" w:before="31"/>
        <w:ind w:left="578" w:right="89"/>
        <w:jc w:val="left"/>
      </w:pPr>
      <w:r>
        <w:rPr/>
        <w:t>于</w:t>
      </w:r>
      <w:r>
        <w:rPr>
          <w:spacing w:val="-57"/>
        </w:rPr>
        <w:t> </w:t>
      </w:r>
      <w:r>
        <w:rPr>
          <w:rFonts w:ascii="Arial" w:hAnsi="Arial" w:cs="Arial" w:eastAsia="Arial" w:hint="default"/>
        </w:rPr>
        <w:t>2012</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日，本集团应付票据均在一年内到期。</w:t>
      </w:r>
    </w:p>
    <w:p>
      <w:pPr>
        <w:pStyle w:val="BodyText"/>
        <w:spacing w:line="240" w:lineRule="auto" w:before="165"/>
        <w:ind w:left="102" w:right="89"/>
        <w:jc w:val="left"/>
      </w:pPr>
      <w:r>
        <w:rPr>
          <w:rFonts w:ascii="Arial" w:hAnsi="Arial" w:cs="Arial" w:eastAsia="Arial" w:hint="default"/>
        </w:rPr>
        <w:t>19</w:t>
      </w:r>
      <w:r>
        <w:rPr/>
        <w:t>、应付账款</w:t>
      </w:r>
    </w:p>
    <w:p>
      <w:pPr>
        <w:spacing w:line="240" w:lineRule="auto" w:before="11"/>
        <w:rPr>
          <w:rFonts w:ascii="宋体" w:hAnsi="宋体" w:cs="宋体" w:eastAsia="宋体" w:hint="default"/>
          <w:sz w:val="17"/>
          <w:szCs w:val="17"/>
        </w:rPr>
      </w:pPr>
    </w:p>
    <w:tbl>
      <w:tblPr>
        <w:tblW w:w="0" w:type="auto"/>
        <w:jc w:val="left"/>
        <w:tblInd w:w="362" w:type="dxa"/>
        <w:tblLayout w:type="fixed"/>
        <w:tblCellMar>
          <w:top w:w="0" w:type="dxa"/>
          <w:left w:w="0" w:type="dxa"/>
          <w:bottom w:w="0" w:type="dxa"/>
          <w:right w:w="0" w:type="dxa"/>
        </w:tblCellMar>
        <w:tblLook w:val="01E0"/>
      </w:tblPr>
      <w:tblGrid>
        <w:gridCol w:w="4507"/>
        <w:gridCol w:w="2303"/>
        <w:gridCol w:w="2405"/>
      </w:tblGrid>
      <w:tr>
        <w:trPr>
          <w:trHeight w:val="261" w:hRule="exact"/>
        </w:trPr>
        <w:tc>
          <w:tcPr>
            <w:tcW w:w="4507"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single" w:sz="6" w:space="0" w:color="000000"/>
              <w:right w:val="nil" w:sz="6" w:space="0" w:color="auto"/>
            </w:tcBorders>
          </w:tcPr>
          <w:p>
            <w:pPr>
              <w:pStyle w:val="TableParagraph"/>
              <w:spacing w:line="235" w:lineRule="exact"/>
              <w:ind w:right="41"/>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405" w:type="dxa"/>
            <w:tcBorders>
              <w:top w:val="nil" w:sz="6" w:space="0" w:color="auto"/>
              <w:left w:val="nil" w:sz="6" w:space="0" w:color="auto"/>
              <w:bottom w:val="single" w:sz="6" w:space="0" w:color="000000"/>
              <w:right w:val="nil" w:sz="6" w:space="0" w:color="auto"/>
            </w:tcBorders>
          </w:tcPr>
          <w:p>
            <w:pPr>
              <w:pStyle w:val="TableParagraph"/>
              <w:spacing w:line="235" w:lineRule="exact"/>
              <w:ind w:right="38"/>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71" w:hRule="exact"/>
        </w:trPr>
        <w:tc>
          <w:tcPr>
            <w:tcW w:w="450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应付工程及设备款</w:t>
            </w:r>
          </w:p>
        </w:tc>
        <w:tc>
          <w:tcPr>
            <w:tcW w:w="2303"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90" w:right="0"/>
              <w:jc w:val="left"/>
              <w:rPr>
                <w:rFonts w:ascii="Arial" w:hAnsi="Arial" w:cs="Arial" w:eastAsia="Arial" w:hint="default"/>
                <w:sz w:val="22"/>
                <w:szCs w:val="22"/>
              </w:rPr>
            </w:pPr>
            <w:r>
              <w:rPr>
                <w:rFonts w:ascii="Arial"/>
                <w:sz w:val="22"/>
              </w:rPr>
              <w:t>82,080,206,558</w:t>
            </w:r>
          </w:p>
        </w:tc>
        <w:tc>
          <w:tcPr>
            <w:tcW w:w="2405"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56"/>
              <w:jc w:val="right"/>
              <w:rPr>
                <w:rFonts w:ascii="Arial" w:hAnsi="Arial" w:cs="Arial" w:eastAsia="Arial" w:hint="default"/>
                <w:sz w:val="22"/>
                <w:szCs w:val="22"/>
              </w:rPr>
            </w:pPr>
            <w:r>
              <w:rPr>
                <w:rFonts w:ascii="Arial"/>
                <w:spacing w:val="-1"/>
                <w:sz w:val="22"/>
              </w:rPr>
              <w:t>73,561,408,772</w:t>
            </w:r>
          </w:p>
        </w:tc>
      </w:tr>
      <w:tr>
        <w:trPr>
          <w:trHeight w:val="285" w:hRule="exact"/>
        </w:trPr>
        <w:tc>
          <w:tcPr>
            <w:tcW w:w="4507"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应付网间结算及租赁费</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12" w:right="0"/>
              <w:jc w:val="left"/>
              <w:rPr>
                <w:rFonts w:ascii="Arial" w:hAnsi="Arial" w:cs="Arial" w:eastAsia="Arial" w:hint="default"/>
                <w:sz w:val="22"/>
                <w:szCs w:val="22"/>
              </w:rPr>
            </w:pPr>
            <w:r>
              <w:rPr>
                <w:rFonts w:ascii="Arial"/>
                <w:sz w:val="22"/>
              </w:rPr>
              <w:t>5,981,981,585</w:t>
            </w: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6"/>
              <w:jc w:val="right"/>
              <w:rPr>
                <w:rFonts w:ascii="Arial" w:hAnsi="Arial" w:cs="Arial" w:eastAsia="Arial" w:hint="default"/>
                <w:sz w:val="22"/>
                <w:szCs w:val="22"/>
              </w:rPr>
            </w:pPr>
            <w:r>
              <w:rPr>
                <w:rFonts w:ascii="Arial"/>
                <w:spacing w:val="-1"/>
                <w:sz w:val="22"/>
              </w:rPr>
              <w:t>5,444,747,445</w:t>
            </w:r>
          </w:p>
        </w:tc>
      </w:tr>
      <w:tr>
        <w:trPr>
          <w:trHeight w:val="286" w:hRule="exact"/>
        </w:trPr>
        <w:tc>
          <w:tcPr>
            <w:tcW w:w="4507"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应付采购通信终端款等</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12" w:right="0"/>
              <w:jc w:val="left"/>
              <w:rPr>
                <w:rFonts w:ascii="Arial" w:hAnsi="Arial" w:cs="Arial" w:eastAsia="Arial" w:hint="default"/>
                <w:sz w:val="22"/>
                <w:szCs w:val="22"/>
              </w:rPr>
            </w:pPr>
            <w:r>
              <w:rPr>
                <w:rFonts w:ascii="Arial"/>
                <w:sz w:val="22"/>
              </w:rPr>
              <w:t>5,623,077,051</w:t>
            </w: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6"/>
              <w:jc w:val="right"/>
              <w:rPr>
                <w:rFonts w:ascii="Arial" w:hAnsi="Arial" w:cs="Arial" w:eastAsia="Arial" w:hint="default"/>
                <w:sz w:val="22"/>
                <w:szCs w:val="22"/>
              </w:rPr>
            </w:pPr>
            <w:r>
              <w:rPr>
                <w:rFonts w:ascii="Arial"/>
                <w:spacing w:val="-1"/>
                <w:sz w:val="22"/>
              </w:rPr>
              <w:t>3,855,808,237</w:t>
            </w:r>
          </w:p>
        </w:tc>
      </w:tr>
      <w:tr>
        <w:trPr>
          <w:trHeight w:val="286" w:hRule="exact"/>
        </w:trPr>
        <w:tc>
          <w:tcPr>
            <w:tcW w:w="4507"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应付代理费及广告费</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12" w:right="0"/>
              <w:jc w:val="left"/>
              <w:rPr>
                <w:rFonts w:ascii="Arial" w:hAnsi="Arial" w:cs="Arial" w:eastAsia="Arial" w:hint="default"/>
                <w:sz w:val="22"/>
                <w:szCs w:val="22"/>
              </w:rPr>
            </w:pPr>
            <w:r>
              <w:rPr>
                <w:rFonts w:ascii="Arial"/>
                <w:sz w:val="22"/>
              </w:rPr>
              <w:t>3,351,133,689</w:t>
            </w: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6"/>
              <w:jc w:val="right"/>
              <w:rPr>
                <w:rFonts w:ascii="Arial" w:hAnsi="Arial" w:cs="Arial" w:eastAsia="Arial" w:hint="default"/>
                <w:sz w:val="22"/>
                <w:szCs w:val="22"/>
              </w:rPr>
            </w:pPr>
            <w:r>
              <w:rPr>
                <w:rFonts w:ascii="Arial"/>
                <w:spacing w:val="-1"/>
                <w:sz w:val="22"/>
              </w:rPr>
              <w:t>2,874,668,512</w:t>
            </w:r>
          </w:p>
        </w:tc>
      </w:tr>
      <w:tr>
        <w:trPr>
          <w:trHeight w:val="285" w:hRule="exact"/>
        </w:trPr>
        <w:tc>
          <w:tcPr>
            <w:tcW w:w="4507"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应付维修及维护费</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12" w:right="0"/>
              <w:jc w:val="left"/>
              <w:rPr>
                <w:rFonts w:ascii="Arial" w:hAnsi="Arial" w:cs="Arial" w:eastAsia="Arial" w:hint="default"/>
                <w:sz w:val="22"/>
                <w:szCs w:val="22"/>
              </w:rPr>
            </w:pPr>
            <w:r>
              <w:rPr>
                <w:rFonts w:ascii="Arial"/>
                <w:sz w:val="22"/>
              </w:rPr>
              <w:t>3,051,644,584</w:t>
            </w: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6"/>
              <w:jc w:val="right"/>
              <w:rPr>
                <w:rFonts w:ascii="Arial" w:hAnsi="Arial" w:cs="Arial" w:eastAsia="Arial" w:hint="default"/>
                <w:sz w:val="22"/>
                <w:szCs w:val="22"/>
              </w:rPr>
            </w:pPr>
            <w:r>
              <w:rPr>
                <w:rFonts w:ascii="Arial"/>
                <w:spacing w:val="-1"/>
                <w:sz w:val="22"/>
              </w:rPr>
              <w:t>2,406,655,393</w:t>
            </w:r>
          </w:p>
        </w:tc>
      </w:tr>
      <w:tr>
        <w:trPr>
          <w:trHeight w:val="425" w:hRule="exact"/>
        </w:trPr>
        <w:tc>
          <w:tcPr>
            <w:tcW w:w="4507"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303" w:type="dxa"/>
            <w:tcBorders>
              <w:top w:val="nil" w:sz="6" w:space="0" w:color="auto"/>
              <w:left w:val="nil" w:sz="6" w:space="0" w:color="auto"/>
              <w:bottom w:val="nil" w:sz="6" w:space="0" w:color="auto"/>
              <w:right w:val="nil" w:sz="6" w:space="0" w:color="auto"/>
            </w:tcBorders>
          </w:tcPr>
          <w:p>
            <w:pPr>
              <w:pStyle w:val="TableParagraph"/>
              <w:tabs>
                <w:tab w:pos="712" w:val="left" w:leader="none"/>
                <w:tab w:pos="2303"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3,423,975,230</w:t>
              <w:tab/>
            </w:r>
            <w:r>
              <w:rPr>
                <w:rFonts w:ascii="Arial"/>
                <w:spacing w:val="-1"/>
                <w:sz w:val="22"/>
              </w:rPr>
            </w:r>
          </w:p>
        </w:tc>
        <w:tc>
          <w:tcPr>
            <w:tcW w:w="2405" w:type="dxa"/>
            <w:tcBorders>
              <w:top w:val="nil" w:sz="6" w:space="0" w:color="auto"/>
              <w:left w:val="nil" w:sz="6" w:space="0" w:color="auto"/>
              <w:bottom w:val="nil" w:sz="6" w:space="0" w:color="auto"/>
              <w:right w:val="nil" w:sz="6" w:space="0" w:color="auto"/>
            </w:tcBorders>
          </w:tcPr>
          <w:p>
            <w:pPr>
              <w:pStyle w:val="TableParagraph"/>
              <w:tabs>
                <w:tab w:pos="741" w:val="left" w:leader="none"/>
                <w:tab w:pos="2306"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2,995,396,472</w:t>
              <w:tab/>
            </w:r>
            <w:r>
              <w:rPr>
                <w:rFonts w:ascii="Arial"/>
                <w:spacing w:val="-1"/>
                <w:sz w:val="22"/>
              </w:rPr>
            </w:r>
          </w:p>
        </w:tc>
      </w:tr>
      <w:tr>
        <w:trPr>
          <w:trHeight w:val="437" w:hRule="exact"/>
        </w:trPr>
        <w:tc>
          <w:tcPr>
            <w:tcW w:w="450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03" w:type="dxa"/>
            <w:tcBorders>
              <w:top w:val="nil" w:sz="6" w:space="0" w:color="auto"/>
              <w:left w:val="nil" w:sz="6" w:space="0" w:color="auto"/>
              <w:bottom w:val="single" w:sz="17" w:space="0" w:color="000000"/>
              <w:right w:val="nil" w:sz="6" w:space="0" w:color="auto"/>
            </w:tcBorders>
          </w:tcPr>
          <w:p>
            <w:pPr>
              <w:pStyle w:val="TableParagraph"/>
              <w:spacing w:line="240" w:lineRule="auto" w:before="158"/>
              <w:ind w:left="468" w:right="0"/>
              <w:jc w:val="left"/>
              <w:rPr>
                <w:rFonts w:ascii="Arial" w:hAnsi="Arial" w:cs="Arial" w:eastAsia="Arial" w:hint="default"/>
                <w:sz w:val="22"/>
                <w:szCs w:val="22"/>
              </w:rPr>
            </w:pPr>
            <w:r>
              <w:rPr>
                <w:rFonts w:ascii="Arial"/>
                <w:sz w:val="22"/>
              </w:rPr>
              <w:t>103,512,018,697</w:t>
            </w:r>
          </w:p>
        </w:tc>
        <w:tc>
          <w:tcPr>
            <w:tcW w:w="2405" w:type="dxa"/>
            <w:tcBorders>
              <w:top w:val="nil" w:sz="6" w:space="0" w:color="auto"/>
              <w:left w:val="nil" w:sz="6" w:space="0" w:color="auto"/>
              <w:bottom w:val="single" w:sz="17" w:space="0" w:color="000000"/>
              <w:right w:val="nil" w:sz="6" w:space="0" w:color="auto"/>
            </w:tcBorders>
          </w:tcPr>
          <w:p>
            <w:pPr>
              <w:pStyle w:val="TableParagraph"/>
              <w:spacing w:line="240" w:lineRule="auto" w:before="158"/>
              <w:ind w:right="156"/>
              <w:jc w:val="right"/>
              <w:rPr>
                <w:rFonts w:ascii="Arial" w:hAnsi="Arial" w:cs="Arial" w:eastAsia="Arial" w:hint="default"/>
                <w:sz w:val="22"/>
                <w:szCs w:val="22"/>
              </w:rPr>
            </w:pPr>
            <w:r>
              <w:rPr>
                <w:rFonts w:ascii="Arial"/>
                <w:spacing w:val="-1"/>
                <w:sz w:val="22"/>
              </w:rPr>
              <w:t>91,138,684,831</w:t>
            </w:r>
          </w:p>
        </w:tc>
      </w:tr>
    </w:tbl>
    <w:p>
      <w:pPr>
        <w:spacing w:after="0" w:line="240" w:lineRule="auto"/>
        <w:jc w:val="right"/>
        <w:rPr>
          <w:rFonts w:ascii="Arial" w:hAnsi="Arial" w:cs="Arial" w:eastAsia="Arial" w:hint="default"/>
          <w:sz w:val="22"/>
          <w:szCs w:val="22"/>
        </w:rPr>
        <w:sectPr>
          <w:headerReference w:type="default" r:id="rId101"/>
          <w:pgSz w:w="11910" w:h="16840"/>
          <w:pgMar w:header="1184" w:footer="457" w:top="3040" w:bottom="640" w:left="1280" w:right="780"/>
        </w:sectPr>
      </w:pPr>
    </w:p>
    <w:p>
      <w:pPr>
        <w:spacing w:line="240" w:lineRule="auto" w:before="12"/>
        <w:rPr>
          <w:rFonts w:ascii="宋体" w:hAnsi="宋体" w:cs="宋体" w:eastAsia="宋体" w:hint="default"/>
          <w:sz w:val="14"/>
          <w:szCs w:val="14"/>
        </w:rPr>
      </w:pPr>
    </w:p>
    <w:p>
      <w:pPr>
        <w:pStyle w:val="BodyText"/>
        <w:spacing w:line="240" w:lineRule="auto" w:before="31"/>
        <w:ind w:left="102" w:right="3521"/>
        <w:jc w:val="left"/>
      </w:pPr>
      <w:r>
        <w:rPr>
          <w:rFonts w:ascii="Arial" w:hAnsi="Arial" w:cs="Arial" w:eastAsia="Arial" w:hint="default"/>
        </w:rPr>
        <w:t>19</w:t>
      </w:r>
      <w:r>
        <w:rPr/>
        <w:t>、应付账款（续）</w:t>
      </w:r>
    </w:p>
    <w:p>
      <w:pPr>
        <w:pStyle w:val="BodyText"/>
        <w:spacing w:line="240" w:lineRule="auto" w:before="166"/>
        <w:ind w:left="102" w:right="0"/>
        <w:jc w:val="left"/>
      </w:pPr>
      <w:r>
        <w:rPr>
          <w:rFonts w:ascii="Arial" w:hAnsi="Arial" w:cs="Arial" w:eastAsia="Arial" w:hint="default"/>
        </w:rPr>
        <w:t>(a) </w:t>
      </w:r>
      <w:r>
        <w:rPr>
          <w:rFonts w:ascii="Arial" w:hAnsi="Arial" w:cs="Arial" w:eastAsia="Arial" w:hint="default"/>
          <w:spacing w:val="20"/>
        </w:rPr>
        <w:t> </w:t>
      </w:r>
      <w:r>
        <w:rPr/>
        <w:t>应付持有本公司</w:t>
      </w:r>
      <w:r>
        <w:rPr>
          <w:spacing w:val="-57"/>
        </w:rPr>
        <w:t> </w:t>
      </w:r>
      <w:r>
        <w:rPr>
          <w:rFonts w:ascii="Arial" w:hAnsi="Arial" w:cs="Arial" w:eastAsia="Arial" w:hint="default"/>
        </w:rPr>
        <w:t>5%</w:t>
      </w:r>
      <w:r>
        <w:rPr/>
        <w:t>（含</w:t>
      </w:r>
      <w:r>
        <w:rPr>
          <w:spacing w:val="-58"/>
        </w:rPr>
        <w:t> </w:t>
      </w:r>
      <w:r>
        <w:rPr>
          <w:rFonts w:ascii="Arial" w:hAnsi="Arial" w:cs="Arial" w:eastAsia="Arial" w:hint="default"/>
        </w:rPr>
        <w:t>5%</w:t>
      </w:r>
      <w:r>
        <w:rPr/>
        <w:t>）以上表决权股份的股东单位的应付账款：</w:t>
      </w:r>
    </w:p>
    <w:p>
      <w:pPr>
        <w:spacing w:line="240" w:lineRule="auto" w:before="11"/>
        <w:rPr>
          <w:rFonts w:ascii="宋体" w:hAnsi="宋体" w:cs="宋体" w:eastAsia="宋体" w:hint="default"/>
          <w:sz w:val="17"/>
          <w:szCs w:val="17"/>
        </w:rPr>
      </w:pPr>
    </w:p>
    <w:tbl>
      <w:tblPr>
        <w:tblW w:w="0" w:type="auto"/>
        <w:jc w:val="left"/>
        <w:tblInd w:w="362" w:type="dxa"/>
        <w:tblLayout w:type="fixed"/>
        <w:tblCellMar>
          <w:top w:w="0" w:type="dxa"/>
          <w:left w:w="0" w:type="dxa"/>
          <w:bottom w:w="0" w:type="dxa"/>
          <w:right w:w="0" w:type="dxa"/>
        </w:tblCellMar>
        <w:tblLook w:val="01E0"/>
      </w:tblPr>
      <w:tblGrid>
        <w:gridCol w:w="4501"/>
        <w:gridCol w:w="2309"/>
        <w:gridCol w:w="2405"/>
      </w:tblGrid>
      <w:tr>
        <w:trPr>
          <w:trHeight w:val="261" w:hRule="exact"/>
        </w:trPr>
        <w:tc>
          <w:tcPr>
            <w:tcW w:w="4501"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single" w:sz="6" w:space="0" w:color="000000"/>
              <w:right w:val="nil" w:sz="6" w:space="0" w:color="auto"/>
            </w:tcBorders>
          </w:tcPr>
          <w:p>
            <w:pPr>
              <w:pStyle w:val="TableParagraph"/>
              <w:spacing w:line="235" w:lineRule="exact"/>
              <w:ind w:right="47"/>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405" w:type="dxa"/>
            <w:tcBorders>
              <w:top w:val="nil" w:sz="6" w:space="0" w:color="auto"/>
              <w:left w:val="nil" w:sz="6" w:space="0" w:color="auto"/>
              <w:bottom w:val="single" w:sz="6" w:space="0" w:color="000000"/>
              <w:right w:val="nil" w:sz="6" w:space="0" w:color="auto"/>
            </w:tcBorders>
          </w:tcPr>
          <w:p>
            <w:pPr>
              <w:pStyle w:val="TableParagraph"/>
              <w:spacing w:line="235" w:lineRule="exact"/>
              <w:ind w:right="2"/>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17" w:hRule="exact"/>
        </w:trPr>
        <w:tc>
          <w:tcPr>
            <w:tcW w:w="4501" w:type="dxa"/>
            <w:tcBorders>
              <w:top w:val="nil" w:sz="6" w:space="0" w:color="auto"/>
              <w:left w:val="nil" w:sz="6" w:space="0" w:color="auto"/>
              <w:bottom w:val="nil" w:sz="6" w:space="0" w:color="auto"/>
              <w:right w:val="nil" w:sz="6" w:space="0" w:color="auto"/>
            </w:tcBorders>
          </w:tcPr>
          <w:p>
            <w:pPr>
              <w:pStyle w:val="TableParagraph"/>
              <w:spacing w:line="240" w:lineRule="auto" w:before="172"/>
              <w:ind w:left="200"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2309" w:type="dxa"/>
            <w:tcBorders>
              <w:top w:val="single" w:sz="6"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73"/>
              <w:jc w:val="right"/>
              <w:rPr>
                <w:rFonts w:ascii="Arial" w:hAnsi="Arial" w:cs="Arial" w:eastAsia="Arial" w:hint="default"/>
                <w:sz w:val="22"/>
                <w:szCs w:val="22"/>
              </w:rPr>
            </w:pPr>
            <w:r>
              <w:rPr>
                <w:rFonts w:ascii="Arial"/>
                <w:w w:val="95"/>
                <w:sz w:val="22"/>
              </w:rPr>
              <w:t>61,112,889</w:t>
            </w:r>
            <w:r>
              <w:rPr>
                <w:rFonts w:ascii="Arial"/>
                <w:sz w:val="22"/>
              </w:rPr>
            </w:r>
          </w:p>
        </w:tc>
        <w:tc>
          <w:tcPr>
            <w:tcW w:w="2405" w:type="dxa"/>
            <w:tcBorders>
              <w:top w:val="single" w:sz="6"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8"/>
              <w:jc w:val="right"/>
              <w:rPr>
                <w:rFonts w:ascii="Arial" w:hAnsi="Arial" w:cs="Arial" w:eastAsia="Arial" w:hint="default"/>
                <w:sz w:val="22"/>
                <w:szCs w:val="22"/>
              </w:rPr>
            </w:pPr>
            <w:r>
              <w:rPr>
                <w:rFonts w:ascii="Arial"/>
                <w:w w:val="95"/>
                <w:sz w:val="22"/>
              </w:rPr>
              <w:t>92,330,099</w:t>
            </w:r>
            <w:r>
              <w:rPr>
                <w:rFonts w:ascii="Arial"/>
                <w:sz w:val="22"/>
              </w:rPr>
            </w:r>
          </w:p>
        </w:tc>
      </w:tr>
    </w:tbl>
    <w:p>
      <w:pPr>
        <w:spacing w:line="240" w:lineRule="auto" w:before="12"/>
        <w:rPr>
          <w:rFonts w:ascii="宋体" w:hAnsi="宋体" w:cs="宋体" w:eastAsia="宋体" w:hint="default"/>
          <w:sz w:val="8"/>
          <w:szCs w:val="8"/>
        </w:rPr>
      </w:pPr>
    </w:p>
    <w:p>
      <w:pPr>
        <w:pStyle w:val="BodyText"/>
        <w:tabs>
          <w:tab w:pos="578" w:val="left" w:leader="none"/>
        </w:tabs>
        <w:spacing w:line="240" w:lineRule="auto" w:before="31"/>
        <w:ind w:left="102" w:right="3521"/>
        <w:jc w:val="left"/>
      </w:pPr>
      <w:r>
        <w:rPr>
          <w:rFonts w:ascii="Arial" w:hAnsi="Arial" w:cs="Arial" w:eastAsia="Arial" w:hint="default"/>
          <w:w w:val="95"/>
        </w:rPr>
        <w:t>(b)</w:t>
        <w:tab/>
      </w:r>
      <w:r>
        <w:rPr/>
        <w:t>应付关联方的应付账款：</w:t>
      </w:r>
    </w:p>
    <w:p>
      <w:pPr>
        <w:spacing w:line="240" w:lineRule="auto" w:before="11"/>
        <w:rPr>
          <w:rFonts w:ascii="宋体" w:hAnsi="宋体" w:cs="宋体" w:eastAsia="宋体" w:hint="default"/>
          <w:sz w:val="17"/>
          <w:szCs w:val="17"/>
        </w:rPr>
      </w:pPr>
    </w:p>
    <w:tbl>
      <w:tblPr>
        <w:tblW w:w="0" w:type="auto"/>
        <w:jc w:val="left"/>
        <w:tblInd w:w="362" w:type="dxa"/>
        <w:tblLayout w:type="fixed"/>
        <w:tblCellMar>
          <w:top w:w="0" w:type="dxa"/>
          <w:left w:w="0" w:type="dxa"/>
          <w:bottom w:w="0" w:type="dxa"/>
          <w:right w:w="0" w:type="dxa"/>
        </w:tblCellMar>
        <w:tblLook w:val="01E0"/>
      </w:tblPr>
      <w:tblGrid>
        <w:gridCol w:w="4454"/>
        <w:gridCol w:w="2352"/>
        <w:gridCol w:w="108"/>
        <w:gridCol w:w="2300"/>
      </w:tblGrid>
      <w:tr>
        <w:trPr>
          <w:trHeight w:val="260" w:hRule="exact"/>
        </w:trPr>
        <w:tc>
          <w:tcPr>
            <w:tcW w:w="4454"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single" w:sz="6" w:space="0" w:color="000000"/>
              <w:right w:val="nil" w:sz="6" w:space="0" w:color="auto"/>
            </w:tcBorders>
          </w:tcPr>
          <w:p>
            <w:pPr>
              <w:pStyle w:val="TableParagraph"/>
              <w:spacing w:line="235" w:lineRule="exact"/>
              <w:ind w:left="357" w:right="0"/>
              <w:jc w:val="lef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08"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single" w:sz="6" w:space="0" w:color="000000"/>
              <w:right w:val="nil" w:sz="6" w:space="0" w:color="auto"/>
            </w:tcBorders>
          </w:tcPr>
          <w:p>
            <w:pPr>
              <w:pStyle w:val="TableParagraph"/>
              <w:spacing w:line="235" w:lineRule="exact"/>
              <w:ind w:left="291"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07" w:hRule="exact"/>
        </w:trPr>
        <w:tc>
          <w:tcPr>
            <w:tcW w:w="4454" w:type="dxa"/>
            <w:tcBorders>
              <w:top w:val="nil" w:sz="6" w:space="0" w:color="auto"/>
              <w:left w:val="nil" w:sz="6" w:space="0" w:color="auto"/>
              <w:bottom w:val="nil" w:sz="6" w:space="0" w:color="auto"/>
              <w:right w:val="nil" w:sz="6" w:space="0" w:color="auto"/>
            </w:tcBorders>
          </w:tcPr>
          <w:p>
            <w:pPr>
              <w:pStyle w:val="TableParagraph"/>
              <w:spacing w:line="240" w:lineRule="auto" w:before="172"/>
              <w:ind w:left="200"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2352"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24" w:right="0"/>
              <w:jc w:val="left"/>
              <w:rPr>
                <w:rFonts w:ascii="Arial" w:hAnsi="Arial" w:cs="Arial" w:eastAsia="Arial" w:hint="default"/>
                <w:sz w:val="22"/>
                <w:szCs w:val="22"/>
              </w:rPr>
            </w:pPr>
            <w:r>
              <w:rPr>
                <w:rFonts w:ascii="Arial"/>
                <w:sz w:val="22"/>
              </w:rPr>
              <w:t>61,112,889</w:t>
            </w:r>
          </w:p>
        </w:tc>
        <w:tc>
          <w:tcPr>
            <w:tcW w:w="108" w:type="dxa"/>
            <w:tcBorders>
              <w:top w:val="nil" w:sz="6" w:space="0" w:color="auto"/>
              <w:left w:val="nil" w:sz="6" w:space="0" w:color="auto"/>
              <w:bottom w:val="nil" w:sz="6" w:space="0" w:color="auto"/>
              <w:right w:val="nil" w:sz="6" w:space="0" w:color="auto"/>
            </w:tcBorders>
          </w:tcPr>
          <w:p>
            <w:pPr/>
          </w:p>
        </w:tc>
        <w:tc>
          <w:tcPr>
            <w:tcW w:w="2300"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58" w:right="0"/>
              <w:jc w:val="left"/>
              <w:rPr>
                <w:rFonts w:ascii="Arial" w:hAnsi="Arial" w:cs="Arial" w:eastAsia="Arial" w:hint="default"/>
                <w:sz w:val="22"/>
                <w:szCs w:val="22"/>
              </w:rPr>
            </w:pPr>
            <w:r>
              <w:rPr>
                <w:rFonts w:ascii="Arial"/>
                <w:sz w:val="22"/>
              </w:rPr>
              <w:t>92,330,099</w:t>
            </w:r>
          </w:p>
        </w:tc>
      </w:tr>
      <w:tr>
        <w:trPr>
          <w:trHeight w:val="286" w:hRule="exact"/>
        </w:trPr>
        <w:tc>
          <w:tcPr>
            <w:tcW w:w="4454"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联通新时空</w:t>
            </w:r>
          </w:p>
        </w:tc>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4"/>
              <w:jc w:val="right"/>
              <w:rPr>
                <w:rFonts w:ascii="Arial" w:hAnsi="Arial" w:cs="Arial" w:eastAsia="Arial" w:hint="default"/>
                <w:sz w:val="22"/>
                <w:szCs w:val="22"/>
              </w:rPr>
            </w:pPr>
            <w:r>
              <w:rPr>
                <w:rFonts w:ascii="Arial"/>
                <w:w w:val="99"/>
                <w:sz w:val="22"/>
              </w:rPr>
              <w:t>-</w:t>
            </w:r>
            <w:r>
              <w:rPr>
                <w:rFonts w:ascii="Arial"/>
                <w:sz w:val="22"/>
              </w:rPr>
            </w:r>
          </w:p>
        </w:tc>
        <w:tc>
          <w:tcPr>
            <w:tcW w:w="108"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37" w:right="0"/>
              <w:jc w:val="left"/>
              <w:rPr>
                <w:rFonts w:ascii="Arial" w:hAnsi="Arial" w:cs="Arial" w:eastAsia="Arial" w:hint="default"/>
                <w:sz w:val="22"/>
                <w:szCs w:val="22"/>
              </w:rPr>
            </w:pPr>
            <w:r>
              <w:rPr>
                <w:rFonts w:ascii="Arial"/>
                <w:sz w:val="22"/>
              </w:rPr>
              <w:t>606,324,002</w:t>
            </w:r>
          </w:p>
        </w:tc>
      </w:tr>
      <w:tr>
        <w:trPr>
          <w:trHeight w:val="286" w:hRule="exact"/>
        </w:trPr>
        <w:tc>
          <w:tcPr>
            <w:tcW w:w="4454"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联通进出口</w:t>
            </w:r>
          </w:p>
        </w:tc>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47" w:right="0"/>
              <w:jc w:val="left"/>
              <w:rPr>
                <w:rFonts w:ascii="Arial" w:hAnsi="Arial" w:cs="Arial" w:eastAsia="Arial" w:hint="default"/>
                <w:sz w:val="22"/>
                <w:szCs w:val="22"/>
              </w:rPr>
            </w:pPr>
            <w:r>
              <w:rPr>
                <w:rFonts w:ascii="Arial"/>
                <w:sz w:val="22"/>
              </w:rPr>
              <w:t>1,825,954</w:t>
            </w:r>
          </w:p>
        </w:tc>
        <w:tc>
          <w:tcPr>
            <w:tcW w:w="108"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80" w:right="0"/>
              <w:jc w:val="left"/>
              <w:rPr>
                <w:rFonts w:ascii="Arial" w:hAnsi="Arial" w:cs="Arial" w:eastAsia="Arial" w:hint="default"/>
                <w:sz w:val="22"/>
                <w:szCs w:val="22"/>
              </w:rPr>
            </w:pPr>
            <w:r>
              <w:rPr>
                <w:rFonts w:ascii="Arial"/>
                <w:sz w:val="22"/>
              </w:rPr>
              <w:t>1,689,851</w:t>
            </w:r>
          </w:p>
        </w:tc>
      </w:tr>
      <w:tr>
        <w:trPr>
          <w:trHeight w:val="570" w:hRule="exact"/>
        </w:trPr>
        <w:tc>
          <w:tcPr>
            <w:tcW w:w="4454"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联通时科（北京）信息技术</w:t>
            </w:r>
          </w:p>
          <w:p>
            <w:pPr>
              <w:pStyle w:val="TableParagraph"/>
              <w:spacing w:line="286" w:lineRule="exact"/>
              <w:ind w:left="425" w:right="0"/>
              <w:jc w:val="left"/>
              <w:rPr>
                <w:rFonts w:ascii="宋体" w:hAnsi="宋体" w:cs="宋体" w:eastAsia="宋体" w:hint="default"/>
                <w:sz w:val="22"/>
                <w:szCs w:val="22"/>
              </w:rPr>
            </w:pPr>
            <w:r>
              <w:rPr>
                <w:rFonts w:ascii="宋体" w:hAnsi="宋体" w:cs="宋体" w:eastAsia="宋体" w:hint="default"/>
                <w:sz w:val="22"/>
                <w:szCs w:val="22"/>
              </w:rPr>
              <w:t>有限公司（“联通时科”）</w:t>
            </w:r>
          </w:p>
        </w:tc>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124" w:right="0"/>
              <w:jc w:val="left"/>
              <w:rPr>
                <w:rFonts w:ascii="Arial" w:hAnsi="Arial" w:cs="Arial" w:eastAsia="Arial" w:hint="default"/>
                <w:sz w:val="22"/>
                <w:szCs w:val="22"/>
              </w:rPr>
            </w:pPr>
            <w:r>
              <w:rPr>
                <w:rFonts w:ascii="Arial"/>
                <w:sz w:val="22"/>
              </w:rPr>
              <w:t>25,262,154</w:t>
            </w:r>
          </w:p>
        </w:tc>
        <w:tc>
          <w:tcPr>
            <w:tcW w:w="108"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58" w:right="0"/>
              <w:jc w:val="left"/>
              <w:rPr>
                <w:rFonts w:ascii="Arial" w:hAnsi="Arial" w:cs="Arial" w:eastAsia="Arial" w:hint="default"/>
                <w:sz w:val="22"/>
                <w:szCs w:val="22"/>
              </w:rPr>
            </w:pPr>
            <w:r>
              <w:rPr>
                <w:rFonts w:ascii="Arial"/>
                <w:sz w:val="22"/>
              </w:rPr>
              <w:t>24,903,605</w:t>
            </w:r>
          </w:p>
        </w:tc>
      </w:tr>
      <w:tr>
        <w:trPr>
          <w:trHeight w:val="394" w:hRule="exact"/>
        </w:trPr>
        <w:tc>
          <w:tcPr>
            <w:tcW w:w="4454"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联通集团其他附属公司</w:t>
            </w:r>
          </w:p>
        </w:tc>
        <w:tc>
          <w:tcPr>
            <w:tcW w:w="2352" w:type="dxa"/>
            <w:tcBorders>
              <w:top w:val="nil" w:sz="6" w:space="0" w:color="auto"/>
              <w:left w:val="nil" w:sz="6" w:space="0" w:color="auto"/>
              <w:bottom w:val="nil" w:sz="6" w:space="0" w:color="auto"/>
              <w:right w:val="nil" w:sz="6" w:space="0" w:color="auto"/>
            </w:tcBorders>
          </w:tcPr>
          <w:p>
            <w:pPr>
              <w:pStyle w:val="TableParagraph"/>
              <w:tabs>
                <w:tab w:pos="819" w:val="left" w:leader="none"/>
                <w:tab w:pos="2352" w:val="left" w:leader="none"/>
              </w:tabs>
              <w:spacing w:line="240" w:lineRule="auto" w:before="17"/>
              <w:ind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2,645,066,747</w:t>
              <w:tab/>
            </w:r>
            <w:r>
              <w:rPr>
                <w:rFonts w:ascii="Arial"/>
                <w:sz w:val="22"/>
              </w:rPr>
            </w:r>
          </w:p>
        </w:tc>
        <w:tc>
          <w:tcPr>
            <w:tcW w:w="108"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Style w:val="TableParagraph"/>
              <w:tabs>
                <w:tab w:pos="753" w:val="left" w:leader="none"/>
                <w:tab w:pos="2300" w:val="left" w:leader="none"/>
              </w:tabs>
              <w:spacing w:line="240" w:lineRule="auto" w:before="17"/>
              <w:ind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2,611,520,276</w:t>
              <w:tab/>
            </w:r>
            <w:r>
              <w:rPr>
                <w:rFonts w:ascii="Arial"/>
                <w:sz w:val="22"/>
              </w:rPr>
            </w:r>
          </w:p>
        </w:tc>
      </w:tr>
      <w:tr>
        <w:trPr>
          <w:trHeight w:val="404" w:hRule="exact"/>
        </w:trPr>
        <w:tc>
          <w:tcPr>
            <w:tcW w:w="445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52"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left="820" w:right="0"/>
              <w:jc w:val="left"/>
              <w:rPr>
                <w:rFonts w:ascii="Arial" w:hAnsi="Arial" w:cs="Arial" w:eastAsia="Arial" w:hint="default"/>
                <w:sz w:val="22"/>
                <w:szCs w:val="22"/>
              </w:rPr>
            </w:pPr>
            <w:r>
              <w:rPr>
                <w:rFonts w:ascii="Arial"/>
                <w:sz w:val="22"/>
              </w:rPr>
              <w:t>2,733,267,744</w:t>
            </w:r>
          </w:p>
        </w:tc>
        <w:tc>
          <w:tcPr>
            <w:tcW w:w="108"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left="753" w:right="0"/>
              <w:jc w:val="left"/>
              <w:rPr>
                <w:rFonts w:ascii="Arial" w:hAnsi="Arial" w:cs="Arial" w:eastAsia="Arial" w:hint="default"/>
                <w:sz w:val="22"/>
                <w:szCs w:val="22"/>
              </w:rPr>
            </w:pPr>
            <w:r>
              <w:rPr>
                <w:rFonts w:ascii="Arial"/>
                <w:sz w:val="22"/>
              </w:rPr>
              <w:t>3,336,767,833</w:t>
            </w:r>
          </w:p>
        </w:tc>
      </w:tr>
    </w:tbl>
    <w:p>
      <w:pPr>
        <w:spacing w:line="240" w:lineRule="auto" w:before="12"/>
        <w:rPr>
          <w:rFonts w:ascii="宋体" w:hAnsi="宋体" w:cs="宋体" w:eastAsia="宋体" w:hint="default"/>
          <w:sz w:val="8"/>
          <w:szCs w:val="8"/>
        </w:rPr>
      </w:pPr>
    </w:p>
    <w:p>
      <w:pPr>
        <w:pStyle w:val="BodyText"/>
        <w:tabs>
          <w:tab w:pos="578" w:val="left" w:leader="none"/>
        </w:tabs>
        <w:spacing w:line="294" w:lineRule="exact" w:before="31"/>
        <w:ind w:left="102" w:right="0"/>
        <w:jc w:val="left"/>
      </w:pPr>
      <w:r>
        <w:rPr>
          <w:rFonts w:ascii="Arial" w:hAnsi="Arial" w:cs="Arial" w:eastAsia="Arial" w:hint="default"/>
          <w:w w:val="95"/>
        </w:rPr>
        <w:t>(c)</w:t>
        <w:tab/>
      </w:r>
      <w:r>
        <w:rPr/>
        <w:t>于</w:t>
      </w:r>
      <w:r>
        <w:rPr>
          <w:spacing w:val="-56"/>
        </w:rPr>
        <w:t> </w:t>
      </w:r>
      <w:r>
        <w:rPr>
          <w:rFonts w:ascii="Arial" w:hAnsi="Arial" w:cs="Arial" w:eastAsia="Arial" w:hint="default"/>
        </w:rPr>
        <w:t>2012</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spacing w:val="-4"/>
        </w:rPr>
        <w:t>日，账龄超过</w:t>
      </w:r>
      <w:r>
        <w:rPr>
          <w:spacing w:val="-56"/>
        </w:rPr>
        <w:t> </w:t>
      </w:r>
      <w:r>
        <w:rPr>
          <w:rFonts w:ascii="Arial" w:hAnsi="Arial" w:cs="Arial" w:eastAsia="Arial" w:hint="default"/>
        </w:rPr>
        <w:t>1</w:t>
      </w:r>
      <w:r>
        <w:rPr>
          <w:rFonts w:ascii="Arial" w:hAnsi="Arial" w:cs="Arial" w:eastAsia="Arial" w:hint="default"/>
          <w:spacing w:val="-6"/>
        </w:rPr>
        <w:t> </w:t>
      </w:r>
      <w:r>
        <w:rPr/>
        <w:t>年的应付账款约人民币</w:t>
      </w:r>
      <w:r>
        <w:rPr>
          <w:spacing w:val="-55"/>
        </w:rPr>
        <w:t> </w:t>
      </w:r>
      <w:r>
        <w:rPr>
          <w:rFonts w:ascii="Arial" w:hAnsi="Arial" w:cs="Arial" w:eastAsia="Arial" w:hint="default"/>
        </w:rPr>
        <w:t>83.54</w:t>
      </w:r>
      <w:r>
        <w:rPr>
          <w:rFonts w:ascii="Arial" w:hAnsi="Arial" w:cs="Arial" w:eastAsia="Arial" w:hint="default"/>
          <w:spacing w:val="-7"/>
        </w:rPr>
        <w:t> </w:t>
      </w:r>
      <w:r>
        <w:rPr>
          <w:spacing w:val="-4"/>
        </w:rPr>
        <w:t>亿元（</w:t>
      </w:r>
      <w:r>
        <w:rPr>
          <w:rFonts w:ascii="Arial" w:hAnsi="Arial" w:cs="Arial" w:eastAsia="Arial" w:hint="default"/>
          <w:spacing w:val="-4"/>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w:t>
      </w:r>
    </w:p>
    <w:p>
      <w:pPr>
        <w:pStyle w:val="BodyText"/>
        <w:spacing w:line="286" w:lineRule="exact" w:before="18"/>
        <w:ind w:left="578" w:right="223"/>
        <w:jc w:val="left"/>
      </w:pPr>
      <w:r>
        <w:rPr/>
        <w:t>约人民币</w:t>
      </w:r>
      <w:r>
        <w:rPr>
          <w:spacing w:val="-62"/>
        </w:rPr>
        <w:t> </w:t>
      </w:r>
      <w:r>
        <w:rPr>
          <w:rFonts w:ascii="Arial" w:hAnsi="Arial" w:cs="Arial" w:eastAsia="Arial" w:hint="default"/>
        </w:rPr>
        <w:t>73.01</w:t>
      </w:r>
      <w:r>
        <w:rPr>
          <w:rFonts w:ascii="Arial" w:hAnsi="Arial" w:cs="Arial" w:eastAsia="Arial" w:hint="default"/>
          <w:spacing w:val="-12"/>
        </w:rPr>
        <w:t> </w:t>
      </w:r>
      <w:r>
        <w:rPr/>
        <w:t>亿元），主要为应付工程及设备款，包括账龄超过一年尚未支付的工程或设备</w:t>
      </w:r>
      <w:r>
        <w:rPr>
          <w:w w:val="99"/>
        </w:rPr>
        <w:t> </w:t>
      </w:r>
      <w:r>
        <w:rPr/>
        <w:t>质保金等，鉴于债权债务双方仍继续发生业务往来，该项账款尚未结清。</w:t>
      </w:r>
    </w:p>
    <w:p>
      <w:pPr>
        <w:pStyle w:val="BodyText"/>
        <w:tabs>
          <w:tab w:pos="578" w:val="left" w:leader="none"/>
        </w:tabs>
        <w:spacing w:line="240" w:lineRule="auto" w:before="155"/>
        <w:ind w:left="102" w:right="0"/>
        <w:jc w:val="left"/>
      </w:pPr>
      <w:r>
        <w:rPr>
          <w:rFonts w:ascii="Arial" w:hAnsi="Arial" w:cs="Arial" w:eastAsia="Arial" w:hint="default"/>
          <w:w w:val="99"/>
        </w:rPr>
        <w:t>(d)</w:t>
      </w:r>
      <w:r>
        <w:rPr>
          <w:rFonts w:ascii="Arial" w:hAnsi="Arial" w:cs="Arial" w:eastAsia="Arial" w:hint="default"/>
        </w:rPr>
        <w:tab/>
      </w:r>
      <w:r>
        <w:rPr>
          <w:w w:val="99"/>
        </w:rPr>
        <w:t>于</w:t>
      </w:r>
      <w:r>
        <w:rPr>
          <w:spacing w:val="-55"/>
        </w:rPr>
        <w:t> </w:t>
      </w:r>
      <w:r>
        <w:rPr>
          <w:rFonts w:ascii="Arial" w:hAnsi="Arial" w:cs="Arial" w:eastAsia="Arial" w:hint="default"/>
          <w:w w:val="99"/>
        </w:rPr>
        <w:t>2012</w:t>
      </w:r>
      <w:r>
        <w:rPr>
          <w:rFonts w:ascii="Arial" w:hAnsi="Arial" w:cs="Arial" w:eastAsia="Arial" w:hint="default"/>
          <w:spacing w:val="-6"/>
        </w:rPr>
        <w:t> </w:t>
      </w:r>
      <w:r>
        <w:rPr>
          <w:w w:val="99"/>
        </w:rPr>
        <w:t>年</w:t>
      </w:r>
      <w:r>
        <w:rPr>
          <w:spacing w:val="-55"/>
        </w:rPr>
        <w:t> </w:t>
      </w:r>
      <w:r>
        <w:rPr>
          <w:rFonts w:ascii="Arial" w:hAnsi="Arial" w:cs="Arial" w:eastAsia="Arial" w:hint="default"/>
          <w:w w:val="99"/>
        </w:rPr>
        <w:t>12</w:t>
      </w:r>
      <w:r>
        <w:rPr>
          <w:rFonts w:ascii="Arial" w:hAnsi="Arial" w:cs="Arial" w:eastAsia="Arial" w:hint="default"/>
          <w:spacing w:val="-6"/>
        </w:rPr>
        <w:t> </w:t>
      </w:r>
      <w:r>
        <w:rPr>
          <w:w w:val="99"/>
        </w:rPr>
        <w:t>月</w:t>
      </w:r>
      <w:r>
        <w:rPr>
          <w:spacing w:val="-55"/>
        </w:rPr>
        <w:t> </w:t>
      </w:r>
      <w:r>
        <w:rPr>
          <w:rFonts w:ascii="Arial" w:hAnsi="Arial" w:cs="Arial" w:eastAsia="Arial" w:hint="default"/>
          <w:w w:val="99"/>
        </w:rPr>
        <w:t>31</w:t>
      </w:r>
      <w:r>
        <w:rPr>
          <w:rFonts w:ascii="Arial" w:hAnsi="Arial" w:cs="Arial" w:eastAsia="Arial" w:hint="default"/>
          <w:spacing w:val="-6"/>
        </w:rPr>
        <w:t> </w:t>
      </w:r>
      <w:r>
        <w:rPr>
          <w:w w:val="99"/>
        </w:rPr>
        <w:t>日及</w:t>
      </w:r>
      <w:r>
        <w:rPr>
          <w:spacing w:val="-55"/>
        </w:rPr>
        <w:t> </w:t>
      </w:r>
      <w:r>
        <w:rPr>
          <w:rFonts w:ascii="Arial" w:hAnsi="Arial" w:cs="Arial" w:eastAsia="Arial" w:hint="default"/>
          <w:w w:val="99"/>
        </w:rPr>
        <w:t>2011</w:t>
      </w:r>
      <w:r>
        <w:rPr>
          <w:rFonts w:ascii="Arial" w:hAnsi="Arial" w:cs="Arial" w:eastAsia="Arial" w:hint="default"/>
          <w:spacing w:val="-6"/>
        </w:rPr>
        <w:t> </w:t>
      </w:r>
      <w:r>
        <w:rPr>
          <w:w w:val="99"/>
        </w:rPr>
        <w:t>年</w:t>
      </w:r>
      <w:r>
        <w:rPr>
          <w:spacing w:val="-55"/>
        </w:rPr>
        <w:t> </w:t>
      </w:r>
      <w:r>
        <w:rPr>
          <w:rFonts w:ascii="Arial" w:hAnsi="Arial" w:cs="Arial" w:eastAsia="Arial" w:hint="default"/>
          <w:w w:val="99"/>
        </w:rPr>
        <w:t>12</w:t>
      </w:r>
      <w:r>
        <w:rPr>
          <w:rFonts w:ascii="Arial" w:hAnsi="Arial" w:cs="Arial" w:eastAsia="Arial" w:hint="default"/>
          <w:spacing w:val="-6"/>
        </w:rPr>
        <w:t> </w:t>
      </w:r>
      <w:r>
        <w:rPr>
          <w:w w:val="99"/>
        </w:rPr>
        <w:t>月</w:t>
      </w:r>
      <w:r>
        <w:rPr>
          <w:spacing w:val="-55"/>
        </w:rPr>
        <w:t> </w:t>
      </w:r>
      <w:r>
        <w:rPr>
          <w:rFonts w:ascii="Arial" w:hAnsi="Arial" w:cs="Arial" w:eastAsia="Arial" w:hint="default"/>
          <w:w w:val="99"/>
        </w:rPr>
        <w:t>31</w:t>
      </w:r>
      <w:r>
        <w:rPr>
          <w:rFonts w:ascii="Arial" w:hAnsi="Arial" w:cs="Arial" w:eastAsia="Arial" w:hint="default"/>
          <w:spacing w:val="-6"/>
        </w:rPr>
        <w:t> </w:t>
      </w:r>
      <w:r>
        <w:rPr>
          <w:w w:val="99"/>
        </w:rPr>
        <w:t>日</w:t>
      </w:r>
      <w:r>
        <w:rPr>
          <w:spacing w:val="-89"/>
          <w:w w:val="99"/>
        </w:rPr>
        <w:t>，</w:t>
      </w:r>
      <w:r>
        <w:rPr>
          <w:w w:val="99"/>
        </w:rPr>
        <w:t>本集团应付账款中以外币计价的余额并不重大。</w:t>
      </w:r>
      <w:r>
        <w:rPr/>
      </w:r>
    </w:p>
    <w:p>
      <w:pPr>
        <w:pStyle w:val="BodyText"/>
        <w:spacing w:line="240" w:lineRule="auto" w:before="165"/>
        <w:ind w:left="102" w:right="3521"/>
        <w:jc w:val="left"/>
      </w:pPr>
      <w:r>
        <w:rPr>
          <w:rFonts w:ascii="Arial" w:hAnsi="Arial" w:cs="Arial" w:eastAsia="Arial" w:hint="default"/>
        </w:rPr>
        <w:t>20</w:t>
      </w:r>
      <w:r>
        <w:rPr/>
        <w:t>、预收款项</w:t>
      </w:r>
    </w:p>
    <w:p>
      <w:pPr>
        <w:spacing w:line="240" w:lineRule="auto" w:before="12"/>
        <w:rPr>
          <w:rFonts w:ascii="宋体" w:hAnsi="宋体" w:cs="宋体" w:eastAsia="宋体" w:hint="default"/>
          <w:sz w:val="18"/>
          <w:szCs w:val="18"/>
        </w:rPr>
      </w:pPr>
    </w:p>
    <w:tbl>
      <w:tblPr>
        <w:tblW w:w="0" w:type="auto"/>
        <w:jc w:val="left"/>
        <w:tblInd w:w="362" w:type="dxa"/>
        <w:tblLayout w:type="fixed"/>
        <w:tblCellMar>
          <w:top w:w="0" w:type="dxa"/>
          <w:left w:w="0" w:type="dxa"/>
          <w:bottom w:w="0" w:type="dxa"/>
          <w:right w:w="0" w:type="dxa"/>
        </w:tblCellMar>
        <w:tblLook w:val="01E0"/>
      </w:tblPr>
      <w:tblGrid>
        <w:gridCol w:w="4448"/>
        <w:gridCol w:w="2358"/>
        <w:gridCol w:w="108"/>
        <w:gridCol w:w="2304"/>
      </w:tblGrid>
      <w:tr>
        <w:trPr>
          <w:trHeight w:val="261" w:hRule="exact"/>
        </w:trPr>
        <w:tc>
          <w:tcPr>
            <w:tcW w:w="4448" w:type="dxa"/>
            <w:tcBorders>
              <w:top w:val="nil" w:sz="6" w:space="0" w:color="auto"/>
              <w:left w:val="nil" w:sz="6" w:space="0" w:color="auto"/>
              <w:bottom w:val="nil" w:sz="6" w:space="0" w:color="auto"/>
              <w:right w:val="nil" w:sz="6" w:space="0" w:color="auto"/>
            </w:tcBorders>
          </w:tcPr>
          <w:p>
            <w:pPr/>
          </w:p>
        </w:tc>
        <w:tc>
          <w:tcPr>
            <w:tcW w:w="2358" w:type="dxa"/>
            <w:tcBorders>
              <w:top w:val="nil" w:sz="6" w:space="0" w:color="auto"/>
              <w:left w:val="nil" w:sz="6" w:space="0" w:color="auto"/>
              <w:bottom w:val="single" w:sz="6" w:space="0" w:color="000000"/>
              <w:right w:val="nil" w:sz="6" w:space="0" w:color="auto"/>
            </w:tcBorders>
          </w:tcPr>
          <w:p>
            <w:pPr>
              <w:pStyle w:val="TableParagraph"/>
              <w:spacing w:line="235" w:lineRule="exact"/>
              <w:ind w:right="25"/>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08"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single" w:sz="6" w:space="0" w:color="000000"/>
              <w:right w:val="nil" w:sz="6" w:space="0" w:color="auto"/>
            </w:tcBorders>
          </w:tcPr>
          <w:p>
            <w:pPr>
              <w:pStyle w:val="TableParagraph"/>
              <w:spacing w:line="235" w:lineRule="exact"/>
              <w:ind w:left="327"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06" w:hRule="exact"/>
        </w:trPr>
        <w:tc>
          <w:tcPr>
            <w:tcW w:w="4448" w:type="dxa"/>
            <w:tcBorders>
              <w:top w:val="nil" w:sz="6" w:space="0" w:color="auto"/>
              <w:left w:val="nil" w:sz="6" w:space="0" w:color="auto"/>
              <w:bottom w:val="nil" w:sz="6" w:space="0" w:color="auto"/>
              <w:right w:val="nil" w:sz="6" w:space="0" w:color="auto"/>
            </w:tcBorders>
          </w:tcPr>
          <w:p>
            <w:pPr>
              <w:pStyle w:val="TableParagraph"/>
              <w:spacing w:line="240" w:lineRule="auto" w:before="172"/>
              <w:ind w:left="200" w:right="0"/>
              <w:jc w:val="left"/>
              <w:rPr>
                <w:rFonts w:ascii="宋体" w:hAnsi="宋体" w:cs="宋体" w:eastAsia="宋体" w:hint="default"/>
                <w:sz w:val="22"/>
                <w:szCs w:val="22"/>
              </w:rPr>
            </w:pPr>
            <w:r>
              <w:rPr>
                <w:rFonts w:ascii="宋体" w:hAnsi="宋体" w:cs="宋体" w:eastAsia="宋体" w:hint="default"/>
                <w:sz w:val="22"/>
                <w:szCs w:val="22"/>
              </w:rPr>
              <w:t>预收用户预存通信服务费</w:t>
            </w:r>
          </w:p>
        </w:tc>
        <w:tc>
          <w:tcPr>
            <w:tcW w:w="2358"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3"/>
              <w:jc w:val="right"/>
              <w:rPr>
                <w:rFonts w:ascii="Arial" w:hAnsi="Arial" w:cs="Arial" w:eastAsia="Arial" w:hint="default"/>
                <w:sz w:val="22"/>
                <w:szCs w:val="22"/>
              </w:rPr>
            </w:pPr>
            <w:r>
              <w:rPr>
                <w:rFonts w:ascii="Arial"/>
                <w:spacing w:val="-1"/>
                <w:sz w:val="22"/>
              </w:rPr>
              <w:t>41,418,154,692</w:t>
            </w:r>
          </w:p>
        </w:tc>
        <w:tc>
          <w:tcPr>
            <w:tcW w:w="108" w:type="dxa"/>
            <w:tcBorders>
              <w:top w:val="nil" w:sz="6" w:space="0" w:color="auto"/>
              <w:left w:val="nil" w:sz="6" w:space="0" w:color="auto"/>
              <w:bottom w:val="nil" w:sz="6" w:space="0" w:color="auto"/>
              <w:right w:val="nil" w:sz="6" w:space="0" w:color="auto"/>
            </w:tcBorders>
          </w:tcPr>
          <w:p>
            <w:pPr/>
          </w:p>
        </w:tc>
        <w:tc>
          <w:tcPr>
            <w:tcW w:w="2304"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58" w:right="0"/>
              <w:jc w:val="left"/>
              <w:rPr>
                <w:rFonts w:ascii="Arial" w:hAnsi="Arial" w:cs="Arial" w:eastAsia="Arial" w:hint="default"/>
                <w:sz w:val="22"/>
                <w:szCs w:val="22"/>
              </w:rPr>
            </w:pPr>
            <w:r>
              <w:rPr>
                <w:rFonts w:ascii="Arial"/>
                <w:sz w:val="22"/>
              </w:rPr>
              <w:t>34,927,788,432</w:t>
            </w:r>
          </w:p>
        </w:tc>
      </w:tr>
      <w:tr>
        <w:trPr>
          <w:trHeight w:val="285" w:hRule="exact"/>
        </w:trPr>
        <w:tc>
          <w:tcPr>
            <w:tcW w:w="4448"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预收工程款</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2"/>
              <w:jc w:val="right"/>
              <w:rPr>
                <w:rFonts w:ascii="Arial" w:hAnsi="Arial" w:cs="Arial" w:eastAsia="Arial" w:hint="default"/>
                <w:sz w:val="22"/>
                <w:szCs w:val="22"/>
              </w:rPr>
            </w:pPr>
            <w:r>
              <w:rPr>
                <w:rFonts w:ascii="Arial"/>
                <w:w w:val="95"/>
                <w:sz w:val="22"/>
              </w:rPr>
              <w:t>296,691,910</w:t>
            </w:r>
            <w:r>
              <w:rPr>
                <w:rFonts w:ascii="Arial"/>
                <w:sz w:val="22"/>
              </w:rPr>
            </w:r>
          </w:p>
        </w:tc>
        <w:tc>
          <w:tcPr>
            <w:tcW w:w="108"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64" w:right="0"/>
              <w:jc w:val="left"/>
              <w:rPr>
                <w:rFonts w:ascii="Arial" w:hAnsi="Arial" w:cs="Arial" w:eastAsia="Arial" w:hint="default"/>
                <w:sz w:val="22"/>
                <w:szCs w:val="22"/>
              </w:rPr>
            </w:pPr>
            <w:r>
              <w:rPr>
                <w:rFonts w:ascii="Arial"/>
                <w:sz w:val="22"/>
              </w:rPr>
              <w:t>220,744,415</w:t>
            </w:r>
          </w:p>
        </w:tc>
      </w:tr>
      <w:tr>
        <w:trPr>
          <w:trHeight w:val="286" w:hRule="exact"/>
        </w:trPr>
        <w:tc>
          <w:tcPr>
            <w:tcW w:w="4448"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z w:val="22"/>
                <w:szCs w:val="22"/>
              </w:rPr>
              <w:t>递延收益流动部分（附注五</w:t>
            </w:r>
            <w:r>
              <w:rPr>
                <w:rFonts w:ascii="Arial" w:hAnsi="Arial" w:cs="Arial" w:eastAsia="Arial" w:hint="default"/>
                <w:sz w:val="22"/>
                <w:szCs w:val="22"/>
              </w:rPr>
              <w:t>(30)</w:t>
            </w:r>
            <w:r>
              <w:rPr>
                <w:rFonts w:ascii="宋体" w:hAnsi="宋体" w:cs="宋体" w:eastAsia="宋体" w:hint="default"/>
                <w:sz w:val="22"/>
                <w:szCs w:val="22"/>
              </w:rPr>
              <w:t>）</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2"/>
              <w:jc w:val="right"/>
              <w:rPr>
                <w:rFonts w:ascii="Arial" w:hAnsi="Arial" w:cs="Arial" w:eastAsia="Arial" w:hint="default"/>
                <w:sz w:val="22"/>
                <w:szCs w:val="22"/>
              </w:rPr>
            </w:pPr>
            <w:r>
              <w:rPr>
                <w:rFonts w:ascii="Arial"/>
                <w:w w:val="95"/>
                <w:sz w:val="22"/>
              </w:rPr>
              <w:t>728,637,450</w:t>
            </w:r>
            <w:r>
              <w:rPr>
                <w:rFonts w:ascii="Arial"/>
                <w:sz w:val="22"/>
              </w:rPr>
            </w:r>
          </w:p>
        </w:tc>
        <w:tc>
          <w:tcPr>
            <w:tcW w:w="108"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64" w:right="0"/>
              <w:jc w:val="left"/>
              <w:rPr>
                <w:rFonts w:ascii="Arial" w:hAnsi="Arial" w:cs="Arial" w:eastAsia="Arial" w:hint="default"/>
                <w:sz w:val="22"/>
                <w:szCs w:val="22"/>
              </w:rPr>
            </w:pPr>
            <w:r>
              <w:rPr>
                <w:rFonts w:ascii="Arial"/>
                <w:sz w:val="22"/>
              </w:rPr>
              <w:t>881,652,188</w:t>
            </w:r>
          </w:p>
        </w:tc>
      </w:tr>
      <w:tr>
        <w:trPr>
          <w:trHeight w:val="394" w:hRule="exact"/>
        </w:trPr>
        <w:tc>
          <w:tcPr>
            <w:tcW w:w="4448"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358" w:type="dxa"/>
            <w:tcBorders>
              <w:top w:val="nil" w:sz="6" w:space="0" w:color="auto"/>
              <w:left w:val="nil" w:sz="6" w:space="0" w:color="auto"/>
              <w:bottom w:val="nil" w:sz="6" w:space="0" w:color="auto"/>
              <w:right w:val="nil" w:sz="6" w:space="0" w:color="auto"/>
            </w:tcBorders>
          </w:tcPr>
          <w:p>
            <w:pPr>
              <w:pStyle w:val="TableParagraph"/>
              <w:tabs>
                <w:tab w:pos="1089" w:val="left" w:leader="none"/>
              </w:tabs>
              <w:spacing w:line="240" w:lineRule="auto" w:before="17"/>
              <w:ind w:right="42"/>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639,691,657</w:t>
            </w:r>
            <w:r>
              <w:rPr>
                <w:rFonts w:ascii="Arial"/>
                <w:w w:val="95"/>
                <w:sz w:val="22"/>
              </w:rPr>
            </w:r>
            <w:r>
              <w:rPr>
                <w:rFonts w:ascii="Arial"/>
                <w:sz w:val="22"/>
              </w:rPr>
            </w:r>
          </w:p>
        </w:tc>
        <w:tc>
          <w:tcPr>
            <w:tcW w:w="108"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tabs>
                <w:tab w:pos="964" w:val="left" w:leader="none"/>
                <w:tab w:pos="2303" w:val="left" w:leader="none"/>
              </w:tabs>
              <w:spacing w:line="240" w:lineRule="auto" w:before="17"/>
              <w:ind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590,519,850</w:t>
              <w:tab/>
            </w:r>
            <w:r>
              <w:rPr>
                <w:rFonts w:ascii="Arial"/>
                <w:sz w:val="22"/>
              </w:rPr>
            </w:r>
          </w:p>
        </w:tc>
      </w:tr>
      <w:tr>
        <w:trPr>
          <w:trHeight w:val="404" w:hRule="exact"/>
        </w:trPr>
        <w:tc>
          <w:tcPr>
            <w:tcW w:w="444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58"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right="43"/>
              <w:jc w:val="right"/>
              <w:rPr>
                <w:rFonts w:ascii="Arial" w:hAnsi="Arial" w:cs="Arial" w:eastAsia="Arial" w:hint="default"/>
                <w:sz w:val="22"/>
                <w:szCs w:val="22"/>
              </w:rPr>
            </w:pPr>
            <w:r>
              <w:rPr>
                <w:rFonts w:ascii="Arial"/>
                <w:spacing w:val="-1"/>
                <w:sz w:val="22"/>
              </w:rPr>
              <w:t>43,083,175,709</w:t>
            </w:r>
          </w:p>
        </w:tc>
        <w:tc>
          <w:tcPr>
            <w:tcW w:w="108"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single" w:sz="17" w:space="0" w:color="000000"/>
              <w:right w:val="nil" w:sz="6" w:space="0" w:color="auto"/>
            </w:tcBorders>
          </w:tcPr>
          <w:p>
            <w:pPr>
              <w:pStyle w:val="TableParagraph"/>
              <w:spacing w:line="240" w:lineRule="auto" w:before="125"/>
              <w:ind w:left="658" w:right="0"/>
              <w:jc w:val="left"/>
              <w:rPr>
                <w:rFonts w:ascii="Arial" w:hAnsi="Arial" w:cs="Arial" w:eastAsia="Arial" w:hint="default"/>
                <w:sz w:val="22"/>
                <w:szCs w:val="22"/>
              </w:rPr>
            </w:pPr>
            <w:r>
              <w:rPr>
                <w:rFonts w:ascii="Arial"/>
                <w:sz w:val="22"/>
              </w:rPr>
              <w:t>36,620,704,885</w:t>
            </w:r>
          </w:p>
        </w:tc>
      </w:tr>
    </w:tbl>
    <w:p>
      <w:pPr>
        <w:spacing w:line="240" w:lineRule="auto" w:before="11"/>
        <w:rPr>
          <w:rFonts w:ascii="宋体" w:hAnsi="宋体" w:cs="宋体" w:eastAsia="宋体" w:hint="default"/>
          <w:sz w:val="8"/>
          <w:szCs w:val="8"/>
        </w:rPr>
      </w:pPr>
    </w:p>
    <w:p>
      <w:pPr>
        <w:pStyle w:val="BodyText"/>
        <w:spacing w:line="286" w:lineRule="exact" w:before="60"/>
        <w:ind w:left="522" w:right="0" w:hanging="420"/>
        <w:jc w:val="left"/>
      </w:pPr>
      <w:r>
        <w:rPr>
          <w:rFonts w:ascii="Arial" w:hAnsi="Arial" w:cs="Arial" w:eastAsia="Arial" w:hint="default"/>
        </w:rPr>
        <w:t>(a)</w:t>
      </w:r>
      <w:r>
        <w:rPr>
          <w:rFonts w:ascii="Arial" w:hAnsi="Arial" w:cs="Arial" w:eastAsia="Arial" w:hint="default"/>
          <w:spacing w:val="11"/>
        </w:rPr>
        <w:t> </w:t>
      </w:r>
      <w:r>
        <w:rPr/>
        <w:t>于</w:t>
      </w:r>
      <w:r>
        <w:rPr>
          <w:spacing w:val="-62"/>
        </w:rPr>
        <w:t> </w:t>
      </w:r>
      <w:r>
        <w:rPr>
          <w:rFonts w:ascii="Arial" w:hAnsi="Arial" w:cs="Arial" w:eastAsia="Arial" w:hint="default"/>
        </w:rPr>
        <w:t>2012</w:t>
      </w:r>
      <w:r>
        <w:rPr>
          <w:rFonts w:ascii="Arial" w:hAnsi="Arial" w:cs="Arial" w:eastAsia="Arial" w:hint="default"/>
          <w:spacing w:val="-13"/>
        </w:rPr>
        <w:t> </w:t>
      </w:r>
      <w:r>
        <w:rPr/>
        <w:t>年</w:t>
      </w:r>
      <w:r>
        <w:rPr>
          <w:spacing w:val="-62"/>
        </w:rPr>
        <w:t> </w:t>
      </w:r>
      <w:r>
        <w:rPr>
          <w:rFonts w:ascii="Arial" w:hAnsi="Arial" w:cs="Arial" w:eastAsia="Arial" w:hint="default"/>
        </w:rPr>
        <w:t>12</w:t>
      </w:r>
      <w:r>
        <w:rPr>
          <w:rFonts w:ascii="Arial" w:hAnsi="Arial" w:cs="Arial" w:eastAsia="Arial" w:hint="default"/>
          <w:spacing w:val="-13"/>
        </w:rPr>
        <w:t> </w:t>
      </w:r>
      <w:r>
        <w:rPr/>
        <w:t>月</w:t>
      </w:r>
      <w:r>
        <w:rPr>
          <w:spacing w:val="-62"/>
        </w:rPr>
        <w:t> </w:t>
      </w:r>
      <w:r>
        <w:rPr>
          <w:rFonts w:ascii="Arial" w:hAnsi="Arial" w:cs="Arial" w:eastAsia="Arial" w:hint="default"/>
        </w:rPr>
        <w:t>31</w:t>
      </w:r>
      <w:r>
        <w:rPr>
          <w:rFonts w:ascii="Arial" w:hAnsi="Arial" w:cs="Arial" w:eastAsia="Arial" w:hint="default"/>
          <w:spacing w:val="-13"/>
        </w:rPr>
        <w:t> </w:t>
      </w:r>
      <w:r>
        <w:rPr/>
        <w:t>日，预收款项中无预收持有本公司</w:t>
      </w:r>
      <w:r>
        <w:rPr>
          <w:spacing w:val="-61"/>
        </w:rPr>
        <w:t> </w:t>
      </w:r>
      <w:r>
        <w:rPr>
          <w:rFonts w:ascii="Arial" w:hAnsi="Arial" w:cs="Arial" w:eastAsia="Arial" w:hint="default"/>
          <w:spacing w:val="-7"/>
        </w:rPr>
        <w:t>5%</w:t>
      </w:r>
      <w:r>
        <w:rPr>
          <w:spacing w:val="-7"/>
        </w:rPr>
        <w:t>（含</w:t>
      </w:r>
      <w:r>
        <w:rPr>
          <w:spacing w:val="-62"/>
        </w:rPr>
        <w:t> </w:t>
      </w:r>
      <w:r>
        <w:rPr>
          <w:rFonts w:ascii="Arial" w:hAnsi="Arial" w:cs="Arial" w:eastAsia="Arial" w:hint="default"/>
        </w:rPr>
        <w:t>5%</w:t>
      </w:r>
      <w:r>
        <w:rPr/>
        <w:t>）以上表决权股份股东的款</w:t>
      </w:r>
      <w:r>
        <w:rPr>
          <w:w w:val="99"/>
        </w:rPr>
        <w:t> </w:t>
      </w:r>
      <w:r>
        <w:rPr/>
        <w:t>项。</w:t>
      </w:r>
    </w:p>
    <w:p>
      <w:pPr>
        <w:pStyle w:val="BodyText"/>
        <w:spacing w:line="240" w:lineRule="auto" w:before="155"/>
        <w:ind w:left="102" w:right="3521"/>
        <w:jc w:val="left"/>
      </w:pPr>
      <w:r>
        <w:rPr>
          <w:rFonts w:ascii="Arial" w:hAnsi="Arial" w:cs="Arial" w:eastAsia="Arial" w:hint="default"/>
        </w:rPr>
        <w:t>(b) </w:t>
      </w:r>
      <w:r>
        <w:rPr>
          <w:rFonts w:ascii="Arial" w:hAnsi="Arial" w:cs="Arial" w:eastAsia="Arial" w:hint="default"/>
          <w:spacing w:val="23"/>
        </w:rPr>
        <w:t> </w:t>
      </w:r>
      <w:r>
        <w:rPr/>
        <w:t>于</w:t>
      </w:r>
      <w:r>
        <w:rPr>
          <w:spacing w:val="-57"/>
        </w:rPr>
        <w:t> </w:t>
      </w:r>
      <w:r>
        <w:rPr>
          <w:rFonts w:ascii="Arial" w:hAnsi="Arial" w:cs="Arial" w:eastAsia="Arial" w:hint="default"/>
        </w:rPr>
        <w:t>2012</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日，预收款项中无预收关联方的款项。</w:t>
      </w:r>
    </w:p>
    <w:p>
      <w:pPr>
        <w:pStyle w:val="BodyText"/>
        <w:spacing w:line="295" w:lineRule="exact" w:before="165"/>
        <w:ind w:left="102" w:right="0"/>
        <w:jc w:val="left"/>
      </w:pPr>
      <w:r>
        <w:rPr>
          <w:rFonts w:ascii="Arial" w:hAnsi="Arial" w:cs="Arial" w:eastAsia="Arial" w:hint="default"/>
        </w:rPr>
        <w:t>(c) </w:t>
      </w:r>
      <w:r>
        <w:rPr>
          <w:rFonts w:ascii="Arial" w:hAnsi="Arial" w:cs="Arial" w:eastAsia="Arial" w:hint="default"/>
          <w:spacing w:val="38"/>
        </w:rPr>
        <w:t> </w:t>
      </w:r>
      <w:r>
        <w:rPr/>
        <w:t>于</w:t>
      </w:r>
      <w:r>
        <w:rPr>
          <w:spacing w:val="-55"/>
        </w:rPr>
        <w:t> </w:t>
      </w:r>
      <w:r>
        <w:rPr>
          <w:rFonts w:ascii="Arial" w:hAnsi="Arial" w:cs="Arial" w:eastAsia="Arial" w:hint="default"/>
        </w:rPr>
        <w:t>2012</w:t>
      </w:r>
      <w:r>
        <w:rPr>
          <w:rFonts w:ascii="Arial" w:hAnsi="Arial" w:cs="Arial" w:eastAsia="Arial" w:hint="default"/>
          <w:spacing w:val="-5"/>
        </w:rPr>
        <w:t> </w:t>
      </w:r>
      <w:r>
        <w:rPr/>
        <w:t>年</w:t>
      </w:r>
      <w:r>
        <w:rPr>
          <w:spacing w:val="-55"/>
        </w:rPr>
        <w:t> </w:t>
      </w:r>
      <w:r>
        <w:rPr>
          <w:rFonts w:ascii="Arial" w:hAnsi="Arial" w:cs="Arial" w:eastAsia="Arial" w:hint="default"/>
        </w:rPr>
        <w:t>12</w:t>
      </w:r>
      <w:r>
        <w:rPr>
          <w:rFonts w:ascii="Arial" w:hAnsi="Arial" w:cs="Arial" w:eastAsia="Arial" w:hint="default"/>
          <w:spacing w:val="-6"/>
        </w:rPr>
        <w:t> </w:t>
      </w:r>
      <w:r>
        <w:rPr/>
        <w:t>月</w:t>
      </w:r>
      <w:r>
        <w:rPr>
          <w:spacing w:val="-55"/>
        </w:rPr>
        <w:t> </w:t>
      </w:r>
      <w:r>
        <w:rPr>
          <w:rFonts w:ascii="Arial" w:hAnsi="Arial" w:cs="Arial" w:eastAsia="Arial" w:hint="default"/>
        </w:rPr>
        <w:t>31</w:t>
      </w:r>
      <w:r>
        <w:rPr>
          <w:rFonts w:ascii="Arial" w:hAnsi="Arial" w:cs="Arial" w:eastAsia="Arial" w:hint="default"/>
          <w:spacing w:val="-6"/>
        </w:rPr>
        <w:t> </w:t>
      </w:r>
      <w:r>
        <w:rPr/>
        <w:t>日，账龄超过</w:t>
      </w:r>
      <w:r>
        <w:rPr>
          <w:spacing w:val="-55"/>
        </w:rPr>
        <w:t> </w:t>
      </w:r>
      <w:r>
        <w:rPr>
          <w:rFonts w:ascii="Arial" w:hAnsi="Arial" w:cs="Arial" w:eastAsia="Arial" w:hint="default"/>
        </w:rPr>
        <w:t>1</w:t>
      </w:r>
      <w:r>
        <w:rPr>
          <w:rFonts w:ascii="Arial" w:hAnsi="Arial" w:cs="Arial" w:eastAsia="Arial" w:hint="default"/>
          <w:spacing w:val="-6"/>
        </w:rPr>
        <w:t> </w:t>
      </w:r>
      <w:r>
        <w:rPr/>
        <w:t>年的预收款项约人民币</w:t>
      </w:r>
      <w:r>
        <w:rPr>
          <w:spacing w:val="-53"/>
        </w:rPr>
        <w:t> </w:t>
      </w:r>
      <w:r>
        <w:rPr>
          <w:rFonts w:ascii="Arial" w:hAnsi="Arial" w:cs="Arial" w:eastAsia="Arial" w:hint="default"/>
        </w:rPr>
        <w:t>5.98</w:t>
      </w:r>
      <w:r>
        <w:rPr>
          <w:rFonts w:ascii="Arial" w:hAnsi="Arial" w:cs="Arial" w:eastAsia="Arial" w:hint="default"/>
          <w:spacing w:val="-6"/>
        </w:rPr>
        <w:t> </w:t>
      </w:r>
      <w:r>
        <w:rPr/>
        <w:t>亿元（</w:t>
      </w:r>
      <w:r>
        <w:rPr>
          <w:rFonts w:ascii="Arial" w:hAnsi="Arial" w:cs="Arial" w:eastAsia="Arial" w:hint="default"/>
        </w:rPr>
        <w:t>2011</w:t>
      </w:r>
      <w:r>
        <w:rPr>
          <w:rFonts w:ascii="Arial" w:hAnsi="Arial" w:cs="Arial" w:eastAsia="Arial" w:hint="default"/>
          <w:spacing w:val="-6"/>
        </w:rPr>
        <w:t> </w:t>
      </w:r>
      <w:r>
        <w:rPr/>
        <w:t>年</w:t>
      </w:r>
      <w:r>
        <w:rPr>
          <w:spacing w:val="-55"/>
        </w:rPr>
        <w:t> </w:t>
      </w:r>
      <w:r>
        <w:rPr>
          <w:rFonts w:ascii="Arial" w:hAnsi="Arial" w:cs="Arial" w:eastAsia="Arial" w:hint="default"/>
        </w:rPr>
        <w:t>12</w:t>
      </w:r>
      <w:r>
        <w:rPr>
          <w:rFonts w:ascii="Arial" w:hAnsi="Arial" w:cs="Arial" w:eastAsia="Arial" w:hint="default"/>
          <w:spacing w:val="-7"/>
        </w:rPr>
        <w:t> </w:t>
      </w:r>
      <w:r>
        <w:rPr/>
        <w:t>月</w:t>
      </w:r>
      <w:r>
        <w:rPr>
          <w:spacing w:val="-55"/>
        </w:rPr>
        <w:t> </w:t>
      </w:r>
      <w:r>
        <w:rPr>
          <w:rFonts w:ascii="Arial" w:hAnsi="Arial" w:cs="Arial" w:eastAsia="Arial" w:hint="default"/>
        </w:rPr>
        <w:t>31</w:t>
      </w:r>
      <w:r>
        <w:rPr>
          <w:rFonts w:ascii="Arial" w:hAnsi="Arial" w:cs="Arial" w:eastAsia="Arial" w:hint="default"/>
          <w:spacing w:val="-6"/>
        </w:rPr>
        <w:t> </w:t>
      </w:r>
      <w:r>
        <w:rPr/>
        <w:t>日：</w:t>
      </w:r>
    </w:p>
    <w:p>
      <w:pPr>
        <w:pStyle w:val="BodyText"/>
        <w:spacing w:line="286" w:lineRule="exact"/>
        <w:ind w:left="522" w:right="0"/>
        <w:jc w:val="left"/>
      </w:pPr>
      <w:r>
        <w:rPr/>
        <w:t>约人民币</w:t>
      </w:r>
      <w:r>
        <w:rPr>
          <w:spacing w:val="-79"/>
        </w:rPr>
        <w:t> </w:t>
      </w:r>
      <w:r>
        <w:rPr>
          <w:rFonts w:ascii="Arial" w:hAnsi="Arial" w:cs="Arial" w:eastAsia="Arial" w:hint="default"/>
        </w:rPr>
        <w:t>5.50</w:t>
      </w:r>
      <w:r>
        <w:rPr>
          <w:rFonts w:ascii="Arial" w:hAnsi="Arial" w:cs="Arial" w:eastAsia="Arial" w:hint="default"/>
          <w:spacing w:val="-30"/>
        </w:rPr>
        <w:t> </w:t>
      </w:r>
      <w:r>
        <w:rPr/>
        <w:t>亿元），这些预收款主要为部分用户交纳的未消费完毕的预存通信服务费，属于</w:t>
      </w:r>
    </w:p>
    <w:p>
      <w:pPr>
        <w:pStyle w:val="BodyText"/>
        <w:spacing w:line="295" w:lineRule="exact"/>
        <w:ind w:left="522" w:right="0"/>
        <w:jc w:val="left"/>
      </w:pPr>
      <w:r>
        <w:rPr>
          <w:w w:val="99"/>
        </w:rPr>
        <w:t>正常情况结余的预收款项</w:t>
      </w:r>
      <w:r>
        <w:rPr>
          <w:spacing w:val="-104"/>
          <w:w w:val="99"/>
        </w:rPr>
        <w:t>。</w:t>
      </w:r>
      <w:r>
        <w:rPr>
          <w:w w:val="99"/>
        </w:rPr>
        <w:t>于</w:t>
      </w:r>
      <w:r>
        <w:rPr>
          <w:spacing w:val="-54"/>
        </w:rPr>
        <w:t> </w:t>
      </w:r>
      <w:r>
        <w:rPr>
          <w:rFonts w:ascii="Arial" w:hAnsi="Arial" w:cs="Arial" w:eastAsia="Arial" w:hint="default"/>
          <w:w w:val="99"/>
        </w:rPr>
        <w:t>2012</w:t>
      </w:r>
      <w:r>
        <w:rPr>
          <w:rFonts w:ascii="Arial" w:hAnsi="Arial" w:cs="Arial" w:eastAsia="Arial" w:hint="default"/>
          <w:spacing w:val="-5"/>
        </w:rPr>
        <w:t> </w:t>
      </w:r>
      <w:r>
        <w:rPr>
          <w:w w:val="99"/>
        </w:rPr>
        <w:t>年度及以后年度</w:t>
      </w:r>
      <w:r>
        <w:rPr>
          <w:spacing w:val="-102"/>
          <w:w w:val="99"/>
        </w:rPr>
        <w:t>，</w:t>
      </w:r>
      <w:r>
        <w:rPr>
          <w:w w:val="99"/>
        </w:rPr>
        <w:t>此部分预收款项将随着服务的提供而结转。</w:t>
      </w:r>
      <w:r>
        <w:rPr/>
      </w:r>
    </w:p>
    <w:p>
      <w:pPr>
        <w:pStyle w:val="BodyText"/>
        <w:spacing w:line="240" w:lineRule="auto" w:before="165"/>
        <w:ind w:left="102" w:right="0"/>
        <w:jc w:val="left"/>
      </w:pPr>
      <w:r>
        <w:rPr>
          <w:rFonts w:ascii="Arial" w:hAnsi="Arial" w:cs="Arial" w:eastAsia="Arial" w:hint="default"/>
        </w:rPr>
        <w:t>(d) </w:t>
      </w:r>
      <w:r>
        <w:rPr>
          <w:rFonts w:ascii="Arial" w:hAnsi="Arial" w:cs="Arial" w:eastAsia="Arial" w:hint="default"/>
          <w:spacing w:val="14"/>
        </w:rPr>
        <w:t> </w:t>
      </w:r>
      <w:r>
        <w:rPr/>
        <w:t>于</w:t>
      </w:r>
      <w:r>
        <w:rPr>
          <w:spacing w:val="-56"/>
        </w:rPr>
        <w:t> </w:t>
      </w:r>
      <w:r>
        <w:rPr>
          <w:rFonts w:ascii="Arial" w:hAnsi="Arial" w:cs="Arial" w:eastAsia="Arial" w:hint="default"/>
        </w:rPr>
        <w:t>2012</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日及</w:t>
      </w:r>
      <w:r>
        <w:rPr>
          <w:spacing w:val="-56"/>
        </w:rPr>
        <w:t> </w:t>
      </w:r>
      <w:r>
        <w:rPr>
          <w:rFonts w:ascii="Arial" w:hAnsi="Arial" w:cs="Arial" w:eastAsia="Arial" w:hint="default"/>
        </w:rPr>
        <w:t>2011</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spacing w:val="-4"/>
        </w:rPr>
        <w:t>日，本集团预收款项中以外币计价的余额并不重大。</w:t>
      </w:r>
    </w:p>
    <w:p>
      <w:pPr>
        <w:spacing w:after="0" w:line="240" w:lineRule="auto"/>
        <w:jc w:val="left"/>
        <w:sectPr>
          <w:headerReference w:type="default" r:id="rId102"/>
          <w:pgSz w:w="11910" w:h="16840"/>
          <w:pgMar w:header="1184" w:footer="457" w:top="3040" w:bottom="640" w:left="1280" w:right="800"/>
        </w:sectPr>
      </w:pPr>
    </w:p>
    <w:p>
      <w:pPr>
        <w:spacing w:line="240" w:lineRule="auto" w:before="12"/>
        <w:rPr>
          <w:rFonts w:ascii="宋体" w:hAnsi="宋体" w:cs="宋体" w:eastAsia="宋体" w:hint="default"/>
          <w:sz w:val="14"/>
          <w:szCs w:val="14"/>
        </w:rPr>
      </w:pPr>
    </w:p>
    <w:p>
      <w:pPr>
        <w:pStyle w:val="BodyText"/>
        <w:spacing w:line="240" w:lineRule="auto" w:before="31"/>
        <w:ind w:left="102" w:right="122"/>
        <w:jc w:val="left"/>
      </w:pPr>
      <w:r>
        <w:rPr>
          <w:rFonts w:ascii="Arial" w:hAnsi="Arial" w:cs="Arial" w:eastAsia="Arial" w:hint="default"/>
        </w:rPr>
        <w:t>21</w:t>
      </w:r>
      <w:r>
        <w:rPr/>
        <w:t>、应付职工薪酬</w:t>
      </w:r>
    </w:p>
    <w:p>
      <w:pPr>
        <w:spacing w:line="240" w:lineRule="auto" w:before="0"/>
        <w:rPr>
          <w:rFonts w:ascii="宋体" w:hAnsi="宋体" w:cs="宋体" w:eastAsia="宋体" w:hint="default"/>
          <w:sz w:val="23"/>
          <w:szCs w:val="23"/>
        </w:rPr>
      </w:pPr>
    </w:p>
    <w:tbl>
      <w:tblPr>
        <w:tblW w:w="0" w:type="auto"/>
        <w:jc w:val="left"/>
        <w:tblInd w:w="395" w:type="dxa"/>
        <w:tblLayout w:type="fixed"/>
        <w:tblCellMar>
          <w:top w:w="0" w:type="dxa"/>
          <w:left w:w="0" w:type="dxa"/>
          <w:bottom w:w="0" w:type="dxa"/>
          <w:right w:w="0" w:type="dxa"/>
        </w:tblCellMar>
        <w:tblLook w:val="01E0"/>
      </w:tblPr>
      <w:tblGrid>
        <w:gridCol w:w="2791"/>
        <w:gridCol w:w="1498"/>
        <w:gridCol w:w="1638"/>
        <w:gridCol w:w="1781"/>
        <w:gridCol w:w="1504"/>
      </w:tblGrid>
      <w:tr>
        <w:trPr>
          <w:trHeight w:val="496" w:hRule="exact"/>
        </w:trPr>
        <w:tc>
          <w:tcPr>
            <w:tcW w:w="2791"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single" w:sz="6" w:space="0" w:color="000000"/>
              <w:right w:val="nil" w:sz="6" w:space="0" w:color="auto"/>
            </w:tcBorders>
          </w:tcPr>
          <w:p>
            <w:pPr>
              <w:pStyle w:val="TableParagraph"/>
              <w:spacing w:line="206" w:lineRule="exact"/>
              <w:ind w:left="756"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p>
          <w:p>
            <w:pPr>
              <w:pStyle w:val="TableParagraph"/>
              <w:spacing w:line="268" w:lineRule="exact"/>
              <w:ind w:left="456"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1638" w:type="dxa"/>
            <w:tcBorders>
              <w:top w:val="nil" w:sz="6" w:space="0" w:color="auto"/>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20"/>
                <w:szCs w:val="20"/>
              </w:rPr>
            </w:pPr>
            <w:r>
              <w:rPr>
                <w:rFonts w:ascii="宋体" w:hAnsi="宋体" w:cs="宋体" w:eastAsia="宋体" w:hint="default"/>
                <w:sz w:val="20"/>
                <w:szCs w:val="20"/>
              </w:rPr>
              <w:t>本年计提</w:t>
            </w:r>
            <w:r>
              <w:rPr>
                <w:rFonts w:ascii="Arial" w:hAnsi="Arial" w:cs="Arial" w:eastAsia="Arial" w:hint="default"/>
                <w:sz w:val="20"/>
                <w:szCs w:val="20"/>
              </w:rPr>
              <w:t>/</w:t>
            </w:r>
            <w:r>
              <w:rPr>
                <w:rFonts w:ascii="宋体" w:hAnsi="宋体" w:cs="宋体" w:eastAsia="宋体" w:hint="default"/>
                <w:sz w:val="20"/>
                <w:szCs w:val="20"/>
              </w:rPr>
              <w:t>转入</w:t>
            </w:r>
          </w:p>
        </w:tc>
        <w:tc>
          <w:tcPr>
            <w:tcW w:w="1781" w:type="dxa"/>
            <w:tcBorders>
              <w:top w:val="nil" w:sz="6" w:space="0" w:color="auto"/>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90" w:right="0"/>
              <w:jc w:val="left"/>
              <w:rPr>
                <w:rFonts w:ascii="宋体" w:hAnsi="宋体" w:cs="宋体" w:eastAsia="宋体" w:hint="default"/>
                <w:sz w:val="20"/>
                <w:szCs w:val="20"/>
              </w:rPr>
            </w:pPr>
            <w:r>
              <w:rPr>
                <w:rFonts w:ascii="宋体" w:hAnsi="宋体" w:cs="宋体" w:eastAsia="宋体" w:hint="default"/>
                <w:sz w:val="20"/>
                <w:szCs w:val="20"/>
              </w:rPr>
              <w:t>本年支付</w:t>
            </w:r>
            <w:r>
              <w:rPr>
                <w:rFonts w:ascii="Arial" w:hAnsi="Arial" w:cs="Arial" w:eastAsia="Arial" w:hint="default"/>
                <w:sz w:val="20"/>
                <w:szCs w:val="20"/>
              </w:rPr>
              <w:t>/</w:t>
            </w:r>
            <w:r>
              <w:rPr>
                <w:rFonts w:ascii="宋体" w:hAnsi="宋体" w:cs="宋体" w:eastAsia="宋体" w:hint="default"/>
                <w:sz w:val="20"/>
                <w:szCs w:val="20"/>
              </w:rPr>
              <w:t>缴存</w:t>
            </w:r>
          </w:p>
        </w:tc>
        <w:tc>
          <w:tcPr>
            <w:tcW w:w="1504" w:type="dxa"/>
            <w:tcBorders>
              <w:top w:val="nil" w:sz="6" w:space="0" w:color="auto"/>
              <w:left w:val="nil" w:sz="6" w:space="0" w:color="auto"/>
              <w:bottom w:val="single" w:sz="6" w:space="0" w:color="000000"/>
              <w:right w:val="nil" w:sz="6" w:space="0" w:color="auto"/>
            </w:tcBorders>
          </w:tcPr>
          <w:p>
            <w:pPr>
              <w:pStyle w:val="TableParagraph"/>
              <w:spacing w:line="206" w:lineRule="exact"/>
              <w:ind w:left="767"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p>
          <w:p>
            <w:pPr>
              <w:pStyle w:val="TableParagraph"/>
              <w:spacing w:line="268" w:lineRule="exact"/>
              <w:ind w:left="467"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r>
      <w:tr>
        <w:trPr>
          <w:trHeight w:val="508" w:hRule="exact"/>
        </w:trPr>
        <w:tc>
          <w:tcPr>
            <w:tcW w:w="27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20"/>
                <w:szCs w:val="20"/>
              </w:rPr>
            </w:pPr>
            <w:r>
              <w:rPr>
                <w:rFonts w:ascii="宋体" w:hAnsi="宋体" w:cs="宋体" w:eastAsia="宋体" w:hint="default"/>
                <w:sz w:val="20"/>
                <w:szCs w:val="20"/>
              </w:rPr>
              <w:t>工资、奖金、津贴和补贴</w:t>
            </w:r>
          </w:p>
        </w:tc>
        <w:tc>
          <w:tcPr>
            <w:tcW w:w="1498"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11" w:right="0"/>
              <w:jc w:val="left"/>
              <w:rPr>
                <w:rFonts w:ascii="Arial" w:hAnsi="Arial" w:cs="Arial" w:eastAsia="Arial" w:hint="default"/>
                <w:sz w:val="20"/>
                <w:szCs w:val="20"/>
              </w:rPr>
            </w:pPr>
            <w:r>
              <w:rPr>
                <w:rFonts w:ascii="Arial"/>
                <w:sz w:val="20"/>
              </w:rPr>
              <w:t>530,767,027</w:t>
            </w:r>
          </w:p>
        </w:tc>
        <w:tc>
          <w:tcPr>
            <w:tcW w:w="1638"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Arial" w:hAnsi="Arial" w:cs="Arial" w:eastAsia="Arial" w:hint="default"/>
                <w:sz w:val="20"/>
                <w:szCs w:val="20"/>
              </w:rPr>
            </w:pPr>
            <w:r>
              <w:rPr>
                <w:rFonts w:ascii="Arial"/>
                <w:sz w:val="20"/>
              </w:rPr>
              <w:t>19,996,087,460</w:t>
            </w:r>
          </w:p>
        </w:tc>
        <w:tc>
          <w:tcPr>
            <w:tcW w:w="1781"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8" w:right="0"/>
              <w:jc w:val="left"/>
              <w:rPr>
                <w:rFonts w:ascii="Arial" w:hAnsi="Arial" w:cs="Arial" w:eastAsia="Arial" w:hint="default"/>
                <w:sz w:val="20"/>
                <w:szCs w:val="20"/>
              </w:rPr>
            </w:pPr>
            <w:r>
              <w:rPr>
                <w:rFonts w:ascii="Arial"/>
                <w:sz w:val="20"/>
              </w:rPr>
              <w:t>(19,709,472,446)</w:t>
            </w:r>
          </w:p>
        </w:tc>
        <w:tc>
          <w:tcPr>
            <w:tcW w:w="1504"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02" w:right="0"/>
              <w:jc w:val="left"/>
              <w:rPr>
                <w:rFonts w:ascii="Arial" w:hAnsi="Arial" w:cs="Arial" w:eastAsia="Arial" w:hint="default"/>
                <w:sz w:val="20"/>
                <w:szCs w:val="20"/>
              </w:rPr>
            </w:pPr>
            <w:r>
              <w:rPr>
                <w:rFonts w:ascii="Arial"/>
                <w:sz w:val="20"/>
              </w:rPr>
              <w:t>817,382,041</w:t>
            </w:r>
          </w:p>
        </w:tc>
      </w:tr>
      <w:tr>
        <w:trPr>
          <w:trHeight w:val="259" w:hRule="exact"/>
        </w:trPr>
        <w:tc>
          <w:tcPr>
            <w:tcW w:w="2791"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宋体" w:hAnsi="宋体" w:cs="宋体" w:eastAsia="宋体" w:hint="default"/>
                <w:sz w:val="20"/>
                <w:szCs w:val="20"/>
              </w:rPr>
            </w:pPr>
            <w:r>
              <w:rPr>
                <w:rFonts w:ascii="宋体" w:hAnsi="宋体" w:cs="宋体" w:eastAsia="宋体" w:hint="default"/>
                <w:sz w:val="20"/>
                <w:szCs w:val="20"/>
              </w:rPr>
              <w:t>职工福利费</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1"/>
              <w:jc w:val="right"/>
              <w:rPr>
                <w:rFonts w:ascii="Arial" w:hAnsi="Arial" w:cs="Arial" w:eastAsia="Arial" w:hint="default"/>
                <w:sz w:val="20"/>
                <w:szCs w:val="20"/>
              </w:rPr>
            </w:pPr>
            <w:r>
              <w:rPr>
                <w:rFonts w:ascii="Arial"/>
                <w:w w:val="100"/>
                <w:sz w:val="20"/>
              </w:rPr>
              <w:t>-</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32" w:right="0"/>
              <w:jc w:val="left"/>
              <w:rPr>
                <w:rFonts w:ascii="Arial" w:hAnsi="Arial" w:cs="Arial" w:eastAsia="Arial" w:hint="default"/>
                <w:sz w:val="20"/>
                <w:szCs w:val="20"/>
              </w:rPr>
            </w:pPr>
            <w:r>
              <w:rPr>
                <w:rFonts w:ascii="Arial"/>
                <w:sz w:val="20"/>
              </w:rPr>
              <w:t>1,885,399,624</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20" w:right="0"/>
              <w:jc w:val="left"/>
              <w:rPr>
                <w:rFonts w:ascii="Arial" w:hAnsi="Arial" w:cs="Arial" w:eastAsia="Arial" w:hint="default"/>
                <w:sz w:val="20"/>
                <w:szCs w:val="20"/>
              </w:rPr>
            </w:pPr>
            <w:r>
              <w:rPr>
                <w:rFonts w:ascii="Arial"/>
                <w:sz w:val="20"/>
              </w:rPr>
              <w:t>(1,885,399,624)</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6"/>
              <w:jc w:val="right"/>
              <w:rPr>
                <w:rFonts w:ascii="Arial" w:hAnsi="Arial" w:cs="Arial" w:eastAsia="Arial" w:hint="default"/>
                <w:sz w:val="20"/>
                <w:szCs w:val="20"/>
              </w:rPr>
            </w:pPr>
            <w:r>
              <w:rPr>
                <w:rFonts w:ascii="Arial"/>
                <w:w w:val="100"/>
                <w:sz w:val="20"/>
              </w:rPr>
              <w:t>-</w:t>
            </w:r>
          </w:p>
        </w:tc>
      </w:tr>
      <w:tr>
        <w:trPr>
          <w:trHeight w:val="260" w:hRule="exact"/>
        </w:trPr>
        <w:tc>
          <w:tcPr>
            <w:tcW w:w="2791"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宋体" w:hAnsi="宋体" w:cs="宋体" w:eastAsia="宋体" w:hint="default"/>
                <w:sz w:val="20"/>
                <w:szCs w:val="20"/>
              </w:rPr>
            </w:pPr>
            <w:r>
              <w:rPr>
                <w:rFonts w:ascii="宋体" w:hAnsi="宋体" w:cs="宋体" w:eastAsia="宋体" w:hint="default"/>
                <w:sz w:val="20"/>
                <w:szCs w:val="20"/>
              </w:rPr>
              <w:t>社会保险费</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11" w:right="0"/>
              <w:jc w:val="left"/>
              <w:rPr>
                <w:rFonts w:ascii="Arial" w:hAnsi="Arial" w:cs="Arial" w:eastAsia="Arial" w:hint="default"/>
                <w:sz w:val="20"/>
                <w:szCs w:val="20"/>
              </w:rPr>
            </w:pPr>
            <w:r>
              <w:rPr>
                <w:rFonts w:ascii="Arial"/>
                <w:sz w:val="20"/>
              </w:rPr>
              <w:t>292,145,307</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32" w:right="0"/>
              <w:jc w:val="left"/>
              <w:rPr>
                <w:rFonts w:ascii="Arial" w:hAnsi="Arial" w:cs="Arial" w:eastAsia="Arial" w:hint="default"/>
                <w:sz w:val="20"/>
                <w:szCs w:val="20"/>
              </w:rPr>
            </w:pPr>
            <w:r>
              <w:rPr>
                <w:rFonts w:ascii="Arial"/>
                <w:sz w:val="20"/>
              </w:rPr>
              <w:t>4,921,185,104</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20" w:right="0"/>
              <w:jc w:val="left"/>
              <w:rPr>
                <w:rFonts w:ascii="Arial" w:hAnsi="Arial" w:cs="Arial" w:eastAsia="Arial" w:hint="default"/>
                <w:sz w:val="20"/>
                <w:szCs w:val="20"/>
              </w:rPr>
            </w:pPr>
            <w:r>
              <w:rPr>
                <w:rFonts w:ascii="Arial"/>
                <w:sz w:val="20"/>
              </w:rPr>
              <w:t>(4,902,117,124)</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02" w:right="0"/>
              <w:jc w:val="left"/>
              <w:rPr>
                <w:rFonts w:ascii="Arial" w:hAnsi="Arial" w:cs="Arial" w:eastAsia="Arial" w:hint="default"/>
                <w:sz w:val="20"/>
                <w:szCs w:val="20"/>
              </w:rPr>
            </w:pPr>
            <w:r>
              <w:rPr>
                <w:rFonts w:ascii="Arial"/>
                <w:sz w:val="20"/>
              </w:rPr>
              <w:t>311,213,287</w:t>
            </w:r>
          </w:p>
        </w:tc>
      </w:tr>
      <w:tr>
        <w:trPr>
          <w:trHeight w:val="259" w:hRule="exact"/>
        </w:trPr>
        <w:tc>
          <w:tcPr>
            <w:tcW w:w="2791" w:type="dxa"/>
            <w:tcBorders>
              <w:top w:val="nil" w:sz="6" w:space="0" w:color="auto"/>
              <w:left w:val="nil" w:sz="6" w:space="0" w:color="auto"/>
              <w:bottom w:val="nil" w:sz="6" w:space="0" w:color="auto"/>
              <w:right w:val="nil" w:sz="6" w:space="0" w:color="auto"/>
            </w:tcBorders>
          </w:tcPr>
          <w:p>
            <w:pPr>
              <w:pStyle w:val="TableParagraph"/>
              <w:spacing w:line="219" w:lineRule="exact"/>
              <w:ind w:left="200" w:right="0"/>
              <w:jc w:val="left"/>
              <w:rPr>
                <w:rFonts w:ascii="宋体" w:hAnsi="宋体" w:cs="宋体" w:eastAsia="宋体" w:hint="default"/>
                <w:sz w:val="20"/>
                <w:szCs w:val="20"/>
              </w:rPr>
            </w:pPr>
            <w:r>
              <w:rPr>
                <w:rFonts w:ascii="宋体" w:hAnsi="宋体" w:cs="宋体" w:eastAsia="宋体" w:hint="default"/>
                <w:sz w:val="20"/>
                <w:szCs w:val="20"/>
              </w:rPr>
              <w:t>其中：医疗保险费</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1"/>
              <w:jc w:val="right"/>
              <w:rPr>
                <w:rFonts w:ascii="Arial" w:hAnsi="Arial" w:cs="Arial" w:eastAsia="Arial" w:hint="default"/>
                <w:sz w:val="20"/>
                <w:szCs w:val="20"/>
              </w:rPr>
            </w:pPr>
            <w:r>
              <w:rPr>
                <w:rFonts w:ascii="Arial"/>
                <w:spacing w:val="-1"/>
                <w:sz w:val="20"/>
              </w:rPr>
              <w:t>45,903,504</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32" w:right="0"/>
              <w:jc w:val="left"/>
              <w:rPr>
                <w:rFonts w:ascii="Arial" w:hAnsi="Arial" w:cs="Arial" w:eastAsia="Arial" w:hint="default"/>
                <w:sz w:val="20"/>
                <w:szCs w:val="20"/>
              </w:rPr>
            </w:pPr>
            <w:r>
              <w:rPr>
                <w:rFonts w:ascii="Arial"/>
                <w:sz w:val="20"/>
              </w:rPr>
              <w:t>1,270,213,061</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20" w:right="0"/>
              <w:jc w:val="left"/>
              <w:rPr>
                <w:rFonts w:ascii="Arial" w:hAnsi="Arial" w:cs="Arial" w:eastAsia="Arial" w:hint="default"/>
                <w:sz w:val="20"/>
                <w:szCs w:val="20"/>
              </w:rPr>
            </w:pPr>
            <w:r>
              <w:rPr>
                <w:rFonts w:ascii="Arial"/>
                <w:sz w:val="20"/>
              </w:rPr>
              <w:t>(1,269,313,278)</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6"/>
              <w:jc w:val="right"/>
              <w:rPr>
                <w:rFonts w:ascii="Arial" w:hAnsi="Arial" w:cs="Arial" w:eastAsia="Arial" w:hint="default"/>
                <w:sz w:val="20"/>
                <w:szCs w:val="20"/>
              </w:rPr>
            </w:pPr>
            <w:r>
              <w:rPr>
                <w:rFonts w:ascii="Arial"/>
                <w:spacing w:val="-1"/>
                <w:sz w:val="20"/>
              </w:rPr>
              <w:t>46,803,287</w:t>
            </w:r>
          </w:p>
        </w:tc>
      </w:tr>
      <w:tr>
        <w:trPr>
          <w:trHeight w:val="259" w:hRule="exact"/>
        </w:trPr>
        <w:tc>
          <w:tcPr>
            <w:tcW w:w="2791" w:type="dxa"/>
            <w:tcBorders>
              <w:top w:val="nil" w:sz="6" w:space="0" w:color="auto"/>
              <w:left w:val="nil" w:sz="6" w:space="0" w:color="auto"/>
              <w:bottom w:val="nil" w:sz="6" w:space="0" w:color="auto"/>
              <w:right w:val="nil" w:sz="6" w:space="0" w:color="auto"/>
            </w:tcBorders>
          </w:tcPr>
          <w:p>
            <w:pPr>
              <w:pStyle w:val="TableParagraph"/>
              <w:spacing w:line="219" w:lineRule="exact"/>
              <w:ind w:left="796" w:right="0"/>
              <w:jc w:val="left"/>
              <w:rPr>
                <w:rFonts w:ascii="宋体" w:hAnsi="宋体" w:cs="宋体" w:eastAsia="宋体" w:hint="default"/>
                <w:sz w:val="20"/>
                <w:szCs w:val="20"/>
              </w:rPr>
            </w:pPr>
            <w:r>
              <w:rPr>
                <w:rFonts w:ascii="宋体" w:hAnsi="宋体" w:cs="宋体" w:eastAsia="宋体" w:hint="default"/>
                <w:sz w:val="20"/>
                <w:szCs w:val="20"/>
              </w:rPr>
              <w:t>养老保险费</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11" w:right="0"/>
              <w:jc w:val="left"/>
              <w:rPr>
                <w:rFonts w:ascii="Arial" w:hAnsi="Arial" w:cs="Arial" w:eastAsia="Arial" w:hint="default"/>
                <w:sz w:val="20"/>
                <w:szCs w:val="20"/>
              </w:rPr>
            </w:pPr>
            <w:r>
              <w:rPr>
                <w:rFonts w:ascii="Arial"/>
                <w:sz w:val="20"/>
              </w:rPr>
              <w:t>201,613,252</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32" w:right="0"/>
              <w:jc w:val="left"/>
              <w:rPr>
                <w:rFonts w:ascii="Arial" w:hAnsi="Arial" w:cs="Arial" w:eastAsia="Arial" w:hint="default"/>
                <w:sz w:val="20"/>
                <w:szCs w:val="20"/>
              </w:rPr>
            </w:pPr>
            <w:r>
              <w:rPr>
                <w:rFonts w:ascii="Arial"/>
                <w:sz w:val="20"/>
              </w:rPr>
              <w:t>3,194,872,272</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20" w:right="0"/>
              <w:jc w:val="left"/>
              <w:rPr>
                <w:rFonts w:ascii="Arial" w:hAnsi="Arial" w:cs="Arial" w:eastAsia="Arial" w:hint="default"/>
                <w:sz w:val="20"/>
                <w:szCs w:val="20"/>
              </w:rPr>
            </w:pPr>
            <w:r>
              <w:rPr>
                <w:rFonts w:ascii="Arial"/>
                <w:sz w:val="20"/>
              </w:rPr>
              <w:t>(3,179,255,590)</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02" w:right="0"/>
              <w:jc w:val="left"/>
              <w:rPr>
                <w:rFonts w:ascii="Arial" w:hAnsi="Arial" w:cs="Arial" w:eastAsia="Arial" w:hint="default"/>
                <w:sz w:val="20"/>
                <w:szCs w:val="20"/>
              </w:rPr>
            </w:pPr>
            <w:r>
              <w:rPr>
                <w:rFonts w:ascii="Arial"/>
                <w:sz w:val="20"/>
              </w:rPr>
              <w:t>217,229,934</w:t>
            </w:r>
          </w:p>
        </w:tc>
      </w:tr>
      <w:tr>
        <w:trPr>
          <w:trHeight w:val="259" w:hRule="exact"/>
        </w:trPr>
        <w:tc>
          <w:tcPr>
            <w:tcW w:w="2791" w:type="dxa"/>
            <w:tcBorders>
              <w:top w:val="nil" w:sz="6" w:space="0" w:color="auto"/>
              <w:left w:val="nil" w:sz="6" w:space="0" w:color="auto"/>
              <w:bottom w:val="nil" w:sz="6" w:space="0" w:color="auto"/>
              <w:right w:val="nil" w:sz="6" w:space="0" w:color="auto"/>
            </w:tcBorders>
          </w:tcPr>
          <w:p>
            <w:pPr>
              <w:pStyle w:val="TableParagraph"/>
              <w:spacing w:line="219" w:lineRule="exact"/>
              <w:ind w:left="796" w:right="0"/>
              <w:jc w:val="left"/>
              <w:rPr>
                <w:rFonts w:ascii="宋体" w:hAnsi="宋体" w:cs="宋体" w:eastAsia="宋体" w:hint="default"/>
                <w:sz w:val="20"/>
                <w:szCs w:val="20"/>
              </w:rPr>
            </w:pPr>
            <w:r>
              <w:rPr>
                <w:rFonts w:ascii="宋体" w:hAnsi="宋体" w:cs="宋体" w:eastAsia="宋体" w:hint="default"/>
                <w:sz w:val="20"/>
                <w:szCs w:val="20"/>
              </w:rPr>
              <w:t>失业保险费</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1"/>
              <w:jc w:val="right"/>
              <w:rPr>
                <w:rFonts w:ascii="Arial" w:hAnsi="Arial" w:cs="Arial" w:eastAsia="Arial" w:hint="default"/>
                <w:sz w:val="20"/>
                <w:szCs w:val="20"/>
              </w:rPr>
            </w:pPr>
            <w:r>
              <w:rPr>
                <w:rFonts w:ascii="Arial"/>
                <w:spacing w:val="-1"/>
                <w:sz w:val="20"/>
              </w:rPr>
              <w:t>29,218,379</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9" w:right="0"/>
              <w:jc w:val="left"/>
              <w:rPr>
                <w:rFonts w:ascii="Arial" w:hAnsi="Arial" w:cs="Arial" w:eastAsia="Arial" w:hint="default"/>
                <w:sz w:val="20"/>
                <w:szCs w:val="20"/>
              </w:rPr>
            </w:pPr>
            <w:r>
              <w:rPr>
                <w:rFonts w:ascii="Arial"/>
                <w:sz w:val="20"/>
              </w:rPr>
              <w:t>262,838,505</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88" w:right="0"/>
              <w:jc w:val="left"/>
              <w:rPr>
                <w:rFonts w:ascii="Arial" w:hAnsi="Arial" w:cs="Arial" w:eastAsia="Arial" w:hint="default"/>
                <w:sz w:val="20"/>
                <w:szCs w:val="20"/>
              </w:rPr>
            </w:pPr>
            <w:r>
              <w:rPr>
                <w:rFonts w:ascii="Arial"/>
                <w:sz w:val="20"/>
              </w:rPr>
              <w:t>(259,857,908)</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6"/>
              <w:jc w:val="right"/>
              <w:rPr>
                <w:rFonts w:ascii="Arial" w:hAnsi="Arial" w:cs="Arial" w:eastAsia="Arial" w:hint="default"/>
                <w:sz w:val="20"/>
                <w:szCs w:val="20"/>
              </w:rPr>
            </w:pPr>
            <w:r>
              <w:rPr>
                <w:rFonts w:ascii="Arial"/>
                <w:spacing w:val="-1"/>
                <w:sz w:val="20"/>
              </w:rPr>
              <w:t>32,198,976</w:t>
            </w:r>
          </w:p>
        </w:tc>
      </w:tr>
      <w:tr>
        <w:trPr>
          <w:trHeight w:val="259" w:hRule="exact"/>
        </w:trPr>
        <w:tc>
          <w:tcPr>
            <w:tcW w:w="2791" w:type="dxa"/>
            <w:tcBorders>
              <w:top w:val="nil" w:sz="6" w:space="0" w:color="auto"/>
              <w:left w:val="nil" w:sz="6" w:space="0" w:color="auto"/>
              <w:bottom w:val="nil" w:sz="6" w:space="0" w:color="auto"/>
              <w:right w:val="nil" w:sz="6" w:space="0" w:color="auto"/>
            </w:tcBorders>
          </w:tcPr>
          <w:p>
            <w:pPr>
              <w:pStyle w:val="TableParagraph"/>
              <w:spacing w:line="219" w:lineRule="exact"/>
              <w:ind w:left="796" w:right="0"/>
              <w:jc w:val="left"/>
              <w:rPr>
                <w:rFonts w:ascii="宋体" w:hAnsi="宋体" w:cs="宋体" w:eastAsia="宋体" w:hint="default"/>
                <w:sz w:val="20"/>
                <w:szCs w:val="20"/>
              </w:rPr>
            </w:pPr>
            <w:r>
              <w:rPr>
                <w:rFonts w:ascii="宋体" w:hAnsi="宋体" w:cs="宋体" w:eastAsia="宋体" w:hint="default"/>
                <w:sz w:val="20"/>
                <w:szCs w:val="20"/>
              </w:rPr>
              <w:t>工伤保险费</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1"/>
              <w:jc w:val="right"/>
              <w:rPr>
                <w:rFonts w:ascii="Arial" w:hAnsi="Arial" w:cs="Arial" w:eastAsia="Arial" w:hint="default"/>
                <w:sz w:val="20"/>
                <w:szCs w:val="20"/>
              </w:rPr>
            </w:pPr>
            <w:r>
              <w:rPr>
                <w:rFonts w:ascii="Arial"/>
                <w:spacing w:val="-1"/>
                <w:sz w:val="20"/>
              </w:rPr>
              <w:t>4,194,045</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3"/>
              <w:jc w:val="right"/>
              <w:rPr>
                <w:rFonts w:ascii="Arial" w:hAnsi="Arial" w:cs="Arial" w:eastAsia="Arial" w:hint="default"/>
                <w:sz w:val="20"/>
                <w:szCs w:val="20"/>
              </w:rPr>
            </w:pPr>
            <w:r>
              <w:rPr>
                <w:rFonts w:ascii="Arial"/>
                <w:spacing w:val="-1"/>
                <w:sz w:val="20"/>
              </w:rPr>
              <w:t>83,454,553</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6"/>
              <w:jc w:val="right"/>
              <w:rPr>
                <w:rFonts w:ascii="Arial" w:hAnsi="Arial" w:cs="Arial" w:eastAsia="Arial" w:hint="default"/>
                <w:sz w:val="20"/>
                <w:szCs w:val="20"/>
              </w:rPr>
            </w:pPr>
            <w:r>
              <w:rPr>
                <w:rFonts w:ascii="Arial"/>
                <w:spacing w:val="-1"/>
                <w:sz w:val="20"/>
              </w:rPr>
              <w:t>(83,077,397)</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5"/>
              <w:jc w:val="right"/>
              <w:rPr>
                <w:rFonts w:ascii="Arial" w:hAnsi="Arial" w:cs="Arial" w:eastAsia="Arial" w:hint="default"/>
                <w:sz w:val="20"/>
                <w:szCs w:val="20"/>
              </w:rPr>
            </w:pPr>
            <w:r>
              <w:rPr>
                <w:rFonts w:ascii="Arial"/>
                <w:spacing w:val="-1"/>
                <w:sz w:val="20"/>
              </w:rPr>
              <w:t>4,571,201</w:t>
            </w:r>
          </w:p>
        </w:tc>
      </w:tr>
      <w:tr>
        <w:trPr>
          <w:trHeight w:val="260" w:hRule="exact"/>
        </w:trPr>
        <w:tc>
          <w:tcPr>
            <w:tcW w:w="2791" w:type="dxa"/>
            <w:tcBorders>
              <w:top w:val="nil" w:sz="6" w:space="0" w:color="auto"/>
              <w:left w:val="nil" w:sz="6" w:space="0" w:color="auto"/>
              <w:bottom w:val="nil" w:sz="6" w:space="0" w:color="auto"/>
              <w:right w:val="nil" w:sz="6" w:space="0" w:color="auto"/>
            </w:tcBorders>
          </w:tcPr>
          <w:p>
            <w:pPr>
              <w:pStyle w:val="TableParagraph"/>
              <w:spacing w:line="219" w:lineRule="exact"/>
              <w:ind w:left="796" w:right="0"/>
              <w:jc w:val="left"/>
              <w:rPr>
                <w:rFonts w:ascii="宋体" w:hAnsi="宋体" w:cs="宋体" w:eastAsia="宋体" w:hint="default"/>
                <w:sz w:val="20"/>
                <w:szCs w:val="20"/>
              </w:rPr>
            </w:pPr>
            <w:r>
              <w:rPr>
                <w:rFonts w:ascii="宋体" w:hAnsi="宋体" w:cs="宋体" w:eastAsia="宋体" w:hint="default"/>
                <w:sz w:val="20"/>
                <w:szCs w:val="20"/>
              </w:rPr>
              <w:t>生育保险费</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1"/>
              <w:jc w:val="right"/>
              <w:rPr>
                <w:rFonts w:ascii="Arial" w:hAnsi="Arial" w:cs="Arial" w:eastAsia="Arial" w:hint="default"/>
                <w:sz w:val="20"/>
                <w:szCs w:val="20"/>
              </w:rPr>
            </w:pPr>
            <w:r>
              <w:rPr>
                <w:rFonts w:ascii="Arial"/>
                <w:spacing w:val="-1"/>
                <w:sz w:val="20"/>
              </w:rPr>
              <w:t>4,471,741</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99" w:right="0"/>
              <w:jc w:val="left"/>
              <w:rPr>
                <w:rFonts w:ascii="Arial" w:hAnsi="Arial" w:cs="Arial" w:eastAsia="Arial" w:hint="default"/>
                <w:sz w:val="20"/>
                <w:szCs w:val="20"/>
              </w:rPr>
            </w:pPr>
            <w:r>
              <w:rPr>
                <w:rFonts w:ascii="Arial"/>
                <w:sz w:val="20"/>
              </w:rPr>
              <w:t>102,613,404</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88" w:right="0"/>
              <w:jc w:val="left"/>
              <w:rPr>
                <w:rFonts w:ascii="Arial" w:hAnsi="Arial" w:cs="Arial" w:eastAsia="Arial" w:hint="default"/>
                <w:sz w:val="20"/>
                <w:szCs w:val="20"/>
              </w:rPr>
            </w:pPr>
            <w:r>
              <w:rPr>
                <w:rFonts w:ascii="Arial"/>
                <w:sz w:val="20"/>
              </w:rPr>
              <w:t>(101,179,916)</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Arial" w:hAnsi="Arial" w:cs="Arial" w:eastAsia="Arial" w:hint="default"/>
                <w:sz w:val="20"/>
                <w:szCs w:val="20"/>
              </w:rPr>
            </w:pPr>
            <w:r>
              <w:rPr>
                <w:rFonts w:ascii="Arial"/>
                <w:spacing w:val="-1"/>
                <w:sz w:val="20"/>
              </w:rPr>
              <w:t>5,905,229</w:t>
            </w:r>
          </w:p>
        </w:tc>
      </w:tr>
      <w:tr>
        <w:trPr>
          <w:trHeight w:val="259" w:hRule="exact"/>
        </w:trPr>
        <w:tc>
          <w:tcPr>
            <w:tcW w:w="2791"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宋体" w:hAnsi="宋体" w:cs="宋体" w:eastAsia="宋体" w:hint="default"/>
                <w:sz w:val="20"/>
                <w:szCs w:val="20"/>
              </w:rPr>
            </w:pPr>
            <w:r>
              <w:rPr>
                <w:rFonts w:ascii="宋体" w:hAnsi="宋体" w:cs="宋体" w:eastAsia="宋体" w:hint="default"/>
                <w:sz w:val="20"/>
                <w:szCs w:val="20"/>
              </w:rPr>
              <w:t>住房公积金</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1"/>
              <w:jc w:val="right"/>
              <w:rPr>
                <w:rFonts w:ascii="Arial" w:hAnsi="Arial" w:cs="Arial" w:eastAsia="Arial" w:hint="default"/>
                <w:sz w:val="20"/>
                <w:szCs w:val="20"/>
              </w:rPr>
            </w:pPr>
            <w:r>
              <w:rPr>
                <w:rFonts w:ascii="Arial"/>
                <w:spacing w:val="-1"/>
                <w:sz w:val="20"/>
              </w:rPr>
              <w:t>57,429,390</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32" w:right="0"/>
              <w:jc w:val="left"/>
              <w:rPr>
                <w:rFonts w:ascii="Arial" w:hAnsi="Arial" w:cs="Arial" w:eastAsia="Arial" w:hint="default"/>
                <w:sz w:val="20"/>
                <w:szCs w:val="20"/>
              </w:rPr>
            </w:pPr>
            <w:r>
              <w:rPr>
                <w:rFonts w:ascii="Arial"/>
                <w:sz w:val="20"/>
              </w:rPr>
              <w:t>1,867,035,190</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20" w:right="0"/>
              <w:jc w:val="left"/>
              <w:rPr>
                <w:rFonts w:ascii="Arial" w:hAnsi="Arial" w:cs="Arial" w:eastAsia="Arial" w:hint="default"/>
                <w:sz w:val="20"/>
                <w:szCs w:val="20"/>
              </w:rPr>
            </w:pPr>
            <w:r>
              <w:rPr>
                <w:rFonts w:ascii="Arial"/>
                <w:sz w:val="20"/>
              </w:rPr>
              <w:t>(1,861,734,741)</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6"/>
              <w:jc w:val="right"/>
              <w:rPr>
                <w:rFonts w:ascii="Arial" w:hAnsi="Arial" w:cs="Arial" w:eastAsia="Arial" w:hint="default"/>
                <w:sz w:val="20"/>
                <w:szCs w:val="20"/>
              </w:rPr>
            </w:pPr>
            <w:r>
              <w:rPr>
                <w:rFonts w:ascii="Arial"/>
                <w:spacing w:val="-1"/>
                <w:sz w:val="20"/>
              </w:rPr>
              <w:t>62,729,839</w:t>
            </w:r>
          </w:p>
        </w:tc>
      </w:tr>
      <w:tr>
        <w:trPr>
          <w:trHeight w:val="260" w:hRule="exact"/>
        </w:trPr>
        <w:tc>
          <w:tcPr>
            <w:tcW w:w="2791"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宋体" w:hAnsi="宋体" w:cs="宋体" w:eastAsia="宋体" w:hint="default"/>
                <w:sz w:val="20"/>
                <w:szCs w:val="20"/>
              </w:rPr>
            </w:pPr>
            <w:r>
              <w:rPr>
                <w:rFonts w:ascii="宋体" w:hAnsi="宋体" w:cs="宋体" w:eastAsia="宋体" w:hint="default"/>
                <w:sz w:val="20"/>
                <w:szCs w:val="20"/>
              </w:rPr>
              <w:t>工会经费和职工教育经费</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11" w:right="0"/>
              <w:jc w:val="left"/>
              <w:rPr>
                <w:rFonts w:ascii="Arial" w:hAnsi="Arial" w:cs="Arial" w:eastAsia="Arial" w:hint="default"/>
                <w:sz w:val="20"/>
                <w:szCs w:val="20"/>
              </w:rPr>
            </w:pPr>
            <w:r>
              <w:rPr>
                <w:rFonts w:ascii="Arial"/>
                <w:sz w:val="20"/>
              </w:rPr>
              <w:t>101,543,884</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9" w:right="0"/>
              <w:jc w:val="left"/>
              <w:rPr>
                <w:rFonts w:ascii="Arial" w:hAnsi="Arial" w:cs="Arial" w:eastAsia="Arial" w:hint="default"/>
                <w:sz w:val="20"/>
                <w:szCs w:val="20"/>
              </w:rPr>
            </w:pPr>
            <w:r>
              <w:rPr>
                <w:rFonts w:ascii="Arial"/>
                <w:sz w:val="20"/>
              </w:rPr>
              <w:t>676,620,813</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88" w:right="0"/>
              <w:jc w:val="left"/>
              <w:rPr>
                <w:rFonts w:ascii="Arial" w:hAnsi="Arial" w:cs="Arial" w:eastAsia="Arial" w:hint="default"/>
                <w:sz w:val="20"/>
                <w:szCs w:val="20"/>
              </w:rPr>
            </w:pPr>
            <w:r>
              <w:rPr>
                <w:rFonts w:ascii="Arial"/>
                <w:sz w:val="20"/>
              </w:rPr>
              <w:t>(631,099,477)</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02" w:right="0"/>
              <w:jc w:val="left"/>
              <w:rPr>
                <w:rFonts w:ascii="Arial" w:hAnsi="Arial" w:cs="Arial" w:eastAsia="Arial" w:hint="default"/>
                <w:sz w:val="20"/>
                <w:szCs w:val="20"/>
              </w:rPr>
            </w:pPr>
            <w:r>
              <w:rPr>
                <w:rFonts w:ascii="Arial"/>
                <w:sz w:val="20"/>
              </w:rPr>
              <w:t>147,065,220</w:t>
            </w:r>
          </w:p>
        </w:tc>
      </w:tr>
      <w:tr>
        <w:trPr>
          <w:trHeight w:val="259" w:hRule="exact"/>
        </w:trPr>
        <w:tc>
          <w:tcPr>
            <w:tcW w:w="2791" w:type="dxa"/>
            <w:tcBorders>
              <w:top w:val="nil" w:sz="6" w:space="0" w:color="auto"/>
              <w:left w:val="nil" w:sz="6" w:space="0" w:color="auto"/>
              <w:bottom w:val="nil" w:sz="6" w:space="0" w:color="auto"/>
              <w:right w:val="nil" w:sz="6" w:space="0" w:color="auto"/>
            </w:tcBorders>
          </w:tcPr>
          <w:p>
            <w:pPr>
              <w:pStyle w:val="TableParagraph"/>
              <w:spacing w:line="233" w:lineRule="exact"/>
              <w:ind w:left="200" w:right="0"/>
              <w:jc w:val="left"/>
              <w:rPr>
                <w:rFonts w:ascii="宋体" w:hAnsi="宋体" w:cs="宋体" w:eastAsia="宋体" w:hint="default"/>
                <w:sz w:val="20"/>
                <w:szCs w:val="20"/>
              </w:rPr>
            </w:pPr>
            <w:r>
              <w:rPr>
                <w:rFonts w:ascii="宋体" w:hAnsi="宋体" w:cs="宋体" w:eastAsia="宋体" w:hint="default"/>
                <w:sz w:val="20"/>
                <w:szCs w:val="20"/>
              </w:rPr>
              <w:t>一次性货币住房补贴（注</w:t>
            </w:r>
            <w:r>
              <w:rPr>
                <w:rFonts w:ascii="宋体" w:hAnsi="宋体" w:cs="宋体" w:eastAsia="宋体" w:hint="default"/>
                <w:spacing w:val="-53"/>
                <w:sz w:val="20"/>
                <w:szCs w:val="20"/>
              </w:rPr>
              <w:t> </w:t>
            </w:r>
            <w:r>
              <w:rPr>
                <w:rFonts w:ascii="Arial" w:hAnsi="Arial" w:cs="Arial" w:eastAsia="Arial" w:hint="default"/>
                <w:sz w:val="20"/>
                <w:szCs w:val="20"/>
              </w:rPr>
              <w:t>1</w:t>
            </w:r>
            <w:r>
              <w:rPr>
                <w:rFonts w:ascii="宋体" w:hAnsi="宋体" w:cs="宋体" w:eastAsia="宋体" w:hint="default"/>
                <w:sz w:val="20"/>
                <w:szCs w:val="20"/>
              </w:rPr>
              <w:t>）</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4" w:right="0"/>
              <w:jc w:val="left"/>
              <w:rPr>
                <w:rFonts w:ascii="Arial" w:hAnsi="Arial" w:cs="Arial" w:eastAsia="Arial" w:hint="default"/>
                <w:sz w:val="20"/>
                <w:szCs w:val="20"/>
              </w:rPr>
            </w:pPr>
            <w:r>
              <w:rPr>
                <w:rFonts w:ascii="Arial"/>
                <w:sz w:val="20"/>
              </w:rPr>
              <w:t>2,508,341,201</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2"/>
              <w:jc w:val="right"/>
              <w:rPr>
                <w:rFonts w:ascii="Arial" w:hAnsi="Arial" w:cs="Arial" w:eastAsia="Arial" w:hint="default"/>
                <w:sz w:val="20"/>
                <w:szCs w:val="20"/>
              </w:rPr>
            </w:pPr>
            <w:r>
              <w:rPr>
                <w:rFonts w:ascii="Arial"/>
                <w:w w:val="100"/>
                <w:sz w:val="20"/>
              </w:rPr>
              <w:t>-</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2"/>
              <w:jc w:val="right"/>
              <w:rPr>
                <w:rFonts w:ascii="Arial" w:hAnsi="Arial" w:cs="Arial" w:eastAsia="Arial" w:hint="default"/>
                <w:sz w:val="20"/>
                <w:szCs w:val="20"/>
              </w:rPr>
            </w:pPr>
            <w:r>
              <w:rPr>
                <w:rFonts w:ascii="Arial"/>
                <w:w w:val="100"/>
                <w:sz w:val="20"/>
              </w:rPr>
              <w:t>-</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35" w:right="0"/>
              <w:jc w:val="left"/>
              <w:rPr>
                <w:rFonts w:ascii="Arial" w:hAnsi="Arial" w:cs="Arial" w:eastAsia="Arial" w:hint="default"/>
                <w:sz w:val="20"/>
                <w:szCs w:val="20"/>
              </w:rPr>
            </w:pPr>
            <w:r>
              <w:rPr>
                <w:rFonts w:ascii="Arial"/>
                <w:sz w:val="20"/>
              </w:rPr>
              <w:t>2,508,341,201</w:t>
            </w:r>
          </w:p>
        </w:tc>
      </w:tr>
      <w:tr>
        <w:trPr>
          <w:trHeight w:val="518" w:hRule="exact"/>
        </w:trPr>
        <w:tc>
          <w:tcPr>
            <w:tcW w:w="2791"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宋体" w:hAnsi="宋体" w:cs="宋体" w:eastAsia="宋体" w:hint="default"/>
                <w:sz w:val="20"/>
                <w:szCs w:val="20"/>
              </w:rPr>
            </w:pPr>
            <w:r>
              <w:rPr>
                <w:rFonts w:ascii="宋体" w:hAnsi="宋体" w:cs="宋体" w:eastAsia="宋体" w:hint="default"/>
                <w:spacing w:val="-2"/>
                <w:sz w:val="20"/>
                <w:szCs w:val="20"/>
              </w:rPr>
              <w:t>内退员工补偿费（流动部分）</w:t>
            </w:r>
          </w:p>
          <w:p>
            <w:pPr>
              <w:pStyle w:val="TableParagraph"/>
              <w:spacing w:line="275" w:lineRule="exact"/>
              <w:ind w:left="408" w:right="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1"/>
                <w:sz w:val="20"/>
                <w:szCs w:val="20"/>
              </w:rPr>
              <w:t> </w:t>
            </w:r>
            <w:r>
              <w:rPr>
                <w:rFonts w:ascii="Arial" w:hAnsi="Arial" w:cs="Arial" w:eastAsia="Arial" w:hint="default"/>
                <w:sz w:val="20"/>
                <w:szCs w:val="20"/>
              </w:rPr>
              <w:t>2</w:t>
            </w:r>
            <w:r>
              <w:rPr>
                <w:rFonts w:ascii="宋体" w:hAnsi="宋体" w:cs="宋体" w:eastAsia="宋体" w:hint="default"/>
                <w:sz w:val="20"/>
                <w:szCs w:val="20"/>
              </w:rPr>
              <w:t>）</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71"/>
              <w:jc w:val="right"/>
              <w:rPr>
                <w:rFonts w:ascii="Arial" w:hAnsi="Arial" w:cs="Arial" w:eastAsia="Arial" w:hint="default"/>
                <w:sz w:val="20"/>
                <w:szCs w:val="20"/>
              </w:rPr>
            </w:pPr>
            <w:r>
              <w:rPr>
                <w:rFonts w:ascii="Arial"/>
                <w:spacing w:val="-1"/>
                <w:sz w:val="20"/>
              </w:rPr>
              <w:t>12,053,928</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22"/>
              <w:jc w:val="right"/>
              <w:rPr>
                <w:rFonts w:ascii="Arial" w:hAnsi="Arial" w:cs="Arial" w:eastAsia="Arial" w:hint="default"/>
                <w:sz w:val="20"/>
                <w:szCs w:val="20"/>
              </w:rPr>
            </w:pPr>
            <w:r>
              <w:rPr>
                <w:rFonts w:ascii="Arial"/>
                <w:spacing w:val="-1"/>
                <w:sz w:val="20"/>
              </w:rPr>
              <w:t>1,199,906</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6"/>
              <w:jc w:val="right"/>
              <w:rPr>
                <w:rFonts w:ascii="Arial" w:hAnsi="Arial" w:cs="Arial" w:eastAsia="Arial" w:hint="default"/>
                <w:sz w:val="20"/>
                <w:szCs w:val="20"/>
              </w:rPr>
            </w:pPr>
            <w:r>
              <w:rPr>
                <w:rFonts w:ascii="Arial"/>
                <w:spacing w:val="-1"/>
                <w:sz w:val="20"/>
              </w:rPr>
              <w:t>(3,288,622)</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85"/>
              <w:jc w:val="right"/>
              <w:rPr>
                <w:rFonts w:ascii="Arial" w:hAnsi="Arial" w:cs="Arial" w:eastAsia="Arial" w:hint="default"/>
                <w:sz w:val="20"/>
                <w:szCs w:val="20"/>
              </w:rPr>
            </w:pPr>
            <w:r>
              <w:rPr>
                <w:rFonts w:ascii="Arial"/>
                <w:spacing w:val="-1"/>
                <w:sz w:val="20"/>
              </w:rPr>
              <w:t>9,965,212</w:t>
            </w:r>
          </w:p>
        </w:tc>
      </w:tr>
      <w:tr>
        <w:trPr>
          <w:trHeight w:val="259" w:hRule="exact"/>
        </w:trPr>
        <w:tc>
          <w:tcPr>
            <w:tcW w:w="2791" w:type="dxa"/>
            <w:tcBorders>
              <w:top w:val="nil" w:sz="6" w:space="0" w:color="auto"/>
              <w:left w:val="nil" w:sz="6" w:space="0" w:color="auto"/>
              <w:bottom w:val="nil" w:sz="6" w:space="0" w:color="auto"/>
              <w:right w:val="nil" w:sz="6" w:space="0" w:color="auto"/>
            </w:tcBorders>
          </w:tcPr>
          <w:p>
            <w:pPr>
              <w:pStyle w:val="TableParagraph"/>
              <w:spacing w:line="233" w:lineRule="exact"/>
              <w:ind w:left="200" w:right="0"/>
              <w:jc w:val="left"/>
              <w:rPr>
                <w:rFonts w:ascii="宋体" w:hAnsi="宋体" w:cs="宋体" w:eastAsia="宋体" w:hint="default"/>
                <w:sz w:val="20"/>
                <w:szCs w:val="20"/>
              </w:rPr>
            </w:pPr>
            <w:r>
              <w:rPr>
                <w:rFonts w:ascii="宋体" w:hAnsi="宋体" w:cs="宋体" w:eastAsia="宋体" w:hint="default"/>
                <w:sz w:val="20"/>
                <w:szCs w:val="20"/>
              </w:rPr>
              <w:t>离退休后补充福利（注</w:t>
            </w:r>
            <w:r>
              <w:rPr>
                <w:rFonts w:ascii="宋体" w:hAnsi="宋体" w:cs="宋体" w:eastAsia="宋体" w:hint="default"/>
                <w:spacing w:val="-52"/>
                <w:sz w:val="20"/>
                <w:szCs w:val="20"/>
              </w:rPr>
              <w:t> </w:t>
            </w:r>
            <w:r>
              <w:rPr>
                <w:rFonts w:ascii="Arial" w:hAnsi="Arial" w:cs="Arial" w:eastAsia="Arial" w:hint="default"/>
                <w:sz w:val="20"/>
                <w:szCs w:val="20"/>
              </w:rPr>
              <w:t>3</w:t>
            </w:r>
            <w:r>
              <w:rPr>
                <w:rFonts w:ascii="宋体" w:hAnsi="宋体" w:cs="宋体" w:eastAsia="宋体" w:hint="default"/>
                <w:sz w:val="20"/>
                <w:szCs w:val="20"/>
              </w:rPr>
              <w:t>）</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1"/>
              <w:jc w:val="right"/>
              <w:rPr>
                <w:rFonts w:ascii="Arial" w:hAnsi="Arial" w:cs="Arial" w:eastAsia="Arial" w:hint="default"/>
                <w:sz w:val="20"/>
                <w:szCs w:val="20"/>
              </w:rPr>
            </w:pPr>
            <w:r>
              <w:rPr>
                <w:rFonts w:ascii="Arial"/>
                <w:spacing w:val="-1"/>
                <w:sz w:val="20"/>
              </w:rPr>
              <w:t>4,441,950</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3"/>
              <w:jc w:val="right"/>
              <w:rPr>
                <w:rFonts w:ascii="Arial" w:hAnsi="Arial" w:cs="Arial" w:eastAsia="Arial" w:hint="default"/>
                <w:sz w:val="20"/>
                <w:szCs w:val="20"/>
              </w:rPr>
            </w:pPr>
            <w:r>
              <w:rPr>
                <w:rFonts w:ascii="Arial"/>
                <w:spacing w:val="-1"/>
                <w:sz w:val="20"/>
              </w:rPr>
              <w:t>38,043,219</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6"/>
              <w:jc w:val="right"/>
              <w:rPr>
                <w:rFonts w:ascii="Arial" w:hAnsi="Arial" w:cs="Arial" w:eastAsia="Arial" w:hint="default"/>
                <w:sz w:val="20"/>
                <w:szCs w:val="20"/>
              </w:rPr>
            </w:pPr>
            <w:r>
              <w:rPr>
                <w:rFonts w:ascii="Arial"/>
                <w:spacing w:val="-1"/>
                <w:sz w:val="20"/>
              </w:rPr>
              <w:t>(31,769,381)</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6"/>
              <w:jc w:val="right"/>
              <w:rPr>
                <w:rFonts w:ascii="Arial" w:hAnsi="Arial" w:cs="Arial" w:eastAsia="Arial" w:hint="default"/>
                <w:sz w:val="20"/>
                <w:szCs w:val="20"/>
              </w:rPr>
            </w:pPr>
            <w:r>
              <w:rPr>
                <w:rFonts w:ascii="Arial"/>
                <w:spacing w:val="-1"/>
                <w:sz w:val="20"/>
              </w:rPr>
              <w:t>10,715,788</w:t>
            </w:r>
          </w:p>
        </w:tc>
      </w:tr>
      <w:tr>
        <w:trPr>
          <w:trHeight w:val="382" w:hRule="exact"/>
        </w:trPr>
        <w:tc>
          <w:tcPr>
            <w:tcW w:w="2791" w:type="dxa"/>
            <w:tcBorders>
              <w:top w:val="nil" w:sz="6" w:space="0" w:color="auto"/>
              <w:left w:val="nil" w:sz="6" w:space="0" w:color="auto"/>
              <w:bottom w:val="nil" w:sz="6" w:space="0" w:color="auto"/>
              <w:right w:val="nil" w:sz="6" w:space="0" w:color="auto"/>
            </w:tcBorders>
          </w:tcPr>
          <w:p>
            <w:pPr>
              <w:pStyle w:val="TableParagraph"/>
              <w:spacing w:line="219" w:lineRule="exact"/>
              <w:ind w:left="200"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498" w:type="dxa"/>
            <w:tcBorders>
              <w:top w:val="nil" w:sz="6" w:space="0" w:color="auto"/>
              <w:left w:val="nil" w:sz="6" w:space="0" w:color="auto"/>
              <w:bottom w:val="nil" w:sz="6" w:space="0" w:color="auto"/>
              <w:right w:val="nil" w:sz="6" w:space="0" w:color="auto"/>
            </w:tcBorders>
          </w:tcPr>
          <w:p>
            <w:pPr>
              <w:pStyle w:val="TableParagraph"/>
              <w:tabs>
                <w:tab w:pos="422" w:val="left" w:leader="none"/>
                <w:tab w:pos="1497" w:val="left" w:leader="none"/>
              </w:tabs>
              <w:spacing w:line="240" w:lineRule="auto" w:before="16"/>
              <w:ind w:left="-40" w:right="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43,598,004</w:t>
              <w:tab/>
            </w:r>
            <w:r>
              <w:rPr>
                <w:rFonts w:ascii="Arial"/>
                <w:spacing w:val="-1"/>
                <w:sz w:val="20"/>
              </w:rPr>
            </w:r>
          </w:p>
        </w:tc>
        <w:tc>
          <w:tcPr>
            <w:tcW w:w="1638" w:type="dxa"/>
            <w:tcBorders>
              <w:top w:val="nil" w:sz="6" w:space="0" w:color="auto"/>
              <w:left w:val="nil" w:sz="6" w:space="0" w:color="auto"/>
              <w:bottom w:val="nil" w:sz="6" w:space="0" w:color="auto"/>
              <w:right w:val="nil" w:sz="6" w:space="0" w:color="auto"/>
            </w:tcBorders>
          </w:tcPr>
          <w:p>
            <w:pPr>
              <w:pStyle w:val="TableParagraph"/>
              <w:tabs>
                <w:tab w:pos="511" w:val="left" w:leader="none"/>
                <w:tab w:pos="1585" w:val="left" w:leader="none"/>
              </w:tabs>
              <w:spacing w:line="240" w:lineRule="auto" w:before="16"/>
              <w:ind w:left="90"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92,837,789</w:t>
              <w:tab/>
            </w:r>
            <w:r>
              <w:rPr>
                <w:rFonts w:ascii="Arial"/>
                <w:sz w:val="20"/>
              </w:rPr>
            </w:r>
          </w:p>
        </w:tc>
        <w:tc>
          <w:tcPr>
            <w:tcW w:w="1781" w:type="dxa"/>
            <w:tcBorders>
              <w:top w:val="nil" w:sz="6" w:space="0" w:color="auto"/>
              <w:left w:val="nil" w:sz="6" w:space="0" w:color="auto"/>
              <w:bottom w:val="nil" w:sz="6" w:space="0" w:color="auto"/>
              <w:right w:val="nil" w:sz="6" w:space="0" w:color="auto"/>
            </w:tcBorders>
          </w:tcPr>
          <w:p>
            <w:pPr>
              <w:pStyle w:val="TableParagraph"/>
              <w:tabs>
                <w:tab w:pos="491" w:val="left" w:leader="none"/>
                <w:tab w:pos="1695" w:val="left" w:leader="none"/>
              </w:tabs>
              <w:spacing w:line="240" w:lineRule="auto" w:before="16"/>
              <w:ind w:right="7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(86,899,415)</w:t>
              <w:tab/>
            </w:r>
            <w:r>
              <w:rPr>
                <w:rFonts w:ascii="Arial"/>
                <w:spacing w:val="-1"/>
                <w:sz w:val="20"/>
              </w:rPr>
            </w:r>
          </w:p>
        </w:tc>
        <w:tc>
          <w:tcPr>
            <w:tcW w:w="1504" w:type="dxa"/>
            <w:tcBorders>
              <w:top w:val="nil" w:sz="6" w:space="0" w:color="auto"/>
              <w:left w:val="nil" w:sz="6" w:space="0" w:color="auto"/>
              <w:bottom w:val="nil" w:sz="6" w:space="0" w:color="auto"/>
              <w:right w:val="nil" w:sz="6" w:space="0" w:color="auto"/>
            </w:tcBorders>
          </w:tcPr>
          <w:p>
            <w:pPr>
              <w:pStyle w:val="TableParagraph"/>
              <w:tabs>
                <w:tab w:pos="413" w:val="left" w:leader="none"/>
                <w:tab w:pos="1503" w:val="left" w:leader="none"/>
              </w:tabs>
              <w:spacing w:line="240" w:lineRule="auto" w:before="16"/>
              <w:ind w:left="-22" w:right="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49,536,378</w:t>
              <w:tab/>
            </w:r>
            <w:r>
              <w:rPr>
                <w:rFonts w:ascii="Arial"/>
                <w:spacing w:val="-1"/>
                <w:sz w:val="20"/>
              </w:rPr>
            </w:r>
          </w:p>
        </w:tc>
      </w:tr>
      <w:tr>
        <w:trPr>
          <w:trHeight w:val="394" w:hRule="exact"/>
        </w:trPr>
        <w:tc>
          <w:tcPr>
            <w:tcW w:w="2791" w:type="dxa"/>
            <w:tcBorders>
              <w:top w:val="nil" w:sz="6" w:space="0" w:color="auto"/>
              <w:left w:val="nil" w:sz="6" w:space="0" w:color="auto"/>
              <w:bottom w:val="single" w:sz="17" w:space="0" w:color="000000"/>
              <w:right w:val="nil" w:sz="6" w:space="0" w:color="auto"/>
            </w:tcBorders>
          </w:tcPr>
          <w:p>
            <w:pPr>
              <w:pStyle w:val="TableParagraph"/>
              <w:spacing w:line="240" w:lineRule="auto" w:before="79"/>
              <w:ind w:left="200"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498" w:type="dxa"/>
            <w:tcBorders>
              <w:top w:val="nil" w:sz="6" w:space="0" w:color="auto"/>
              <w:left w:val="nil" w:sz="6" w:space="0" w:color="auto"/>
              <w:bottom w:val="single" w:sz="17" w:space="0" w:color="000000"/>
              <w:right w:val="nil" w:sz="6" w:space="0" w:color="auto"/>
            </w:tcBorders>
          </w:tcPr>
          <w:p>
            <w:pPr>
              <w:pStyle w:val="TableParagraph"/>
              <w:spacing w:line="240" w:lineRule="auto" w:before="138"/>
              <w:ind w:left="144" w:right="0"/>
              <w:jc w:val="left"/>
              <w:rPr>
                <w:rFonts w:ascii="Arial" w:hAnsi="Arial" w:cs="Arial" w:eastAsia="Arial" w:hint="default"/>
                <w:sz w:val="20"/>
                <w:szCs w:val="20"/>
              </w:rPr>
            </w:pPr>
            <w:r>
              <w:rPr>
                <w:rFonts w:ascii="Arial"/>
                <w:sz w:val="20"/>
              </w:rPr>
              <w:t>3,550,320,691</w:t>
            </w:r>
          </w:p>
        </w:tc>
        <w:tc>
          <w:tcPr>
            <w:tcW w:w="1638" w:type="dxa"/>
            <w:tcBorders>
              <w:top w:val="nil" w:sz="6" w:space="0" w:color="auto"/>
              <w:left w:val="nil" w:sz="6" w:space="0" w:color="auto"/>
              <w:bottom w:val="single" w:sz="17" w:space="0" w:color="000000"/>
              <w:right w:val="nil" w:sz="6" w:space="0" w:color="auto"/>
            </w:tcBorders>
          </w:tcPr>
          <w:p>
            <w:pPr>
              <w:pStyle w:val="TableParagraph"/>
              <w:spacing w:line="240" w:lineRule="auto" w:before="138"/>
              <w:ind w:left="122" w:right="0"/>
              <w:jc w:val="left"/>
              <w:rPr>
                <w:rFonts w:ascii="Arial" w:hAnsi="Arial" w:cs="Arial" w:eastAsia="Arial" w:hint="default"/>
                <w:sz w:val="20"/>
                <w:szCs w:val="20"/>
              </w:rPr>
            </w:pPr>
            <w:r>
              <w:rPr>
                <w:rFonts w:ascii="Arial"/>
                <w:sz w:val="20"/>
              </w:rPr>
              <w:t>29,478,409,105</w:t>
            </w:r>
          </w:p>
        </w:tc>
        <w:tc>
          <w:tcPr>
            <w:tcW w:w="1781" w:type="dxa"/>
            <w:tcBorders>
              <w:top w:val="nil" w:sz="6" w:space="0" w:color="auto"/>
              <w:left w:val="nil" w:sz="6" w:space="0" w:color="auto"/>
              <w:bottom w:val="single" w:sz="17" w:space="0" w:color="000000"/>
              <w:right w:val="nil" w:sz="6" w:space="0" w:color="auto"/>
            </w:tcBorders>
          </w:tcPr>
          <w:p>
            <w:pPr>
              <w:pStyle w:val="TableParagraph"/>
              <w:spacing w:line="240" w:lineRule="auto" w:before="138"/>
              <w:ind w:left="108" w:right="0"/>
              <w:jc w:val="left"/>
              <w:rPr>
                <w:rFonts w:ascii="Arial" w:hAnsi="Arial" w:cs="Arial" w:eastAsia="Arial" w:hint="default"/>
                <w:sz w:val="20"/>
                <w:szCs w:val="20"/>
              </w:rPr>
            </w:pPr>
            <w:r>
              <w:rPr>
                <w:rFonts w:ascii="Arial"/>
                <w:sz w:val="20"/>
              </w:rPr>
              <w:t>(29,111,780,830)</w:t>
            </w:r>
          </w:p>
        </w:tc>
        <w:tc>
          <w:tcPr>
            <w:tcW w:w="1504" w:type="dxa"/>
            <w:tcBorders>
              <w:top w:val="nil" w:sz="6" w:space="0" w:color="auto"/>
              <w:left w:val="nil" w:sz="6" w:space="0" w:color="auto"/>
              <w:bottom w:val="single" w:sz="17" w:space="0" w:color="000000"/>
              <w:right w:val="nil" w:sz="6" w:space="0" w:color="auto"/>
            </w:tcBorders>
          </w:tcPr>
          <w:p>
            <w:pPr>
              <w:pStyle w:val="TableParagraph"/>
              <w:spacing w:line="240" w:lineRule="auto" w:before="138"/>
              <w:ind w:left="135" w:right="0"/>
              <w:jc w:val="left"/>
              <w:rPr>
                <w:rFonts w:ascii="Arial" w:hAnsi="Arial" w:cs="Arial" w:eastAsia="Arial" w:hint="default"/>
                <w:sz w:val="20"/>
                <w:szCs w:val="20"/>
              </w:rPr>
            </w:pPr>
            <w:r>
              <w:rPr>
                <w:rFonts w:ascii="Arial"/>
                <w:sz w:val="20"/>
              </w:rPr>
              <w:t>3,916,948,966</w:t>
            </w:r>
          </w:p>
        </w:tc>
      </w:tr>
    </w:tbl>
    <w:p>
      <w:pPr>
        <w:spacing w:line="240" w:lineRule="auto" w:before="2"/>
        <w:rPr>
          <w:rFonts w:ascii="宋体" w:hAnsi="宋体" w:cs="宋体" w:eastAsia="宋体" w:hint="default"/>
          <w:sz w:val="14"/>
          <w:szCs w:val="14"/>
        </w:rPr>
      </w:pPr>
    </w:p>
    <w:p>
      <w:pPr>
        <w:pStyle w:val="BodyText"/>
        <w:spacing w:line="286" w:lineRule="exact" w:before="60"/>
        <w:ind w:left="550" w:right="122"/>
        <w:jc w:val="left"/>
      </w:pPr>
      <w:r>
        <w:rPr/>
        <w:t>于</w:t>
      </w:r>
      <w:r>
        <w:rPr>
          <w:spacing w:val="-56"/>
        </w:rPr>
        <w:t> </w:t>
      </w:r>
      <w:r>
        <w:rPr>
          <w:rFonts w:ascii="Arial" w:hAnsi="Arial" w:cs="Arial" w:eastAsia="Arial" w:hint="default"/>
        </w:rPr>
        <w:t>2012</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spacing w:val="-4"/>
        </w:rPr>
        <w:t>日，应付职工薪酬中没有属于拖欠性质的应付款，本集团于</w:t>
      </w:r>
      <w:r>
        <w:rPr>
          <w:spacing w:val="-56"/>
        </w:rPr>
        <w:t> </w:t>
      </w:r>
      <w:r>
        <w:rPr>
          <w:rFonts w:ascii="Arial" w:hAnsi="Arial" w:cs="Arial" w:eastAsia="Arial" w:hint="default"/>
        </w:rPr>
        <w:t>2012</w:t>
      </w:r>
      <w:r>
        <w:rPr>
          <w:rFonts w:ascii="Arial" w:hAnsi="Arial" w:cs="Arial" w:eastAsia="Arial" w:hint="default"/>
          <w:spacing w:val="-7"/>
        </w:rPr>
        <w:t> </w:t>
      </w:r>
      <w:r>
        <w:rPr/>
        <w:t>年度并无</w:t>
      </w:r>
      <w:r>
        <w:rPr>
          <w:w w:val="99"/>
        </w:rPr>
        <w:t> </w:t>
      </w:r>
      <w:r>
        <w:rPr/>
        <w:t>重大非货币性职工福利支出。</w:t>
      </w:r>
    </w:p>
    <w:p>
      <w:pPr>
        <w:spacing w:line="240" w:lineRule="auto" w:before="6"/>
        <w:rPr>
          <w:rFonts w:ascii="宋体" w:hAnsi="宋体" w:cs="宋体" w:eastAsia="宋体" w:hint="default"/>
          <w:sz w:val="17"/>
          <w:szCs w:val="17"/>
        </w:rPr>
      </w:pPr>
    </w:p>
    <w:p>
      <w:pPr>
        <w:pStyle w:val="BodyText"/>
        <w:spacing w:line="235" w:lineRule="auto"/>
        <w:ind w:left="1146" w:right="111" w:hanging="610"/>
        <w:jc w:val="both"/>
      </w:pPr>
      <w:r>
        <w:rPr/>
        <w:t>注</w:t>
      </w:r>
      <w:r>
        <w:rPr>
          <w:spacing w:val="-67"/>
        </w:rPr>
        <w:t> </w:t>
      </w:r>
      <w:r>
        <w:rPr>
          <w:rFonts w:ascii="Arial" w:hAnsi="Arial" w:cs="Arial" w:eastAsia="Arial" w:hint="default"/>
          <w:spacing w:val="-3"/>
        </w:rPr>
        <w:t>1</w:t>
      </w:r>
      <w:r>
        <w:rPr>
          <w:spacing w:val="-3"/>
        </w:rPr>
        <w:t>：国务院</w:t>
      </w:r>
      <w:r>
        <w:rPr>
          <w:spacing w:val="-67"/>
        </w:rPr>
        <w:t> </w:t>
      </w:r>
      <w:r>
        <w:rPr>
          <w:rFonts w:ascii="Arial" w:hAnsi="Arial" w:cs="Arial" w:eastAsia="Arial" w:hint="default"/>
        </w:rPr>
        <w:t>1998</w:t>
      </w:r>
      <w:r>
        <w:rPr>
          <w:rFonts w:ascii="Arial" w:hAnsi="Arial" w:cs="Arial" w:eastAsia="Arial" w:hint="default"/>
          <w:spacing w:val="-18"/>
        </w:rPr>
        <w:t> </w:t>
      </w:r>
      <w:r>
        <w:rPr/>
        <w:t>年公布的住房改革政策，企业应停止向员工进行实物分房，而应采用现金补</w:t>
      </w:r>
      <w:r>
        <w:rPr>
          <w:w w:val="99"/>
        </w:rPr>
        <w:t> </w:t>
      </w:r>
      <w:r>
        <w:rPr>
          <w:spacing w:val="-3"/>
        </w:rPr>
        <w:t>贴形式实行货币分房。在住房改革政策实施中，企业可按照自身实际情况及财务能力考虑</w:t>
      </w:r>
      <w:r>
        <w:rPr>
          <w:w w:val="99"/>
        </w:rPr>
        <w:t> </w:t>
      </w:r>
      <w:r>
        <w:rPr>
          <w:spacing w:val="-3"/>
        </w:rPr>
        <w:t>了制定适合本企业的房改方案。另外，还需按属地化原则在各省市内执行当地政府的房改</w:t>
      </w:r>
      <w:r>
        <w:rPr>
          <w:w w:val="99"/>
        </w:rPr>
        <w:t> </w:t>
      </w:r>
      <w:r>
        <w:rPr/>
        <w:t>条例。</w:t>
      </w:r>
    </w:p>
    <w:p>
      <w:pPr>
        <w:spacing w:line="240" w:lineRule="auto" w:before="2"/>
        <w:rPr>
          <w:rFonts w:ascii="宋体" w:hAnsi="宋体" w:cs="宋体" w:eastAsia="宋体" w:hint="default"/>
          <w:sz w:val="19"/>
          <w:szCs w:val="19"/>
        </w:rPr>
      </w:pPr>
    </w:p>
    <w:p>
      <w:pPr>
        <w:pStyle w:val="BodyText"/>
        <w:spacing w:line="295" w:lineRule="exact"/>
        <w:ind w:left="1125" w:right="0"/>
        <w:jc w:val="both"/>
      </w:pPr>
      <w:r>
        <w:rPr>
          <w:rFonts w:ascii="Arial" w:hAnsi="Arial" w:cs="Arial" w:eastAsia="Arial" w:hint="default"/>
        </w:rPr>
        <w:t>1998</w:t>
      </w:r>
      <w:r>
        <w:rPr>
          <w:rFonts w:ascii="Arial" w:hAnsi="Arial" w:cs="Arial" w:eastAsia="Arial" w:hint="default"/>
          <w:spacing w:val="23"/>
        </w:rPr>
        <w:t> </w:t>
      </w:r>
      <w:r>
        <w:rPr/>
        <w:t>年以前，网通运营公司以优惠价向其符合规定的员工出售员工住房（“优惠出售计</w:t>
      </w:r>
    </w:p>
    <w:p>
      <w:pPr>
        <w:pStyle w:val="BodyText"/>
        <w:spacing w:line="286" w:lineRule="exact"/>
        <w:ind w:left="1125" w:right="0"/>
        <w:jc w:val="both"/>
      </w:pPr>
      <w:r>
        <w:rPr/>
        <w:t>划”），根据国务院</w:t>
      </w:r>
      <w:r>
        <w:rPr>
          <w:spacing w:val="-64"/>
        </w:rPr>
        <w:t> </w:t>
      </w:r>
      <w:r>
        <w:rPr>
          <w:rFonts w:ascii="Arial" w:hAnsi="Arial" w:cs="Arial" w:eastAsia="Arial" w:hint="default"/>
        </w:rPr>
        <w:t>1998</w:t>
      </w:r>
      <w:r>
        <w:rPr>
          <w:rFonts w:ascii="Arial" w:hAnsi="Arial" w:cs="Arial" w:eastAsia="Arial" w:hint="default"/>
          <w:spacing w:val="-15"/>
        </w:rPr>
        <w:t> </w:t>
      </w:r>
      <w:r>
        <w:rPr/>
        <w:t>年公布的住房改革政策，网通运营公司取消了优惠出售计划。</w:t>
      </w:r>
    </w:p>
    <w:p>
      <w:pPr>
        <w:pStyle w:val="BodyText"/>
        <w:spacing w:line="235" w:lineRule="auto"/>
        <w:ind w:left="1125" w:right="111"/>
        <w:jc w:val="both"/>
      </w:pPr>
      <w:r>
        <w:rPr/>
        <w:t>于</w:t>
      </w:r>
      <w:r>
        <w:rPr>
          <w:spacing w:val="-66"/>
        </w:rPr>
        <w:t> </w:t>
      </w:r>
      <w:r>
        <w:rPr>
          <w:rFonts w:ascii="Arial" w:hAnsi="Arial" w:cs="Arial" w:eastAsia="Arial" w:hint="default"/>
        </w:rPr>
        <w:t>2000</w:t>
      </w:r>
      <w:r>
        <w:rPr>
          <w:rFonts w:ascii="Arial" w:hAnsi="Arial" w:cs="Arial" w:eastAsia="Arial" w:hint="default"/>
          <w:spacing w:val="-17"/>
        </w:rPr>
        <w:t> </w:t>
      </w:r>
      <w:r>
        <w:rPr/>
        <w:t>年，国务院进一步发布通告，说明取消员工住房分配后，须给予符合条件的员工</w:t>
      </w:r>
      <w:r>
        <w:rPr>
          <w:w w:val="99"/>
        </w:rPr>
        <w:t> </w:t>
      </w:r>
      <w:r>
        <w:rPr>
          <w:spacing w:val="-2"/>
        </w:rPr>
        <w:t>现金补贴，故网通运营公司所属各省分公司按照当地政府颁布的相关详细条例采纳了现金</w:t>
      </w:r>
      <w:r>
        <w:rPr>
          <w:w w:val="99"/>
        </w:rPr>
        <w:t> </w:t>
      </w:r>
      <w:r>
        <w:rPr>
          <w:spacing w:val="-2"/>
        </w:rPr>
        <w:t>住房补贴计划。根据现金住房补贴计划，对于在优惠出售计划终止前未获分配住房或分配</w:t>
      </w:r>
      <w:r>
        <w:rPr>
          <w:w w:val="99"/>
        </w:rPr>
        <w:t> </w:t>
      </w:r>
      <w:r>
        <w:rPr>
          <w:spacing w:val="-2"/>
        </w:rPr>
        <w:t>住房不达标的符合资格员工，网通运营公司须支付一笔按其服务年份、职位和其他标准计</w:t>
      </w:r>
      <w:r>
        <w:rPr>
          <w:w w:val="99"/>
        </w:rPr>
        <w:t> </w:t>
      </w:r>
      <w:r>
        <w:rPr>
          <w:spacing w:val="-3"/>
        </w:rPr>
        <w:t>算的一次性货币住房补贴。网通运营公司据此全额计提了约人民币</w:t>
      </w:r>
      <w:r>
        <w:rPr>
          <w:spacing w:val="-52"/>
        </w:rPr>
        <w:t> </w:t>
      </w:r>
      <w:r>
        <w:rPr>
          <w:rFonts w:ascii="Arial" w:hAnsi="Arial" w:cs="Arial" w:eastAsia="Arial" w:hint="default"/>
        </w:rPr>
        <w:t>41.42</w:t>
      </w:r>
      <w:r>
        <w:rPr>
          <w:rFonts w:ascii="Arial" w:hAnsi="Arial" w:cs="Arial" w:eastAsia="Arial" w:hint="default"/>
          <w:spacing w:val="-5"/>
        </w:rPr>
        <w:t> </w:t>
      </w:r>
      <w:r>
        <w:rPr/>
        <w:t>亿元的现金住房</w:t>
      </w:r>
    </w:p>
    <w:p>
      <w:pPr>
        <w:pStyle w:val="BodyText"/>
        <w:spacing w:line="232" w:lineRule="auto"/>
        <w:ind w:left="1125" w:right="111"/>
        <w:jc w:val="both"/>
      </w:pPr>
      <w:r>
        <w:rPr>
          <w:spacing w:val="-8"/>
        </w:rPr>
        <w:t>补贴。于</w:t>
      </w:r>
      <w:r>
        <w:rPr>
          <w:spacing w:val="-57"/>
        </w:rPr>
        <w:t> </w:t>
      </w:r>
      <w:r>
        <w:rPr>
          <w:rFonts w:ascii="Arial" w:hAnsi="Arial" w:cs="Arial" w:eastAsia="Arial" w:hint="default"/>
        </w:rPr>
        <w:t>2012</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spacing w:val="-4"/>
        </w:rPr>
        <w:t>日，尚有约人民币</w:t>
      </w:r>
      <w:r>
        <w:rPr>
          <w:spacing w:val="-57"/>
        </w:rPr>
        <w:t> </w:t>
      </w:r>
      <w:r>
        <w:rPr>
          <w:rFonts w:ascii="Arial" w:hAnsi="Arial" w:cs="Arial" w:eastAsia="Arial" w:hint="default"/>
        </w:rPr>
        <w:t>25.08</w:t>
      </w:r>
      <w:r>
        <w:rPr>
          <w:rFonts w:ascii="Arial" w:hAnsi="Arial" w:cs="Arial" w:eastAsia="Arial" w:hint="default"/>
          <w:spacing w:val="-7"/>
        </w:rPr>
        <w:t> </w:t>
      </w:r>
      <w:r>
        <w:rPr/>
        <w:t>亿元的一次性货币住房补贴尚未支付</w:t>
      </w:r>
      <w:r>
        <w:rPr>
          <w:w w:val="99"/>
        </w:rPr>
        <w:t> </w:t>
      </w:r>
      <w:r>
        <w:rPr>
          <w:spacing w:val="-2"/>
        </w:rPr>
        <w:t>完毕，对于实际支付金额多于已计提金额，网通集团将补发其差额，如果实际支付金额少</w:t>
      </w:r>
      <w:r>
        <w:rPr>
          <w:w w:val="99"/>
        </w:rPr>
        <w:t> </w:t>
      </w:r>
      <w:r>
        <w:rPr/>
        <w:t>于已计提金额，网通运营公司将支付给网通集团。于</w:t>
      </w:r>
      <w:r>
        <w:rPr>
          <w:spacing w:val="-63"/>
        </w:rPr>
        <w:t> </w:t>
      </w:r>
      <w:r>
        <w:rPr>
          <w:rFonts w:ascii="Arial" w:hAnsi="Arial" w:cs="Arial" w:eastAsia="Arial" w:hint="default"/>
        </w:rPr>
        <w:t>2009</w:t>
      </w:r>
      <w:r>
        <w:rPr>
          <w:rFonts w:ascii="Arial" w:hAnsi="Arial" w:cs="Arial" w:eastAsia="Arial" w:hint="default"/>
          <w:spacing w:val="-15"/>
        </w:rPr>
        <w:t> </w:t>
      </w:r>
      <w:r>
        <w:rPr/>
        <w:t>年</w:t>
      </w:r>
      <w:r>
        <w:rPr>
          <w:spacing w:val="-64"/>
        </w:rPr>
        <w:t> </w:t>
      </w:r>
      <w:r>
        <w:rPr>
          <w:rFonts w:ascii="Arial" w:hAnsi="Arial" w:cs="Arial" w:eastAsia="Arial" w:hint="default"/>
        </w:rPr>
        <w:t>1</w:t>
      </w:r>
      <w:r>
        <w:rPr>
          <w:rFonts w:ascii="Arial" w:hAnsi="Arial" w:cs="Arial" w:eastAsia="Arial" w:hint="default"/>
          <w:spacing w:val="-15"/>
        </w:rPr>
        <w:t> </w:t>
      </w:r>
      <w:r>
        <w:rPr/>
        <w:t>月，由于网通运营公司已</w:t>
      </w:r>
      <w:r>
        <w:rPr>
          <w:w w:val="99"/>
        </w:rPr>
        <w:t> </w:t>
      </w:r>
      <w:r>
        <w:rPr>
          <w:spacing w:val="-2"/>
        </w:rPr>
        <w:t>被联通运营公司吸收合并，网通集团也被联通集团吸收合并，因此网通运营公司和网通集</w:t>
      </w:r>
      <w:r>
        <w:rPr>
          <w:w w:val="99"/>
        </w:rPr>
        <w:t> </w:t>
      </w:r>
      <w:r>
        <w:rPr/>
        <w:t>团在上述一次性货币住房补贴中的权利和义务分别由联通运营公司和联通集团承继。</w:t>
      </w:r>
    </w:p>
    <w:p>
      <w:pPr>
        <w:spacing w:after="0" w:line="232" w:lineRule="auto"/>
        <w:jc w:val="both"/>
        <w:sectPr>
          <w:headerReference w:type="default" r:id="rId103"/>
          <w:pgSz w:w="11910" w:h="16840"/>
          <w:pgMar w:header="1184" w:footer="457" w:top="3040" w:bottom="640" w:left="1280" w:right="880"/>
        </w:sectPr>
      </w:pPr>
    </w:p>
    <w:p>
      <w:pPr>
        <w:spacing w:line="240" w:lineRule="auto" w:before="12"/>
        <w:rPr>
          <w:rFonts w:ascii="宋体" w:hAnsi="宋体" w:cs="宋体" w:eastAsia="宋体" w:hint="default"/>
          <w:sz w:val="14"/>
          <w:szCs w:val="14"/>
        </w:rPr>
      </w:pPr>
    </w:p>
    <w:p>
      <w:pPr>
        <w:pStyle w:val="BodyText"/>
        <w:spacing w:line="240" w:lineRule="auto" w:before="31"/>
        <w:ind w:left="102" w:right="122"/>
        <w:jc w:val="left"/>
      </w:pPr>
      <w:r>
        <w:rPr>
          <w:rFonts w:ascii="Arial" w:hAnsi="Arial" w:cs="Arial" w:eastAsia="Arial" w:hint="default"/>
        </w:rPr>
        <w:t>21</w:t>
      </w:r>
      <w:r>
        <w:rPr/>
        <w:t>、应付职工薪酬（续）</w:t>
      </w:r>
    </w:p>
    <w:p>
      <w:pPr>
        <w:spacing w:line="240" w:lineRule="auto" w:before="8"/>
        <w:rPr>
          <w:rFonts w:ascii="宋体" w:hAnsi="宋体" w:cs="宋体" w:eastAsia="宋体" w:hint="default"/>
          <w:sz w:val="18"/>
          <w:szCs w:val="18"/>
        </w:rPr>
      </w:pPr>
    </w:p>
    <w:p>
      <w:pPr>
        <w:pStyle w:val="BodyText"/>
        <w:spacing w:line="232" w:lineRule="auto"/>
        <w:ind w:left="1182" w:right="206" w:hanging="622"/>
        <w:jc w:val="both"/>
      </w:pPr>
      <w:r>
        <w:rPr/>
        <w:t>注</w:t>
      </w:r>
      <w:r>
        <w:rPr>
          <w:spacing w:val="-67"/>
        </w:rPr>
        <w:t> </w:t>
      </w:r>
      <w:r>
        <w:rPr>
          <w:rFonts w:ascii="Arial" w:hAnsi="Arial" w:cs="Arial" w:eastAsia="Arial" w:hint="default"/>
        </w:rPr>
        <w:t>2</w:t>
      </w:r>
      <w:r>
        <w:rPr/>
        <w:t>：根据联通运营公司及其子公司中讯设计院于以前年度与内退员工签署的内退协议，其将</w:t>
      </w:r>
      <w:r>
        <w:rPr>
          <w:w w:val="99"/>
        </w:rPr>
        <w:t> </w:t>
      </w:r>
      <w:r>
        <w:rPr>
          <w:w w:val="95"/>
        </w:rPr>
        <w:t>在内退员工达到国家法定退休年龄前分期支付一定的经济补偿，该等经济补偿已于内退</w:t>
      </w:r>
      <w:r>
        <w:rPr>
          <w:w w:val="99"/>
        </w:rPr>
        <w:t> </w:t>
      </w:r>
      <w:r>
        <w:rPr>
          <w:w w:val="95"/>
        </w:rPr>
        <w:t>协议签署期间折现后分别由联通运营公司和中讯设计院全额一次性计入签约期间的费用</w:t>
      </w:r>
      <w:r>
        <w:rPr>
          <w:w w:val="99"/>
        </w:rPr>
        <w:t> </w:t>
      </w:r>
      <w:r>
        <w:rPr/>
        <w:t>当中。</w:t>
      </w:r>
    </w:p>
    <w:p>
      <w:pPr>
        <w:spacing w:line="240" w:lineRule="auto" w:before="11"/>
        <w:rPr>
          <w:rFonts w:ascii="宋体" w:hAnsi="宋体" w:cs="宋体" w:eastAsia="宋体" w:hint="default"/>
          <w:sz w:val="19"/>
          <w:szCs w:val="19"/>
        </w:rPr>
      </w:pPr>
    </w:p>
    <w:p>
      <w:pPr>
        <w:pStyle w:val="BodyText"/>
        <w:spacing w:line="232" w:lineRule="auto"/>
        <w:ind w:left="1146" w:right="111" w:hanging="603"/>
        <w:jc w:val="both"/>
      </w:pPr>
      <w:r>
        <w:rPr/>
        <w:t>注</w:t>
      </w:r>
      <w:r>
        <w:rPr>
          <w:spacing w:val="-55"/>
        </w:rPr>
        <w:t> </w:t>
      </w:r>
      <w:r>
        <w:rPr>
          <w:rFonts w:ascii="Arial" w:hAnsi="Arial" w:cs="Arial" w:eastAsia="Arial" w:hint="default"/>
          <w:spacing w:val="-3"/>
        </w:rPr>
        <w:t>3</w:t>
      </w:r>
      <w:r>
        <w:rPr>
          <w:spacing w:val="-3"/>
        </w:rPr>
        <w:t>：本集团所属个别子公司向职工提供其他离退休后补充福利，主要包括补充退休金津贴，医</w:t>
      </w:r>
      <w:r>
        <w:rPr>
          <w:w w:val="99"/>
        </w:rPr>
        <w:t> </w:t>
      </w:r>
      <w:r>
        <w:rPr>
          <w:spacing w:val="-3"/>
        </w:rPr>
        <w:t>药费用报销及补充医疗保险，该等离退休后补充福利被视为设定受益计划。设定受益计划</w:t>
      </w:r>
      <w:r>
        <w:rPr>
          <w:w w:val="99"/>
        </w:rPr>
        <w:t> </w:t>
      </w:r>
      <w:r>
        <w:rPr>
          <w:spacing w:val="-3"/>
          <w:w w:val="99"/>
        </w:rPr>
        <w:t>的现值以到期日与有关离退休后补充福利预计支付期相近的政府债券的利率，按估计未来</w:t>
      </w:r>
      <w:r>
        <w:rPr>
          <w:w w:val="99"/>
        </w:rPr>
        <w:t> </w:t>
      </w:r>
      <w:r>
        <w:rPr/>
        <w:t>现金流出折现确定。</w:t>
      </w:r>
    </w:p>
    <w:p>
      <w:pPr>
        <w:spacing w:line="240" w:lineRule="auto" w:before="2"/>
        <w:rPr>
          <w:rFonts w:ascii="宋体" w:hAnsi="宋体" w:cs="宋体" w:eastAsia="宋体" w:hint="default"/>
          <w:sz w:val="19"/>
          <w:szCs w:val="19"/>
        </w:rPr>
      </w:pPr>
    </w:p>
    <w:p>
      <w:pPr>
        <w:pStyle w:val="BodyText"/>
        <w:spacing w:line="240" w:lineRule="auto"/>
        <w:ind w:left="102" w:right="122"/>
        <w:jc w:val="left"/>
      </w:pPr>
      <w:r>
        <w:rPr>
          <w:rFonts w:ascii="Arial" w:hAnsi="Arial" w:cs="Arial" w:eastAsia="Arial" w:hint="default"/>
        </w:rPr>
        <w:t>22</w:t>
      </w:r>
      <w:r>
        <w:rPr/>
        <w:t>、应交税费</w:t>
      </w:r>
    </w:p>
    <w:p>
      <w:pPr>
        <w:spacing w:line="240" w:lineRule="auto" w:before="9"/>
        <w:rPr>
          <w:rFonts w:ascii="宋体" w:hAnsi="宋体" w:cs="宋体" w:eastAsia="宋体" w:hint="default"/>
          <w:sz w:val="19"/>
          <w:szCs w:val="19"/>
        </w:rPr>
      </w:pPr>
    </w:p>
    <w:tbl>
      <w:tblPr>
        <w:tblW w:w="0" w:type="auto"/>
        <w:jc w:val="left"/>
        <w:tblInd w:w="365" w:type="dxa"/>
        <w:tblLayout w:type="fixed"/>
        <w:tblCellMar>
          <w:top w:w="0" w:type="dxa"/>
          <w:left w:w="0" w:type="dxa"/>
          <w:bottom w:w="0" w:type="dxa"/>
          <w:right w:w="0" w:type="dxa"/>
        </w:tblCellMar>
        <w:tblLook w:val="01E0"/>
      </w:tblPr>
      <w:tblGrid>
        <w:gridCol w:w="4506"/>
        <w:gridCol w:w="2320"/>
        <w:gridCol w:w="2389"/>
      </w:tblGrid>
      <w:tr>
        <w:trPr>
          <w:trHeight w:val="260" w:hRule="exact"/>
        </w:trPr>
        <w:tc>
          <w:tcPr>
            <w:tcW w:w="4506" w:type="dxa"/>
            <w:tcBorders>
              <w:top w:val="nil" w:sz="6" w:space="0" w:color="auto"/>
              <w:left w:val="nil" w:sz="6" w:space="0" w:color="auto"/>
              <w:bottom w:val="nil" w:sz="6" w:space="0" w:color="auto"/>
              <w:right w:val="nil" w:sz="6" w:space="0" w:color="auto"/>
            </w:tcBorders>
          </w:tcPr>
          <w:p>
            <w:pPr/>
          </w:p>
        </w:tc>
        <w:tc>
          <w:tcPr>
            <w:tcW w:w="2320" w:type="dxa"/>
            <w:tcBorders>
              <w:top w:val="nil" w:sz="6" w:space="0" w:color="auto"/>
              <w:left w:val="nil" w:sz="6" w:space="0" w:color="auto"/>
              <w:bottom w:val="single" w:sz="6" w:space="0" w:color="000000"/>
              <w:right w:val="nil" w:sz="6" w:space="0" w:color="auto"/>
            </w:tcBorders>
          </w:tcPr>
          <w:p>
            <w:pPr>
              <w:pStyle w:val="TableParagraph"/>
              <w:spacing w:line="235" w:lineRule="exact"/>
              <w:ind w:right="53"/>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389" w:type="dxa"/>
            <w:tcBorders>
              <w:top w:val="nil" w:sz="6" w:space="0" w:color="auto"/>
              <w:left w:val="nil" w:sz="6" w:space="0" w:color="auto"/>
              <w:bottom w:val="single" w:sz="6" w:space="0" w:color="000000"/>
              <w:right w:val="nil" w:sz="6" w:space="0" w:color="auto"/>
            </w:tcBorders>
          </w:tcPr>
          <w:p>
            <w:pPr>
              <w:pStyle w:val="TableParagraph"/>
              <w:spacing w:line="235" w:lineRule="exact"/>
              <w:ind w:left="403"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9" w:hRule="exact"/>
        </w:trPr>
        <w:tc>
          <w:tcPr>
            <w:tcW w:w="45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应交营业税</w:t>
            </w:r>
          </w:p>
        </w:tc>
        <w:tc>
          <w:tcPr>
            <w:tcW w:w="2320"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54"/>
              <w:jc w:val="right"/>
              <w:rPr>
                <w:rFonts w:ascii="Arial" w:hAnsi="Arial" w:cs="Arial" w:eastAsia="Arial" w:hint="default"/>
                <w:sz w:val="22"/>
                <w:szCs w:val="22"/>
              </w:rPr>
            </w:pPr>
            <w:r>
              <w:rPr>
                <w:rFonts w:ascii="Arial"/>
                <w:w w:val="95"/>
                <w:sz w:val="22"/>
              </w:rPr>
              <w:t>707,375,297</w:t>
            </w:r>
            <w:r>
              <w:rPr>
                <w:rFonts w:ascii="Arial"/>
                <w:sz w:val="22"/>
              </w:rPr>
            </w:r>
          </w:p>
        </w:tc>
        <w:tc>
          <w:tcPr>
            <w:tcW w:w="2389"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14"/>
              <w:jc w:val="right"/>
              <w:rPr>
                <w:rFonts w:ascii="Arial" w:hAnsi="Arial" w:cs="Arial" w:eastAsia="Arial" w:hint="default"/>
                <w:sz w:val="22"/>
                <w:szCs w:val="22"/>
              </w:rPr>
            </w:pPr>
            <w:r>
              <w:rPr>
                <w:rFonts w:ascii="Arial"/>
                <w:w w:val="95"/>
                <w:sz w:val="22"/>
              </w:rPr>
              <w:t>636,208,084</w:t>
            </w:r>
            <w:r>
              <w:rPr>
                <w:rFonts w:ascii="Arial"/>
                <w:sz w:val="22"/>
              </w:rPr>
            </w:r>
          </w:p>
        </w:tc>
      </w:tr>
      <w:tr>
        <w:trPr>
          <w:trHeight w:val="285" w:hRule="exact"/>
        </w:trPr>
        <w:tc>
          <w:tcPr>
            <w:tcW w:w="4506"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z w:val="22"/>
                <w:szCs w:val="22"/>
              </w:rPr>
              <w:t>应交增值税（注</w:t>
            </w:r>
            <w:r>
              <w:rPr>
                <w:rFonts w:ascii="宋体" w:hAnsi="宋体" w:cs="宋体" w:eastAsia="宋体" w:hint="default"/>
                <w:spacing w:val="-58"/>
                <w:sz w:val="22"/>
                <w:szCs w:val="22"/>
              </w:rPr>
              <w:t> </w:t>
            </w:r>
            <w:r>
              <w:rPr>
                <w:rFonts w:ascii="Arial" w:hAnsi="Arial" w:cs="Arial" w:eastAsia="Arial" w:hint="default"/>
                <w:sz w:val="22"/>
                <w:szCs w:val="22"/>
              </w:rPr>
              <w:t>1</w:t>
            </w:r>
            <w:r>
              <w:rPr>
                <w:rFonts w:ascii="宋体" w:hAnsi="宋体" w:cs="宋体" w:eastAsia="宋体" w:hint="default"/>
                <w:sz w:val="22"/>
                <w:szCs w:val="22"/>
              </w:rPr>
              <w:t>）</w:t>
            </w:r>
          </w:p>
        </w:tc>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2"/>
              <w:jc w:val="right"/>
              <w:rPr>
                <w:rFonts w:ascii="Arial" w:hAnsi="Arial" w:cs="Arial" w:eastAsia="Arial" w:hint="default"/>
                <w:sz w:val="22"/>
                <w:szCs w:val="22"/>
              </w:rPr>
            </w:pPr>
            <w:r>
              <w:rPr>
                <w:rFonts w:ascii="Arial"/>
                <w:w w:val="95"/>
                <w:sz w:val="22"/>
              </w:rPr>
              <w:t>(150,446,795)</w:t>
            </w:r>
            <w:r>
              <w:rPr>
                <w:rFonts w:ascii="Arial"/>
                <w:sz w:val="22"/>
              </w:rPr>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3"/>
              <w:jc w:val="right"/>
              <w:rPr>
                <w:rFonts w:ascii="Arial" w:hAnsi="Arial" w:cs="Arial" w:eastAsia="Arial" w:hint="default"/>
                <w:sz w:val="22"/>
                <w:szCs w:val="22"/>
              </w:rPr>
            </w:pPr>
            <w:r>
              <w:rPr>
                <w:rFonts w:ascii="Arial"/>
                <w:w w:val="95"/>
                <w:sz w:val="22"/>
              </w:rPr>
              <w:t>(148,655,465)</w:t>
            </w:r>
            <w:r>
              <w:rPr>
                <w:rFonts w:ascii="Arial"/>
                <w:sz w:val="22"/>
              </w:rPr>
            </w:r>
          </w:p>
        </w:tc>
      </w:tr>
      <w:tr>
        <w:trPr>
          <w:trHeight w:val="286" w:hRule="exact"/>
        </w:trPr>
        <w:tc>
          <w:tcPr>
            <w:tcW w:w="4506"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z w:val="22"/>
                <w:szCs w:val="22"/>
              </w:rPr>
              <w:t>应交企业所得税（注</w:t>
            </w:r>
            <w:r>
              <w:rPr>
                <w:rFonts w:ascii="宋体" w:hAnsi="宋体" w:cs="宋体" w:eastAsia="宋体" w:hint="default"/>
                <w:spacing w:val="-58"/>
                <w:sz w:val="22"/>
                <w:szCs w:val="22"/>
              </w:rPr>
              <w:t> </w:t>
            </w:r>
            <w:r>
              <w:rPr>
                <w:rFonts w:ascii="Arial" w:hAnsi="Arial" w:cs="Arial" w:eastAsia="Arial" w:hint="default"/>
                <w:sz w:val="22"/>
                <w:szCs w:val="22"/>
              </w:rPr>
              <w:t>2</w:t>
            </w:r>
            <w:r>
              <w:rPr>
                <w:rFonts w:ascii="宋体" w:hAnsi="宋体" w:cs="宋体" w:eastAsia="宋体" w:hint="default"/>
                <w:sz w:val="22"/>
                <w:szCs w:val="22"/>
              </w:rPr>
              <w:t>）</w:t>
            </w:r>
          </w:p>
        </w:tc>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3"/>
              <w:jc w:val="right"/>
              <w:rPr>
                <w:rFonts w:ascii="Arial" w:hAnsi="Arial" w:cs="Arial" w:eastAsia="Arial" w:hint="default"/>
                <w:sz w:val="22"/>
                <w:szCs w:val="22"/>
              </w:rPr>
            </w:pPr>
            <w:r>
              <w:rPr>
                <w:rFonts w:ascii="Arial"/>
                <w:w w:val="95"/>
                <w:sz w:val="22"/>
              </w:rPr>
              <w:t>590,511,379</w:t>
            </w:r>
            <w:r>
              <w:rPr>
                <w:rFonts w:ascii="Arial"/>
                <w:sz w:val="22"/>
              </w:rPr>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4"/>
              <w:jc w:val="right"/>
              <w:rPr>
                <w:rFonts w:ascii="Arial" w:hAnsi="Arial" w:cs="Arial" w:eastAsia="Arial" w:hint="default"/>
                <w:sz w:val="22"/>
                <w:szCs w:val="22"/>
              </w:rPr>
            </w:pPr>
            <w:r>
              <w:rPr>
                <w:rFonts w:ascii="Arial"/>
                <w:w w:val="95"/>
                <w:sz w:val="22"/>
              </w:rPr>
              <w:t>221,183,366</w:t>
            </w:r>
            <w:r>
              <w:rPr>
                <w:rFonts w:ascii="Arial"/>
                <w:sz w:val="22"/>
              </w:rPr>
            </w:r>
          </w:p>
        </w:tc>
      </w:tr>
      <w:tr>
        <w:trPr>
          <w:trHeight w:val="286" w:hRule="exact"/>
        </w:trPr>
        <w:tc>
          <w:tcPr>
            <w:tcW w:w="4506"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应交个人所得税</w:t>
            </w:r>
          </w:p>
        </w:tc>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3"/>
              <w:jc w:val="right"/>
              <w:rPr>
                <w:rFonts w:ascii="Arial" w:hAnsi="Arial" w:cs="Arial" w:eastAsia="Arial" w:hint="default"/>
                <w:sz w:val="22"/>
                <w:szCs w:val="22"/>
              </w:rPr>
            </w:pPr>
            <w:r>
              <w:rPr>
                <w:rFonts w:ascii="Arial"/>
                <w:w w:val="95"/>
                <w:sz w:val="22"/>
              </w:rPr>
              <w:t>225,112,605</w:t>
            </w:r>
            <w:r>
              <w:rPr>
                <w:rFonts w:ascii="Arial"/>
                <w:sz w:val="22"/>
              </w:rPr>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4"/>
              <w:jc w:val="right"/>
              <w:rPr>
                <w:rFonts w:ascii="Arial" w:hAnsi="Arial" w:cs="Arial" w:eastAsia="Arial" w:hint="default"/>
                <w:sz w:val="22"/>
                <w:szCs w:val="22"/>
              </w:rPr>
            </w:pPr>
            <w:r>
              <w:rPr>
                <w:rFonts w:ascii="Arial"/>
                <w:w w:val="95"/>
                <w:sz w:val="22"/>
              </w:rPr>
              <w:t>209,484,845</w:t>
            </w:r>
            <w:r>
              <w:rPr>
                <w:rFonts w:ascii="Arial"/>
                <w:sz w:val="22"/>
              </w:rPr>
            </w:r>
          </w:p>
        </w:tc>
      </w:tr>
      <w:tr>
        <w:trPr>
          <w:trHeight w:val="285" w:hRule="exact"/>
        </w:trPr>
        <w:tc>
          <w:tcPr>
            <w:tcW w:w="4506"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应交房产税</w:t>
            </w:r>
          </w:p>
        </w:tc>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4"/>
              <w:jc w:val="right"/>
              <w:rPr>
                <w:rFonts w:ascii="Arial" w:hAnsi="Arial" w:cs="Arial" w:eastAsia="Arial" w:hint="default"/>
                <w:sz w:val="22"/>
                <w:szCs w:val="22"/>
              </w:rPr>
            </w:pPr>
            <w:r>
              <w:rPr>
                <w:rFonts w:ascii="Arial"/>
                <w:w w:val="95"/>
                <w:sz w:val="22"/>
              </w:rPr>
              <w:t>49,399,506</w:t>
            </w:r>
            <w:r>
              <w:rPr>
                <w:rFonts w:ascii="Arial"/>
                <w:sz w:val="22"/>
              </w:rPr>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5"/>
              <w:jc w:val="right"/>
              <w:rPr>
                <w:rFonts w:ascii="Arial" w:hAnsi="Arial" w:cs="Arial" w:eastAsia="Arial" w:hint="default"/>
                <w:sz w:val="22"/>
                <w:szCs w:val="22"/>
              </w:rPr>
            </w:pPr>
            <w:r>
              <w:rPr>
                <w:rFonts w:ascii="Arial"/>
                <w:w w:val="95"/>
                <w:sz w:val="22"/>
              </w:rPr>
              <w:t>52,868,907</w:t>
            </w:r>
            <w:r>
              <w:rPr>
                <w:rFonts w:ascii="Arial"/>
                <w:sz w:val="22"/>
              </w:rPr>
            </w:r>
          </w:p>
        </w:tc>
      </w:tr>
      <w:tr>
        <w:trPr>
          <w:trHeight w:val="419" w:hRule="exact"/>
        </w:trPr>
        <w:tc>
          <w:tcPr>
            <w:tcW w:w="4506"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320" w:type="dxa"/>
            <w:tcBorders>
              <w:top w:val="nil" w:sz="6" w:space="0" w:color="auto"/>
              <w:left w:val="nil" w:sz="6" w:space="0" w:color="auto"/>
              <w:bottom w:val="nil" w:sz="6" w:space="0" w:color="auto"/>
              <w:right w:val="nil" w:sz="6" w:space="0" w:color="auto"/>
            </w:tcBorders>
          </w:tcPr>
          <w:p>
            <w:pPr>
              <w:pStyle w:val="TableParagraph"/>
              <w:tabs>
                <w:tab w:pos="939" w:val="left" w:leader="none"/>
                <w:tab w:pos="2319"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410,159,714</w:t>
            </w:r>
            <w:r>
              <w:rPr>
                <w:rFonts w:ascii="Arial"/>
                <w:sz w:val="22"/>
                <w:u w:val="single" w:color="000000"/>
              </w:rPr>
              <w:tab/>
            </w:r>
            <w:r>
              <w:rPr>
                <w:rFonts w:ascii="Arial"/>
                <w:sz w:val="22"/>
              </w:rPr>
            </w:r>
          </w:p>
        </w:tc>
        <w:tc>
          <w:tcPr>
            <w:tcW w:w="2389" w:type="dxa"/>
            <w:tcBorders>
              <w:top w:val="nil" w:sz="6" w:space="0" w:color="auto"/>
              <w:left w:val="nil" w:sz="6" w:space="0" w:color="auto"/>
              <w:bottom w:val="nil" w:sz="6" w:space="0" w:color="auto"/>
              <w:right w:val="nil" w:sz="6" w:space="0" w:color="auto"/>
            </w:tcBorders>
          </w:tcPr>
          <w:p>
            <w:pPr>
              <w:pStyle w:val="TableParagraph"/>
              <w:tabs>
                <w:tab w:pos="965" w:val="left" w:leader="none"/>
                <w:tab w:pos="2306"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262,344,052</w:t>
            </w:r>
            <w:r>
              <w:rPr>
                <w:rFonts w:ascii="Arial"/>
                <w:sz w:val="22"/>
                <w:u w:val="single" w:color="000000"/>
              </w:rPr>
              <w:tab/>
            </w:r>
            <w:r>
              <w:rPr>
                <w:rFonts w:ascii="Arial"/>
                <w:sz w:val="22"/>
              </w:rPr>
            </w:r>
          </w:p>
        </w:tc>
      </w:tr>
      <w:tr>
        <w:trPr>
          <w:trHeight w:val="431" w:hRule="exact"/>
        </w:trPr>
        <w:tc>
          <w:tcPr>
            <w:tcW w:w="450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20"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155"/>
              <w:jc w:val="right"/>
              <w:rPr>
                <w:rFonts w:ascii="Arial" w:hAnsi="Arial" w:cs="Arial" w:eastAsia="Arial" w:hint="default"/>
                <w:sz w:val="22"/>
                <w:szCs w:val="22"/>
              </w:rPr>
            </w:pPr>
            <w:r>
              <w:rPr>
                <w:rFonts w:ascii="Arial"/>
                <w:spacing w:val="-1"/>
                <w:sz w:val="22"/>
              </w:rPr>
              <w:t>1,832,111,706</w:t>
            </w:r>
          </w:p>
        </w:tc>
        <w:tc>
          <w:tcPr>
            <w:tcW w:w="2389"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115"/>
              <w:jc w:val="right"/>
              <w:rPr>
                <w:rFonts w:ascii="Arial" w:hAnsi="Arial" w:cs="Arial" w:eastAsia="Arial" w:hint="default"/>
                <w:sz w:val="22"/>
                <w:szCs w:val="22"/>
              </w:rPr>
            </w:pPr>
            <w:r>
              <w:rPr>
                <w:rFonts w:ascii="Arial"/>
                <w:spacing w:val="-1"/>
                <w:sz w:val="22"/>
              </w:rPr>
              <w:t>1,233,433,789</w:t>
            </w:r>
          </w:p>
        </w:tc>
      </w:tr>
    </w:tbl>
    <w:p>
      <w:pPr>
        <w:spacing w:line="240" w:lineRule="auto" w:before="2"/>
        <w:rPr>
          <w:rFonts w:ascii="宋体" w:hAnsi="宋体" w:cs="宋体" w:eastAsia="宋体" w:hint="default"/>
          <w:sz w:val="14"/>
          <w:szCs w:val="14"/>
        </w:rPr>
      </w:pPr>
    </w:p>
    <w:p>
      <w:pPr>
        <w:pStyle w:val="BodyText"/>
        <w:spacing w:line="294" w:lineRule="exact" w:before="31"/>
        <w:ind w:left="550" w:right="122"/>
        <w:jc w:val="left"/>
      </w:pPr>
      <w:r>
        <w:rPr/>
        <w:t>注</w:t>
      </w:r>
      <w:r>
        <w:rPr>
          <w:spacing w:val="-57"/>
        </w:rPr>
        <w:t> </w:t>
      </w:r>
      <w:r>
        <w:rPr>
          <w:rFonts w:ascii="Arial" w:hAnsi="Arial" w:cs="Arial" w:eastAsia="Arial" w:hint="default"/>
        </w:rPr>
        <w:t>1</w:t>
      </w:r>
      <w:r>
        <w:rPr/>
        <w:t>：于</w:t>
      </w:r>
      <w:r>
        <w:rPr>
          <w:spacing w:val="-57"/>
        </w:rPr>
        <w:t> </w:t>
      </w:r>
      <w:r>
        <w:rPr>
          <w:rFonts w:ascii="Arial" w:hAnsi="Arial" w:cs="Arial" w:eastAsia="Arial" w:hint="default"/>
        </w:rPr>
        <w:t>2012</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日，联通运营公司所属子公司有约人民币</w:t>
      </w:r>
      <w:r>
        <w:rPr>
          <w:spacing w:val="-57"/>
        </w:rPr>
        <w:t> </w:t>
      </w:r>
      <w:r>
        <w:rPr>
          <w:rFonts w:ascii="Arial" w:hAnsi="Arial" w:cs="Arial" w:eastAsia="Arial" w:hint="default"/>
        </w:rPr>
        <w:t>1.8</w:t>
      </w:r>
      <w:r>
        <w:rPr>
          <w:rFonts w:ascii="Arial" w:hAnsi="Arial" w:cs="Arial" w:eastAsia="Arial" w:hint="default"/>
          <w:spacing w:val="-8"/>
        </w:rPr>
        <w:t> </w:t>
      </w:r>
      <w:r>
        <w:rPr/>
        <w:t>亿元增值税进项税余</w:t>
      </w:r>
    </w:p>
    <w:p>
      <w:pPr>
        <w:pStyle w:val="BodyText"/>
        <w:spacing w:line="294" w:lineRule="exact"/>
        <w:ind w:left="1167" w:right="122"/>
        <w:jc w:val="left"/>
      </w:pPr>
      <w:r>
        <w:rPr/>
        <w:t>额尚未进行抵扣（</w:t>
      </w:r>
      <w:r>
        <w:rPr>
          <w:rFonts w:ascii="Arial" w:hAnsi="Arial" w:cs="Arial" w:eastAsia="Arial" w:hint="default"/>
        </w:rPr>
        <w:t>2011</w:t>
      </w:r>
      <w:r>
        <w:rPr>
          <w:rFonts w:ascii="Arial" w:hAnsi="Arial" w:cs="Arial" w:eastAsia="Arial" w:hint="default"/>
          <w:spacing w:val="-7"/>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日：约人民币</w:t>
      </w:r>
      <w:r>
        <w:rPr>
          <w:spacing w:val="-56"/>
        </w:rPr>
        <w:t> </w:t>
      </w:r>
      <w:r>
        <w:rPr>
          <w:rFonts w:ascii="Arial" w:hAnsi="Arial" w:cs="Arial" w:eastAsia="Arial" w:hint="default"/>
        </w:rPr>
        <w:t>1.6</w:t>
      </w:r>
      <w:r>
        <w:rPr>
          <w:rFonts w:ascii="Arial" w:hAnsi="Arial" w:cs="Arial" w:eastAsia="Arial" w:hint="default"/>
          <w:spacing w:val="-8"/>
        </w:rPr>
        <w:t> </w:t>
      </w:r>
      <w:r>
        <w:rPr/>
        <w:t>亿元）。</w:t>
      </w:r>
    </w:p>
    <w:p>
      <w:pPr>
        <w:spacing w:line="240" w:lineRule="auto" w:before="0"/>
        <w:rPr>
          <w:rFonts w:ascii="宋体" w:hAnsi="宋体" w:cs="宋体" w:eastAsia="宋体" w:hint="default"/>
          <w:sz w:val="18"/>
          <w:szCs w:val="18"/>
        </w:rPr>
      </w:pPr>
    </w:p>
    <w:p>
      <w:pPr>
        <w:pStyle w:val="BodyText"/>
        <w:spacing w:line="295" w:lineRule="exact"/>
        <w:ind w:left="550" w:right="122"/>
        <w:jc w:val="left"/>
      </w:pPr>
      <w:r>
        <w:rPr/>
        <w:t>注</w:t>
      </w:r>
      <w:r>
        <w:rPr>
          <w:spacing w:val="-58"/>
        </w:rPr>
        <w:t> </w:t>
      </w:r>
      <w:r>
        <w:rPr>
          <w:rFonts w:ascii="Arial" w:hAnsi="Arial" w:cs="Arial" w:eastAsia="Arial" w:hint="default"/>
        </w:rPr>
        <w:t>2</w:t>
      </w:r>
      <w:r>
        <w:rPr/>
        <w:t>：于</w:t>
      </w:r>
      <w:r>
        <w:rPr>
          <w:spacing w:val="-58"/>
        </w:rPr>
        <w:t> </w:t>
      </w:r>
      <w:r>
        <w:rPr>
          <w:rFonts w:ascii="Arial" w:hAnsi="Arial" w:cs="Arial" w:eastAsia="Arial" w:hint="default"/>
        </w:rPr>
        <w:t>2012</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r>
        <w:rPr>
          <w:rFonts w:ascii="Arial" w:hAnsi="Arial" w:cs="Arial" w:eastAsia="Arial" w:hint="default"/>
          <w:spacing w:val="-9"/>
        </w:rPr>
        <w:t> </w:t>
      </w:r>
      <w:r>
        <w:rPr/>
        <w:t>日，联通运营公司所属部分子公司实际预缴的企业所得税超过本集</w:t>
      </w:r>
    </w:p>
    <w:p>
      <w:pPr>
        <w:pStyle w:val="BodyText"/>
        <w:spacing w:line="286" w:lineRule="exact"/>
        <w:ind w:left="1167" w:right="122"/>
        <w:jc w:val="left"/>
      </w:pPr>
      <w:r>
        <w:rPr/>
        <w:t>团预计应缴纳的企业所得税约人民币</w:t>
      </w:r>
      <w:r>
        <w:rPr>
          <w:spacing w:val="-56"/>
        </w:rPr>
        <w:t> </w:t>
      </w:r>
      <w:r>
        <w:rPr>
          <w:rFonts w:ascii="Arial" w:hAnsi="Arial" w:cs="Arial" w:eastAsia="Arial" w:hint="default"/>
        </w:rPr>
        <w:t>0.42</w:t>
      </w:r>
      <w:r>
        <w:rPr>
          <w:rFonts w:ascii="Arial" w:hAnsi="Arial" w:cs="Arial" w:eastAsia="Arial" w:hint="default"/>
          <w:spacing w:val="-9"/>
        </w:rPr>
        <w:t> </w:t>
      </w:r>
      <w:r>
        <w:rPr/>
        <w:t>亿元被记录于其他流动资产（</w:t>
      </w:r>
      <w:r>
        <w:rPr>
          <w:rFonts w:ascii="Arial" w:hAnsi="Arial" w:cs="Arial" w:eastAsia="Arial" w:hint="default"/>
        </w:rPr>
        <w:t>2011</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p>
    <w:p>
      <w:pPr>
        <w:pStyle w:val="BodyText"/>
        <w:spacing w:line="295" w:lineRule="exact"/>
        <w:ind w:left="1167" w:right="122"/>
        <w:jc w:val="left"/>
      </w:pPr>
      <w:r>
        <w:rPr>
          <w:rFonts w:ascii="Arial" w:hAnsi="Arial" w:cs="Arial" w:eastAsia="Arial" w:hint="default"/>
        </w:rPr>
        <w:t>31</w:t>
      </w:r>
      <w:r>
        <w:rPr>
          <w:rFonts w:ascii="Arial" w:hAnsi="Arial" w:cs="Arial" w:eastAsia="Arial" w:hint="default"/>
          <w:spacing w:val="-8"/>
        </w:rPr>
        <w:t> </w:t>
      </w:r>
      <w:r>
        <w:rPr/>
        <w:t>日：约人民币</w:t>
      </w:r>
      <w:r>
        <w:rPr>
          <w:spacing w:val="-57"/>
        </w:rPr>
        <w:t> </w:t>
      </w:r>
      <w:r>
        <w:rPr>
          <w:rFonts w:ascii="Arial" w:hAnsi="Arial" w:cs="Arial" w:eastAsia="Arial" w:hint="default"/>
        </w:rPr>
        <w:t>6.96</w:t>
      </w:r>
      <w:r>
        <w:rPr>
          <w:rFonts w:ascii="Arial" w:hAnsi="Arial" w:cs="Arial" w:eastAsia="Arial" w:hint="default"/>
          <w:spacing w:val="-8"/>
        </w:rPr>
        <w:t> </w:t>
      </w:r>
      <w:r>
        <w:rPr/>
        <w:t>亿元）。</w:t>
      </w:r>
    </w:p>
    <w:p>
      <w:pPr>
        <w:spacing w:line="240" w:lineRule="auto" w:before="12"/>
        <w:rPr>
          <w:rFonts w:ascii="宋体" w:hAnsi="宋体" w:cs="宋体" w:eastAsia="宋体" w:hint="default"/>
          <w:sz w:val="17"/>
          <w:szCs w:val="17"/>
        </w:rPr>
      </w:pPr>
    </w:p>
    <w:p>
      <w:pPr>
        <w:pStyle w:val="BodyText"/>
        <w:spacing w:line="240" w:lineRule="auto"/>
        <w:ind w:left="102" w:right="122"/>
        <w:jc w:val="left"/>
      </w:pPr>
      <w:r>
        <w:rPr>
          <w:rFonts w:ascii="Arial" w:hAnsi="Arial" w:cs="Arial" w:eastAsia="Arial" w:hint="default"/>
        </w:rPr>
        <w:t>23</w:t>
      </w:r>
      <w:r>
        <w:rPr/>
        <w:t>、应付利息</w:t>
      </w:r>
    </w:p>
    <w:p>
      <w:pPr>
        <w:spacing w:line="240" w:lineRule="auto" w:before="2"/>
        <w:rPr>
          <w:rFonts w:ascii="宋体" w:hAnsi="宋体" w:cs="宋体" w:eastAsia="宋体" w:hint="default"/>
          <w:sz w:val="23"/>
          <w:szCs w:val="23"/>
        </w:rPr>
      </w:pPr>
    </w:p>
    <w:tbl>
      <w:tblPr>
        <w:tblW w:w="0" w:type="auto"/>
        <w:jc w:val="left"/>
        <w:tblInd w:w="345" w:type="dxa"/>
        <w:tblLayout w:type="fixed"/>
        <w:tblCellMar>
          <w:top w:w="0" w:type="dxa"/>
          <w:left w:w="0" w:type="dxa"/>
          <w:bottom w:w="0" w:type="dxa"/>
          <w:right w:w="0" w:type="dxa"/>
        </w:tblCellMar>
        <w:tblLook w:val="01E0"/>
      </w:tblPr>
      <w:tblGrid>
        <w:gridCol w:w="4489"/>
        <w:gridCol w:w="2289"/>
        <w:gridCol w:w="106"/>
        <w:gridCol w:w="2324"/>
      </w:tblGrid>
      <w:tr>
        <w:trPr>
          <w:trHeight w:val="260" w:hRule="exact"/>
        </w:trPr>
        <w:tc>
          <w:tcPr>
            <w:tcW w:w="4489" w:type="dxa"/>
            <w:tcBorders>
              <w:top w:val="nil" w:sz="6" w:space="0" w:color="auto"/>
              <w:left w:val="nil" w:sz="6" w:space="0" w:color="auto"/>
              <w:bottom w:val="nil" w:sz="6" w:space="0" w:color="auto"/>
              <w:right w:val="nil" w:sz="6" w:space="0" w:color="auto"/>
            </w:tcBorders>
          </w:tcPr>
          <w:p>
            <w:pPr/>
          </w:p>
        </w:tc>
        <w:tc>
          <w:tcPr>
            <w:tcW w:w="2289" w:type="dxa"/>
            <w:tcBorders>
              <w:top w:val="nil" w:sz="6" w:space="0" w:color="auto"/>
              <w:left w:val="nil" w:sz="6" w:space="0" w:color="auto"/>
              <w:bottom w:val="single" w:sz="6" w:space="0" w:color="000000"/>
              <w:right w:val="nil" w:sz="6" w:space="0" w:color="auto"/>
            </w:tcBorders>
          </w:tcPr>
          <w:p>
            <w:pPr>
              <w:pStyle w:val="TableParagraph"/>
              <w:spacing w:line="235" w:lineRule="exact"/>
              <w:ind w:right="0"/>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06" w:type="dxa"/>
            <w:tcBorders>
              <w:top w:val="nil" w:sz="6" w:space="0" w:color="auto"/>
              <w:left w:val="nil" w:sz="6" w:space="0" w:color="auto"/>
              <w:bottom w:val="nil" w:sz="6" w:space="0" w:color="auto"/>
              <w:right w:val="nil" w:sz="6" w:space="0" w:color="auto"/>
            </w:tcBorders>
          </w:tcPr>
          <w:p>
            <w:pPr/>
          </w:p>
        </w:tc>
        <w:tc>
          <w:tcPr>
            <w:tcW w:w="2324" w:type="dxa"/>
            <w:tcBorders>
              <w:top w:val="nil" w:sz="6" w:space="0" w:color="auto"/>
              <w:left w:val="nil" w:sz="6" w:space="0" w:color="auto"/>
              <w:bottom w:val="single" w:sz="6" w:space="0" w:color="000000"/>
              <w:right w:val="nil" w:sz="6" w:space="0" w:color="auto"/>
            </w:tcBorders>
          </w:tcPr>
          <w:p>
            <w:pPr>
              <w:pStyle w:val="TableParagraph"/>
              <w:spacing w:line="235" w:lineRule="exact"/>
              <w:ind w:right="60"/>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9"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应付短期借款利息</w:t>
            </w:r>
          </w:p>
        </w:tc>
        <w:tc>
          <w:tcPr>
            <w:tcW w:w="2289"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86"/>
              <w:jc w:val="right"/>
              <w:rPr>
                <w:rFonts w:ascii="Arial" w:hAnsi="Arial" w:cs="Arial" w:eastAsia="Arial" w:hint="default"/>
                <w:sz w:val="22"/>
                <w:szCs w:val="22"/>
              </w:rPr>
            </w:pPr>
            <w:r>
              <w:rPr>
                <w:rFonts w:ascii="Arial"/>
                <w:w w:val="95"/>
                <w:sz w:val="22"/>
              </w:rPr>
              <w:t>79,921,697</w:t>
            </w:r>
            <w:r>
              <w:rPr>
                <w:rFonts w:ascii="Arial"/>
                <w:sz w:val="22"/>
              </w:rPr>
            </w:r>
          </w:p>
        </w:tc>
        <w:tc>
          <w:tcPr>
            <w:tcW w:w="106" w:type="dxa"/>
            <w:tcBorders>
              <w:top w:val="nil" w:sz="6" w:space="0" w:color="auto"/>
              <w:left w:val="nil" w:sz="6" w:space="0" w:color="auto"/>
              <w:bottom w:val="nil" w:sz="6" w:space="0" w:color="auto"/>
              <w:right w:val="nil" w:sz="6" w:space="0" w:color="auto"/>
            </w:tcBorders>
          </w:tcPr>
          <w:p>
            <w:pPr/>
          </w:p>
        </w:tc>
        <w:tc>
          <w:tcPr>
            <w:tcW w:w="2324"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60"/>
              <w:jc w:val="right"/>
              <w:rPr>
                <w:rFonts w:ascii="Arial" w:hAnsi="Arial" w:cs="Arial" w:eastAsia="Arial" w:hint="default"/>
                <w:sz w:val="22"/>
                <w:szCs w:val="22"/>
              </w:rPr>
            </w:pPr>
            <w:r>
              <w:rPr>
                <w:rFonts w:ascii="Arial"/>
                <w:w w:val="95"/>
                <w:sz w:val="22"/>
              </w:rPr>
              <w:t>47,844,562</w:t>
            </w:r>
            <w:r>
              <w:rPr>
                <w:rFonts w:ascii="Arial"/>
                <w:sz w:val="22"/>
              </w:rPr>
            </w:r>
          </w:p>
        </w:tc>
      </w:tr>
      <w:tr>
        <w:trPr>
          <w:trHeight w:val="284"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应付长期借款利息</w:t>
            </w:r>
          </w:p>
        </w:tc>
        <w:tc>
          <w:tcPr>
            <w:tcW w:w="22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6"/>
              <w:jc w:val="right"/>
              <w:rPr>
                <w:rFonts w:ascii="Arial" w:hAnsi="Arial" w:cs="Arial" w:eastAsia="Arial" w:hint="default"/>
                <w:sz w:val="22"/>
                <w:szCs w:val="22"/>
              </w:rPr>
            </w:pPr>
            <w:r>
              <w:rPr>
                <w:rFonts w:ascii="Arial"/>
                <w:w w:val="95"/>
                <w:sz w:val="22"/>
              </w:rPr>
              <w:t>2,449,910</w:t>
            </w:r>
            <w:r>
              <w:rPr>
                <w:rFonts w:ascii="Arial"/>
                <w:sz w:val="22"/>
              </w:rPr>
            </w:r>
          </w:p>
        </w:tc>
        <w:tc>
          <w:tcPr>
            <w:tcW w:w="106" w:type="dxa"/>
            <w:tcBorders>
              <w:top w:val="nil" w:sz="6" w:space="0" w:color="auto"/>
              <w:left w:val="nil" w:sz="6" w:space="0" w:color="auto"/>
              <w:bottom w:val="nil" w:sz="6" w:space="0" w:color="auto"/>
              <w:right w:val="nil" w:sz="6" w:space="0" w:color="auto"/>
            </w:tcBorders>
          </w:tcPr>
          <w:p>
            <w:pP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60"/>
              <w:jc w:val="right"/>
              <w:rPr>
                <w:rFonts w:ascii="Arial" w:hAnsi="Arial" w:cs="Arial" w:eastAsia="Arial" w:hint="default"/>
                <w:sz w:val="22"/>
                <w:szCs w:val="22"/>
              </w:rPr>
            </w:pPr>
            <w:r>
              <w:rPr>
                <w:rFonts w:ascii="Arial"/>
                <w:w w:val="95"/>
                <w:sz w:val="22"/>
              </w:rPr>
              <w:t>5,796,413</w:t>
            </w:r>
            <w:r>
              <w:rPr>
                <w:rFonts w:ascii="Arial"/>
                <w:sz w:val="22"/>
              </w:rPr>
            </w:r>
          </w:p>
        </w:tc>
      </w:tr>
      <w:tr>
        <w:trPr>
          <w:trHeight w:val="286"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应付短期债券利息</w:t>
            </w:r>
          </w:p>
        </w:tc>
        <w:tc>
          <w:tcPr>
            <w:tcW w:w="228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5"/>
              <w:jc w:val="right"/>
              <w:rPr>
                <w:rFonts w:ascii="Arial" w:hAnsi="Arial" w:cs="Arial" w:eastAsia="Arial" w:hint="default"/>
                <w:sz w:val="22"/>
                <w:szCs w:val="22"/>
              </w:rPr>
            </w:pPr>
            <w:r>
              <w:rPr>
                <w:rFonts w:ascii="Arial"/>
                <w:w w:val="95"/>
                <w:sz w:val="22"/>
              </w:rPr>
              <w:t>426,973,973</w:t>
            </w:r>
            <w:r>
              <w:rPr>
                <w:rFonts w:ascii="Arial"/>
                <w:sz w:val="22"/>
              </w:rPr>
            </w:r>
          </w:p>
        </w:tc>
        <w:tc>
          <w:tcPr>
            <w:tcW w:w="106" w:type="dxa"/>
            <w:tcBorders>
              <w:top w:val="nil" w:sz="6" w:space="0" w:color="auto"/>
              <w:left w:val="nil" w:sz="6" w:space="0" w:color="auto"/>
              <w:bottom w:val="nil" w:sz="6" w:space="0" w:color="auto"/>
              <w:right w:val="nil" w:sz="6" w:space="0" w:color="auto"/>
            </w:tcBorders>
          </w:tcPr>
          <w:p>
            <w:pP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8"/>
              <w:jc w:val="right"/>
              <w:rPr>
                <w:rFonts w:ascii="Arial" w:hAnsi="Arial" w:cs="Arial" w:eastAsia="Arial" w:hint="default"/>
                <w:sz w:val="22"/>
                <w:szCs w:val="22"/>
              </w:rPr>
            </w:pPr>
            <w:r>
              <w:rPr>
                <w:rFonts w:ascii="Arial"/>
                <w:w w:val="95"/>
                <w:sz w:val="22"/>
              </w:rPr>
              <w:t>446,866,667</w:t>
            </w:r>
            <w:r>
              <w:rPr>
                <w:rFonts w:ascii="Arial"/>
                <w:sz w:val="22"/>
              </w:rPr>
            </w:r>
          </w:p>
        </w:tc>
      </w:tr>
      <w:tr>
        <w:trPr>
          <w:trHeight w:val="419"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应付长期债券利息</w:t>
            </w:r>
          </w:p>
        </w:tc>
        <w:tc>
          <w:tcPr>
            <w:tcW w:w="2289" w:type="dxa"/>
            <w:tcBorders>
              <w:top w:val="nil" w:sz="6" w:space="0" w:color="auto"/>
              <w:left w:val="nil" w:sz="6" w:space="0" w:color="auto"/>
              <w:bottom w:val="nil" w:sz="6" w:space="0" w:color="auto"/>
              <w:right w:val="nil" w:sz="6" w:space="0" w:color="auto"/>
            </w:tcBorders>
          </w:tcPr>
          <w:p>
            <w:pPr>
              <w:pStyle w:val="TableParagraph"/>
              <w:tabs>
                <w:tab w:pos="977" w:val="left" w:leader="none"/>
                <w:tab w:pos="2288"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336,454,247</w:t>
            </w:r>
            <w:r>
              <w:rPr>
                <w:rFonts w:ascii="Arial"/>
                <w:sz w:val="22"/>
                <w:u w:val="single" w:color="000000"/>
              </w:rPr>
              <w:tab/>
            </w:r>
            <w:r>
              <w:rPr>
                <w:rFonts w:ascii="Arial"/>
                <w:sz w:val="22"/>
              </w:rPr>
            </w:r>
          </w:p>
        </w:tc>
        <w:tc>
          <w:tcPr>
            <w:tcW w:w="106" w:type="dxa"/>
            <w:tcBorders>
              <w:top w:val="nil" w:sz="6" w:space="0" w:color="auto"/>
              <w:left w:val="nil" w:sz="6" w:space="0" w:color="auto"/>
              <w:bottom w:val="nil" w:sz="6" w:space="0" w:color="auto"/>
              <w:right w:val="nil" w:sz="6" w:space="0" w:color="auto"/>
            </w:tcBorders>
          </w:tcPr>
          <w:p>
            <w:pPr/>
          </w:p>
        </w:tc>
        <w:tc>
          <w:tcPr>
            <w:tcW w:w="2324" w:type="dxa"/>
            <w:tcBorders>
              <w:top w:val="nil" w:sz="6" w:space="0" w:color="auto"/>
              <w:left w:val="nil" w:sz="6" w:space="0" w:color="auto"/>
              <w:bottom w:val="nil" w:sz="6" w:space="0" w:color="auto"/>
              <w:right w:val="nil" w:sz="6" w:space="0" w:color="auto"/>
            </w:tcBorders>
          </w:tcPr>
          <w:p>
            <w:pPr>
              <w:pStyle w:val="TableParagraph"/>
              <w:tabs>
                <w:tab w:pos="1039" w:val="left" w:leader="none"/>
                <w:tab w:pos="2324"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334,088,219</w:t>
            </w:r>
            <w:r>
              <w:rPr>
                <w:rFonts w:ascii="Arial"/>
                <w:sz w:val="22"/>
                <w:u w:val="single" w:color="000000"/>
              </w:rPr>
              <w:tab/>
            </w:r>
            <w:r>
              <w:rPr>
                <w:rFonts w:ascii="Arial"/>
                <w:sz w:val="22"/>
              </w:rPr>
            </w:r>
          </w:p>
        </w:tc>
      </w:tr>
      <w:tr>
        <w:trPr>
          <w:trHeight w:val="430"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89"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85"/>
              <w:jc w:val="right"/>
              <w:rPr>
                <w:rFonts w:ascii="Arial" w:hAnsi="Arial" w:cs="Arial" w:eastAsia="Arial" w:hint="default"/>
                <w:sz w:val="22"/>
                <w:szCs w:val="22"/>
              </w:rPr>
            </w:pPr>
            <w:r>
              <w:rPr>
                <w:rFonts w:ascii="Arial"/>
                <w:w w:val="95"/>
                <w:sz w:val="22"/>
              </w:rPr>
              <w:t>845,799,827</w:t>
            </w:r>
            <w:r>
              <w:rPr>
                <w:rFonts w:ascii="Arial"/>
                <w:sz w:val="22"/>
              </w:rPr>
            </w:r>
          </w:p>
        </w:tc>
        <w:tc>
          <w:tcPr>
            <w:tcW w:w="106" w:type="dxa"/>
            <w:tcBorders>
              <w:top w:val="nil" w:sz="6" w:space="0" w:color="auto"/>
              <w:left w:val="nil" w:sz="6" w:space="0" w:color="auto"/>
              <w:bottom w:val="nil" w:sz="6" w:space="0" w:color="auto"/>
              <w:right w:val="nil" w:sz="6" w:space="0" w:color="auto"/>
            </w:tcBorders>
          </w:tcPr>
          <w:p>
            <w:pPr/>
          </w:p>
        </w:tc>
        <w:tc>
          <w:tcPr>
            <w:tcW w:w="2324"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58"/>
              <w:jc w:val="right"/>
              <w:rPr>
                <w:rFonts w:ascii="Arial" w:hAnsi="Arial" w:cs="Arial" w:eastAsia="Arial" w:hint="default"/>
                <w:sz w:val="22"/>
                <w:szCs w:val="22"/>
              </w:rPr>
            </w:pPr>
            <w:r>
              <w:rPr>
                <w:rFonts w:ascii="Arial"/>
                <w:w w:val="95"/>
                <w:sz w:val="22"/>
              </w:rPr>
              <w:t>834,595,861</w:t>
            </w:r>
            <w:r>
              <w:rPr>
                <w:rFonts w:ascii="Arial"/>
                <w:sz w:val="22"/>
              </w:rPr>
            </w:r>
          </w:p>
        </w:tc>
      </w:tr>
    </w:tbl>
    <w:p>
      <w:pPr>
        <w:spacing w:after="0" w:line="240" w:lineRule="auto"/>
        <w:jc w:val="right"/>
        <w:rPr>
          <w:rFonts w:ascii="Arial" w:hAnsi="Arial" w:cs="Arial" w:eastAsia="Arial" w:hint="default"/>
          <w:sz w:val="22"/>
          <w:szCs w:val="22"/>
        </w:rPr>
        <w:sectPr>
          <w:headerReference w:type="default" r:id="rId104"/>
          <w:pgSz w:w="11910" w:h="16840"/>
          <w:pgMar w:header="1184" w:footer="457" w:top="3040" w:bottom="640" w:left="1280" w:right="880"/>
        </w:sectPr>
      </w:pPr>
    </w:p>
    <w:p>
      <w:pPr>
        <w:spacing w:line="240" w:lineRule="auto" w:before="12"/>
        <w:rPr>
          <w:rFonts w:ascii="宋体" w:hAnsi="宋体" w:cs="宋体" w:eastAsia="宋体" w:hint="default"/>
          <w:sz w:val="14"/>
          <w:szCs w:val="14"/>
        </w:rPr>
      </w:pPr>
    </w:p>
    <w:p>
      <w:pPr>
        <w:pStyle w:val="BodyText"/>
        <w:spacing w:line="240" w:lineRule="auto" w:before="31"/>
        <w:ind w:left="102" w:right="0"/>
        <w:jc w:val="left"/>
      </w:pPr>
      <w:r>
        <w:rPr>
          <w:rFonts w:ascii="Arial" w:hAnsi="Arial" w:cs="Arial" w:eastAsia="Arial" w:hint="default"/>
        </w:rPr>
        <w:t>24</w:t>
      </w:r>
      <w:r>
        <w:rPr/>
        <w:t>、应付股利</w:t>
      </w:r>
      <w:r>
        <w:rPr>
          <w:rFonts w:ascii="Arial" w:hAnsi="Arial" w:cs="Arial" w:eastAsia="Arial" w:hint="default"/>
        </w:rPr>
        <w:t>/</w:t>
      </w:r>
      <w:r>
        <w:rPr/>
        <w:t>利润</w:t>
      </w:r>
    </w:p>
    <w:p>
      <w:pPr>
        <w:spacing w:line="240" w:lineRule="auto" w:before="6"/>
        <w:rPr>
          <w:rFonts w:ascii="宋体" w:hAnsi="宋体" w:cs="宋体" w:eastAsia="宋体" w:hint="default"/>
          <w:sz w:val="25"/>
          <w:szCs w:val="25"/>
        </w:rPr>
      </w:pPr>
    </w:p>
    <w:tbl>
      <w:tblPr>
        <w:tblW w:w="0" w:type="auto"/>
        <w:jc w:val="left"/>
        <w:tblInd w:w="345" w:type="dxa"/>
        <w:tblLayout w:type="fixed"/>
        <w:tblCellMar>
          <w:top w:w="0" w:type="dxa"/>
          <w:left w:w="0" w:type="dxa"/>
          <w:bottom w:w="0" w:type="dxa"/>
          <w:right w:w="0" w:type="dxa"/>
        </w:tblCellMar>
        <w:tblLook w:val="01E0"/>
      </w:tblPr>
      <w:tblGrid>
        <w:gridCol w:w="4480"/>
        <w:gridCol w:w="2319"/>
        <w:gridCol w:w="2389"/>
      </w:tblGrid>
      <w:tr>
        <w:trPr>
          <w:trHeight w:val="261" w:hRule="exact"/>
        </w:trPr>
        <w:tc>
          <w:tcPr>
            <w:tcW w:w="4480"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single" w:sz="6" w:space="0" w:color="000000"/>
              <w:right w:val="nil" w:sz="6" w:space="0" w:color="auto"/>
            </w:tcBorders>
          </w:tcPr>
          <w:p>
            <w:pPr>
              <w:pStyle w:val="TableParagraph"/>
              <w:spacing w:line="235" w:lineRule="exact"/>
              <w:ind w:right="89"/>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389" w:type="dxa"/>
            <w:tcBorders>
              <w:top w:val="nil" w:sz="6" w:space="0" w:color="auto"/>
              <w:left w:val="nil" w:sz="6" w:space="0" w:color="auto"/>
              <w:bottom w:val="single" w:sz="6" w:space="0" w:color="000000"/>
              <w:right w:val="nil" w:sz="6" w:space="0" w:color="auto"/>
            </w:tcBorders>
          </w:tcPr>
          <w:p>
            <w:pPr>
              <w:pStyle w:val="TableParagraph"/>
              <w:spacing w:line="235" w:lineRule="exact"/>
              <w:ind w:right="29"/>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70"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应付联通集团（注）</w:t>
            </w:r>
          </w:p>
        </w:tc>
        <w:tc>
          <w:tcPr>
            <w:tcW w:w="2319"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6"/>
              <w:jc w:val="right"/>
              <w:rPr>
                <w:rFonts w:ascii="Arial" w:hAnsi="Arial" w:cs="Arial" w:eastAsia="Arial" w:hint="default"/>
                <w:sz w:val="22"/>
                <w:szCs w:val="22"/>
              </w:rPr>
            </w:pPr>
            <w:r>
              <w:rPr>
                <w:rFonts w:ascii="Arial"/>
                <w:w w:val="95"/>
                <w:sz w:val="22"/>
              </w:rPr>
              <w:t>8,940,742</w:t>
            </w:r>
            <w:r>
              <w:rPr>
                <w:rFonts w:ascii="Arial"/>
                <w:sz w:val="22"/>
              </w:rPr>
            </w:r>
          </w:p>
        </w:tc>
        <w:tc>
          <w:tcPr>
            <w:tcW w:w="2389"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77"/>
              <w:jc w:val="right"/>
              <w:rPr>
                <w:rFonts w:ascii="Arial" w:hAnsi="Arial" w:cs="Arial" w:eastAsia="Arial" w:hint="default"/>
                <w:sz w:val="22"/>
                <w:szCs w:val="22"/>
              </w:rPr>
            </w:pPr>
            <w:r>
              <w:rPr>
                <w:rFonts w:ascii="Arial"/>
                <w:w w:val="95"/>
                <w:sz w:val="22"/>
              </w:rPr>
              <w:t>8,940,742</w:t>
            </w:r>
            <w:r>
              <w:rPr>
                <w:rFonts w:ascii="Arial"/>
                <w:sz w:val="22"/>
              </w:rPr>
            </w:r>
          </w:p>
        </w:tc>
      </w:tr>
    </w:tbl>
    <w:p>
      <w:pPr>
        <w:spacing w:line="240" w:lineRule="auto" w:before="2"/>
        <w:rPr>
          <w:rFonts w:ascii="宋体" w:hAnsi="宋体" w:cs="宋体" w:eastAsia="宋体" w:hint="default"/>
          <w:sz w:val="14"/>
          <w:szCs w:val="14"/>
        </w:rPr>
      </w:pPr>
    </w:p>
    <w:p>
      <w:pPr>
        <w:pStyle w:val="BodyText"/>
        <w:spacing w:line="294" w:lineRule="exact" w:before="31"/>
        <w:ind w:left="550" w:right="0"/>
        <w:jc w:val="left"/>
      </w:pPr>
      <w:r>
        <w:rPr>
          <w:spacing w:val="-8"/>
        </w:rPr>
        <w:t>注：于</w:t>
      </w:r>
      <w:r>
        <w:rPr>
          <w:spacing w:val="-65"/>
        </w:rPr>
        <w:t> </w:t>
      </w:r>
      <w:r>
        <w:rPr>
          <w:rFonts w:ascii="Arial" w:hAnsi="Arial" w:cs="Arial" w:eastAsia="Arial" w:hint="default"/>
        </w:rPr>
        <w:t>2011</w:t>
      </w:r>
      <w:r>
        <w:rPr>
          <w:rFonts w:ascii="Arial" w:hAnsi="Arial" w:cs="Arial" w:eastAsia="Arial" w:hint="default"/>
          <w:spacing w:val="-16"/>
        </w:rPr>
        <w:t> </w:t>
      </w:r>
      <w:r>
        <w:rPr/>
        <w:t>年</w:t>
      </w:r>
      <w:r>
        <w:rPr>
          <w:spacing w:val="-65"/>
        </w:rPr>
        <w:t> </w:t>
      </w:r>
      <w:r>
        <w:rPr>
          <w:rFonts w:ascii="Arial" w:hAnsi="Arial" w:cs="Arial" w:eastAsia="Arial" w:hint="default"/>
        </w:rPr>
        <w:t>12</w:t>
      </w:r>
      <w:r>
        <w:rPr>
          <w:rFonts w:ascii="Arial" w:hAnsi="Arial" w:cs="Arial" w:eastAsia="Arial" w:hint="default"/>
          <w:spacing w:val="-16"/>
        </w:rPr>
        <w:t> </w:t>
      </w:r>
      <w:r>
        <w:rPr/>
        <w:t>月</w:t>
      </w:r>
      <w:r>
        <w:rPr>
          <w:spacing w:val="-65"/>
        </w:rPr>
        <w:t> </w:t>
      </w:r>
      <w:r>
        <w:rPr>
          <w:rFonts w:ascii="Arial" w:hAnsi="Arial" w:cs="Arial" w:eastAsia="Arial" w:hint="default"/>
        </w:rPr>
        <w:t>1</w:t>
      </w:r>
      <w:r>
        <w:rPr>
          <w:rFonts w:ascii="Arial" w:hAnsi="Arial" w:cs="Arial" w:eastAsia="Arial" w:hint="default"/>
          <w:spacing w:val="-16"/>
        </w:rPr>
        <w:t> </w:t>
      </w:r>
      <w:r>
        <w:rPr/>
        <w:t>日，宽带在线与联通集团及联通新时讯签订了收购联通新时讯协议，根</w:t>
      </w:r>
    </w:p>
    <w:p>
      <w:pPr>
        <w:pStyle w:val="BodyText"/>
        <w:spacing w:line="285" w:lineRule="exact"/>
        <w:ind w:left="966" w:right="0"/>
        <w:jc w:val="left"/>
      </w:pPr>
      <w:r>
        <w:rPr/>
        <w:t>据该协议，联通新时讯于</w:t>
      </w:r>
      <w:r>
        <w:rPr>
          <w:spacing w:val="-50"/>
        </w:rPr>
        <w:t> </w:t>
      </w:r>
      <w:r>
        <w:rPr>
          <w:rFonts w:ascii="Arial" w:hAnsi="Arial" w:cs="Arial" w:eastAsia="Arial" w:hint="default"/>
        </w:rPr>
        <w:t>2011</w:t>
      </w:r>
      <w:r>
        <w:rPr>
          <w:rFonts w:ascii="Arial" w:hAnsi="Arial" w:cs="Arial" w:eastAsia="Arial" w:hint="default"/>
          <w:spacing w:val="-2"/>
        </w:rPr>
        <w:t> </w:t>
      </w:r>
      <w:r>
        <w:rPr/>
        <w:t>年</w:t>
      </w:r>
      <w:r>
        <w:rPr>
          <w:spacing w:val="-51"/>
        </w:rPr>
        <w:t> </w:t>
      </w:r>
      <w:r>
        <w:rPr>
          <w:rFonts w:ascii="Arial" w:hAnsi="Arial" w:cs="Arial" w:eastAsia="Arial" w:hint="default"/>
        </w:rPr>
        <w:t>1</w:t>
      </w:r>
      <w:r>
        <w:rPr>
          <w:rFonts w:ascii="Arial" w:hAnsi="Arial" w:cs="Arial" w:eastAsia="Arial" w:hint="default"/>
          <w:spacing w:val="-2"/>
        </w:rPr>
        <w:t> </w:t>
      </w:r>
      <w:r>
        <w:rPr/>
        <w:t>月</w:t>
      </w:r>
      <w:r>
        <w:rPr>
          <w:spacing w:val="-51"/>
        </w:rPr>
        <w:t> </w:t>
      </w:r>
      <w:r>
        <w:rPr>
          <w:rFonts w:ascii="Arial" w:hAnsi="Arial" w:cs="Arial" w:eastAsia="Arial" w:hint="default"/>
        </w:rPr>
        <w:t>1</w:t>
      </w:r>
      <w:r>
        <w:rPr>
          <w:rFonts w:ascii="Arial" w:hAnsi="Arial" w:cs="Arial" w:eastAsia="Arial" w:hint="default"/>
          <w:spacing w:val="-2"/>
        </w:rPr>
        <w:t> </w:t>
      </w:r>
      <w:r>
        <w:rPr/>
        <w:t>日至</w:t>
      </w:r>
      <w:r>
        <w:rPr>
          <w:spacing w:val="-51"/>
        </w:rPr>
        <w:t> </w:t>
      </w:r>
      <w:r>
        <w:rPr>
          <w:rFonts w:ascii="Arial" w:hAnsi="Arial" w:cs="Arial" w:eastAsia="Arial" w:hint="default"/>
        </w:rPr>
        <w:t>2011</w:t>
      </w:r>
      <w:r>
        <w:rPr>
          <w:rFonts w:ascii="Arial" w:hAnsi="Arial" w:cs="Arial" w:eastAsia="Arial" w:hint="default"/>
          <w:spacing w:val="-2"/>
        </w:rPr>
        <w:t> </w:t>
      </w:r>
      <w:r>
        <w:rPr/>
        <w:t>年</w:t>
      </w:r>
      <w:r>
        <w:rPr>
          <w:spacing w:val="-51"/>
        </w:rPr>
        <w:t> </w:t>
      </w:r>
      <w:r>
        <w:rPr>
          <w:rFonts w:ascii="Arial" w:hAnsi="Arial" w:cs="Arial" w:eastAsia="Arial" w:hint="default"/>
        </w:rPr>
        <w:t>12</w:t>
      </w:r>
      <w:r>
        <w:rPr>
          <w:rFonts w:ascii="Arial" w:hAnsi="Arial" w:cs="Arial" w:eastAsia="Arial" w:hint="default"/>
          <w:spacing w:val="-3"/>
        </w:rPr>
        <w:t> </w:t>
      </w:r>
      <w:r>
        <w:rPr/>
        <w:t>月</w:t>
      </w:r>
      <w:r>
        <w:rPr>
          <w:spacing w:val="-51"/>
        </w:rPr>
        <w:t> </w:t>
      </w:r>
      <w:r>
        <w:rPr>
          <w:rFonts w:ascii="Arial" w:hAnsi="Arial" w:cs="Arial" w:eastAsia="Arial" w:hint="default"/>
        </w:rPr>
        <w:t>1</w:t>
      </w:r>
      <w:r>
        <w:rPr>
          <w:rFonts w:ascii="Arial" w:hAnsi="Arial" w:cs="Arial" w:eastAsia="Arial" w:hint="default"/>
          <w:spacing w:val="-2"/>
        </w:rPr>
        <w:t> </w:t>
      </w:r>
      <w:r>
        <w:rPr/>
        <w:t>日止</w:t>
      </w:r>
      <w:r>
        <w:rPr>
          <w:spacing w:val="-51"/>
        </w:rPr>
        <w:t> </w:t>
      </w:r>
      <w:r>
        <w:rPr>
          <w:rFonts w:ascii="Arial" w:hAnsi="Arial" w:cs="Arial" w:eastAsia="Arial" w:hint="default"/>
        </w:rPr>
        <w:t>11</w:t>
      </w:r>
      <w:r>
        <w:rPr>
          <w:rFonts w:ascii="Arial" w:hAnsi="Arial" w:cs="Arial" w:eastAsia="Arial" w:hint="default"/>
          <w:spacing w:val="-2"/>
        </w:rPr>
        <w:t> </w:t>
      </w:r>
      <w:r>
        <w:rPr/>
        <w:t>个月期间的净利润</w:t>
      </w:r>
    </w:p>
    <w:p>
      <w:pPr>
        <w:pStyle w:val="BodyText"/>
        <w:spacing w:line="286" w:lineRule="exact"/>
        <w:ind w:left="966" w:right="0"/>
        <w:jc w:val="left"/>
        <w:rPr>
          <w:rFonts w:ascii="Arial" w:hAnsi="Arial" w:cs="Arial" w:eastAsia="Arial" w:hint="default"/>
        </w:rPr>
      </w:pPr>
      <w:r>
        <w:rPr>
          <w:spacing w:val="2"/>
        </w:rPr>
        <w:t>归属于联通集团，故联通新时讯将该期间净利润转出确认为应付联通集团利润。于</w:t>
      </w:r>
      <w:r>
        <w:rPr>
          <w:spacing w:val="23"/>
        </w:rPr>
        <w:t> </w:t>
      </w:r>
      <w:r>
        <w:rPr>
          <w:rFonts w:ascii="Arial" w:hAnsi="Arial" w:cs="Arial" w:eastAsia="Arial" w:hint="default"/>
        </w:rPr>
        <w:t>2012</w:t>
      </w:r>
    </w:p>
    <w:p>
      <w:pPr>
        <w:pStyle w:val="BodyText"/>
        <w:spacing w:line="295" w:lineRule="exact"/>
        <w:ind w:left="966" w:right="0"/>
        <w:jc w:val="left"/>
      </w:pP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日，上述款项约人民币</w:t>
      </w:r>
      <w:r>
        <w:rPr>
          <w:spacing w:val="-55"/>
        </w:rPr>
        <w:t> </w:t>
      </w:r>
      <w:r>
        <w:rPr>
          <w:rFonts w:ascii="Arial" w:hAnsi="Arial" w:cs="Arial" w:eastAsia="Arial" w:hint="default"/>
        </w:rPr>
        <w:t>894</w:t>
      </w:r>
      <w:r>
        <w:rPr>
          <w:rFonts w:ascii="Arial" w:hAnsi="Arial" w:cs="Arial" w:eastAsia="Arial" w:hint="default"/>
          <w:spacing w:val="-8"/>
        </w:rPr>
        <w:t> </w:t>
      </w:r>
      <w:r>
        <w:rPr/>
        <w:t>万元尚未支付完毕。</w:t>
      </w:r>
    </w:p>
    <w:p>
      <w:pPr>
        <w:spacing w:line="240" w:lineRule="auto" w:before="12"/>
        <w:rPr>
          <w:rFonts w:ascii="宋体" w:hAnsi="宋体" w:cs="宋体" w:eastAsia="宋体" w:hint="default"/>
          <w:sz w:val="17"/>
          <w:szCs w:val="17"/>
        </w:rPr>
      </w:pPr>
    </w:p>
    <w:p>
      <w:pPr>
        <w:pStyle w:val="BodyText"/>
        <w:spacing w:line="240" w:lineRule="auto"/>
        <w:ind w:left="102" w:right="0"/>
        <w:jc w:val="left"/>
      </w:pPr>
      <w:r>
        <w:rPr>
          <w:rFonts w:ascii="Arial" w:hAnsi="Arial" w:cs="Arial" w:eastAsia="Arial" w:hint="default"/>
        </w:rPr>
        <w:t>25</w:t>
      </w:r>
      <w:r>
        <w:rPr/>
        <w:t>、其他应付款</w:t>
      </w:r>
    </w:p>
    <w:p>
      <w:pPr>
        <w:spacing w:line="240" w:lineRule="auto" w:before="2"/>
        <w:rPr>
          <w:rFonts w:ascii="宋体" w:hAnsi="宋体" w:cs="宋体" w:eastAsia="宋体" w:hint="default"/>
          <w:sz w:val="23"/>
          <w:szCs w:val="23"/>
        </w:rPr>
      </w:pPr>
    </w:p>
    <w:tbl>
      <w:tblPr>
        <w:tblW w:w="0" w:type="auto"/>
        <w:jc w:val="left"/>
        <w:tblInd w:w="360" w:type="dxa"/>
        <w:tblLayout w:type="fixed"/>
        <w:tblCellMar>
          <w:top w:w="0" w:type="dxa"/>
          <w:left w:w="0" w:type="dxa"/>
          <w:bottom w:w="0" w:type="dxa"/>
          <w:right w:w="0" w:type="dxa"/>
        </w:tblCellMar>
        <w:tblLook w:val="01E0"/>
      </w:tblPr>
      <w:tblGrid>
        <w:gridCol w:w="5310"/>
        <w:gridCol w:w="1948"/>
        <w:gridCol w:w="1957"/>
      </w:tblGrid>
      <w:tr>
        <w:trPr>
          <w:trHeight w:val="261" w:hRule="exact"/>
        </w:trPr>
        <w:tc>
          <w:tcPr>
            <w:tcW w:w="7258" w:type="dxa"/>
            <w:gridSpan w:val="2"/>
            <w:tcBorders>
              <w:top w:val="nil" w:sz="6" w:space="0" w:color="auto"/>
              <w:left w:val="nil" w:sz="6" w:space="0" w:color="auto"/>
              <w:bottom w:val="nil" w:sz="6" w:space="0" w:color="auto"/>
              <w:right w:val="nil" w:sz="6" w:space="0" w:color="auto"/>
            </w:tcBorders>
          </w:tcPr>
          <w:p>
            <w:pPr>
              <w:pStyle w:val="TableParagraph"/>
              <w:spacing w:line="235" w:lineRule="exact"/>
              <w:ind w:right="42"/>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Arial" w:hAnsi="Arial" w:cs="Arial" w:eastAsia="Arial" w:hint="default"/>
                <w:sz w:val="22"/>
                <w:szCs w:val="22"/>
              </w:rPr>
              <w:t>12</w:t>
            </w:r>
            <w:r>
              <w:rPr>
                <w:rFonts w:ascii="Arial" w:hAnsi="Arial" w:cs="Arial" w:eastAsia="Arial"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Arial" w:hAnsi="Arial" w:cs="Arial" w:eastAsia="Arial" w:hint="default"/>
                <w:sz w:val="22"/>
                <w:szCs w:val="22"/>
              </w:rPr>
              <w:t>31</w:t>
            </w:r>
            <w:r>
              <w:rPr>
                <w:rFonts w:ascii="Arial" w:hAnsi="Arial" w:cs="Arial" w:eastAsia="Arial" w:hint="default"/>
                <w:spacing w:val="-8"/>
                <w:sz w:val="22"/>
                <w:szCs w:val="22"/>
              </w:rPr>
              <w:t> </w:t>
            </w:r>
            <w:r>
              <w:rPr>
                <w:rFonts w:ascii="宋体" w:hAnsi="宋体" w:cs="宋体" w:eastAsia="宋体" w:hint="default"/>
                <w:sz w:val="22"/>
                <w:szCs w:val="22"/>
              </w:rPr>
              <w:t>日</w:t>
            </w:r>
          </w:p>
        </w:tc>
        <w:tc>
          <w:tcPr>
            <w:tcW w:w="1957" w:type="dxa"/>
            <w:tcBorders>
              <w:top w:val="nil" w:sz="6" w:space="0" w:color="auto"/>
              <w:left w:val="nil" w:sz="6" w:space="0" w:color="auto"/>
              <w:bottom w:val="single" w:sz="6" w:space="0" w:color="000000"/>
              <w:right w:val="nil" w:sz="6" w:space="0" w:color="auto"/>
            </w:tcBorders>
          </w:tcPr>
          <w:p>
            <w:pPr>
              <w:pStyle w:val="TableParagraph"/>
              <w:spacing w:line="235" w:lineRule="exact"/>
              <w:ind w:right="0"/>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8" w:hRule="exact"/>
        </w:trPr>
        <w:tc>
          <w:tcPr>
            <w:tcW w:w="53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押金及暂收款</w:t>
            </w:r>
          </w:p>
        </w:tc>
        <w:tc>
          <w:tcPr>
            <w:tcW w:w="1948"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34"/>
              <w:jc w:val="right"/>
              <w:rPr>
                <w:rFonts w:ascii="Arial" w:hAnsi="Arial" w:cs="Arial" w:eastAsia="Arial" w:hint="default"/>
                <w:sz w:val="22"/>
                <w:szCs w:val="22"/>
              </w:rPr>
            </w:pPr>
            <w:r>
              <w:rPr>
                <w:rFonts w:ascii="Arial"/>
                <w:spacing w:val="-1"/>
                <w:sz w:val="22"/>
              </w:rPr>
              <w:t>5,662,931,783</w:t>
            </w:r>
          </w:p>
        </w:tc>
        <w:tc>
          <w:tcPr>
            <w:tcW w:w="1957"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46" w:right="0"/>
              <w:jc w:val="left"/>
              <w:rPr>
                <w:rFonts w:ascii="Arial" w:hAnsi="Arial" w:cs="Arial" w:eastAsia="Arial" w:hint="default"/>
                <w:sz w:val="22"/>
                <w:szCs w:val="22"/>
              </w:rPr>
            </w:pPr>
            <w:r>
              <w:rPr>
                <w:rFonts w:ascii="Arial"/>
                <w:sz w:val="22"/>
              </w:rPr>
              <w:t>5,104,650,940</w:t>
            </w:r>
          </w:p>
        </w:tc>
      </w:tr>
      <w:tr>
        <w:trPr>
          <w:trHeight w:val="286" w:hRule="exact"/>
        </w:trPr>
        <w:tc>
          <w:tcPr>
            <w:tcW w:w="5310"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w w:val="95"/>
                <w:sz w:val="22"/>
                <w:szCs w:val="22"/>
              </w:rPr>
              <w:t>应付联通集团及其非上市附属公司款项（附注七</w:t>
            </w:r>
            <w:r>
              <w:rPr>
                <w:rFonts w:ascii="Arial" w:hAnsi="Arial" w:cs="Arial" w:eastAsia="Arial" w:hint="default"/>
                <w:w w:val="95"/>
                <w:sz w:val="22"/>
                <w:szCs w:val="22"/>
              </w:rPr>
              <w:t>(5)</w:t>
            </w:r>
            <w:r>
              <w:rPr>
                <w:rFonts w:ascii="宋体" w:hAnsi="宋体" w:cs="宋体" w:eastAsia="宋体" w:hint="default"/>
                <w:w w:val="95"/>
                <w:sz w:val="22"/>
                <w:szCs w:val="22"/>
              </w:rPr>
              <w:t>）</w:t>
            </w:r>
            <w:r>
              <w:rPr>
                <w:rFonts w:ascii="宋体" w:hAnsi="宋体" w:cs="宋体" w:eastAsia="宋体" w:hint="default"/>
                <w:sz w:val="22"/>
                <w:szCs w:val="22"/>
              </w:rPr>
            </w:r>
          </w:p>
        </w:tc>
        <w:tc>
          <w:tcPr>
            <w:tcW w:w="194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2"/>
              <w:jc w:val="right"/>
              <w:rPr>
                <w:rFonts w:ascii="Arial" w:hAnsi="Arial" w:cs="Arial" w:eastAsia="Arial" w:hint="default"/>
                <w:sz w:val="22"/>
                <w:szCs w:val="22"/>
              </w:rPr>
            </w:pPr>
            <w:r>
              <w:rPr>
                <w:rFonts w:ascii="Arial"/>
                <w:spacing w:val="-1"/>
                <w:sz w:val="22"/>
              </w:rPr>
              <w:t>2,561,610,068</w:t>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29" w:right="0"/>
              <w:jc w:val="left"/>
              <w:rPr>
                <w:rFonts w:ascii="Arial" w:hAnsi="Arial" w:cs="Arial" w:eastAsia="Arial" w:hint="default"/>
                <w:sz w:val="22"/>
                <w:szCs w:val="22"/>
              </w:rPr>
            </w:pPr>
            <w:r>
              <w:rPr>
                <w:rFonts w:ascii="Arial"/>
                <w:sz w:val="22"/>
              </w:rPr>
              <w:t>537,311,189</w:t>
            </w:r>
          </w:p>
        </w:tc>
      </w:tr>
      <w:tr>
        <w:trPr>
          <w:trHeight w:val="285" w:hRule="exact"/>
        </w:trPr>
        <w:tc>
          <w:tcPr>
            <w:tcW w:w="5310"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应付关联公司借款及利息（附注七</w:t>
            </w:r>
            <w:r>
              <w:rPr>
                <w:rFonts w:ascii="Arial" w:hAnsi="Arial" w:cs="Arial" w:eastAsia="Arial" w:hint="default"/>
                <w:sz w:val="22"/>
                <w:szCs w:val="22"/>
              </w:rPr>
              <w:t>(5)</w:t>
            </w:r>
            <w:r>
              <w:rPr>
                <w:rFonts w:ascii="宋体" w:hAnsi="宋体" w:cs="宋体" w:eastAsia="宋体" w:hint="default"/>
                <w:sz w:val="22"/>
                <w:szCs w:val="22"/>
              </w:rPr>
              <w:t>）</w:t>
            </w:r>
          </w:p>
        </w:tc>
        <w:tc>
          <w:tcPr>
            <w:tcW w:w="194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2"/>
              <w:jc w:val="right"/>
              <w:rPr>
                <w:rFonts w:ascii="Arial" w:hAnsi="Arial" w:cs="Arial" w:eastAsia="Arial" w:hint="default"/>
                <w:sz w:val="22"/>
                <w:szCs w:val="22"/>
              </w:rPr>
            </w:pPr>
            <w:r>
              <w:rPr>
                <w:rFonts w:ascii="Arial"/>
                <w:w w:val="95"/>
                <w:sz w:val="22"/>
              </w:rPr>
              <w:t>66,619,167</w:t>
            </w:r>
            <w:r>
              <w:rPr>
                <w:rFonts w:ascii="Arial"/>
                <w:sz w:val="22"/>
              </w:rPr>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46" w:right="0"/>
              <w:jc w:val="left"/>
              <w:rPr>
                <w:rFonts w:ascii="Arial" w:hAnsi="Arial" w:cs="Arial" w:eastAsia="Arial" w:hint="default"/>
                <w:sz w:val="22"/>
                <w:szCs w:val="22"/>
              </w:rPr>
            </w:pPr>
            <w:r>
              <w:rPr>
                <w:rFonts w:ascii="Arial"/>
                <w:sz w:val="22"/>
              </w:rPr>
              <w:t>2,211,309,299</w:t>
            </w:r>
          </w:p>
        </w:tc>
      </w:tr>
      <w:tr>
        <w:trPr>
          <w:trHeight w:val="285" w:hRule="exact"/>
        </w:trPr>
        <w:tc>
          <w:tcPr>
            <w:tcW w:w="5310"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代扣代缴员工社保支出</w:t>
            </w:r>
          </w:p>
        </w:tc>
        <w:tc>
          <w:tcPr>
            <w:tcW w:w="194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1"/>
              <w:jc w:val="right"/>
              <w:rPr>
                <w:rFonts w:ascii="Arial" w:hAnsi="Arial" w:cs="Arial" w:eastAsia="Arial" w:hint="default"/>
                <w:sz w:val="22"/>
                <w:szCs w:val="22"/>
              </w:rPr>
            </w:pPr>
            <w:r>
              <w:rPr>
                <w:rFonts w:ascii="Arial"/>
                <w:w w:val="95"/>
                <w:sz w:val="22"/>
              </w:rPr>
              <w:t>178,330,311</w:t>
            </w:r>
            <w:r>
              <w:rPr>
                <w:rFonts w:ascii="Arial"/>
                <w:sz w:val="22"/>
              </w:rPr>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29" w:right="0"/>
              <w:jc w:val="left"/>
              <w:rPr>
                <w:rFonts w:ascii="Arial" w:hAnsi="Arial" w:cs="Arial" w:eastAsia="Arial" w:hint="default"/>
                <w:sz w:val="22"/>
                <w:szCs w:val="22"/>
              </w:rPr>
            </w:pPr>
            <w:r>
              <w:rPr>
                <w:rFonts w:ascii="Arial"/>
                <w:sz w:val="22"/>
              </w:rPr>
              <w:t>302,045,105</w:t>
            </w:r>
          </w:p>
        </w:tc>
      </w:tr>
      <w:tr>
        <w:trPr>
          <w:trHeight w:val="419" w:hRule="exact"/>
        </w:trPr>
        <w:tc>
          <w:tcPr>
            <w:tcW w:w="5310"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948" w:type="dxa"/>
            <w:tcBorders>
              <w:top w:val="nil" w:sz="6" w:space="0" w:color="auto"/>
              <w:left w:val="nil" w:sz="6" w:space="0" w:color="auto"/>
              <w:bottom w:val="nil" w:sz="6" w:space="0" w:color="auto"/>
              <w:right w:val="nil" w:sz="6" w:space="0" w:color="auto"/>
            </w:tcBorders>
          </w:tcPr>
          <w:p>
            <w:pPr>
              <w:pStyle w:val="TableParagraph"/>
              <w:tabs>
                <w:tab w:pos="590" w:val="left" w:leader="none"/>
                <w:tab w:pos="1902" w:val="left" w:leader="none"/>
              </w:tabs>
              <w:spacing w:line="240" w:lineRule="auto" w:before="17"/>
              <w:ind w:left="-6" w:right="4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490,039,651</w:t>
            </w:r>
            <w:r>
              <w:rPr>
                <w:rFonts w:ascii="Arial"/>
                <w:sz w:val="22"/>
                <w:u w:val="single" w:color="000000"/>
              </w:rPr>
              <w:tab/>
            </w:r>
            <w:r>
              <w:rPr>
                <w:rFonts w:ascii="Arial"/>
                <w:sz w:val="22"/>
              </w:rPr>
            </w:r>
          </w:p>
        </w:tc>
        <w:tc>
          <w:tcPr>
            <w:tcW w:w="1957" w:type="dxa"/>
            <w:tcBorders>
              <w:top w:val="nil" w:sz="6" w:space="0" w:color="auto"/>
              <w:left w:val="nil" w:sz="6" w:space="0" w:color="auto"/>
              <w:bottom w:val="nil" w:sz="6" w:space="0" w:color="auto"/>
              <w:right w:val="nil" w:sz="6" w:space="0" w:color="auto"/>
            </w:tcBorders>
          </w:tcPr>
          <w:p>
            <w:pPr>
              <w:pStyle w:val="TableParagraph"/>
              <w:tabs>
                <w:tab w:pos="585" w:val="left" w:leader="none"/>
                <w:tab w:pos="1912"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452,157,118</w:t>
            </w:r>
            <w:r>
              <w:rPr>
                <w:rFonts w:ascii="Arial"/>
                <w:sz w:val="22"/>
                <w:u w:val="single" w:color="000000"/>
              </w:rPr>
              <w:tab/>
            </w:r>
            <w:r>
              <w:rPr>
                <w:rFonts w:ascii="Arial"/>
                <w:sz w:val="22"/>
              </w:rPr>
            </w:r>
          </w:p>
        </w:tc>
      </w:tr>
      <w:tr>
        <w:trPr>
          <w:trHeight w:val="430" w:hRule="exact"/>
        </w:trPr>
        <w:tc>
          <w:tcPr>
            <w:tcW w:w="531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其他应付款合计</w:t>
            </w:r>
          </w:p>
        </w:tc>
        <w:tc>
          <w:tcPr>
            <w:tcW w:w="1948"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32"/>
              <w:jc w:val="right"/>
              <w:rPr>
                <w:rFonts w:ascii="Arial" w:hAnsi="Arial" w:cs="Arial" w:eastAsia="Arial" w:hint="default"/>
                <w:sz w:val="22"/>
                <w:szCs w:val="22"/>
              </w:rPr>
            </w:pPr>
            <w:r>
              <w:rPr>
                <w:rFonts w:ascii="Arial"/>
                <w:spacing w:val="-1"/>
                <w:sz w:val="22"/>
              </w:rPr>
              <w:t>8,959,530,980</w:t>
            </w:r>
          </w:p>
        </w:tc>
        <w:tc>
          <w:tcPr>
            <w:tcW w:w="1957"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446" w:right="0"/>
              <w:jc w:val="left"/>
              <w:rPr>
                <w:rFonts w:ascii="Arial" w:hAnsi="Arial" w:cs="Arial" w:eastAsia="Arial" w:hint="default"/>
                <w:sz w:val="22"/>
                <w:szCs w:val="22"/>
              </w:rPr>
            </w:pPr>
            <w:r>
              <w:rPr>
                <w:rFonts w:ascii="Arial"/>
                <w:sz w:val="22"/>
              </w:rPr>
              <w:t>8,607,473,651</w:t>
            </w:r>
          </w:p>
        </w:tc>
      </w:tr>
    </w:tbl>
    <w:p>
      <w:pPr>
        <w:spacing w:line="240" w:lineRule="auto" w:before="2"/>
        <w:rPr>
          <w:rFonts w:ascii="宋体" w:hAnsi="宋体" w:cs="宋体" w:eastAsia="宋体" w:hint="default"/>
          <w:sz w:val="14"/>
          <w:szCs w:val="14"/>
        </w:rPr>
      </w:pPr>
    </w:p>
    <w:p>
      <w:pPr>
        <w:pStyle w:val="BodyText"/>
        <w:spacing w:line="240" w:lineRule="auto" w:before="31"/>
        <w:ind w:left="102" w:right="0"/>
        <w:jc w:val="left"/>
      </w:pPr>
      <w:r>
        <w:rPr>
          <w:rFonts w:ascii="Arial" w:hAnsi="Arial" w:cs="Arial" w:eastAsia="Arial" w:hint="default"/>
        </w:rPr>
        <w:t>(a) </w:t>
      </w:r>
      <w:r>
        <w:rPr>
          <w:rFonts w:ascii="Arial" w:hAnsi="Arial" w:cs="Arial" w:eastAsia="Arial" w:hint="default"/>
          <w:spacing w:val="19"/>
        </w:rPr>
        <w:t> </w:t>
      </w:r>
      <w:r>
        <w:rPr/>
        <w:t>应付持有本公司</w:t>
      </w:r>
      <w:r>
        <w:rPr>
          <w:spacing w:val="-57"/>
        </w:rPr>
        <w:t> </w:t>
      </w:r>
      <w:r>
        <w:rPr>
          <w:rFonts w:ascii="Arial" w:hAnsi="Arial" w:cs="Arial" w:eastAsia="Arial" w:hint="default"/>
        </w:rPr>
        <w:t>5%</w:t>
      </w:r>
      <w:r>
        <w:rPr/>
        <w:t>（含</w:t>
      </w:r>
      <w:r>
        <w:rPr>
          <w:spacing w:val="-58"/>
        </w:rPr>
        <w:t> </w:t>
      </w:r>
      <w:r>
        <w:rPr>
          <w:rFonts w:ascii="Arial" w:hAnsi="Arial" w:cs="Arial" w:eastAsia="Arial" w:hint="default"/>
        </w:rPr>
        <w:t>5%</w:t>
      </w:r>
      <w:r>
        <w:rPr/>
        <w:t>）以上表决权股份的股东单位的其他应付款：</w:t>
      </w:r>
    </w:p>
    <w:p>
      <w:pPr>
        <w:spacing w:line="240" w:lineRule="auto" w:before="2"/>
        <w:rPr>
          <w:rFonts w:ascii="宋体" w:hAnsi="宋体" w:cs="宋体" w:eastAsia="宋体" w:hint="default"/>
          <w:sz w:val="23"/>
          <w:szCs w:val="23"/>
        </w:rPr>
      </w:pPr>
    </w:p>
    <w:tbl>
      <w:tblPr>
        <w:tblW w:w="0" w:type="auto"/>
        <w:jc w:val="left"/>
        <w:tblInd w:w="362" w:type="dxa"/>
        <w:tblLayout w:type="fixed"/>
        <w:tblCellMar>
          <w:top w:w="0" w:type="dxa"/>
          <w:left w:w="0" w:type="dxa"/>
          <w:bottom w:w="0" w:type="dxa"/>
          <w:right w:w="0" w:type="dxa"/>
        </w:tblCellMar>
        <w:tblLook w:val="01E0"/>
      </w:tblPr>
      <w:tblGrid>
        <w:gridCol w:w="5231"/>
        <w:gridCol w:w="2025"/>
        <w:gridCol w:w="1959"/>
      </w:tblGrid>
      <w:tr>
        <w:trPr>
          <w:trHeight w:val="261" w:hRule="exact"/>
        </w:trPr>
        <w:tc>
          <w:tcPr>
            <w:tcW w:w="5231" w:type="dxa"/>
            <w:tcBorders>
              <w:top w:val="nil" w:sz="6" w:space="0" w:color="auto"/>
              <w:left w:val="nil" w:sz="6" w:space="0" w:color="auto"/>
              <w:bottom w:val="nil" w:sz="6" w:space="0" w:color="auto"/>
              <w:right w:val="nil" w:sz="6" w:space="0" w:color="auto"/>
            </w:tcBorders>
          </w:tcPr>
          <w:p>
            <w:pPr/>
          </w:p>
        </w:tc>
        <w:tc>
          <w:tcPr>
            <w:tcW w:w="2025" w:type="dxa"/>
            <w:tcBorders>
              <w:top w:val="nil" w:sz="6" w:space="0" w:color="auto"/>
              <w:left w:val="nil" w:sz="6" w:space="0" w:color="auto"/>
              <w:bottom w:val="single" w:sz="6" w:space="0" w:color="000000"/>
              <w:right w:val="nil" w:sz="6" w:space="0" w:color="auto"/>
            </w:tcBorders>
          </w:tcPr>
          <w:p>
            <w:pPr>
              <w:pStyle w:val="TableParagraph"/>
              <w:spacing w:line="235" w:lineRule="exact"/>
              <w:ind w:right="44"/>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959" w:type="dxa"/>
            <w:tcBorders>
              <w:top w:val="nil" w:sz="6" w:space="0" w:color="auto"/>
              <w:left w:val="nil" w:sz="6" w:space="0" w:color="auto"/>
              <w:bottom w:val="single" w:sz="6" w:space="0" w:color="000000"/>
              <w:right w:val="nil" w:sz="6" w:space="0" w:color="auto"/>
            </w:tcBorders>
          </w:tcPr>
          <w:p>
            <w:pPr>
              <w:pStyle w:val="TableParagraph"/>
              <w:spacing w:line="235" w:lineRule="exact"/>
              <w:ind w:left="44"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69" w:hRule="exact"/>
        </w:trPr>
        <w:tc>
          <w:tcPr>
            <w:tcW w:w="523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2025" w:type="dxa"/>
            <w:tcBorders>
              <w:top w:val="single" w:sz="6"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32"/>
              <w:jc w:val="right"/>
              <w:rPr>
                <w:rFonts w:ascii="Arial" w:hAnsi="Arial" w:cs="Arial" w:eastAsia="Arial" w:hint="default"/>
                <w:sz w:val="22"/>
                <w:szCs w:val="22"/>
              </w:rPr>
            </w:pPr>
            <w:r>
              <w:rPr>
                <w:rFonts w:ascii="Arial"/>
                <w:w w:val="95"/>
                <w:sz w:val="22"/>
              </w:rPr>
              <w:t>518,944,551</w:t>
            </w:r>
            <w:r>
              <w:rPr>
                <w:rFonts w:ascii="Arial"/>
                <w:sz w:val="22"/>
              </w:rPr>
            </w:r>
          </w:p>
        </w:tc>
        <w:tc>
          <w:tcPr>
            <w:tcW w:w="1959" w:type="dxa"/>
            <w:tcBorders>
              <w:top w:val="single" w:sz="6"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30" w:right="0"/>
              <w:jc w:val="left"/>
              <w:rPr>
                <w:rFonts w:ascii="Arial" w:hAnsi="Arial" w:cs="Arial" w:eastAsia="Arial" w:hint="default"/>
                <w:sz w:val="22"/>
                <w:szCs w:val="22"/>
              </w:rPr>
            </w:pPr>
            <w:r>
              <w:rPr>
                <w:rFonts w:ascii="Arial"/>
                <w:sz w:val="22"/>
              </w:rPr>
              <w:t>256,092,302</w:t>
            </w:r>
          </w:p>
        </w:tc>
      </w:tr>
    </w:tbl>
    <w:p>
      <w:pPr>
        <w:spacing w:after="0" w:line="240" w:lineRule="auto"/>
        <w:jc w:val="left"/>
        <w:rPr>
          <w:rFonts w:ascii="Arial" w:hAnsi="Arial" w:cs="Arial" w:eastAsia="Arial" w:hint="default"/>
          <w:sz w:val="22"/>
          <w:szCs w:val="22"/>
        </w:rPr>
        <w:sectPr>
          <w:headerReference w:type="default" r:id="rId105"/>
          <w:pgSz w:w="11910" w:h="16840"/>
          <w:pgMar w:header="1184" w:footer="457" w:top="3040" w:bottom="640" w:left="1280" w:right="920"/>
        </w:sectPr>
      </w:pPr>
    </w:p>
    <w:p>
      <w:pPr>
        <w:spacing w:line="240" w:lineRule="auto" w:before="12"/>
        <w:rPr>
          <w:rFonts w:ascii="宋体" w:hAnsi="宋体" w:cs="宋体" w:eastAsia="宋体" w:hint="default"/>
          <w:sz w:val="14"/>
          <w:szCs w:val="14"/>
        </w:rPr>
      </w:pPr>
    </w:p>
    <w:p>
      <w:pPr>
        <w:pStyle w:val="BodyText"/>
        <w:spacing w:line="240" w:lineRule="auto" w:before="31"/>
        <w:ind w:left="102" w:right="0"/>
        <w:jc w:val="left"/>
      </w:pPr>
      <w:r>
        <w:rPr>
          <w:rFonts w:ascii="Arial" w:hAnsi="Arial" w:cs="Arial" w:eastAsia="Arial" w:hint="default"/>
        </w:rPr>
        <w:t>25</w:t>
      </w:r>
      <w:r>
        <w:rPr/>
        <w:t>、其他应付款（续）</w:t>
      </w:r>
    </w:p>
    <w:p>
      <w:pPr>
        <w:spacing w:line="240" w:lineRule="auto" w:before="0"/>
        <w:rPr>
          <w:rFonts w:ascii="宋体" w:hAnsi="宋体" w:cs="宋体" w:eastAsia="宋体" w:hint="default"/>
          <w:sz w:val="18"/>
          <w:szCs w:val="18"/>
        </w:rPr>
      </w:pPr>
    </w:p>
    <w:p>
      <w:pPr>
        <w:pStyle w:val="BodyText"/>
        <w:spacing w:line="240" w:lineRule="auto"/>
        <w:ind w:left="102" w:right="0"/>
        <w:jc w:val="left"/>
      </w:pPr>
      <w:r>
        <w:rPr>
          <w:rFonts w:ascii="Arial" w:hAnsi="Arial" w:cs="Arial" w:eastAsia="Arial" w:hint="default"/>
        </w:rPr>
        <w:t>(b) </w:t>
      </w:r>
      <w:r>
        <w:rPr>
          <w:rFonts w:ascii="Arial" w:hAnsi="Arial" w:cs="Arial" w:eastAsia="Arial" w:hint="default"/>
          <w:spacing w:val="21"/>
        </w:rPr>
        <w:t> </w:t>
      </w:r>
      <w:r>
        <w:rPr/>
        <w:t>应付关联方的其他应付款：</w:t>
      </w:r>
    </w:p>
    <w:p>
      <w:pPr>
        <w:spacing w:line="240" w:lineRule="auto" w:before="8"/>
        <w:rPr>
          <w:rFonts w:ascii="宋体" w:hAnsi="宋体" w:cs="宋体" w:eastAsia="宋体" w:hint="default"/>
          <w:sz w:val="19"/>
          <w:szCs w:val="19"/>
        </w:rPr>
      </w:pPr>
    </w:p>
    <w:tbl>
      <w:tblPr>
        <w:tblW w:w="0" w:type="auto"/>
        <w:jc w:val="left"/>
        <w:tblInd w:w="362" w:type="dxa"/>
        <w:tblLayout w:type="fixed"/>
        <w:tblCellMar>
          <w:top w:w="0" w:type="dxa"/>
          <w:left w:w="0" w:type="dxa"/>
          <w:bottom w:w="0" w:type="dxa"/>
          <w:right w:w="0" w:type="dxa"/>
        </w:tblCellMar>
        <w:tblLook w:val="01E0"/>
      </w:tblPr>
      <w:tblGrid>
        <w:gridCol w:w="5231"/>
        <w:gridCol w:w="2025"/>
        <w:gridCol w:w="1959"/>
      </w:tblGrid>
      <w:tr>
        <w:trPr>
          <w:trHeight w:val="261" w:hRule="exact"/>
        </w:trPr>
        <w:tc>
          <w:tcPr>
            <w:tcW w:w="5231" w:type="dxa"/>
            <w:tcBorders>
              <w:top w:val="nil" w:sz="6" w:space="0" w:color="auto"/>
              <w:left w:val="nil" w:sz="6" w:space="0" w:color="auto"/>
              <w:bottom w:val="nil" w:sz="6" w:space="0" w:color="auto"/>
              <w:right w:val="nil" w:sz="6" w:space="0" w:color="auto"/>
            </w:tcBorders>
          </w:tcPr>
          <w:p>
            <w:pPr/>
          </w:p>
        </w:tc>
        <w:tc>
          <w:tcPr>
            <w:tcW w:w="2025" w:type="dxa"/>
            <w:tcBorders>
              <w:top w:val="nil" w:sz="6" w:space="0" w:color="auto"/>
              <w:left w:val="nil" w:sz="6" w:space="0" w:color="auto"/>
              <w:bottom w:val="single" w:sz="6" w:space="0" w:color="000000"/>
              <w:right w:val="nil" w:sz="6" w:space="0" w:color="auto"/>
            </w:tcBorders>
          </w:tcPr>
          <w:p>
            <w:pPr>
              <w:pStyle w:val="TableParagraph"/>
              <w:spacing w:line="235" w:lineRule="exact"/>
              <w:ind w:right="44"/>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959" w:type="dxa"/>
            <w:tcBorders>
              <w:top w:val="nil" w:sz="6" w:space="0" w:color="auto"/>
              <w:left w:val="nil" w:sz="6" w:space="0" w:color="auto"/>
              <w:bottom w:val="single" w:sz="6" w:space="0" w:color="000000"/>
              <w:right w:val="nil" w:sz="6" w:space="0" w:color="auto"/>
            </w:tcBorders>
          </w:tcPr>
          <w:p>
            <w:pPr>
              <w:pStyle w:val="TableParagraph"/>
              <w:spacing w:line="235" w:lineRule="exact"/>
              <w:ind w:right="0"/>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8" w:hRule="exact"/>
        </w:trPr>
        <w:tc>
          <w:tcPr>
            <w:tcW w:w="523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2025"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78"/>
              <w:jc w:val="right"/>
              <w:rPr>
                <w:rFonts w:ascii="Arial" w:hAnsi="Arial" w:cs="Arial" w:eastAsia="Arial" w:hint="default"/>
                <w:sz w:val="22"/>
                <w:szCs w:val="22"/>
              </w:rPr>
            </w:pPr>
            <w:r>
              <w:rPr>
                <w:rFonts w:ascii="Arial"/>
                <w:w w:val="95"/>
                <w:sz w:val="22"/>
              </w:rPr>
              <w:t>518,944,551</w:t>
            </w:r>
            <w:r>
              <w:rPr>
                <w:rFonts w:ascii="Arial"/>
                <w:sz w:val="22"/>
              </w:rPr>
            </w:r>
          </w:p>
        </w:tc>
        <w:tc>
          <w:tcPr>
            <w:tcW w:w="1959"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2"/>
              <w:jc w:val="right"/>
              <w:rPr>
                <w:rFonts w:ascii="Arial" w:hAnsi="Arial" w:cs="Arial" w:eastAsia="Arial" w:hint="default"/>
                <w:sz w:val="22"/>
                <w:szCs w:val="22"/>
              </w:rPr>
            </w:pPr>
            <w:r>
              <w:rPr>
                <w:rFonts w:ascii="Arial"/>
                <w:w w:val="95"/>
                <w:sz w:val="22"/>
              </w:rPr>
              <w:t>256,092,302</w:t>
            </w:r>
            <w:r>
              <w:rPr>
                <w:rFonts w:ascii="Arial"/>
                <w:sz w:val="22"/>
              </w:rPr>
            </w:r>
          </w:p>
        </w:tc>
      </w:tr>
      <w:tr>
        <w:trPr>
          <w:trHeight w:val="286" w:hRule="exact"/>
        </w:trPr>
        <w:tc>
          <w:tcPr>
            <w:tcW w:w="523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联通新时空</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9"/>
              <w:jc w:val="right"/>
              <w:rPr>
                <w:rFonts w:ascii="Arial" w:hAnsi="Arial" w:cs="Arial" w:eastAsia="Arial" w:hint="default"/>
                <w:sz w:val="22"/>
                <w:szCs w:val="22"/>
              </w:rPr>
            </w:pPr>
            <w:r>
              <w:rPr>
                <w:rFonts w:ascii="Arial"/>
                <w:w w:val="99"/>
                <w:sz w:val="22"/>
              </w:rPr>
              <w:t>-</w:t>
            </w:r>
            <w:r>
              <w:rPr>
                <w:rFonts w:ascii="Arial"/>
                <w:sz w:val="22"/>
              </w:rPr>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4"/>
              <w:jc w:val="right"/>
              <w:rPr>
                <w:rFonts w:ascii="Arial" w:hAnsi="Arial" w:cs="Arial" w:eastAsia="Arial" w:hint="default"/>
                <w:sz w:val="22"/>
                <w:szCs w:val="22"/>
              </w:rPr>
            </w:pPr>
            <w:r>
              <w:rPr>
                <w:rFonts w:ascii="Arial"/>
                <w:w w:val="95"/>
                <w:sz w:val="22"/>
              </w:rPr>
              <w:t>54,140,381</w:t>
            </w:r>
            <w:r>
              <w:rPr>
                <w:rFonts w:ascii="Arial"/>
                <w:sz w:val="22"/>
              </w:rPr>
            </w:r>
          </w:p>
        </w:tc>
      </w:tr>
      <w:tr>
        <w:trPr>
          <w:trHeight w:val="284" w:hRule="exact"/>
        </w:trPr>
        <w:tc>
          <w:tcPr>
            <w:tcW w:w="523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联通进出口</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8"/>
              <w:jc w:val="right"/>
              <w:rPr>
                <w:rFonts w:ascii="Arial" w:hAnsi="Arial" w:cs="Arial" w:eastAsia="Arial" w:hint="default"/>
                <w:sz w:val="22"/>
                <w:szCs w:val="22"/>
              </w:rPr>
            </w:pPr>
            <w:r>
              <w:rPr>
                <w:rFonts w:ascii="Arial"/>
                <w:w w:val="95"/>
                <w:sz w:val="22"/>
              </w:rPr>
              <w:t>1,895,994</w:t>
            </w:r>
            <w:r>
              <w:rPr>
                <w:rFonts w:ascii="Arial"/>
                <w:sz w:val="22"/>
              </w:rPr>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4"/>
              <w:jc w:val="right"/>
              <w:rPr>
                <w:rFonts w:ascii="Arial" w:hAnsi="Arial" w:cs="Arial" w:eastAsia="Arial" w:hint="default"/>
                <w:sz w:val="22"/>
                <w:szCs w:val="22"/>
              </w:rPr>
            </w:pPr>
            <w:r>
              <w:rPr>
                <w:rFonts w:ascii="Arial"/>
                <w:w w:val="95"/>
                <w:sz w:val="22"/>
              </w:rPr>
              <w:t>1,895,994</w:t>
            </w:r>
            <w:r>
              <w:rPr>
                <w:rFonts w:ascii="Arial"/>
                <w:sz w:val="22"/>
              </w:rPr>
            </w:r>
          </w:p>
        </w:tc>
      </w:tr>
      <w:tr>
        <w:trPr>
          <w:trHeight w:val="286" w:hRule="exact"/>
        </w:trPr>
        <w:tc>
          <w:tcPr>
            <w:tcW w:w="5231"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Arial" w:hAnsi="Arial" w:cs="Arial" w:eastAsia="Arial" w:hint="default"/>
                <w:sz w:val="22"/>
                <w:szCs w:val="22"/>
              </w:rPr>
            </w:pPr>
            <w:r>
              <w:rPr>
                <w:rFonts w:ascii="宋体" w:hAnsi="宋体" w:cs="宋体" w:eastAsia="宋体" w:hint="default"/>
                <w:sz w:val="22"/>
                <w:szCs w:val="22"/>
              </w:rPr>
              <w:t>网通</w:t>
            </w:r>
            <w:r>
              <w:rPr>
                <w:rFonts w:ascii="宋体" w:hAnsi="宋体" w:cs="宋体" w:eastAsia="宋体" w:hint="default"/>
                <w:spacing w:val="-60"/>
                <w:sz w:val="22"/>
                <w:szCs w:val="22"/>
              </w:rPr>
              <w:t> </w:t>
            </w:r>
            <w:r>
              <w:rPr>
                <w:rFonts w:ascii="Arial" w:hAnsi="Arial" w:cs="Arial" w:eastAsia="Arial" w:hint="default"/>
                <w:sz w:val="22"/>
                <w:szCs w:val="22"/>
              </w:rPr>
              <w:t>BVI</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9"/>
              <w:jc w:val="right"/>
              <w:rPr>
                <w:rFonts w:ascii="Arial" w:hAnsi="Arial" w:cs="Arial" w:eastAsia="Arial" w:hint="default"/>
                <w:sz w:val="22"/>
                <w:szCs w:val="22"/>
              </w:rPr>
            </w:pPr>
            <w:r>
              <w:rPr>
                <w:rFonts w:ascii="Arial"/>
                <w:w w:val="99"/>
                <w:sz w:val="22"/>
              </w:rPr>
              <w:t>-</w:t>
            </w:r>
            <w:r>
              <w:rPr>
                <w:rFonts w:ascii="Arial"/>
                <w:sz w:val="22"/>
              </w:rPr>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4"/>
              <w:jc w:val="right"/>
              <w:rPr>
                <w:rFonts w:ascii="Arial" w:hAnsi="Arial" w:cs="Arial" w:eastAsia="Arial" w:hint="default"/>
                <w:sz w:val="22"/>
                <w:szCs w:val="22"/>
              </w:rPr>
            </w:pPr>
            <w:r>
              <w:rPr>
                <w:rFonts w:ascii="Arial"/>
                <w:spacing w:val="-1"/>
                <w:sz w:val="22"/>
              </w:rPr>
              <w:t>2,186,895,277</w:t>
            </w:r>
          </w:p>
        </w:tc>
      </w:tr>
      <w:tr>
        <w:trPr>
          <w:trHeight w:val="286" w:hRule="exact"/>
        </w:trPr>
        <w:tc>
          <w:tcPr>
            <w:tcW w:w="5231"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z w:val="22"/>
                <w:szCs w:val="22"/>
              </w:rPr>
              <w:t>联通集团</w:t>
            </w:r>
            <w:r>
              <w:rPr>
                <w:rFonts w:ascii="宋体" w:hAnsi="宋体" w:cs="宋体" w:eastAsia="宋体" w:hint="default"/>
                <w:spacing w:val="-57"/>
                <w:sz w:val="22"/>
                <w:szCs w:val="22"/>
              </w:rPr>
              <w:t> </w:t>
            </w:r>
            <w:r>
              <w:rPr>
                <w:rFonts w:ascii="Arial" w:hAnsi="Arial" w:cs="Arial" w:eastAsia="Arial" w:hint="default"/>
                <w:sz w:val="22"/>
                <w:szCs w:val="22"/>
              </w:rPr>
              <w:t>BVI</w:t>
            </w:r>
            <w:r>
              <w:rPr>
                <w:rFonts w:ascii="Arial" w:hAnsi="Arial" w:cs="Arial" w:eastAsia="Arial" w:hint="default"/>
                <w:spacing w:val="-8"/>
                <w:sz w:val="22"/>
                <w:szCs w:val="22"/>
              </w:rPr>
              <w:t> </w:t>
            </w:r>
            <w:r>
              <w:rPr>
                <w:rFonts w:ascii="宋体" w:hAnsi="宋体" w:cs="宋体" w:eastAsia="宋体" w:hint="default"/>
                <w:sz w:val="22"/>
                <w:szCs w:val="22"/>
              </w:rPr>
              <w:t>公司</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9"/>
              <w:jc w:val="right"/>
              <w:rPr>
                <w:rFonts w:ascii="Arial" w:hAnsi="Arial" w:cs="Arial" w:eastAsia="Arial" w:hint="default"/>
                <w:sz w:val="22"/>
                <w:szCs w:val="22"/>
              </w:rPr>
            </w:pPr>
            <w:r>
              <w:rPr>
                <w:rFonts w:ascii="Arial"/>
                <w:w w:val="95"/>
                <w:sz w:val="22"/>
              </w:rPr>
              <w:t>66,619,167</w:t>
            </w:r>
            <w:r>
              <w:rPr>
                <w:rFonts w:ascii="Arial"/>
                <w:sz w:val="22"/>
              </w:rPr>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4"/>
              <w:jc w:val="right"/>
              <w:rPr>
                <w:rFonts w:ascii="Arial" w:hAnsi="Arial" w:cs="Arial" w:eastAsia="Arial" w:hint="default"/>
                <w:sz w:val="22"/>
                <w:szCs w:val="22"/>
              </w:rPr>
            </w:pPr>
            <w:r>
              <w:rPr>
                <w:rFonts w:ascii="Arial"/>
                <w:w w:val="95"/>
                <w:sz w:val="22"/>
              </w:rPr>
              <w:t>24,414,022</w:t>
            </w:r>
            <w:r>
              <w:rPr>
                <w:rFonts w:ascii="Arial"/>
                <w:sz w:val="22"/>
              </w:rPr>
            </w:r>
          </w:p>
        </w:tc>
      </w:tr>
      <w:tr>
        <w:trPr>
          <w:trHeight w:val="419" w:hRule="exact"/>
        </w:trPr>
        <w:tc>
          <w:tcPr>
            <w:tcW w:w="523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联通集团其他附属公司</w:t>
            </w:r>
          </w:p>
        </w:tc>
        <w:tc>
          <w:tcPr>
            <w:tcW w:w="2025" w:type="dxa"/>
            <w:tcBorders>
              <w:top w:val="nil" w:sz="6" w:space="0" w:color="auto"/>
              <w:left w:val="nil" w:sz="6" w:space="0" w:color="auto"/>
              <w:bottom w:val="nil" w:sz="6" w:space="0" w:color="auto"/>
              <w:right w:val="nil" w:sz="6" w:space="0" w:color="auto"/>
            </w:tcBorders>
          </w:tcPr>
          <w:p>
            <w:pPr>
              <w:pStyle w:val="TableParagraph"/>
              <w:tabs>
                <w:tab w:pos="537" w:val="left" w:leader="none"/>
              </w:tabs>
              <w:spacing w:line="240" w:lineRule="auto" w:before="17"/>
              <w:ind w:right="79"/>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2,040,769,523</w:t>
            </w:r>
            <w:r>
              <w:rPr>
                <w:rFonts w:ascii="Arial"/>
                <w:spacing w:val="-1"/>
                <w:sz w:val="22"/>
              </w:rPr>
            </w:r>
          </w:p>
        </w:tc>
        <w:tc>
          <w:tcPr>
            <w:tcW w:w="1959" w:type="dxa"/>
            <w:tcBorders>
              <w:top w:val="nil" w:sz="6" w:space="0" w:color="auto"/>
              <w:left w:val="nil" w:sz="6" w:space="0" w:color="auto"/>
              <w:bottom w:val="nil" w:sz="6" w:space="0" w:color="auto"/>
              <w:right w:val="nil" w:sz="6" w:space="0" w:color="auto"/>
            </w:tcBorders>
          </w:tcPr>
          <w:p>
            <w:pPr>
              <w:pStyle w:val="TableParagraph"/>
              <w:tabs>
                <w:tab w:pos="604" w:val="left" w:leader="none"/>
                <w:tab w:pos="1913"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225,182,512</w:t>
            </w:r>
            <w:r>
              <w:rPr>
                <w:rFonts w:ascii="Arial"/>
                <w:sz w:val="22"/>
                <w:u w:val="single" w:color="000000"/>
              </w:rPr>
              <w:tab/>
            </w:r>
            <w:r>
              <w:rPr>
                <w:rFonts w:ascii="Arial"/>
                <w:sz w:val="22"/>
              </w:rPr>
            </w:r>
          </w:p>
        </w:tc>
      </w:tr>
      <w:tr>
        <w:trPr>
          <w:trHeight w:val="430" w:hRule="exact"/>
        </w:trPr>
        <w:tc>
          <w:tcPr>
            <w:tcW w:w="523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025"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79"/>
              <w:jc w:val="right"/>
              <w:rPr>
                <w:rFonts w:ascii="Arial" w:hAnsi="Arial" w:cs="Arial" w:eastAsia="Arial" w:hint="default"/>
                <w:sz w:val="22"/>
                <w:szCs w:val="22"/>
              </w:rPr>
            </w:pPr>
            <w:r>
              <w:rPr>
                <w:rFonts w:ascii="Arial"/>
                <w:spacing w:val="-1"/>
                <w:sz w:val="22"/>
              </w:rPr>
              <w:t>2,628,229,235</w:t>
            </w:r>
          </w:p>
        </w:tc>
        <w:tc>
          <w:tcPr>
            <w:tcW w:w="1959"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84"/>
              <w:jc w:val="right"/>
              <w:rPr>
                <w:rFonts w:ascii="Arial" w:hAnsi="Arial" w:cs="Arial" w:eastAsia="Arial" w:hint="default"/>
                <w:sz w:val="22"/>
                <w:szCs w:val="22"/>
              </w:rPr>
            </w:pPr>
            <w:r>
              <w:rPr>
                <w:rFonts w:ascii="Arial"/>
                <w:spacing w:val="-1"/>
                <w:sz w:val="22"/>
              </w:rPr>
              <w:t>2,748,620,488</w:t>
            </w:r>
          </w:p>
        </w:tc>
      </w:tr>
    </w:tbl>
    <w:p>
      <w:pPr>
        <w:spacing w:line="240" w:lineRule="auto" w:before="2"/>
        <w:rPr>
          <w:rFonts w:ascii="宋体" w:hAnsi="宋体" w:cs="宋体" w:eastAsia="宋体" w:hint="default"/>
          <w:sz w:val="14"/>
          <w:szCs w:val="14"/>
        </w:rPr>
      </w:pPr>
    </w:p>
    <w:p>
      <w:pPr>
        <w:pStyle w:val="BodyText"/>
        <w:spacing w:line="295" w:lineRule="exact" w:before="31"/>
        <w:ind w:left="102" w:right="0"/>
        <w:jc w:val="left"/>
      </w:pPr>
      <w:r>
        <w:rPr>
          <w:rFonts w:ascii="Arial" w:hAnsi="Arial" w:cs="Arial" w:eastAsia="Arial" w:hint="default"/>
        </w:rPr>
        <w:t>(c)  </w:t>
      </w:r>
      <w:r>
        <w:rPr>
          <w:rFonts w:ascii="Arial" w:hAnsi="Arial" w:cs="Arial" w:eastAsia="Arial" w:hint="default"/>
          <w:spacing w:val="2"/>
        </w:rPr>
        <w:t> </w:t>
      </w:r>
      <w:r>
        <w:rPr/>
        <w:t>于</w:t>
      </w:r>
      <w:r>
        <w:rPr>
          <w:spacing w:val="-57"/>
        </w:rPr>
        <w:t> </w:t>
      </w:r>
      <w:r>
        <w:rPr>
          <w:rFonts w:ascii="Arial" w:hAnsi="Arial" w:cs="Arial" w:eastAsia="Arial" w:hint="default"/>
        </w:rPr>
        <w:t>2012</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日，除应付联通集团及其非上市附属公司款项外，账龄超过</w:t>
      </w:r>
      <w:r>
        <w:rPr>
          <w:spacing w:val="-57"/>
        </w:rPr>
        <w:t> </w:t>
      </w:r>
      <w:r>
        <w:rPr>
          <w:rFonts w:ascii="Arial" w:hAnsi="Arial" w:cs="Arial" w:eastAsia="Arial" w:hint="default"/>
        </w:rPr>
        <w:t>1</w:t>
      </w:r>
      <w:r>
        <w:rPr>
          <w:rFonts w:ascii="Arial" w:hAnsi="Arial" w:cs="Arial" w:eastAsia="Arial" w:hint="default"/>
          <w:spacing w:val="-7"/>
        </w:rPr>
        <w:t> </w:t>
      </w:r>
      <w:r>
        <w:rPr/>
        <w:t>年的其他应</w:t>
      </w:r>
    </w:p>
    <w:p>
      <w:pPr>
        <w:pStyle w:val="BodyText"/>
        <w:spacing w:line="284" w:lineRule="exact" w:before="20"/>
        <w:ind w:left="550" w:right="199"/>
        <w:jc w:val="left"/>
      </w:pPr>
      <w:r>
        <w:rPr/>
        <w:t>付款约人民币</w:t>
      </w:r>
      <w:r>
        <w:rPr>
          <w:spacing w:val="-56"/>
        </w:rPr>
        <w:t> </w:t>
      </w:r>
      <w:r>
        <w:rPr>
          <w:rFonts w:ascii="Arial" w:hAnsi="Arial" w:cs="Arial" w:eastAsia="Arial" w:hint="default"/>
        </w:rPr>
        <w:t>35.34</w:t>
      </w:r>
      <w:r>
        <w:rPr>
          <w:rFonts w:ascii="Arial" w:hAnsi="Arial" w:cs="Arial" w:eastAsia="Arial" w:hint="default"/>
          <w:spacing w:val="-8"/>
        </w:rPr>
        <w:t> </w:t>
      </w:r>
      <w:r>
        <w:rPr/>
        <w:t>亿元（</w:t>
      </w:r>
      <w:r>
        <w:rPr>
          <w:rFonts w:ascii="Arial" w:hAnsi="Arial" w:cs="Arial" w:eastAsia="Arial" w:hint="default"/>
        </w:rPr>
        <w:t>2011</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日：约人民币</w:t>
      </w:r>
      <w:r>
        <w:rPr>
          <w:spacing w:val="-56"/>
        </w:rPr>
        <w:t> </w:t>
      </w:r>
      <w:r>
        <w:rPr>
          <w:rFonts w:ascii="Arial" w:hAnsi="Arial" w:cs="Arial" w:eastAsia="Arial" w:hint="default"/>
        </w:rPr>
        <w:t>15.22</w:t>
      </w:r>
      <w:r>
        <w:rPr>
          <w:rFonts w:ascii="Arial" w:hAnsi="Arial" w:cs="Arial" w:eastAsia="Arial" w:hint="default"/>
          <w:spacing w:val="-8"/>
        </w:rPr>
        <w:t> </w:t>
      </w:r>
      <w:r>
        <w:rPr/>
        <w:t>亿元），主要为本集团收取</w:t>
      </w:r>
      <w:r>
        <w:rPr>
          <w:w w:val="99"/>
        </w:rPr>
        <w:t> </w:t>
      </w:r>
      <w:r>
        <w:rPr/>
        <w:t>的押金和保证金，因交易双方仍继续发生业务往来，故此项账款尚未完全结清。</w:t>
      </w:r>
    </w:p>
    <w:p>
      <w:pPr>
        <w:spacing w:line="240" w:lineRule="auto" w:before="5"/>
        <w:rPr>
          <w:rFonts w:ascii="宋体" w:hAnsi="宋体" w:cs="宋体" w:eastAsia="宋体" w:hint="default"/>
          <w:sz w:val="19"/>
          <w:szCs w:val="19"/>
        </w:rPr>
      </w:pPr>
    </w:p>
    <w:p>
      <w:pPr>
        <w:pStyle w:val="BodyText"/>
        <w:spacing w:line="286" w:lineRule="exact"/>
        <w:ind w:left="550" w:right="112" w:hanging="448"/>
        <w:jc w:val="both"/>
      </w:pPr>
      <w:r>
        <w:rPr>
          <w:rFonts w:ascii="Arial" w:hAnsi="Arial" w:cs="Arial" w:eastAsia="Arial" w:hint="default"/>
        </w:rPr>
        <w:t>(d)</w:t>
      </w:r>
      <w:r>
        <w:rPr>
          <w:rFonts w:ascii="Arial" w:hAnsi="Arial" w:cs="Arial" w:eastAsia="Arial" w:hint="default"/>
          <w:spacing w:val="53"/>
        </w:rPr>
        <w:t> </w:t>
      </w:r>
      <w:r>
        <w:rPr/>
        <w:t>于</w:t>
      </w:r>
      <w:r>
        <w:rPr>
          <w:spacing w:val="-42"/>
        </w:rPr>
        <w:t> </w:t>
      </w:r>
      <w:r>
        <w:rPr>
          <w:rFonts w:ascii="Arial" w:hAnsi="Arial" w:cs="Arial" w:eastAsia="Arial" w:hint="default"/>
        </w:rPr>
        <w:t>2012</w:t>
      </w:r>
      <w:r>
        <w:rPr>
          <w:rFonts w:ascii="Arial" w:hAnsi="Arial" w:cs="Arial" w:eastAsia="Arial" w:hint="default"/>
          <w:spacing w:val="8"/>
        </w:rPr>
        <w:t> </w:t>
      </w:r>
      <w:r>
        <w:rPr/>
        <w:t>年</w:t>
      </w:r>
      <w:r>
        <w:rPr>
          <w:spacing w:val="-42"/>
        </w:rPr>
        <w:t> </w:t>
      </w:r>
      <w:r>
        <w:rPr>
          <w:rFonts w:ascii="Arial" w:hAnsi="Arial" w:cs="Arial" w:eastAsia="Arial" w:hint="default"/>
        </w:rPr>
        <w:t>12</w:t>
      </w:r>
      <w:r>
        <w:rPr>
          <w:rFonts w:ascii="Arial" w:hAnsi="Arial" w:cs="Arial" w:eastAsia="Arial" w:hint="default"/>
          <w:spacing w:val="7"/>
        </w:rPr>
        <w:t> </w:t>
      </w:r>
      <w:r>
        <w:rPr/>
        <w:t>月</w:t>
      </w:r>
      <w:r>
        <w:rPr>
          <w:spacing w:val="-42"/>
        </w:rPr>
        <w:t> </w:t>
      </w:r>
      <w:r>
        <w:rPr>
          <w:rFonts w:ascii="Arial" w:hAnsi="Arial" w:cs="Arial" w:eastAsia="Arial" w:hint="default"/>
        </w:rPr>
        <w:t>31</w:t>
      </w:r>
      <w:r>
        <w:rPr>
          <w:rFonts w:ascii="Arial" w:hAnsi="Arial" w:cs="Arial" w:eastAsia="Arial" w:hint="default"/>
          <w:spacing w:val="7"/>
        </w:rPr>
        <w:t> </w:t>
      </w:r>
      <w:r>
        <w:rPr/>
        <w:t>日，本集团其他应付款中以外币计价的余额并不重大（</w:t>
      </w:r>
      <w:r>
        <w:rPr>
          <w:rFonts w:ascii="Arial" w:hAnsi="Arial" w:cs="Arial" w:eastAsia="Arial" w:hint="default"/>
        </w:rPr>
        <w:t>2011</w:t>
      </w:r>
      <w:r>
        <w:rPr>
          <w:rFonts w:ascii="Arial" w:hAnsi="Arial" w:cs="Arial" w:eastAsia="Arial" w:hint="default"/>
          <w:spacing w:val="9"/>
        </w:rPr>
        <w:t> </w:t>
      </w:r>
      <w:r>
        <w:rPr/>
        <w:t>年</w:t>
      </w:r>
      <w:r>
        <w:rPr>
          <w:spacing w:val="-42"/>
        </w:rPr>
        <w:t> </w:t>
      </w:r>
      <w:r>
        <w:rPr>
          <w:rFonts w:ascii="Arial" w:hAnsi="Arial" w:cs="Arial" w:eastAsia="Arial" w:hint="default"/>
        </w:rPr>
        <w:t>12</w:t>
      </w:r>
      <w:r>
        <w:rPr>
          <w:rFonts w:ascii="Arial" w:hAnsi="Arial" w:cs="Arial" w:eastAsia="Arial" w:hint="default"/>
          <w:spacing w:val="7"/>
        </w:rPr>
        <w:t> </w:t>
      </w:r>
      <w:r>
        <w:rPr/>
        <w:t>月</w:t>
      </w:r>
      <w:r>
        <w:rPr>
          <w:spacing w:val="-42"/>
        </w:rPr>
        <w:t> </w:t>
      </w:r>
      <w:r>
        <w:rPr>
          <w:rFonts w:ascii="Arial" w:hAnsi="Arial" w:cs="Arial" w:eastAsia="Arial" w:hint="default"/>
        </w:rPr>
        <w:t>31</w:t>
      </w:r>
      <w:r>
        <w:rPr>
          <w:rFonts w:ascii="Arial" w:hAnsi="Arial" w:cs="Arial" w:eastAsia="Arial" w:hint="default"/>
          <w:spacing w:val="-1"/>
          <w:w w:val="99"/>
        </w:rPr>
        <w:t> </w:t>
      </w:r>
      <w:r>
        <w:rPr>
          <w:spacing w:val="-4"/>
        </w:rPr>
        <w:t>日：除应付中国网通（</w:t>
      </w:r>
      <w:r>
        <w:rPr>
          <w:rFonts w:ascii="Arial" w:hAnsi="Arial" w:cs="Arial" w:eastAsia="Arial" w:hint="default"/>
          <w:spacing w:val="-4"/>
        </w:rPr>
        <w:t>BVI</w:t>
      </w:r>
      <w:r>
        <w:rPr>
          <w:spacing w:val="-4"/>
        </w:rPr>
        <w:t>）有限公司（“网通</w:t>
      </w:r>
      <w:r>
        <w:rPr>
          <w:spacing w:val="-53"/>
        </w:rPr>
        <w:t> </w:t>
      </w:r>
      <w:r>
        <w:rPr>
          <w:rFonts w:ascii="Arial" w:hAnsi="Arial" w:cs="Arial" w:eastAsia="Arial" w:hint="default"/>
          <w:spacing w:val="-4"/>
        </w:rPr>
        <w:t>BVI</w:t>
      </w:r>
      <w:r>
        <w:rPr>
          <w:spacing w:val="-4"/>
        </w:rPr>
        <w:t>”）以及联通集团</w:t>
      </w:r>
      <w:r>
        <w:rPr>
          <w:spacing w:val="-54"/>
        </w:rPr>
        <w:t> </w:t>
      </w:r>
      <w:r>
        <w:rPr>
          <w:rFonts w:ascii="Arial" w:hAnsi="Arial" w:cs="Arial" w:eastAsia="Arial" w:hint="default"/>
        </w:rPr>
        <w:t>BVI</w:t>
      </w:r>
      <w:r>
        <w:rPr>
          <w:rFonts w:ascii="Arial" w:hAnsi="Arial" w:cs="Arial" w:eastAsia="Arial" w:hint="default"/>
          <w:spacing w:val="-5"/>
        </w:rPr>
        <w:t> </w:t>
      </w:r>
      <w:r>
        <w:rPr/>
        <w:t>公司的关联公司借款</w:t>
      </w:r>
      <w:r>
        <w:rPr>
          <w:w w:val="99"/>
        </w:rPr>
        <w:t> </w:t>
      </w:r>
      <w:r>
        <w:rPr/>
        <w:t>本金及利息约人民币</w:t>
      </w:r>
      <w:r>
        <w:rPr>
          <w:spacing w:val="-61"/>
        </w:rPr>
        <w:t> </w:t>
      </w:r>
      <w:r>
        <w:rPr>
          <w:rFonts w:ascii="Arial" w:hAnsi="Arial" w:cs="Arial" w:eastAsia="Arial" w:hint="default"/>
        </w:rPr>
        <w:t>22.11</w:t>
      </w:r>
      <w:r>
        <w:rPr>
          <w:rFonts w:ascii="Arial" w:hAnsi="Arial" w:cs="Arial" w:eastAsia="Arial" w:hint="default"/>
          <w:spacing w:val="-13"/>
        </w:rPr>
        <w:t> </w:t>
      </w:r>
      <w:r>
        <w:rPr/>
        <w:t>亿元以港币计价外，无重大以外币计价的余额）。</w:t>
      </w:r>
    </w:p>
    <w:p>
      <w:pPr>
        <w:spacing w:line="240" w:lineRule="auto" w:before="1"/>
        <w:rPr>
          <w:rFonts w:ascii="宋体" w:hAnsi="宋体" w:cs="宋体" w:eastAsia="宋体" w:hint="default"/>
          <w:sz w:val="17"/>
          <w:szCs w:val="17"/>
        </w:rPr>
      </w:pPr>
    </w:p>
    <w:p>
      <w:pPr>
        <w:pStyle w:val="BodyText"/>
        <w:spacing w:line="240" w:lineRule="auto"/>
        <w:ind w:left="102" w:right="0"/>
        <w:jc w:val="left"/>
      </w:pPr>
      <w:r>
        <w:rPr>
          <w:rFonts w:ascii="Arial" w:hAnsi="Arial" w:cs="Arial" w:eastAsia="Arial" w:hint="default"/>
        </w:rPr>
        <w:t>26</w:t>
      </w:r>
      <w:r>
        <w:rPr/>
        <w:t>、一年内到期的非流动负债</w:t>
      </w:r>
    </w:p>
    <w:p>
      <w:pPr>
        <w:spacing w:line="240" w:lineRule="auto" w:before="2"/>
        <w:rPr>
          <w:rFonts w:ascii="宋体" w:hAnsi="宋体" w:cs="宋体" w:eastAsia="宋体" w:hint="default"/>
          <w:sz w:val="23"/>
          <w:szCs w:val="23"/>
        </w:rPr>
      </w:pPr>
    </w:p>
    <w:tbl>
      <w:tblPr>
        <w:tblW w:w="0" w:type="auto"/>
        <w:jc w:val="left"/>
        <w:tblInd w:w="362" w:type="dxa"/>
        <w:tblLayout w:type="fixed"/>
        <w:tblCellMar>
          <w:top w:w="0" w:type="dxa"/>
          <w:left w:w="0" w:type="dxa"/>
          <w:bottom w:w="0" w:type="dxa"/>
          <w:right w:w="0" w:type="dxa"/>
        </w:tblCellMar>
        <w:tblLook w:val="01E0"/>
      </w:tblPr>
      <w:tblGrid>
        <w:gridCol w:w="4434"/>
        <w:gridCol w:w="2308"/>
        <w:gridCol w:w="127"/>
        <w:gridCol w:w="2290"/>
      </w:tblGrid>
      <w:tr>
        <w:trPr>
          <w:trHeight w:val="260" w:hRule="exact"/>
        </w:trPr>
        <w:tc>
          <w:tcPr>
            <w:tcW w:w="4434" w:type="dxa"/>
            <w:tcBorders>
              <w:top w:val="nil" w:sz="6" w:space="0" w:color="auto"/>
              <w:left w:val="nil" w:sz="6" w:space="0" w:color="auto"/>
              <w:bottom w:val="nil" w:sz="6" w:space="0" w:color="auto"/>
              <w:right w:val="nil" w:sz="6" w:space="0" w:color="auto"/>
            </w:tcBorders>
          </w:tcPr>
          <w:p>
            <w:pPr/>
          </w:p>
        </w:tc>
        <w:tc>
          <w:tcPr>
            <w:tcW w:w="2308" w:type="dxa"/>
            <w:tcBorders>
              <w:top w:val="nil" w:sz="6" w:space="0" w:color="auto"/>
              <w:left w:val="nil" w:sz="6" w:space="0" w:color="auto"/>
              <w:bottom w:val="single" w:sz="6" w:space="0" w:color="000000"/>
              <w:right w:val="nil" w:sz="6" w:space="0" w:color="auto"/>
            </w:tcBorders>
          </w:tcPr>
          <w:p>
            <w:pPr>
              <w:pStyle w:val="TableParagraph"/>
              <w:spacing w:line="235" w:lineRule="exact"/>
              <w:ind w:right="54"/>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27" w:type="dxa"/>
            <w:tcBorders>
              <w:top w:val="nil" w:sz="6" w:space="0" w:color="auto"/>
              <w:left w:val="nil" w:sz="6" w:space="0" w:color="auto"/>
              <w:bottom w:val="nil" w:sz="6" w:space="0" w:color="auto"/>
              <w:right w:val="nil" w:sz="6" w:space="0" w:color="auto"/>
            </w:tcBorders>
          </w:tcPr>
          <w:p>
            <w:pPr/>
          </w:p>
        </w:tc>
        <w:tc>
          <w:tcPr>
            <w:tcW w:w="2290" w:type="dxa"/>
            <w:tcBorders>
              <w:top w:val="nil" w:sz="6" w:space="0" w:color="auto"/>
              <w:left w:val="nil" w:sz="6" w:space="0" w:color="auto"/>
              <w:bottom w:val="single" w:sz="6" w:space="0" w:color="000000"/>
              <w:right w:val="nil" w:sz="6" w:space="0" w:color="auto"/>
            </w:tcBorders>
          </w:tcPr>
          <w:p>
            <w:pPr>
              <w:pStyle w:val="TableParagraph"/>
              <w:spacing w:line="235" w:lineRule="exact"/>
              <w:ind w:left="319"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60" w:hRule="exact"/>
        </w:trPr>
        <w:tc>
          <w:tcPr>
            <w:tcW w:w="44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一年内到期的长期借款（附注五</w:t>
            </w:r>
            <w:r>
              <w:rPr>
                <w:rFonts w:ascii="Arial" w:hAnsi="Arial" w:cs="Arial" w:eastAsia="Arial" w:hint="default"/>
                <w:sz w:val="22"/>
                <w:szCs w:val="22"/>
              </w:rPr>
              <w:t>(27)</w:t>
            </w:r>
            <w:r>
              <w:rPr>
                <w:rFonts w:ascii="宋体" w:hAnsi="宋体" w:cs="宋体" w:eastAsia="宋体" w:hint="default"/>
                <w:sz w:val="22"/>
                <w:szCs w:val="22"/>
              </w:rPr>
              <w:t>）</w:t>
            </w:r>
          </w:p>
        </w:tc>
        <w:tc>
          <w:tcPr>
            <w:tcW w:w="2308"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66"/>
              <w:jc w:val="right"/>
              <w:rPr>
                <w:rFonts w:ascii="Arial" w:hAnsi="Arial" w:cs="Arial" w:eastAsia="Arial" w:hint="default"/>
                <w:sz w:val="22"/>
                <w:szCs w:val="22"/>
              </w:rPr>
            </w:pPr>
            <w:r>
              <w:rPr>
                <w:rFonts w:ascii="Arial"/>
                <w:w w:val="95"/>
                <w:sz w:val="22"/>
              </w:rPr>
              <w:t>850,138,914</w:t>
            </w:r>
            <w:r>
              <w:rPr>
                <w:rFonts w:ascii="Arial"/>
                <w:sz w:val="22"/>
              </w:rPr>
            </w:r>
          </w:p>
        </w:tc>
        <w:tc>
          <w:tcPr>
            <w:tcW w:w="127" w:type="dxa"/>
            <w:tcBorders>
              <w:top w:val="nil" w:sz="6" w:space="0" w:color="auto"/>
              <w:left w:val="nil" w:sz="6" w:space="0" w:color="auto"/>
              <w:bottom w:val="nil" w:sz="6" w:space="0" w:color="auto"/>
              <w:right w:val="nil" w:sz="6" w:space="0" w:color="auto"/>
            </w:tcBorders>
          </w:tcPr>
          <w:p>
            <w:pPr/>
          </w:p>
        </w:tc>
        <w:tc>
          <w:tcPr>
            <w:tcW w:w="2290"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81"/>
              <w:jc w:val="right"/>
              <w:rPr>
                <w:rFonts w:ascii="Arial" w:hAnsi="Arial" w:cs="Arial" w:eastAsia="Arial" w:hint="default"/>
                <w:sz w:val="22"/>
                <w:szCs w:val="22"/>
              </w:rPr>
            </w:pPr>
            <w:r>
              <w:rPr>
                <w:rFonts w:ascii="Arial"/>
                <w:w w:val="95"/>
                <w:sz w:val="22"/>
              </w:rPr>
              <w:t>49,768,986</w:t>
            </w:r>
            <w:r>
              <w:rPr>
                <w:rFonts w:ascii="Arial"/>
                <w:sz w:val="22"/>
              </w:rPr>
            </w:r>
          </w:p>
        </w:tc>
      </w:tr>
      <w:tr>
        <w:trPr>
          <w:trHeight w:val="285" w:hRule="exact"/>
        </w:trPr>
        <w:tc>
          <w:tcPr>
            <w:tcW w:w="4434"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z w:val="22"/>
                <w:szCs w:val="22"/>
              </w:rPr>
              <w:t>一年内到期的应付债券（附注五</w:t>
            </w:r>
            <w:r>
              <w:rPr>
                <w:rFonts w:ascii="Arial" w:hAnsi="Arial" w:cs="Arial" w:eastAsia="Arial" w:hint="default"/>
                <w:sz w:val="22"/>
                <w:szCs w:val="22"/>
              </w:rPr>
              <w:t>(28)</w:t>
            </w:r>
            <w:r>
              <w:rPr>
                <w:rFonts w:ascii="宋体" w:hAnsi="宋体" w:cs="宋体" w:eastAsia="宋体" w:hint="default"/>
                <w:sz w:val="22"/>
                <w:szCs w:val="22"/>
              </w:rPr>
              <w:t>）</w:t>
            </w:r>
          </w:p>
        </w:tc>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8"/>
              <w:jc w:val="right"/>
              <w:rPr>
                <w:rFonts w:ascii="Arial" w:hAnsi="Arial" w:cs="Arial" w:eastAsia="Arial" w:hint="default"/>
                <w:sz w:val="22"/>
                <w:szCs w:val="22"/>
              </w:rPr>
            </w:pPr>
            <w:r>
              <w:rPr>
                <w:rFonts w:ascii="Arial"/>
                <w:spacing w:val="-1"/>
                <w:sz w:val="22"/>
              </w:rPr>
              <w:t>31,215,373,489</w:t>
            </w:r>
          </w:p>
        </w:tc>
        <w:tc>
          <w:tcPr>
            <w:tcW w:w="127" w:type="dxa"/>
            <w:tcBorders>
              <w:top w:val="nil" w:sz="6" w:space="0" w:color="auto"/>
              <w:left w:val="nil" w:sz="6" w:space="0" w:color="auto"/>
              <w:bottom w:val="nil" w:sz="6" w:space="0" w:color="auto"/>
              <w:right w:val="nil" w:sz="6" w:space="0" w:color="auto"/>
            </w:tcBorders>
          </w:tcPr>
          <w:p>
            <w:pP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2"/>
              <w:jc w:val="right"/>
              <w:rPr>
                <w:rFonts w:ascii="Arial" w:hAnsi="Arial" w:cs="Arial" w:eastAsia="Arial" w:hint="default"/>
                <w:sz w:val="22"/>
                <w:szCs w:val="22"/>
              </w:rPr>
            </w:pPr>
            <w:r>
              <w:rPr>
                <w:rFonts w:ascii="Arial"/>
                <w:w w:val="99"/>
                <w:sz w:val="22"/>
              </w:rPr>
              <w:t>-</w:t>
            </w:r>
            <w:r>
              <w:rPr>
                <w:rFonts w:ascii="Arial"/>
                <w:sz w:val="22"/>
              </w:rPr>
            </w:r>
          </w:p>
        </w:tc>
      </w:tr>
      <w:tr>
        <w:trPr>
          <w:trHeight w:val="440" w:hRule="exact"/>
        </w:trPr>
        <w:tc>
          <w:tcPr>
            <w:tcW w:w="4434"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z w:val="22"/>
                <w:szCs w:val="22"/>
              </w:rPr>
              <w:t>一年内到期的长期应付款（附注五</w:t>
            </w:r>
            <w:r>
              <w:rPr>
                <w:rFonts w:ascii="Arial" w:hAnsi="Arial" w:cs="Arial" w:eastAsia="Arial" w:hint="default"/>
                <w:sz w:val="22"/>
                <w:szCs w:val="22"/>
              </w:rPr>
              <w:t>(29)</w:t>
            </w:r>
            <w:r>
              <w:rPr>
                <w:rFonts w:ascii="宋体" w:hAnsi="宋体" w:cs="宋体" w:eastAsia="宋体" w:hint="default"/>
                <w:sz w:val="22"/>
                <w:szCs w:val="22"/>
              </w:rPr>
              <w:t>）</w:t>
            </w:r>
          </w:p>
        </w:tc>
        <w:tc>
          <w:tcPr>
            <w:tcW w:w="2308" w:type="dxa"/>
            <w:tcBorders>
              <w:top w:val="nil" w:sz="6" w:space="0" w:color="auto"/>
              <w:left w:val="nil" w:sz="6" w:space="0" w:color="auto"/>
              <w:bottom w:val="nil" w:sz="6" w:space="0" w:color="auto"/>
              <w:right w:val="nil" w:sz="6" w:space="0" w:color="auto"/>
            </w:tcBorders>
          </w:tcPr>
          <w:p>
            <w:pPr>
              <w:pStyle w:val="TableParagraph"/>
              <w:tabs>
                <w:tab w:pos="1015" w:val="left" w:leader="none"/>
                <w:tab w:pos="2307"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127,508,142</w:t>
            </w:r>
            <w:r>
              <w:rPr>
                <w:rFonts w:ascii="Arial"/>
                <w:sz w:val="22"/>
                <w:u w:val="single" w:color="000000"/>
              </w:rPr>
              <w:tab/>
            </w:r>
            <w:r>
              <w:rPr>
                <w:rFonts w:ascii="Arial"/>
                <w:sz w:val="22"/>
              </w:rPr>
            </w:r>
          </w:p>
        </w:tc>
        <w:tc>
          <w:tcPr>
            <w:tcW w:w="127" w:type="dxa"/>
            <w:tcBorders>
              <w:top w:val="nil" w:sz="6" w:space="0" w:color="auto"/>
              <w:left w:val="nil" w:sz="6" w:space="0" w:color="auto"/>
              <w:bottom w:val="nil" w:sz="6" w:space="0" w:color="auto"/>
              <w:right w:val="nil" w:sz="6" w:space="0" w:color="auto"/>
            </w:tcBorders>
          </w:tcPr>
          <w:p>
            <w:pPr/>
          </w:p>
        </w:tc>
        <w:tc>
          <w:tcPr>
            <w:tcW w:w="2290" w:type="dxa"/>
            <w:tcBorders>
              <w:top w:val="nil" w:sz="6" w:space="0" w:color="auto"/>
              <w:left w:val="nil" w:sz="6" w:space="0" w:color="auto"/>
              <w:bottom w:val="nil" w:sz="6" w:space="0" w:color="auto"/>
              <w:right w:val="nil" w:sz="6" w:space="0" w:color="auto"/>
            </w:tcBorders>
          </w:tcPr>
          <w:p>
            <w:pPr>
              <w:pStyle w:val="TableParagraph"/>
              <w:tabs>
                <w:tab w:pos="1096" w:val="left" w:leader="none"/>
                <w:tab w:pos="2282"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78,150,630</w:t>
            </w:r>
            <w:r>
              <w:rPr>
                <w:rFonts w:ascii="Arial"/>
                <w:sz w:val="22"/>
                <w:u w:val="single" w:color="000000"/>
              </w:rPr>
              <w:tab/>
            </w:r>
            <w:r>
              <w:rPr>
                <w:rFonts w:ascii="Arial"/>
                <w:sz w:val="22"/>
              </w:rPr>
            </w:r>
          </w:p>
        </w:tc>
      </w:tr>
      <w:tr>
        <w:trPr>
          <w:trHeight w:val="451" w:hRule="exact"/>
        </w:trPr>
        <w:tc>
          <w:tcPr>
            <w:tcW w:w="4434"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08" w:type="dxa"/>
            <w:tcBorders>
              <w:top w:val="nil" w:sz="6" w:space="0" w:color="auto"/>
              <w:left w:val="nil" w:sz="6" w:space="0" w:color="auto"/>
              <w:bottom w:val="single" w:sz="17" w:space="0" w:color="000000"/>
              <w:right w:val="nil" w:sz="6" w:space="0" w:color="auto"/>
            </w:tcBorders>
          </w:tcPr>
          <w:p>
            <w:pPr>
              <w:pStyle w:val="TableParagraph"/>
              <w:spacing w:line="240" w:lineRule="auto" w:before="172"/>
              <w:ind w:right="68"/>
              <w:jc w:val="right"/>
              <w:rPr>
                <w:rFonts w:ascii="Arial" w:hAnsi="Arial" w:cs="Arial" w:eastAsia="Arial" w:hint="default"/>
                <w:sz w:val="22"/>
                <w:szCs w:val="22"/>
              </w:rPr>
            </w:pPr>
            <w:r>
              <w:rPr>
                <w:rFonts w:ascii="Arial"/>
                <w:spacing w:val="-1"/>
                <w:sz w:val="22"/>
              </w:rPr>
              <w:t>32,193,020,545</w:t>
            </w:r>
          </w:p>
        </w:tc>
        <w:tc>
          <w:tcPr>
            <w:tcW w:w="127" w:type="dxa"/>
            <w:tcBorders>
              <w:top w:val="nil" w:sz="6" w:space="0" w:color="auto"/>
              <w:left w:val="nil" w:sz="6" w:space="0" w:color="auto"/>
              <w:bottom w:val="nil" w:sz="6" w:space="0" w:color="auto"/>
              <w:right w:val="nil" w:sz="6" w:space="0" w:color="auto"/>
            </w:tcBorders>
          </w:tcPr>
          <w:p>
            <w:pPr/>
          </w:p>
        </w:tc>
        <w:tc>
          <w:tcPr>
            <w:tcW w:w="2290" w:type="dxa"/>
            <w:tcBorders>
              <w:top w:val="nil" w:sz="6" w:space="0" w:color="auto"/>
              <w:left w:val="nil" w:sz="6" w:space="0" w:color="auto"/>
              <w:bottom w:val="single" w:sz="17" w:space="0" w:color="000000"/>
              <w:right w:val="nil" w:sz="6" w:space="0" w:color="auto"/>
            </w:tcBorders>
          </w:tcPr>
          <w:p>
            <w:pPr>
              <w:pStyle w:val="TableParagraph"/>
              <w:spacing w:line="240" w:lineRule="auto" w:before="172"/>
              <w:ind w:right="81"/>
              <w:jc w:val="right"/>
              <w:rPr>
                <w:rFonts w:ascii="Arial" w:hAnsi="Arial" w:cs="Arial" w:eastAsia="Arial" w:hint="default"/>
                <w:sz w:val="22"/>
                <w:szCs w:val="22"/>
              </w:rPr>
            </w:pPr>
            <w:r>
              <w:rPr>
                <w:rFonts w:ascii="Arial"/>
                <w:w w:val="95"/>
                <w:sz w:val="22"/>
              </w:rPr>
              <w:t>127,919,616</w:t>
            </w:r>
            <w:r>
              <w:rPr>
                <w:rFonts w:ascii="Arial"/>
                <w:sz w:val="22"/>
              </w:rPr>
            </w:r>
          </w:p>
        </w:tc>
      </w:tr>
    </w:tbl>
    <w:p>
      <w:pPr>
        <w:spacing w:after="0" w:line="240" w:lineRule="auto"/>
        <w:jc w:val="right"/>
        <w:rPr>
          <w:rFonts w:ascii="Arial" w:hAnsi="Arial" w:cs="Arial" w:eastAsia="Arial" w:hint="default"/>
          <w:sz w:val="22"/>
          <w:szCs w:val="22"/>
        </w:rPr>
        <w:sectPr>
          <w:headerReference w:type="default" r:id="rId106"/>
          <w:pgSz w:w="11910" w:h="16840"/>
          <w:pgMar w:header="1184" w:footer="457" w:top="3040" w:bottom="640" w:left="1280" w:right="920"/>
        </w:sectPr>
      </w:pPr>
    </w:p>
    <w:p>
      <w:pPr>
        <w:spacing w:line="240" w:lineRule="auto" w:before="12"/>
        <w:rPr>
          <w:rFonts w:ascii="宋体" w:hAnsi="宋体" w:cs="宋体" w:eastAsia="宋体" w:hint="default"/>
          <w:sz w:val="14"/>
          <w:szCs w:val="14"/>
        </w:rPr>
      </w:pPr>
    </w:p>
    <w:p>
      <w:pPr>
        <w:pStyle w:val="BodyText"/>
        <w:spacing w:line="427" w:lineRule="auto" w:before="31"/>
        <w:ind w:left="102" w:right="6070"/>
        <w:jc w:val="left"/>
      </w:pPr>
      <w:r>
        <w:rPr>
          <w:rFonts w:ascii="Arial" w:hAnsi="Arial" w:cs="Arial" w:eastAsia="Arial" w:hint="default"/>
          <w:w w:val="95"/>
        </w:rPr>
        <w:t>26</w:t>
      </w:r>
      <w:r>
        <w:rPr>
          <w:w w:val="95"/>
        </w:rPr>
        <w:t>、一年内到期的非流动负债（续）</w:t>
      </w:r>
      <w:r>
        <w:rPr>
          <w:spacing w:val="66"/>
          <w:w w:val="95"/>
        </w:rPr>
        <w:t> </w:t>
      </w:r>
      <w:r>
        <w:rPr>
          <w:rFonts w:ascii="Arial" w:hAnsi="Arial" w:cs="Arial" w:eastAsia="Arial" w:hint="default"/>
        </w:rPr>
        <w:t>(a) </w:t>
      </w:r>
      <w:r>
        <w:rPr>
          <w:rFonts w:ascii="Arial" w:hAnsi="Arial" w:cs="Arial" w:eastAsia="Arial" w:hint="default"/>
          <w:spacing w:val="22"/>
        </w:rPr>
        <w:t> </w:t>
      </w:r>
      <w:r>
        <w:rPr/>
        <w:t>一年内到期的长期借款</w:t>
      </w:r>
    </w:p>
    <w:p>
      <w:pPr>
        <w:spacing w:line="240" w:lineRule="auto" w:before="6"/>
        <w:rPr>
          <w:rFonts w:ascii="宋体" w:hAnsi="宋体" w:cs="宋体" w:eastAsia="宋体" w:hint="default"/>
          <w:sz w:val="8"/>
          <w:szCs w:val="8"/>
        </w:rPr>
      </w:pPr>
    </w:p>
    <w:tbl>
      <w:tblPr>
        <w:tblW w:w="0" w:type="auto"/>
        <w:jc w:val="left"/>
        <w:tblInd w:w="362" w:type="dxa"/>
        <w:tblLayout w:type="fixed"/>
        <w:tblCellMar>
          <w:top w:w="0" w:type="dxa"/>
          <w:left w:w="0" w:type="dxa"/>
          <w:bottom w:w="0" w:type="dxa"/>
          <w:right w:w="0" w:type="dxa"/>
        </w:tblCellMar>
        <w:tblLook w:val="01E0"/>
      </w:tblPr>
      <w:tblGrid>
        <w:gridCol w:w="4430"/>
        <w:gridCol w:w="2310"/>
        <w:gridCol w:w="126"/>
        <w:gridCol w:w="2292"/>
      </w:tblGrid>
      <w:tr>
        <w:trPr>
          <w:trHeight w:val="261" w:hRule="exact"/>
        </w:trPr>
        <w:tc>
          <w:tcPr>
            <w:tcW w:w="4430" w:type="dxa"/>
            <w:tcBorders>
              <w:top w:val="nil" w:sz="6" w:space="0" w:color="auto"/>
              <w:left w:val="nil" w:sz="6" w:space="0" w:color="auto"/>
              <w:bottom w:val="nil" w:sz="6" w:space="0" w:color="auto"/>
              <w:right w:val="nil" w:sz="6" w:space="0" w:color="auto"/>
            </w:tcBorders>
          </w:tcPr>
          <w:p>
            <w:pPr/>
          </w:p>
        </w:tc>
        <w:tc>
          <w:tcPr>
            <w:tcW w:w="2310" w:type="dxa"/>
            <w:tcBorders>
              <w:top w:val="nil" w:sz="6" w:space="0" w:color="auto"/>
              <w:left w:val="nil" w:sz="6" w:space="0" w:color="auto"/>
              <w:bottom w:val="single" w:sz="6" w:space="0" w:color="000000"/>
              <w:right w:val="nil" w:sz="6" w:space="0" w:color="auto"/>
            </w:tcBorders>
          </w:tcPr>
          <w:p>
            <w:pPr>
              <w:pStyle w:val="TableParagraph"/>
              <w:spacing w:line="235" w:lineRule="exact"/>
              <w:ind w:right="55"/>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26" w:type="dxa"/>
            <w:tcBorders>
              <w:top w:val="nil" w:sz="6" w:space="0" w:color="auto"/>
              <w:left w:val="nil" w:sz="6" w:space="0" w:color="auto"/>
              <w:bottom w:val="nil" w:sz="6" w:space="0" w:color="auto"/>
              <w:right w:val="nil" w:sz="6" w:space="0" w:color="auto"/>
            </w:tcBorders>
          </w:tcPr>
          <w:p>
            <w:pPr/>
          </w:p>
        </w:tc>
        <w:tc>
          <w:tcPr>
            <w:tcW w:w="2292" w:type="dxa"/>
            <w:tcBorders>
              <w:top w:val="nil" w:sz="6" w:space="0" w:color="auto"/>
              <w:left w:val="nil" w:sz="6" w:space="0" w:color="auto"/>
              <w:bottom w:val="single" w:sz="6" w:space="0" w:color="000000"/>
              <w:right w:val="nil" w:sz="6" w:space="0" w:color="auto"/>
            </w:tcBorders>
          </w:tcPr>
          <w:p>
            <w:pPr>
              <w:pStyle w:val="TableParagraph"/>
              <w:spacing w:line="235" w:lineRule="exact"/>
              <w:ind w:left="320"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8" w:hRule="exact"/>
        </w:trPr>
        <w:tc>
          <w:tcPr>
            <w:tcW w:w="443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保证借款</w:t>
            </w:r>
          </w:p>
        </w:tc>
        <w:tc>
          <w:tcPr>
            <w:tcW w:w="231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6"/>
              <w:jc w:val="right"/>
              <w:rPr>
                <w:rFonts w:ascii="Arial" w:hAnsi="Arial" w:cs="Arial" w:eastAsia="Arial" w:hint="default"/>
                <w:sz w:val="22"/>
                <w:szCs w:val="22"/>
              </w:rPr>
            </w:pPr>
            <w:r>
              <w:rPr>
                <w:rFonts w:ascii="Arial"/>
                <w:w w:val="95"/>
                <w:sz w:val="22"/>
              </w:rPr>
              <w:t>7,258,012</w:t>
            </w:r>
            <w:r>
              <w:rPr>
                <w:rFonts w:ascii="Arial"/>
                <w:sz w:val="22"/>
              </w:rPr>
            </w:r>
          </w:p>
        </w:tc>
        <w:tc>
          <w:tcPr>
            <w:tcW w:w="126" w:type="dxa"/>
            <w:tcBorders>
              <w:top w:val="nil" w:sz="6" w:space="0" w:color="auto"/>
              <w:left w:val="nil" w:sz="6" w:space="0" w:color="auto"/>
              <w:bottom w:val="nil" w:sz="6" w:space="0" w:color="auto"/>
              <w:right w:val="nil" w:sz="6" w:space="0" w:color="auto"/>
            </w:tcBorders>
          </w:tcPr>
          <w:p>
            <w:pPr/>
          </w:p>
        </w:tc>
        <w:tc>
          <w:tcPr>
            <w:tcW w:w="229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9"/>
              <w:jc w:val="right"/>
              <w:rPr>
                <w:rFonts w:ascii="Arial" w:hAnsi="Arial" w:cs="Arial" w:eastAsia="Arial" w:hint="default"/>
                <w:sz w:val="22"/>
                <w:szCs w:val="22"/>
              </w:rPr>
            </w:pPr>
            <w:r>
              <w:rPr>
                <w:rFonts w:ascii="Arial"/>
                <w:w w:val="95"/>
                <w:sz w:val="22"/>
              </w:rPr>
              <w:t>7,350,102</w:t>
            </w:r>
            <w:r>
              <w:rPr>
                <w:rFonts w:ascii="Arial"/>
                <w:sz w:val="22"/>
              </w:rPr>
            </w:r>
          </w:p>
        </w:tc>
      </w:tr>
      <w:tr>
        <w:trPr>
          <w:trHeight w:val="419" w:hRule="exact"/>
        </w:trPr>
        <w:tc>
          <w:tcPr>
            <w:tcW w:w="4430"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信用借款</w:t>
            </w:r>
          </w:p>
        </w:tc>
        <w:tc>
          <w:tcPr>
            <w:tcW w:w="2310" w:type="dxa"/>
            <w:tcBorders>
              <w:top w:val="nil" w:sz="6" w:space="0" w:color="auto"/>
              <w:left w:val="nil" w:sz="6" w:space="0" w:color="auto"/>
              <w:bottom w:val="nil" w:sz="6" w:space="0" w:color="auto"/>
              <w:right w:val="nil" w:sz="6" w:space="0" w:color="auto"/>
            </w:tcBorders>
          </w:tcPr>
          <w:p>
            <w:pPr>
              <w:pStyle w:val="TableParagraph"/>
              <w:tabs>
                <w:tab w:pos="978" w:val="left" w:leader="none"/>
                <w:tab w:pos="2310"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842,880,902</w:t>
            </w:r>
            <w:r>
              <w:rPr>
                <w:rFonts w:ascii="Arial"/>
                <w:sz w:val="22"/>
                <w:u w:val="single" w:color="000000"/>
              </w:rPr>
              <w:tab/>
            </w:r>
            <w:r>
              <w:rPr>
                <w:rFonts w:ascii="Arial"/>
                <w:sz w:val="22"/>
              </w:rPr>
            </w:r>
          </w:p>
        </w:tc>
        <w:tc>
          <w:tcPr>
            <w:tcW w:w="126" w:type="dxa"/>
            <w:tcBorders>
              <w:top w:val="nil" w:sz="6" w:space="0" w:color="auto"/>
              <w:left w:val="nil" w:sz="6" w:space="0" w:color="auto"/>
              <w:bottom w:val="nil" w:sz="6" w:space="0" w:color="auto"/>
              <w:right w:val="nil" w:sz="6" w:space="0" w:color="auto"/>
            </w:tcBorders>
          </w:tcPr>
          <w:p>
            <w:pPr/>
          </w:p>
        </w:tc>
        <w:tc>
          <w:tcPr>
            <w:tcW w:w="2292" w:type="dxa"/>
            <w:tcBorders>
              <w:top w:val="nil" w:sz="6" w:space="0" w:color="auto"/>
              <w:left w:val="nil" w:sz="6" w:space="0" w:color="auto"/>
              <w:bottom w:val="nil" w:sz="6" w:space="0" w:color="auto"/>
              <w:right w:val="nil" w:sz="6" w:space="0" w:color="auto"/>
            </w:tcBorders>
          </w:tcPr>
          <w:p>
            <w:pPr>
              <w:pStyle w:val="TableParagraph"/>
              <w:tabs>
                <w:tab w:pos="1071" w:val="left" w:leader="none"/>
                <w:tab w:pos="2284"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42,418,884</w:t>
            </w:r>
            <w:r>
              <w:rPr>
                <w:rFonts w:ascii="Arial"/>
                <w:sz w:val="22"/>
                <w:u w:val="single" w:color="000000"/>
              </w:rPr>
              <w:tab/>
            </w:r>
            <w:r>
              <w:rPr>
                <w:rFonts w:ascii="Arial"/>
                <w:sz w:val="22"/>
              </w:rPr>
            </w:r>
          </w:p>
        </w:tc>
      </w:tr>
      <w:tr>
        <w:trPr>
          <w:trHeight w:val="430" w:hRule="exact"/>
        </w:trPr>
        <w:tc>
          <w:tcPr>
            <w:tcW w:w="443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10"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05"/>
              <w:jc w:val="right"/>
              <w:rPr>
                <w:rFonts w:ascii="Arial" w:hAnsi="Arial" w:cs="Arial" w:eastAsia="Arial" w:hint="default"/>
                <w:sz w:val="22"/>
                <w:szCs w:val="22"/>
              </w:rPr>
            </w:pPr>
            <w:r>
              <w:rPr>
                <w:rFonts w:ascii="Arial"/>
                <w:w w:val="95"/>
                <w:sz w:val="22"/>
              </w:rPr>
              <w:t>850,138,914</w:t>
            </w:r>
            <w:r>
              <w:rPr>
                <w:rFonts w:ascii="Arial"/>
                <w:sz w:val="22"/>
              </w:rPr>
            </w:r>
          </w:p>
        </w:tc>
        <w:tc>
          <w:tcPr>
            <w:tcW w:w="126" w:type="dxa"/>
            <w:tcBorders>
              <w:top w:val="nil" w:sz="6" w:space="0" w:color="auto"/>
              <w:left w:val="nil" w:sz="6" w:space="0" w:color="auto"/>
              <w:bottom w:val="nil" w:sz="6" w:space="0" w:color="auto"/>
              <w:right w:val="nil" w:sz="6" w:space="0" w:color="auto"/>
            </w:tcBorders>
          </w:tcPr>
          <w:p>
            <w:pPr/>
          </w:p>
        </w:tc>
        <w:tc>
          <w:tcPr>
            <w:tcW w:w="2292"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09"/>
              <w:jc w:val="right"/>
              <w:rPr>
                <w:rFonts w:ascii="Arial" w:hAnsi="Arial" w:cs="Arial" w:eastAsia="Arial" w:hint="default"/>
                <w:sz w:val="22"/>
                <w:szCs w:val="22"/>
              </w:rPr>
            </w:pPr>
            <w:r>
              <w:rPr>
                <w:rFonts w:ascii="Arial"/>
                <w:w w:val="95"/>
                <w:sz w:val="22"/>
              </w:rPr>
              <w:t>49,768,986</w:t>
            </w:r>
            <w:r>
              <w:rPr>
                <w:rFonts w:ascii="Arial"/>
                <w:sz w:val="22"/>
              </w:rPr>
            </w:r>
          </w:p>
        </w:tc>
      </w:tr>
    </w:tbl>
    <w:p>
      <w:pPr>
        <w:spacing w:line="240" w:lineRule="auto" w:before="2"/>
        <w:rPr>
          <w:rFonts w:ascii="宋体" w:hAnsi="宋体" w:cs="宋体" w:eastAsia="宋体" w:hint="default"/>
          <w:sz w:val="14"/>
          <w:szCs w:val="14"/>
        </w:rPr>
      </w:pPr>
    </w:p>
    <w:p>
      <w:pPr>
        <w:pStyle w:val="BodyText"/>
        <w:spacing w:line="240" w:lineRule="auto" w:before="31"/>
        <w:ind w:left="508" w:right="0"/>
        <w:jc w:val="left"/>
      </w:pPr>
      <w:r>
        <w:rPr/>
        <w:t>于</w:t>
      </w:r>
      <w:r>
        <w:rPr>
          <w:spacing w:val="-57"/>
        </w:rPr>
        <w:t> </w:t>
      </w:r>
      <w:r>
        <w:rPr>
          <w:rFonts w:ascii="Arial" w:hAnsi="Arial" w:cs="Arial" w:eastAsia="Arial" w:hint="default"/>
        </w:rPr>
        <w:t>2012</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日，本集团无已到期但尚未偿还的长期借款（</w:t>
      </w:r>
      <w:r>
        <w:rPr>
          <w:rFonts w:ascii="Arial" w:hAnsi="Arial" w:cs="Arial" w:eastAsia="Arial" w:hint="default"/>
        </w:rPr>
        <w:t>2011</w:t>
      </w:r>
      <w:r>
        <w:rPr>
          <w:rFonts w:ascii="Arial" w:hAnsi="Arial" w:cs="Arial" w:eastAsia="Arial" w:hint="default"/>
          <w:spacing w:val="-7"/>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日：无）。</w:t>
      </w:r>
    </w:p>
    <w:p>
      <w:pPr>
        <w:spacing w:line="240" w:lineRule="auto" w:before="13"/>
        <w:rPr>
          <w:rFonts w:ascii="宋体" w:hAnsi="宋体" w:cs="宋体" w:eastAsia="宋体" w:hint="default"/>
          <w:sz w:val="17"/>
          <w:szCs w:val="17"/>
        </w:rPr>
      </w:pPr>
    </w:p>
    <w:p>
      <w:pPr>
        <w:pStyle w:val="BodyText"/>
        <w:spacing w:line="240" w:lineRule="auto"/>
        <w:ind w:left="508" w:right="0"/>
        <w:jc w:val="left"/>
      </w:pPr>
      <w:r>
        <w:rPr/>
        <w:t>于</w:t>
      </w:r>
      <w:r>
        <w:rPr>
          <w:spacing w:val="-57"/>
        </w:rPr>
        <w:t> </w:t>
      </w:r>
      <w:r>
        <w:rPr>
          <w:rFonts w:ascii="Arial" w:hAnsi="Arial" w:cs="Arial" w:eastAsia="Arial" w:hint="default"/>
        </w:rPr>
        <w:t>2012</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日，金额前五名的一年内到期的长期借款：</w:t>
      </w:r>
    </w:p>
    <w:p>
      <w:pPr>
        <w:spacing w:line="240" w:lineRule="auto" w:before="8"/>
        <w:rPr>
          <w:rFonts w:ascii="宋体" w:hAnsi="宋体" w:cs="宋体" w:eastAsia="宋体" w:hint="default"/>
          <w:sz w:val="22"/>
          <w:szCs w:val="22"/>
        </w:rPr>
      </w:pPr>
    </w:p>
    <w:tbl>
      <w:tblPr>
        <w:tblW w:w="0" w:type="auto"/>
        <w:jc w:val="left"/>
        <w:tblInd w:w="298" w:type="dxa"/>
        <w:tblLayout w:type="fixed"/>
        <w:tblCellMar>
          <w:top w:w="0" w:type="dxa"/>
          <w:left w:w="0" w:type="dxa"/>
          <w:bottom w:w="0" w:type="dxa"/>
          <w:right w:w="0" w:type="dxa"/>
        </w:tblCellMar>
        <w:tblLook w:val="01E0"/>
      </w:tblPr>
      <w:tblGrid>
        <w:gridCol w:w="1838"/>
        <w:gridCol w:w="956"/>
        <w:gridCol w:w="1067"/>
        <w:gridCol w:w="689"/>
        <w:gridCol w:w="646"/>
        <w:gridCol w:w="888"/>
        <w:gridCol w:w="1137"/>
        <w:gridCol w:w="985"/>
        <w:gridCol w:w="1040"/>
      </w:tblGrid>
      <w:tr>
        <w:trPr>
          <w:trHeight w:val="449" w:hRule="exact"/>
        </w:trPr>
        <w:tc>
          <w:tcPr>
            <w:tcW w:w="1838"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7" w:type="dxa"/>
            <w:tcBorders>
              <w:top w:val="nil" w:sz="6" w:space="0" w:color="auto"/>
              <w:left w:val="nil" w:sz="6" w:space="0" w:color="auto"/>
              <w:bottom w:val="single" w:sz="6" w:space="0" w:color="000000"/>
              <w:right w:val="nil" w:sz="6" w:space="0" w:color="auto"/>
            </w:tcBorders>
          </w:tcPr>
          <w:p>
            <w:pPr>
              <w:pStyle w:val="TableParagraph"/>
              <w:spacing w:line="179" w:lineRule="exact"/>
              <w:ind w:left="20" w:right="0" w:firstLine="85"/>
              <w:jc w:val="left"/>
              <w:rPr>
                <w:rFonts w:ascii="宋体" w:hAnsi="宋体" w:cs="宋体" w:eastAsia="宋体" w:hint="default"/>
                <w:sz w:val="18"/>
                <w:szCs w:val="18"/>
              </w:rPr>
            </w:pPr>
            <w:r>
              <w:rPr>
                <w:rFonts w:ascii="宋体" w:hAnsi="宋体" w:cs="宋体" w:eastAsia="宋体" w:hint="default"/>
                <w:sz w:val="18"/>
                <w:szCs w:val="18"/>
              </w:rPr>
              <w:t>借款终止日</w:t>
            </w:r>
          </w:p>
          <w:p>
            <w:pPr>
              <w:pStyle w:val="TableParagraph"/>
              <w:spacing w:line="248" w:lineRule="exact"/>
              <w:ind w:left="20" w:right="0"/>
              <w:jc w:val="left"/>
              <w:rPr>
                <w:rFonts w:ascii="Arial" w:hAnsi="Arial" w:cs="Arial" w:eastAsia="Arial" w:hint="default"/>
                <w:sz w:val="18"/>
                <w:szCs w:val="18"/>
              </w:rPr>
            </w:pP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年内部分</w:t>
            </w:r>
            <w:r>
              <w:rPr>
                <w:rFonts w:ascii="Arial" w:hAnsi="Arial" w:cs="Arial" w:eastAsia="Arial" w:hint="default"/>
                <w:sz w:val="18"/>
                <w:szCs w:val="18"/>
              </w:rPr>
              <w:t>)</w:t>
            </w:r>
          </w:p>
        </w:tc>
        <w:tc>
          <w:tcPr>
            <w:tcW w:w="689"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币种</w:t>
            </w:r>
          </w:p>
        </w:tc>
        <w:tc>
          <w:tcPr>
            <w:tcW w:w="646"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87"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2025" w:type="dxa"/>
            <w:gridSpan w:val="2"/>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7"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025" w:type="dxa"/>
            <w:gridSpan w:val="2"/>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61"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248" w:hRule="exact"/>
        </w:trPr>
        <w:tc>
          <w:tcPr>
            <w:tcW w:w="1838" w:type="dxa"/>
            <w:tcBorders>
              <w:top w:val="nil" w:sz="6" w:space="0" w:color="auto"/>
              <w:left w:val="nil" w:sz="6" w:space="0" w:color="auto"/>
              <w:bottom w:val="nil" w:sz="6" w:space="0" w:color="auto"/>
              <w:right w:val="nil" w:sz="6" w:space="0" w:color="auto"/>
            </w:tcBorders>
          </w:tcPr>
          <w:p>
            <w:pPr/>
          </w:p>
        </w:tc>
        <w:tc>
          <w:tcPr>
            <w:tcW w:w="956" w:type="dxa"/>
            <w:tcBorders>
              <w:top w:val="single" w:sz="6" w:space="0" w:color="000000"/>
              <w:left w:val="nil" w:sz="6" w:space="0" w:color="auto"/>
              <w:bottom w:val="nil" w:sz="6" w:space="0" w:color="auto"/>
              <w:right w:val="nil" w:sz="6" w:space="0" w:color="auto"/>
            </w:tcBorders>
          </w:tcPr>
          <w:p>
            <w:pPr/>
          </w:p>
        </w:tc>
        <w:tc>
          <w:tcPr>
            <w:tcW w:w="1067" w:type="dxa"/>
            <w:tcBorders>
              <w:top w:val="single" w:sz="6" w:space="0" w:color="000000"/>
              <w:left w:val="nil" w:sz="6" w:space="0" w:color="auto"/>
              <w:bottom w:val="nil" w:sz="6" w:space="0" w:color="auto"/>
              <w:right w:val="nil" w:sz="6" w:space="0" w:color="auto"/>
            </w:tcBorders>
          </w:tcPr>
          <w:p>
            <w:pPr/>
          </w:p>
        </w:tc>
        <w:tc>
          <w:tcPr>
            <w:tcW w:w="689" w:type="dxa"/>
            <w:tcBorders>
              <w:top w:val="single" w:sz="6" w:space="0" w:color="000000"/>
              <w:left w:val="nil" w:sz="6" w:space="0" w:color="auto"/>
              <w:bottom w:val="nil" w:sz="6" w:space="0" w:color="auto"/>
              <w:right w:val="nil" w:sz="6" w:space="0" w:color="auto"/>
            </w:tcBorders>
          </w:tcPr>
          <w:p>
            <w:pPr/>
          </w:p>
        </w:tc>
        <w:tc>
          <w:tcPr>
            <w:tcW w:w="646" w:type="dxa"/>
            <w:tcBorders>
              <w:top w:val="single" w:sz="6" w:space="0" w:color="000000"/>
              <w:left w:val="nil" w:sz="6" w:space="0" w:color="auto"/>
              <w:bottom w:val="nil" w:sz="6" w:space="0" w:color="auto"/>
              <w:right w:val="nil" w:sz="6" w:space="0" w:color="auto"/>
            </w:tcBorders>
          </w:tcPr>
          <w:p>
            <w:pPr/>
          </w:p>
        </w:tc>
        <w:tc>
          <w:tcPr>
            <w:tcW w:w="888" w:type="dxa"/>
            <w:tcBorders>
              <w:top w:val="single" w:sz="6" w:space="0" w:color="000000"/>
              <w:left w:val="nil" w:sz="6" w:space="0" w:color="auto"/>
              <w:bottom w:val="single" w:sz="6" w:space="0" w:color="000000"/>
              <w:right w:val="nil" w:sz="6" w:space="0" w:color="auto"/>
            </w:tcBorders>
          </w:tcPr>
          <w:p>
            <w:pPr>
              <w:pStyle w:val="TableParagraph"/>
              <w:spacing w:line="207" w:lineRule="exact"/>
              <w:ind w:right="94"/>
              <w:jc w:val="right"/>
              <w:rPr>
                <w:rFonts w:ascii="宋体" w:hAnsi="宋体" w:cs="宋体" w:eastAsia="宋体" w:hint="default"/>
                <w:sz w:val="18"/>
                <w:szCs w:val="18"/>
              </w:rPr>
            </w:pPr>
            <w:r>
              <w:rPr>
                <w:rFonts w:ascii="宋体" w:hAnsi="宋体" w:cs="宋体" w:eastAsia="宋体" w:hint="default"/>
                <w:sz w:val="18"/>
                <w:szCs w:val="18"/>
              </w:rPr>
              <w:t>外币金额</w:t>
            </w:r>
          </w:p>
        </w:tc>
        <w:tc>
          <w:tcPr>
            <w:tcW w:w="1137" w:type="dxa"/>
            <w:tcBorders>
              <w:top w:val="single" w:sz="6" w:space="0" w:color="000000"/>
              <w:left w:val="nil" w:sz="6" w:space="0" w:color="auto"/>
              <w:bottom w:val="single" w:sz="6" w:space="0" w:color="000000"/>
              <w:right w:val="nil" w:sz="6" w:space="0" w:color="auto"/>
            </w:tcBorders>
          </w:tcPr>
          <w:p>
            <w:pPr>
              <w:pStyle w:val="TableParagraph"/>
              <w:spacing w:line="207" w:lineRule="exact"/>
              <w:ind w:right="69"/>
              <w:jc w:val="right"/>
              <w:rPr>
                <w:rFonts w:ascii="宋体" w:hAnsi="宋体" w:cs="宋体" w:eastAsia="宋体" w:hint="default"/>
                <w:sz w:val="18"/>
                <w:szCs w:val="18"/>
              </w:rPr>
            </w:pPr>
            <w:r>
              <w:rPr>
                <w:rFonts w:ascii="宋体" w:hAnsi="宋体" w:cs="宋体" w:eastAsia="宋体" w:hint="default"/>
                <w:sz w:val="18"/>
                <w:szCs w:val="18"/>
              </w:rPr>
              <w:t>人民币金额</w:t>
            </w:r>
          </w:p>
        </w:tc>
        <w:tc>
          <w:tcPr>
            <w:tcW w:w="985" w:type="dxa"/>
            <w:tcBorders>
              <w:top w:val="single" w:sz="6" w:space="0" w:color="000000"/>
              <w:left w:val="nil" w:sz="6" w:space="0" w:color="auto"/>
              <w:bottom w:val="single" w:sz="6" w:space="0" w:color="000000"/>
              <w:right w:val="nil" w:sz="6" w:space="0" w:color="auto"/>
            </w:tcBorders>
          </w:tcPr>
          <w:p>
            <w:pPr>
              <w:pStyle w:val="TableParagraph"/>
              <w:spacing w:line="207" w:lineRule="exact"/>
              <w:ind w:right="65"/>
              <w:jc w:val="right"/>
              <w:rPr>
                <w:rFonts w:ascii="宋体" w:hAnsi="宋体" w:cs="宋体" w:eastAsia="宋体" w:hint="default"/>
                <w:sz w:val="18"/>
                <w:szCs w:val="18"/>
              </w:rPr>
            </w:pPr>
            <w:r>
              <w:rPr>
                <w:rFonts w:ascii="宋体" w:hAnsi="宋体" w:cs="宋体" w:eastAsia="宋体" w:hint="default"/>
                <w:sz w:val="18"/>
                <w:szCs w:val="18"/>
              </w:rPr>
              <w:t>外币金额</w:t>
            </w:r>
          </w:p>
        </w:tc>
        <w:tc>
          <w:tcPr>
            <w:tcW w:w="1040" w:type="dxa"/>
            <w:tcBorders>
              <w:top w:val="single" w:sz="6" w:space="0" w:color="000000"/>
              <w:left w:val="nil" w:sz="6" w:space="0" w:color="auto"/>
              <w:bottom w:val="single" w:sz="6" w:space="0" w:color="000000"/>
              <w:right w:val="nil" w:sz="6" w:space="0" w:color="auto"/>
            </w:tcBorders>
          </w:tcPr>
          <w:p>
            <w:pPr>
              <w:pStyle w:val="TableParagraph"/>
              <w:spacing w:line="207" w:lineRule="exact"/>
              <w:ind w:right="60"/>
              <w:jc w:val="righ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692" w:hRule="exact"/>
        </w:trPr>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80" w:right="196" w:hanging="180"/>
              <w:jc w:val="left"/>
              <w:rPr>
                <w:rFonts w:ascii="宋体" w:hAnsi="宋体" w:cs="宋体" w:eastAsia="宋体" w:hint="default"/>
                <w:sz w:val="18"/>
                <w:szCs w:val="18"/>
              </w:rPr>
            </w:pPr>
            <w:r>
              <w:rPr>
                <w:rFonts w:ascii="宋体" w:hAnsi="宋体" w:cs="宋体" w:eastAsia="宋体" w:hint="default"/>
                <w:sz w:val="18"/>
                <w:szCs w:val="18"/>
              </w:rPr>
              <w:t>中国邮政储蓄银行 有限责任公司</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 w:right="0"/>
              <w:jc w:val="left"/>
              <w:rPr>
                <w:rFonts w:ascii="Arial" w:hAnsi="Arial" w:cs="Arial" w:eastAsia="Arial" w:hint="default"/>
                <w:sz w:val="18"/>
                <w:szCs w:val="18"/>
              </w:rPr>
            </w:pPr>
            <w:r>
              <w:rPr>
                <w:rFonts w:ascii="Arial"/>
                <w:sz w:val="18"/>
              </w:rPr>
              <w:t>2010-08-30</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 w:right="0"/>
              <w:jc w:val="center"/>
              <w:rPr>
                <w:rFonts w:ascii="Arial" w:hAnsi="Arial" w:cs="Arial" w:eastAsia="Arial" w:hint="default"/>
                <w:sz w:val="18"/>
                <w:szCs w:val="18"/>
              </w:rPr>
            </w:pPr>
            <w:r>
              <w:rPr>
                <w:rFonts w:ascii="Arial"/>
                <w:sz w:val="18"/>
              </w:rPr>
              <w:t>2013-08-30</w:t>
            </w: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人民币</w:t>
            </w: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7" w:right="0"/>
              <w:jc w:val="left"/>
              <w:rPr>
                <w:rFonts w:ascii="Arial" w:hAnsi="Arial" w:cs="Arial" w:eastAsia="Arial" w:hint="default"/>
                <w:sz w:val="18"/>
                <w:szCs w:val="18"/>
              </w:rPr>
            </w:pPr>
            <w:r>
              <w:rPr>
                <w:rFonts w:ascii="Arial"/>
                <w:sz w:val="18"/>
              </w:rPr>
              <w:t>5.65%</w:t>
            </w:r>
          </w:p>
        </w:tc>
        <w:tc>
          <w:tcPr>
            <w:tcW w:w="888"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71"/>
              <w:jc w:val="right"/>
              <w:rPr>
                <w:rFonts w:ascii="Arial" w:hAnsi="Arial" w:cs="Arial" w:eastAsia="Arial" w:hint="default"/>
                <w:sz w:val="18"/>
                <w:szCs w:val="18"/>
              </w:rPr>
            </w:pPr>
            <w:r>
              <w:rPr>
                <w:rFonts w:ascii="Arial"/>
                <w:w w:val="99"/>
                <w:sz w:val="18"/>
              </w:rPr>
              <w:t>-</w:t>
            </w:r>
            <w:r>
              <w:rPr>
                <w:rFonts w:ascii="Arial"/>
                <w:sz w:val="18"/>
              </w:rPr>
            </w:r>
          </w:p>
        </w:tc>
        <w:tc>
          <w:tcPr>
            <w:tcW w:w="1137"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61"/>
              <w:jc w:val="right"/>
              <w:rPr>
                <w:rFonts w:ascii="Arial" w:hAnsi="Arial" w:cs="Arial" w:eastAsia="Arial" w:hint="default"/>
                <w:sz w:val="18"/>
                <w:szCs w:val="18"/>
              </w:rPr>
            </w:pPr>
            <w:r>
              <w:rPr>
                <w:rFonts w:ascii="Arial"/>
                <w:spacing w:val="-1"/>
                <w:sz w:val="18"/>
              </w:rPr>
              <w:t>800,000,000</w:t>
            </w:r>
          </w:p>
        </w:tc>
        <w:tc>
          <w:tcPr>
            <w:tcW w:w="985"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19"/>
              <w:jc w:val="right"/>
              <w:rPr>
                <w:rFonts w:ascii="Arial" w:hAnsi="Arial" w:cs="Arial" w:eastAsia="Arial" w:hint="default"/>
                <w:sz w:val="18"/>
                <w:szCs w:val="18"/>
              </w:rPr>
            </w:pPr>
            <w:r>
              <w:rPr>
                <w:rFonts w:ascii="Arial"/>
                <w:w w:val="99"/>
                <w:sz w:val="18"/>
              </w:rPr>
              <w:t>-</w:t>
            </w:r>
            <w:r>
              <w:rPr>
                <w:rFonts w:ascii="Arial"/>
                <w:sz w:val="18"/>
              </w:rPr>
            </w:r>
          </w:p>
        </w:tc>
        <w:tc>
          <w:tcPr>
            <w:tcW w:w="1040"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68"/>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1838"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中国银行北京市分行</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 w:right="0"/>
              <w:jc w:val="left"/>
              <w:rPr>
                <w:rFonts w:ascii="Arial" w:hAnsi="Arial" w:cs="Arial" w:eastAsia="Arial" w:hint="default"/>
                <w:sz w:val="18"/>
                <w:szCs w:val="18"/>
              </w:rPr>
            </w:pPr>
            <w:r>
              <w:rPr>
                <w:rFonts w:ascii="Arial"/>
                <w:sz w:val="18"/>
              </w:rPr>
              <w:t>1988-08-04</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5" w:right="0"/>
              <w:jc w:val="center"/>
              <w:rPr>
                <w:rFonts w:ascii="Arial" w:hAnsi="Arial" w:cs="Arial" w:eastAsia="Arial" w:hint="default"/>
                <w:sz w:val="18"/>
                <w:szCs w:val="18"/>
              </w:rPr>
            </w:pPr>
            <w:r>
              <w:rPr>
                <w:rFonts w:ascii="Arial"/>
                <w:sz w:val="18"/>
              </w:rPr>
              <w:t>2013-12-31</w:t>
            </w:r>
          </w:p>
        </w:tc>
        <w:tc>
          <w:tcPr>
            <w:tcW w:w="689" w:type="dxa"/>
            <w:tcBorders>
              <w:top w:val="nil" w:sz="6" w:space="0" w:color="auto"/>
              <w:left w:val="nil" w:sz="6" w:space="0" w:color="auto"/>
              <w:bottom w:val="nil" w:sz="6" w:space="0" w:color="auto"/>
              <w:right w:val="nil" w:sz="6" w:space="0" w:color="auto"/>
            </w:tcBorders>
          </w:tcPr>
          <w:p>
            <w:pPr>
              <w:pStyle w:val="TableParagraph"/>
              <w:spacing w:line="196" w:lineRule="exact"/>
              <w:ind w:right="24"/>
              <w:jc w:val="center"/>
              <w:rPr>
                <w:rFonts w:ascii="宋体" w:hAnsi="宋体" w:cs="宋体" w:eastAsia="宋体" w:hint="default"/>
                <w:sz w:val="18"/>
                <w:szCs w:val="18"/>
              </w:rPr>
            </w:pPr>
            <w:r>
              <w:rPr>
                <w:rFonts w:ascii="宋体" w:hAnsi="宋体" w:cs="宋体" w:eastAsia="宋体" w:hint="default"/>
                <w:sz w:val="18"/>
                <w:szCs w:val="18"/>
              </w:rPr>
              <w:t>欧元</w:t>
            </w: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7" w:right="0"/>
              <w:jc w:val="left"/>
              <w:rPr>
                <w:rFonts w:ascii="Arial" w:hAnsi="Arial" w:cs="Arial" w:eastAsia="Arial" w:hint="default"/>
                <w:sz w:val="18"/>
                <w:szCs w:val="18"/>
              </w:rPr>
            </w:pPr>
            <w:r>
              <w:rPr>
                <w:rFonts w:ascii="Arial"/>
                <w:sz w:val="18"/>
              </w:rPr>
              <w:t>2.50%</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1"/>
              <w:jc w:val="right"/>
              <w:rPr>
                <w:rFonts w:ascii="Arial" w:hAnsi="Arial" w:cs="Arial" w:eastAsia="Arial" w:hint="default"/>
                <w:sz w:val="18"/>
                <w:szCs w:val="18"/>
              </w:rPr>
            </w:pPr>
            <w:r>
              <w:rPr>
                <w:rFonts w:ascii="Arial"/>
                <w:spacing w:val="-1"/>
                <w:sz w:val="18"/>
              </w:rPr>
              <w:t>2,171,245</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1"/>
              <w:jc w:val="right"/>
              <w:rPr>
                <w:rFonts w:ascii="Arial" w:hAnsi="Arial" w:cs="Arial" w:eastAsia="Arial" w:hint="default"/>
                <w:sz w:val="18"/>
                <w:szCs w:val="18"/>
              </w:rPr>
            </w:pPr>
            <w:r>
              <w:rPr>
                <w:rFonts w:ascii="Arial"/>
                <w:spacing w:val="-1"/>
                <w:sz w:val="18"/>
              </w:rPr>
              <w:t>18,059,549</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0"/>
              <w:jc w:val="right"/>
              <w:rPr>
                <w:rFonts w:ascii="Arial" w:hAnsi="Arial" w:cs="Arial" w:eastAsia="Arial" w:hint="default"/>
                <w:sz w:val="18"/>
                <w:szCs w:val="18"/>
              </w:rPr>
            </w:pPr>
            <w:r>
              <w:rPr>
                <w:rFonts w:ascii="Arial"/>
                <w:spacing w:val="-1"/>
                <w:sz w:val="18"/>
              </w:rPr>
              <w:t>2,171,245</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9"/>
              <w:jc w:val="right"/>
              <w:rPr>
                <w:rFonts w:ascii="Arial" w:hAnsi="Arial" w:cs="Arial" w:eastAsia="Arial" w:hint="default"/>
                <w:sz w:val="18"/>
                <w:szCs w:val="18"/>
              </w:rPr>
            </w:pPr>
            <w:r>
              <w:rPr>
                <w:rFonts w:ascii="Arial"/>
                <w:spacing w:val="-1"/>
                <w:sz w:val="18"/>
              </w:rPr>
              <w:t>17,722,789</w:t>
            </w:r>
          </w:p>
        </w:tc>
      </w:tr>
      <w:tr>
        <w:trPr>
          <w:trHeight w:val="467" w:hRule="exact"/>
        </w:trPr>
        <w:tc>
          <w:tcPr>
            <w:tcW w:w="1838"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中国建设银行</w:t>
            </w:r>
          </w:p>
          <w:p>
            <w:pPr>
              <w:pStyle w:val="TableParagraph"/>
              <w:spacing w:line="235" w:lineRule="exact"/>
              <w:ind w:left="380" w:right="0"/>
              <w:jc w:val="left"/>
              <w:rPr>
                <w:rFonts w:ascii="宋体" w:hAnsi="宋体" w:cs="宋体" w:eastAsia="宋体" w:hint="default"/>
                <w:sz w:val="18"/>
                <w:szCs w:val="18"/>
              </w:rPr>
            </w:pPr>
            <w:r>
              <w:rPr>
                <w:rFonts w:ascii="宋体" w:hAnsi="宋体" w:cs="宋体" w:eastAsia="宋体" w:hint="default"/>
                <w:sz w:val="18"/>
                <w:szCs w:val="18"/>
              </w:rPr>
              <w:t>黑龙江省分行</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 w:right="0"/>
              <w:jc w:val="left"/>
              <w:rPr>
                <w:rFonts w:ascii="Arial" w:hAnsi="Arial" w:cs="Arial" w:eastAsia="Arial" w:hint="default"/>
                <w:sz w:val="18"/>
                <w:szCs w:val="18"/>
              </w:rPr>
            </w:pPr>
            <w:r>
              <w:rPr>
                <w:rFonts w:ascii="Arial"/>
                <w:sz w:val="18"/>
              </w:rPr>
              <w:t>1991-12-31</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Arial" w:hAnsi="Arial" w:cs="Arial" w:eastAsia="Arial" w:hint="default"/>
                <w:sz w:val="18"/>
                <w:szCs w:val="18"/>
              </w:rPr>
            </w:pPr>
            <w:r>
              <w:rPr>
                <w:rFonts w:ascii="Arial"/>
                <w:sz w:val="18"/>
              </w:rPr>
              <w:t>2013-12-31</w:t>
            </w: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欧元</w:t>
            </w: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7" w:right="0"/>
              <w:jc w:val="left"/>
              <w:rPr>
                <w:rFonts w:ascii="Arial" w:hAnsi="Arial" w:cs="Arial" w:eastAsia="Arial" w:hint="default"/>
                <w:sz w:val="18"/>
                <w:szCs w:val="18"/>
              </w:rPr>
            </w:pPr>
            <w:r>
              <w:rPr>
                <w:rFonts w:ascii="Arial"/>
                <w:sz w:val="18"/>
              </w:rPr>
              <w:t>2.00%</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1"/>
              <w:jc w:val="right"/>
              <w:rPr>
                <w:rFonts w:ascii="Arial" w:hAnsi="Arial" w:cs="Arial" w:eastAsia="Arial" w:hint="default"/>
                <w:sz w:val="18"/>
                <w:szCs w:val="18"/>
              </w:rPr>
            </w:pPr>
            <w:r>
              <w:rPr>
                <w:rFonts w:ascii="Arial"/>
                <w:spacing w:val="-1"/>
                <w:sz w:val="18"/>
              </w:rPr>
              <w:t>1,030,552</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1"/>
              <w:jc w:val="right"/>
              <w:rPr>
                <w:rFonts w:ascii="Arial" w:hAnsi="Arial" w:cs="Arial" w:eastAsia="Arial" w:hint="default"/>
                <w:sz w:val="18"/>
                <w:szCs w:val="18"/>
              </w:rPr>
            </w:pPr>
            <w:r>
              <w:rPr>
                <w:rFonts w:ascii="Arial"/>
                <w:spacing w:val="-1"/>
                <w:sz w:val="18"/>
              </w:rPr>
              <w:t>8,571,719</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0"/>
              <w:jc w:val="right"/>
              <w:rPr>
                <w:rFonts w:ascii="Arial" w:hAnsi="Arial" w:cs="Arial" w:eastAsia="Arial" w:hint="default"/>
                <w:sz w:val="18"/>
                <w:szCs w:val="18"/>
              </w:rPr>
            </w:pPr>
            <w:r>
              <w:rPr>
                <w:rFonts w:ascii="Arial"/>
                <w:spacing w:val="-1"/>
                <w:sz w:val="18"/>
              </w:rPr>
              <w:t>1,030,552</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9"/>
              <w:jc w:val="right"/>
              <w:rPr>
                <w:rFonts w:ascii="Arial" w:hAnsi="Arial" w:cs="Arial" w:eastAsia="Arial" w:hint="default"/>
                <w:sz w:val="18"/>
                <w:szCs w:val="18"/>
              </w:rPr>
            </w:pPr>
            <w:r>
              <w:rPr>
                <w:rFonts w:ascii="Arial"/>
                <w:spacing w:val="-1"/>
                <w:sz w:val="18"/>
              </w:rPr>
              <w:t>8,411,881</w:t>
            </w:r>
          </w:p>
        </w:tc>
      </w:tr>
      <w:tr>
        <w:trPr>
          <w:trHeight w:val="233" w:hRule="exact"/>
        </w:trPr>
        <w:tc>
          <w:tcPr>
            <w:tcW w:w="1838"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西班牙（政府）</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1" w:right="0"/>
              <w:jc w:val="left"/>
              <w:rPr>
                <w:rFonts w:ascii="Arial" w:hAnsi="Arial" w:cs="Arial" w:eastAsia="Arial" w:hint="default"/>
                <w:sz w:val="18"/>
                <w:szCs w:val="18"/>
              </w:rPr>
            </w:pPr>
            <w:r>
              <w:rPr>
                <w:rFonts w:ascii="Arial"/>
                <w:sz w:val="18"/>
              </w:rPr>
              <w:t>1993-06-25</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5" w:right="0"/>
              <w:jc w:val="center"/>
              <w:rPr>
                <w:rFonts w:ascii="Arial" w:hAnsi="Arial" w:cs="Arial" w:eastAsia="Arial" w:hint="default"/>
                <w:sz w:val="18"/>
                <w:szCs w:val="18"/>
              </w:rPr>
            </w:pPr>
            <w:r>
              <w:rPr>
                <w:rFonts w:ascii="Arial"/>
                <w:sz w:val="18"/>
              </w:rPr>
              <w:t>2013-09-16</w:t>
            </w:r>
          </w:p>
        </w:tc>
        <w:tc>
          <w:tcPr>
            <w:tcW w:w="689" w:type="dxa"/>
            <w:tcBorders>
              <w:top w:val="nil" w:sz="6" w:space="0" w:color="auto"/>
              <w:left w:val="nil" w:sz="6" w:space="0" w:color="auto"/>
              <w:bottom w:val="nil" w:sz="6" w:space="0" w:color="auto"/>
              <w:right w:val="nil" w:sz="6" w:space="0" w:color="auto"/>
            </w:tcBorders>
          </w:tcPr>
          <w:p>
            <w:pPr>
              <w:pStyle w:val="TableParagraph"/>
              <w:spacing w:line="195" w:lineRule="exact"/>
              <w:ind w:right="24"/>
              <w:jc w:val="center"/>
              <w:rPr>
                <w:rFonts w:ascii="宋体" w:hAnsi="宋体" w:cs="宋体" w:eastAsia="宋体" w:hint="default"/>
                <w:sz w:val="18"/>
                <w:szCs w:val="18"/>
              </w:rPr>
            </w:pPr>
            <w:r>
              <w:rPr>
                <w:rFonts w:ascii="宋体" w:hAnsi="宋体" w:cs="宋体" w:eastAsia="宋体" w:hint="default"/>
                <w:sz w:val="18"/>
                <w:szCs w:val="18"/>
              </w:rPr>
              <w:t>美元</w:t>
            </w: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7" w:right="0"/>
              <w:jc w:val="left"/>
              <w:rPr>
                <w:rFonts w:ascii="Arial" w:hAnsi="Arial" w:cs="Arial" w:eastAsia="Arial" w:hint="default"/>
                <w:sz w:val="18"/>
                <w:szCs w:val="18"/>
              </w:rPr>
            </w:pPr>
            <w:r>
              <w:rPr>
                <w:rFonts w:ascii="Arial"/>
                <w:sz w:val="18"/>
              </w:rPr>
              <w:t>1.55%</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1"/>
              <w:jc w:val="right"/>
              <w:rPr>
                <w:rFonts w:ascii="Arial" w:hAnsi="Arial" w:cs="Arial" w:eastAsia="Arial" w:hint="default"/>
                <w:sz w:val="18"/>
                <w:szCs w:val="18"/>
              </w:rPr>
            </w:pPr>
            <w:r>
              <w:rPr>
                <w:rFonts w:ascii="Arial"/>
                <w:spacing w:val="-1"/>
                <w:sz w:val="18"/>
              </w:rPr>
              <w:t>595,759</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1"/>
              <w:jc w:val="right"/>
              <w:rPr>
                <w:rFonts w:ascii="Arial" w:hAnsi="Arial" w:cs="Arial" w:eastAsia="Arial" w:hint="default"/>
                <w:sz w:val="18"/>
                <w:szCs w:val="18"/>
              </w:rPr>
            </w:pPr>
            <w:r>
              <w:rPr>
                <w:rFonts w:ascii="Arial"/>
                <w:spacing w:val="-1"/>
                <w:sz w:val="18"/>
              </w:rPr>
              <w:t>3,744,644</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0"/>
              <w:jc w:val="right"/>
              <w:rPr>
                <w:rFonts w:ascii="Arial" w:hAnsi="Arial" w:cs="Arial" w:eastAsia="Arial" w:hint="default"/>
                <w:sz w:val="18"/>
                <w:szCs w:val="18"/>
              </w:rPr>
            </w:pPr>
            <w:r>
              <w:rPr>
                <w:rFonts w:ascii="Arial"/>
                <w:spacing w:val="-1"/>
                <w:sz w:val="18"/>
              </w:rPr>
              <w:t>595,759</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9"/>
              <w:jc w:val="right"/>
              <w:rPr>
                <w:rFonts w:ascii="Arial" w:hAnsi="Arial" w:cs="Arial" w:eastAsia="Arial" w:hint="default"/>
                <w:sz w:val="18"/>
                <w:szCs w:val="18"/>
              </w:rPr>
            </w:pPr>
            <w:r>
              <w:rPr>
                <w:rFonts w:ascii="Arial"/>
                <w:spacing w:val="-1"/>
                <w:sz w:val="18"/>
              </w:rPr>
              <w:t>3,753,819</w:t>
            </w:r>
          </w:p>
        </w:tc>
      </w:tr>
      <w:tr>
        <w:trPr>
          <w:trHeight w:val="218" w:hRule="exact"/>
        </w:trPr>
        <w:tc>
          <w:tcPr>
            <w:tcW w:w="1838"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中国银行河北省分行</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 w:right="0"/>
              <w:jc w:val="left"/>
              <w:rPr>
                <w:rFonts w:ascii="Arial" w:hAnsi="Arial" w:cs="Arial" w:eastAsia="Arial" w:hint="default"/>
                <w:sz w:val="18"/>
                <w:szCs w:val="18"/>
              </w:rPr>
            </w:pPr>
            <w:r>
              <w:rPr>
                <w:rFonts w:ascii="Arial"/>
                <w:sz w:val="18"/>
              </w:rPr>
              <w:t>1993-02-08</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5" w:right="0"/>
              <w:jc w:val="center"/>
              <w:rPr>
                <w:rFonts w:ascii="Arial" w:hAnsi="Arial" w:cs="Arial" w:eastAsia="Arial" w:hint="default"/>
                <w:sz w:val="18"/>
                <w:szCs w:val="18"/>
              </w:rPr>
            </w:pPr>
            <w:r>
              <w:rPr>
                <w:rFonts w:ascii="Arial"/>
                <w:sz w:val="18"/>
              </w:rPr>
              <w:t>2013-09-30</w:t>
            </w:r>
          </w:p>
        </w:tc>
        <w:tc>
          <w:tcPr>
            <w:tcW w:w="689" w:type="dxa"/>
            <w:tcBorders>
              <w:top w:val="nil" w:sz="6" w:space="0" w:color="auto"/>
              <w:left w:val="nil" w:sz="6" w:space="0" w:color="auto"/>
              <w:bottom w:val="nil" w:sz="6" w:space="0" w:color="auto"/>
              <w:right w:val="nil" w:sz="6" w:space="0" w:color="auto"/>
            </w:tcBorders>
          </w:tcPr>
          <w:p>
            <w:pPr>
              <w:pStyle w:val="TableParagraph"/>
              <w:spacing w:line="196" w:lineRule="exact"/>
              <w:ind w:right="24"/>
              <w:jc w:val="center"/>
              <w:rPr>
                <w:rFonts w:ascii="宋体" w:hAnsi="宋体" w:cs="宋体" w:eastAsia="宋体" w:hint="default"/>
                <w:sz w:val="18"/>
                <w:szCs w:val="18"/>
              </w:rPr>
            </w:pPr>
            <w:r>
              <w:rPr>
                <w:rFonts w:ascii="宋体" w:hAnsi="宋体" w:cs="宋体" w:eastAsia="宋体" w:hint="default"/>
                <w:sz w:val="18"/>
                <w:szCs w:val="18"/>
              </w:rPr>
              <w:t>美元</w:t>
            </w: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7" w:right="0"/>
              <w:jc w:val="left"/>
              <w:rPr>
                <w:rFonts w:ascii="Arial" w:hAnsi="Arial" w:cs="Arial" w:eastAsia="Arial" w:hint="default"/>
                <w:sz w:val="18"/>
                <w:szCs w:val="18"/>
              </w:rPr>
            </w:pPr>
            <w:r>
              <w:rPr>
                <w:rFonts w:ascii="Arial"/>
                <w:sz w:val="18"/>
              </w:rPr>
              <w:t>0.00%</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1"/>
              <w:jc w:val="right"/>
              <w:rPr>
                <w:rFonts w:ascii="Arial" w:hAnsi="Arial" w:cs="Arial" w:eastAsia="Arial" w:hint="default"/>
                <w:sz w:val="18"/>
                <w:szCs w:val="18"/>
              </w:rPr>
            </w:pPr>
            <w:r>
              <w:rPr>
                <w:rFonts w:ascii="Arial"/>
                <w:spacing w:val="-1"/>
                <w:sz w:val="18"/>
              </w:rPr>
              <w:t>560,089</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1"/>
              <w:jc w:val="right"/>
              <w:rPr>
                <w:rFonts w:ascii="Arial" w:hAnsi="Arial" w:cs="Arial" w:eastAsia="Arial" w:hint="default"/>
                <w:sz w:val="18"/>
                <w:szCs w:val="18"/>
              </w:rPr>
            </w:pPr>
            <w:r>
              <w:rPr>
                <w:rFonts w:ascii="Arial"/>
                <w:spacing w:val="-1"/>
                <w:sz w:val="18"/>
              </w:rPr>
              <w:t>3,520,440</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0"/>
              <w:jc w:val="right"/>
              <w:rPr>
                <w:rFonts w:ascii="Arial" w:hAnsi="Arial" w:cs="Arial" w:eastAsia="Arial" w:hint="default"/>
                <w:sz w:val="18"/>
                <w:szCs w:val="18"/>
              </w:rPr>
            </w:pPr>
            <w:r>
              <w:rPr>
                <w:rFonts w:ascii="Arial"/>
                <w:spacing w:val="-1"/>
                <w:sz w:val="18"/>
              </w:rPr>
              <w:t>560,089</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9"/>
              <w:jc w:val="right"/>
              <w:rPr>
                <w:rFonts w:ascii="Arial" w:hAnsi="Arial" w:cs="Arial" w:eastAsia="Arial" w:hint="default"/>
                <w:sz w:val="18"/>
                <w:szCs w:val="18"/>
              </w:rPr>
            </w:pPr>
            <w:r>
              <w:rPr>
                <w:rFonts w:ascii="Arial"/>
                <w:spacing w:val="-1"/>
                <w:sz w:val="18"/>
              </w:rPr>
              <w:t>3,529,065</w:t>
            </w:r>
          </w:p>
        </w:tc>
      </w:tr>
    </w:tbl>
    <w:p>
      <w:pPr>
        <w:spacing w:line="240" w:lineRule="auto" w:before="8"/>
        <w:rPr>
          <w:rFonts w:ascii="宋体" w:hAnsi="宋体" w:cs="宋体" w:eastAsia="宋体" w:hint="default"/>
          <w:sz w:val="14"/>
          <w:szCs w:val="14"/>
        </w:rPr>
      </w:pPr>
    </w:p>
    <w:p>
      <w:pPr>
        <w:pStyle w:val="BodyText"/>
        <w:spacing w:line="427" w:lineRule="auto" w:before="31"/>
        <w:ind w:left="508" w:right="5442" w:hanging="406"/>
        <w:jc w:val="left"/>
      </w:pPr>
      <w:r>
        <w:rPr>
          <w:rFonts w:ascii="Arial" w:hAnsi="Arial" w:cs="Arial" w:eastAsia="Arial" w:hint="default"/>
        </w:rPr>
        <w:t>(b)</w:t>
      </w:r>
      <w:r>
        <w:rPr>
          <w:rFonts w:ascii="Arial" w:hAnsi="Arial" w:cs="Arial" w:eastAsia="Arial" w:hint="default"/>
          <w:spacing w:val="23"/>
        </w:rPr>
        <w:t> </w:t>
      </w:r>
      <w:r>
        <w:rPr/>
        <w:t>一年内到期的应付债券</w:t>
      </w:r>
      <w:r>
        <w:rPr>
          <w:w w:val="99"/>
        </w:rPr>
        <w:t> </w:t>
      </w:r>
      <w:r>
        <w:rPr/>
        <w:t>参见附注五</w:t>
      </w:r>
      <w:r>
        <w:rPr>
          <w:rFonts w:ascii="Arial" w:hAnsi="Arial" w:cs="Arial" w:eastAsia="Arial" w:hint="default"/>
        </w:rPr>
        <w:t>(28)</w:t>
      </w:r>
      <w:r>
        <w:rPr/>
        <w:t>。</w:t>
      </w:r>
    </w:p>
    <w:p>
      <w:pPr>
        <w:pStyle w:val="BodyText"/>
        <w:spacing w:line="424" w:lineRule="auto" w:before="42"/>
        <w:ind w:left="508" w:right="6449" w:hanging="406"/>
        <w:jc w:val="left"/>
      </w:pPr>
      <w:r>
        <w:rPr>
          <w:rFonts w:ascii="Arial" w:hAnsi="Arial" w:cs="Arial" w:eastAsia="Arial" w:hint="default"/>
        </w:rPr>
        <w:t>(c)</w:t>
      </w:r>
      <w:r>
        <w:rPr>
          <w:rFonts w:ascii="Arial" w:hAnsi="Arial" w:cs="Arial" w:eastAsia="Arial" w:hint="default"/>
          <w:spacing w:val="37"/>
        </w:rPr>
        <w:t> </w:t>
      </w:r>
      <w:r>
        <w:rPr/>
        <w:t>一年内到期的长期应付款</w:t>
      </w:r>
      <w:r>
        <w:rPr>
          <w:w w:val="99"/>
        </w:rPr>
        <w:t> </w:t>
      </w:r>
      <w:r>
        <w:rPr/>
        <w:t>参见附注五</w:t>
      </w:r>
      <w:r>
        <w:rPr>
          <w:rFonts w:ascii="Arial" w:hAnsi="Arial" w:cs="Arial" w:eastAsia="Arial" w:hint="default"/>
        </w:rPr>
        <w:t>(29)</w:t>
      </w:r>
      <w:r>
        <w:rPr/>
        <w:t>及附注十二。</w:t>
      </w:r>
    </w:p>
    <w:p>
      <w:pPr>
        <w:pStyle w:val="BodyText"/>
        <w:spacing w:line="240" w:lineRule="auto" w:before="44"/>
        <w:ind w:left="102" w:right="0"/>
        <w:jc w:val="left"/>
      </w:pPr>
      <w:r>
        <w:rPr>
          <w:rFonts w:ascii="Arial" w:hAnsi="Arial" w:cs="Arial" w:eastAsia="Arial" w:hint="default"/>
        </w:rPr>
        <w:t>27</w:t>
      </w:r>
      <w:r>
        <w:rPr/>
        <w:t>、长期借款</w:t>
      </w:r>
    </w:p>
    <w:p>
      <w:pPr>
        <w:spacing w:line="240" w:lineRule="auto" w:before="2"/>
        <w:rPr>
          <w:rFonts w:ascii="宋体" w:hAnsi="宋体" w:cs="宋体" w:eastAsia="宋体" w:hint="default"/>
          <w:sz w:val="23"/>
          <w:szCs w:val="23"/>
        </w:rPr>
      </w:pPr>
    </w:p>
    <w:tbl>
      <w:tblPr>
        <w:tblW w:w="0" w:type="auto"/>
        <w:jc w:val="left"/>
        <w:tblInd w:w="365" w:type="dxa"/>
        <w:tblLayout w:type="fixed"/>
        <w:tblCellMar>
          <w:top w:w="0" w:type="dxa"/>
          <w:left w:w="0" w:type="dxa"/>
          <w:bottom w:w="0" w:type="dxa"/>
          <w:right w:w="0" w:type="dxa"/>
        </w:tblCellMar>
        <w:tblLook w:val="01E0"/>
      </w:tblPr>
      <w:tblGrid>
        <w:gridCol w:w="4108"/>
        <w:gridCol w:w="2387"/>
        <w:gridCol w:w="287"/>
        <w:gridCol w:w="2374"/>
      </w:tblGrid>
      <w:tr>
        <w:trPr>
          <w:trHeight w:val="261" w:hRule="exact"/>
        </w:trPr>
        <w:tc>
          <w:tcPr>
            <w:tcW w:w="4108" w:type="dxa"/>
            <w:tcBorders>
              <w:top w:val="nil" w:sz="6" w:space="0" w:color="auto"/>
              <w:left w:val="nil" w:sz="6" w:space="0" w:color="auto"/>
              <w:bottom w:val="nil" w:sz="6" w:space="0" w:color="auto"/>
              <w:right w:val="nil" w:sz="6" w:space="0" w:color="auto"/>
            </w:tcBorders>
          </w:tcPr>
          <w:p>
            <w:pPr/>
          </w:p>
        </w:tc>
        <w:tc>
          <w:tcPr>
            <w:tcW w:w="2387" w:type="dxa"/>
            <w:tcBorders>
              <w:top w:val="nil" w:sz="6" w:space="0" w:color="auto"/>
              <w:left w:val="nil" w:sz="6" w:space="0" w:color="auto"/>
              <w:bottom w:val="single" w:sz="6" w:space="0" w:color="000000"/>
              <w:right w:val="nil" w:sz="6" w:space="0" w:color="auto"/>
            </w:tcBorders>
          </w:tcPr>
          <w:p>
            <w:pPr>
              <w:pStyle w:val="TableParagraph"/>
              <w:spacing w:line="235" w:lineRule="exact"/>
              <w:ind w:right="54"/>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87"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single" w:sz="6" w:space="0" w:color="000000"/>
              <w:right w:val="nil" w:sz="6" w:space="0" w:color="auto"/>
            </w:tcBorders>
          </w:tcPr>
          <w:p>
            <w:pPr>
              <w:pStyle w:val="TableParagraph"/>
              <w:spacing w:line="235" w:lineRule="exact"/>
              <w:ind w:right="54"/>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8" w:hRule="exact"/>
        </w:trPr>
        <w:tc>
          <w:tcPr>
            <w:tcW w:w="410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保证借款（注）</w:t>
            </w:r>
          </w:p>
        </w:tc>
        <w:tc>
          <w:tcPr>
            <w:tcW w:w="2387"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2"/>
              <w:jc w:val="right"/>
              <w:rPr>
                <w:rFonts w:ascii="Arial" w:hAnsi="Arial" w:cs="Arial" w:eastAsia="Arial" w:hint="default"/>
                <w:sz w:val="22"/>
                <w:szCs w:val="22"/>
              </w:rPr>
            </w:pPr>
            <w:r>
              <w:rPr>
                <w:rFonts w:ascii="Arial"/>
                <w:w w:val="95"/>
                <w:sz w:val="22"/>
              </w:rPr>
              <w:t>100,025,726</w:t>
            </w:r>
            <w:r>
              <w:rPr>
                <w:rFonts w:ascii="Arial"/>
                <w:sz w:val="22"/>
              </w:rPr>
            </w:r>
          </w:p>
        </w:tc>
        <w:tc>
          <w:tcPr>
            <w:tcW w:w="287" w:type="dxa"/>
            <w:tcBorders>
              <w:top w:val="nil" w:sz="6" w:space="0" w:color="auto"/>
              <w:left w:val="nil" w:sz="6" w:space="0" w:color="auto"/>
              <w:bottom w:val="nil" w:sz="6" w:space="0" w:color="auto"/>
              <w:right w:val="nil" w:sz="6" w:space="0" w:color="auto"/>
            </w:tcBorders>
          </w:tcPr>
          <w:p>
            <w:pPr/>
          </w:p>
        </w:tc>
        <w:tc>
          <w:tcPr>
            <w:tcW w:w="2374"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12"/>
              <w:jc w:val="right"/>
              <w:rPr>
                <w:rFonts w:ascii="Arial" w:hAnsi="Arial" w:cs="Arial" w:eastAsia="Arial" w:hint="default"/>
                <w:sz w:val="22"/>
                <w:szCs w:val="22"/>
              </w:rPr>
            </w:pPr>
            <w:r>
              <w:rPr>
                <w:rFonts w:ascii="Arial"/>
                <w:w w:val="95"/>
                <w:sz w:val="22"/>
              </w:rPr>
              <w:t>108,104,508</w:t>
            </w:r>
            <w:r>
              <w:rPr>
                <w:rFonts w:ascii="Arial"/>
                <w:sz w:val="22"/>
              </w:rPr>
            </w:r>
          </w:p>
        </w:tc>
      </w:tr>
      <w:tr>
        <w:trPr>
          <w:trHeight w:val="419" w:hRule="exact"/>
        </w:trPr>
        <w:tc>
          <w:tcPr>
            <w:tcW w:w="4108"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信用借款</w:t>
            </w:r>
          </w:p>
        </w:tc>
        <w:tc>
          <w:tcPr>
            <w:tcW w:w="2387" w:type="dxa"/>
            <w:tcBorders>
              <w:top w:val="nil" w:sz="6" w:space="0" w:color="auto"/>
              <w:left w:val="nil" w:sz="6" w:space="0" w:color="auto"/>
              <w:bottom w:val="nil" w:sz="6" w:space="0" w:color="auto"/>
              <w:right w:val="nil" w:sz="6" w:space="0" w:color="auto"/>
            </w:tcBorders>
          </w:tcPr>
          <w:p>
            <w:pPr>
              <w:pStyle w:val="TableParagraph"/>
              <w:tabs>
                <w:tab w:pos="1067" w:val="left" w:leader="none"/>
                <w:tab w:pos="2387"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435,826,052</w:t>
            </w:r>
            <w:r>
              <w:rPr>
                <w:rFonts w:ascii="Arial"/>
                <w:sz w:val="22"/>
                <w:u w:val="single" w:color="000000"/>
              </w:rPr>
              <w:tab/>
            </w:r>
            <w:r>
              <w:rPr>
                <w:rFonts w:ascii="Arial"/>
                <w:sz w:val="22"/>
              </w:rPr>
            </w:r>
          </w:p>
        </w:tc>
        <w:tc>
          <w:tcPr>
            <w:tcW w:w="287"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Style w:val="TableParagraph"/>
              <w:tabs>
                <w:tab w:pos="844" w:val="left" w:leader="none"/>
                <w:tab w:pos="2366"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1,275,574,966</w:t>
              <w:tab/>
            </w:r>
            <w:r>
              <w:rPr>
                <w:rFonts w:ascii="Arial"/>
                <w:spacing w:val="-1"/>
                <w:sz w:val="22"/>
              </w:rPr>
            </w:r>
          </w:p>
        </w:tc>
      </w:tr>
      <w:tr>
        <w:trPr>
          <w:trHeight w:val="430" w:hRule="exact"/>
        </w:trPr>
        <w:tc>
          <w:tcPr>
            <w:tcW w:w="410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87"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92"/>
              <w:jc w:val="right"/>
              <w:rPr>
                <w:rFonts w:ascii="Arial" w:hAnsi="Arial" w:cs="Arial" w:eastAsia="Arial" w:hint="default"/>
                <w:sz w:val="22"/>
                <w:szCs w:val="22"/>
              </w:rPr>
            </w:pPr>
            <w:r>
              <w:rPr>
                <w:rFonts w:ascii="Arial"/>
                <w:w w:val="95"/>
                <w:sz w:val="22"/>
              </w:rPr>
              <w:t>535,851,778</w:t>
            </w:r>
            <w:r>
              <w:rPr>
                <w:rFonts w:ascii="Arial"/>
                <w:sz w:val="22"/>
              </w:rPr>
            </w:r>
          </w:p>
        </w:tc>
        <w:tc>
          <w:tcPr>
            <w:tcW w:w="287"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91"/>
              <w:jc w:val="right"/>
              <w:rPr>
                <w:rFonts w:ascii="Arial" w:hAnsi="Arial" w:cs="Arial" w:eastAsia="Arial" w:hint="default"/>
                <w:sz w:val="22"/>
                <w:szCs w:val="22"/>
              </w:rPr>
            </w:pPr>
            <w:r>
              <w:rPr>
                <w:rFonts w:ascii="Arial"/>
                <w:spacing w:val="-1"/>
                <w:sz w:val="22"/>
              </w:rPr>
              <w:t>1,383,679,474</w:t>
            </w:r>
          </w:p>
        </w:tc>
      </w:tr>
    </w:tbl>
    <w:p>
      <w:pPr>
        <w:spacing w:after="0" w:line="240" w:lineRule="auto"/>
        <w:jc w:val="right"/>
        <w:rPr>
          <w:rFonts w:ascii="Arial" w:hAnsi="Arial" w:cs="Arial" w:eastAsia="Arial" w:hint="default"/>
          <w:sz w:val="22"/>
          <w:szCs w:val="22"/>
        </w:rPr>
        <w:sectPr>
          <w:headerReference w:type="default" r:id="rId107"/>
          <w:pgSz w:w="11910" w:h="16840"/>
          <w:pgMar w:header="1184" w:footer="457" w:top="3040" w:bottom="640" w:left="1280" w:right="840"/>
        </w:sectPr>
      </w:pPr>
    </w:p>
    <w:p>
      <w:pPr>
        <w:spacing w:line="240" w:lineRule="auto" w:before="10"/>
        <w:rPr>
          <w:rFonts w:ascii="宋体" w:hAnsi="宋体" w:cs="宋体" w:eastAsia="宋体" w:hint="default"/>
          <w:sz w:val="21"/>
          <w:szCs w:val="21"/>
        </w:rPr>
      </w:pPr>
      <w:r>
        <w:rPr/>
        <w:pict>
          <v:group style="position:absolute;margin-left:411.160004pt;margin-top:260.47998pt;width:.1pt;height:44.25pt;mso-position-horizontal-relative:page;mso-position-vertical-relative:page;z-index:-853168" coordorigin="8223,5210" coordsize="2,885">
            <v:shape style="position:absolute;left:8223;top:5210;width:2;height:885" coordorigin="8223,5210" coordsize="0,885" path="m8223,5210l8223,6094e" filled="false" stroked="true" strokeweight=".72pt" strokecolor="#000000">
              <v:path arrowok="t"/>
            </v:shape>
            <w10:wrap type="none"/>
          </v:group>
        </w:pict>
      </w:r>
    </w:p>
    <w:tbl>
      <w:tblPr>
        <w:tblW w:w="0" w:type="auto"/>
        <w:jc w:val="left"/>
        <w:tblInd w:w="360" w:type="dxa"/>
        <w:tblLayout w:type="fixed"/>
        <w:tblCellMar>
          <w:top w:w="0" w:type="dxa"/>
          <w:left w:w="0" w:type="dxa"/>
          <w:bottom w:w="0" w:type="dxa"/>
          <w:right w:w="0" w:type="dxa"/>
        </w:tblCellMar>
        <w:tblLook w:val="01E0"/>
      </w:tblPr>
      <w:tblGrid>
        <w:gridCol w:w="3088"/>
        <w:gridCol w:w="1019"/>
        <w:gridCol w:w="2296"/>
        <w:gridCol w:w="180"/>
        <w:gridCol w:w="2476"/>
      </w:tblGrid>
      <w:tr>
        <w:trPr>
          <w:trHeight w:val="261" w:hRule="exact"/>
        </w:trPr>
        <w:tc>
          <w:tcPr>
            <w:tcW w:w="3088"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single" w:sz="6" w:space="0" w:color="000000"/>
              <w:right w:val="nil" w:sz="6" w:space="0" w:color="auto"/>
            </w:tcBorders>
          </w:tcPr>
          <w:p>
            <w:pPr>
              <w:pStyle w:val="TableParagraph"/>
              <w:spacing w:line="220" w:lineRule="exact"/>
              <w:ind w:right="137"/>
              <w:jc w:val="center"/>
              <w:rPr>
                <w:rFonts w:ascii="宋体" w:hAnsi="宋体" w:cs="宋体" w:eastAsia="宋体" w:hint="default"/>
                <w:sz w:val="22"/>
                <w:szCs w:val="22"/>
              </w:rPr>
            </w:pPr>
            <w:r>
              <w:rPr>
                <w:rFonts w:ascii="宋体" w:hAnsi="宋体" w:cs="宋体" w:eastAsia="宋体" w:hint="default"/>
                <w:sz w:val="22"/>
                <w:szCs w:val="22"/>
              </w:rPr>
              <w:t>币种</w:t>
            </w:r>
          </w:p>
        </w:tc>
        <w:tc>
          <w:tcPr>
            <w:tcW w:w="2296" w:type="dxa"/>
            <w:tcBorders>
              <w:top w:val="nil" w:sz="6" w:space="0" w:color="auto"/>
              <w:left w:val="nil" w:sz="6" w:space="0" w:color="auto"/>
              <w:bottom w:val="single" w:sz="6" w:space="0" w:color="000000"/>
              <w:right w:val="nil" w:sz="6" w:space="0" w:color="auto"/>
            </w:tcBorders>
          </w:tcPr>
          <w:p>
            <w:pPr>
              <w:pStyle w:val="TableParagraph"/>
              <w:spacing w:line="235" w:lineRule="exact"/>
              <w:ind w:right="56"/>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80" w:type="dxa"/>
            <w:tcBorders>
              <w:top w:val="nil" w:sz="6" w:space="0" w:color="auto"/>
              <w:left w:val="nil" w:sz="6" w:space="0" w:color="auto"/>
              <w:bottom w:val="nil" w:sz="6" w:space="0" w:color="auto"/>
              <w:right w:val="nil" w:sz="6" w:space="0" w:color="auto"/>
            </w:tcBorders>
          </w:tcPr>
          <w:p>
            <w:pPr/>
          </w:p>
        </w:tc>
        <w:tc>
          <w:tcPr>
            <w:tcW w:w="2476" w:type="dxa"/>
            <w:tcBorders>
              <w:top w:val="nil" w:sz="6" w:space="0" w:color="auto"/>
              <w:left w:val="nil" w:sz="6" w:space="0" w:color="auto"/>
              <w:bottom w:val="single" w:sz="6" w:space="0" w:color="000000"/>
              <w:right w:val="nil" w:sz="6" w:space="0" w:color="auto"/>
            </w:tcBorders>
          </w:tcPr>
          <w:p>
            <w:pPr>
              <w:pStyle w:val="TableParagraph"/>
              <w:spacing w:line="235" w:lineRule="exact"/>
              <w:ind w:left="501"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687" w:hRule="exact"/>
        </w:trPr>
        <w:tc>
          <w:tcPr>
            <w:tcW w:w="308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保证借款（注）</w:t>
            </w:r>
          </w:p>
        </w:tc>
        <w:tc>
          <w:tcPr>
            <w:tcW w:w="1019"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37"/>
              <w:jc w:val="center"/>
              <w:rPr>
                <w:rFonts w:ascii="宋体" w:hAnsi="宋体" w:cs="宋体" w:eastAsia="宋体" w:hint="default"/>
                <w:sz w:val="22"/>
                <w:szCs w:val="22"/>
              </w:rPr>
            </w:pPr>
            <w:r>
              <w:rPr>
                <w:rFonts w:ascii="宋体" w:hAnsi="宋体" w:cs="宋体" w:eastAsia="宋体" w:hint="default"/>
                <w:sz w:val="22"/>
                <w:szCs w:val="22"/>
              </w:rPr>
              <w:t>美元</w:t>
            </w:r>
          </w:p>
        </w:tc>
        <w:tc>
          <w:tcPr>
            <w:tcW w:w="2296"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21"/>
              <w:jc w:val="right"/>
              <w:rPr>
                <w:rFonts w:ascii="Arial" w:hAnsi="Arial" w:cs="Arial" w:eastAsia="Arial" w:hint="default"/>
                <w:sz w:val="22"/>
                <w:szCs w:val="22"/>
              </w:rPr>
            </w:pPr>
            <w:r>
              <w:rPr>
                <w:rFonts w:ascii="Arial"/>
                <w:w w:val="95"/>
                <w:sz w:val="22"/>
              </w:rPr>
              <w:t>107,283,738</w:t>
            </w:r>
            <w:r>
              <w:rPr>
                <w:rFonts w:ascii="Arial"/>
                <w:sz w:val="22"/>
              </w:rPr>
            </w:r>
          </w:p>
        </w:tc>
        <w:tc>
          <w:tcPr>
            <w:tcW w:w="180" w:type="dxa"/>
            <w:tcBorders>
              <w:top w:val="nil" w:sz="6" w:space="0" w:color="auto"/>
              <w:left w:val="nil" w:sz="6" w:space="0" w:color="auto"/>
              <w:bottom w:val="nil" w:sz="6" w:space="0" w:color="auto"/>
              <w:right w:val="nil" w:sz="6" w:space="0" w:color="auto"/>
            </w:tcBorders>
          </w:tcPr>
          <w:p>
            <w:pPr/>
          </w:p>
        </w:tc>
        <w:tc>
          <w:tcPr>
            <w:tcW w:w="2476"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72" w:right="0"/>
              <w:jc w:val="left"/>
              <w:rPr>
                <w:rFonts w:ascii="Arial" w:hAnsi="Arial" w:cs="Arial" w:eastAsia="Arial" w:hint="default"/>
                <w:sz w:val="22"/>
                <w:szCs w:val="22"/>
              </w:rPr>
            </w:pPr>
            <w:r>
              <w:rPr>
                <w:rFonts w:ascii="Arial"/>
                <w:sz w:val="22"/>
              </w:rPr>
              <w:t>115,454,610</w:t>
            </w:r>
          </w:p>
        </w:tc>
      </w:tr>
      <w:tr>
        <w:trPr>
          <w:trHeight w:val="407" w:hRule="exact"/>
        </w:trPr>
        <w:tc>
          <w:tcPr>
            <w:tcW w:w="308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00" w:right="0"/>
              <w:jc w:val="left"/>
              <w:rPr>
                <w:rFonts w:ascii="宋体" w:hAnsi="宋体" w:cs="宋体" w:eastAsia="宋体" w:hint="default"/>
                <w:sz w:val="22"/>
                <w:szCs w:val="22"/>
              </w:rPr>
            </w:pPr>
            <w:r>
              <w:rPr>
                <w:rFonts w:ascii="宋体" w:hAnsi="宋体" w:cs="宋体" w:eastAsia="宋体" w:hint="default"/>
                <w:sz w:val="22"/>
                <w:szCs w:val="22"/>
              </w:rPr>
              <w:t>信用借款</w:t>
            </w:r>
          </w:p>
        </w:tc>
        <w:tc>
          <w:tcPr>
            <w:tcW w:w="1019" w:type="dxa"/>
            <w:tcBorders>
              <w:top w:val="nil" w:sz="6" w:space="0" w:color="auto"/>
              <w:left w:val="nil" w:sz="6" w:space="0" w:color="auto"/>
              <w:bottom w:val="nil" w:sz="6" w:space="0" w:color="auto"/>
              <w:right w:val="nil" w:sz="6" w:space="0" w:color="auto"/>
            </w:tcBorders>
          </w:tcPr>
          <w:p>
            <w:pPr/>
          </w:p>
        </w:tc>
        <w:tc>
          <w:tcPr>
            <w:tcW w:w="2296" w:type="dxa"/>
            <w:tcBorders>
              <w:top w:val="nil" w:sz="6" w:space="0" w:color="auto"/>
              <w:left w:val="nil" w:sz="6" w:space="0" w:color="auto"/>
              <w:bottom w:val="single" w:sz="6" w:space="0" w:color="000000"/>
              <w:right w:val="nil" w:sz="6" w:space="0" w:color="auto"/>
            </w:tcBorders>
          </w:tcPr>
          <w:p>
            <w:pPr>
              <w:pStyle w:val="TableParagraph"/>
              <w:spacing w:line="240" w:lineRule="auto" w:before="144"/>
              <w:ind w:right="123"/>
              <w:jc w:val="right"/>
              <w:rPr>
                <w:rFonts w:ascii="Arial" w:hAnsi="Arial" w:cs="Arial" w:eastAsia="Arial" w:hint="default"/>
                <w:sz w:val="22"/>
                <w:szCs w:val="22"/>
              </w:rPr>
            </w:pPr>
            <w:r>
              <w:rPr>
                <w:rFonts w:ascii="Arial"/>
                <w:spacing w:val="-1"/>
                <w:sz w:val="22"/>
              </w:rPr>
              <w:t>1,278,706,954</w:t>
            </w:r>
          </w:p>
        </w:tc>
        <w:tc>
          <w:tcPr>
            <w:tcW w:w="180" w:type="dxa"/>
            <w:tcBorders>
              <w:top w:val="nil" w:sz="6" w:space="0" w:color="auto"/>
              <w:left w:val="nil" w:sz="6" w:space="0" w:color="auto"/>
              <w:bottom w:val="nil" w:sz="6" w:space="0" w:color="auto"/>
              <w:right w:val="nil" w:sz="6" w:space="0" w:color="auto"/>
            </w:tcBorders>
          </w:tcPr>
          <w:p>
            <w:pPr/>
          </w:p>
        </w:tc>
        <w:tc>
          <w:tcPr>
            <w:tcW w:w="2476" w:type="dxa"/>
            <w:tcBorders>
              <w:top w:val="nil" w:sz="6" w:space="0" w:color="auto"/>
              <w:left w:val="nil" w:sz="6" w:space="0" w:color="auto"/>
              <w:bottom w:val="single" w:sz="6" w:space="0" w:color="000000"/>
              <w:right w:val="nil" w:sz="6" w:space="0" w:color="auto"/>
            </w:tcBorders>
          </w:tcPr>
          <w:p>
            <w:pPr>
              <w:pStyle w:val="TableParagraph"/>
              <w:spacing w:line="240" w:lineRule="auto" w:before="144"/>
              <w:ind w:left="889" w:right="0"/>
              <w:jc w:val="left"/>
              <w:rPr>
                <w:rFonts w:ascii="Arial" w:hAnsi="Arial" w:cs="Arial" w:eastAsia="Arial" w:hint="default"/>
                <w:sz w:val="22"/>
                <w:szCs w:val="22"/>
              </w:rPr>
            </w:pPr>
            <w:r>
              <w:rPr>
                <w:rFonts w:ascii="Arial"/>
                <w:sz w:val="22"/>
              </w:rPr>
              <w:t>1,317,993,850</w:t>
            </w:r>
          </w:p>
        </w:tc>
      </w:tr>
      <w:tr>
        <w:trPr>
          <w:trHeight w:val="305" w:hRule="exact"/>
        </w:trPr>
        <w:tc>
          <w:tcPr>
            <w:tcW w:w="3088" w:type="dxa"/>
            <w:tcBorders>
              <w:top w:val="nil" w:sz="6" w:space="0" w:color="auto"/>
              <w:left w:val="nil" w:sz="6" w:space="0" w:color="auto"/>
              <w:bottom w:val="nil" w:sz="6" w:space="0" w:color="auto"/>
              <w:right w:val="nil" w:sz="6" w:space="0" w:color="auto"/>
            </w:tcBorders>
          </w:tcPr>
          <w:p>
            <w:pPr>
              <w:pStyle w:val="TableParagraph"/>
              <w:spacing w:line="25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其中：</w:t>
            </w:r>
          </w:p>
        </w:tc>
        <w:tc>
          <w:tcPr>
            <w:tcW w:w="1019" w:type="dxa"/>
            <w:tcBorders>
              <w:top w:val="nil" w:sz="6" w:space="0" w:color="auto"/>
              <w:left w:val="nil" w:sz="6" w:space="0" w:color="auto"/>
              <w:bottom w:val="nil" w:sz="6" w:space="0" w:color="auto"/>
              <w:right w:val="single" w:sz="6" w:space="0" w:color="000000"/>
            </w:tcBorders>
          </w:tcPr>
          <w:p>
            <w:pPr>
              <w:pStyle w:val="TableParagraph"/>
              <w:spacing w:line="259" w:lineRule="exact"/>
              <w:ind w:right="131"/>
              <w:jc w:val="center"/>
              <w:rPr>
                <w:rFonts w:ascii="宋体" w:hAnsi="宋体" w:cs="宋体" w:eastAsia="宋体" w:hint="default"/>
                <w:sz w:val="22"/>
                <w:szCs w:val="22"/>
              </w:rPr>
            </w:pPr>
            <w:r>
              <w:rPr>
                <w:rFonts w:ascii="宋体" w:hAnsi="宋体" w:cs="宋体" w:eastAsia="宋体" w:hint="default"/>
                <w:sz w:val="22"/>
                <w:szCs w:val="22"/>
              </w:rPr>
              <w:t>人民币</w:t>
            </w:r>
          </w:p>
        </w:tc>
        <w:tc>
          <w:tcPr>
            <w:tcW w:w="229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0"/>
              <w:ind w:right="114"/>
              <w:jc w:val="right"/>
              <w:rPr>
                <w:rFonts w:ascii="Arial" w:hAnsi="Arial" w:cs="Arial" w:eastAsia="Arial" w:hint="default"/>
                <w:sz w:val="22"/>
                <w:szCs w:val="22"/>
              </w:rPr>
            </w:pPr>
            <w:r>
              <w:rPr>
                <w:rFonts w:ascii="Arial"/>
                <w:w w:val="95"/>
                <w:sz w:val="22"/>
              </w:rPr>
              <w:t>800,000,000</w:t>
            </w:r>
            <w:r>
              <w:rPr>
                <w:rFonts w:ascii="Arial"/>
                <w:sz w:val="22"/>
              </w:rPr>
            </w:r>
          </w:p>
        </w:tc>
        <w:tc>
          <w:tcPr>
            <w:tcW w:w="180" w:type="dxa"/>
            <w:tcBorders>
              <w:top w:val="nil" w:sz="6" w:space="0" w:color="auto"/>
              <w:left w:val="single" w:sz="6" w:space="0" w:color="000000"/>
              <w:bottom w:val="nil" w:sz="6" w:space="0" w:color="auto"/>
              <w:right w:val="nil" w:sz="6" w:space="0" w:color="auto"/>
            </w:tcBorders>
          </w:tcPr>
          <w:p>
            <w:pPr/>
          </w:p>
        </w:tc>
        <w:tc>
          <w:tcPr>
            <w:tcW w:w="2476" w:type="dxa"/>
            <w:tcBorders>
              <w:top w:val="single" w:sz="6" w:space="0" w:color="000000"/>
              <w:left w:val="nil" w:sz="6" w:space="0" w:color="auto"/>
              <w:bottom w:val="nil" w:sz="6" w:space="0" w:color="auto"/>
              <w:right w:val="single" w:sz="6" w:space="0" w:color="000000"/>
            </w:tcBorders>
          </w:tcPr>
          <w:p>
            <w:pPr>
              <w:pStyle w:val="TableParagraph"/>
              <w:spacing w:line="240" w:lineRule="auto" w:before="30"/>
              <w:ind w:left="1072" w:right="0"/>
              <w:jc w:val="left"/>
              <w:rPr>
                <w:rFonts w:ascii="Arial" w:hAnsi="Arial" w:cs="Arial" w:eastAsia="Arial" w:hint="default"/>
                <w:sz w:val="22"/>
                <w:szCs w:val="22"/>
              </w:rPr>
            </w:pPr>
            <w:r>
              <w:rPr>
                <w:rFonts w:ascii="Arial"/>
                <w:sz w:val="22"/>
              </w:rPr>
              <w:t>800,000,000</w:t>
            </w:r>
          </w:p>
        </w:tc>
      </w:tr>
      <w:tr>
        <w:trPr>
          <w:trHeight w:val="286" w:hRule="exact"/>
        </w:trPr>
        <w:tc>
          <w:tcPr>
            <w:tcW w:w="3088"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single" w:sz="6" w:space="0" w:color="000000"/>
            </w:tcBorders>
          </w:tcPr>
          <w:p>
            <w:pPr>
              <w:pStyle w:val="TableParagraph"/>
              <w:spacing w:line="239" w:lineRule="exact"/>
              <w:ind w:right="128"/>
              <w:jc w:val="center"/>
              <w:rPr>
                <w:rFonts w:ascii="宋体" w:hAnsi="宋体" w:cs="宋体" w:eastAsia="宋体" w:hint="default"/>
                <w:sz w:val="22"/>
                <w:szCs w:val="22"/>
              </w:rPr>
            </w:pPr>
            <w:r>
              <w:rPr>
                <w:rFonts w:ascii="宋体" w:hAnsi="宋体" w:cs="宋体" w:eastAsia="宋体" w:hint="default"/>
                <w:sz w:val="22"/>
                <w:szCs w:val="22"/>
              </w:rPr>
              <w:t>欧元</w:t>
            </w:r>
          </w:p>
        </w:tc>
        <w:tc>
          <w:tcPr>
            <w:tcW w:w="2296" w:type="dxa"/>
            <w:tcBorders>
              <w:top w:val="nil" w:sz="6" w:space="0" w:color="auto"/>
              <w:left w:val="single" w:sz="6" w:space="0" w:color="000000"/>
              <w:bottom w:val="nil" w:sz="6" w:space="0" w:color="auto"/>
              <w:right w:val="single" w:sz="6" w:space="0" w:color="000000"/>
            </w:tcBorders>
          </w:tcPr>
          <w:p>
            <w:pPr>
              <w:pStyle w:val="TableParagraph"/>
              <w:spacing w:line="240" w:lineRule="auto" w:before="17"/>
              <w:ind w:right="114"/>
              <w:jc w:val="right"/>
              <w:rPr>
                <w:rFonts w:ascii="Arial" w:hAnsi="Arial" w:cs="Arial" w:eastAsia="Arial" w:hint="default"/>
                <w:sz w:val="22"/>
                <w:szCs w:val="22"/>
              </w:rPr>
            </w:pPr>
            <w:r>
              <w:rPr>
                <w:rFonts w:ascii="Arial"/>
                <w:w w:val="95"/>
                <w:sz w:val="22"/>
              </w:rPr>
              <w:t>200,178,381</w:t>
            </w:r>
            <w:r>
              <w:rPr>
                <w:rFonts w:ascii="Arial"/>
                <w:sz w:val="22"/>
              </w:rPr>
            </w:r>
          </w:p>
        </w:tc>
        <w:tc>
          <w:tcPr>
            <w:tcW w:w="180" w:type="dxa"/>
            <w:tcBorders>
              <w:top w:val="nil" w:sz="6" w:space="0" w:color="auto"/>
              <w:left w:val="single" w:sz="6" w:space="0" w:color="000000"/>
              <w:bottom w:val="nil" w:sz="6" w:space="0" w:color="auto"/>
              <w:right w:val="nil" w:sz="6" w:space="0" w:color="auto"/>
            </w:tcBorders>
          </w:tcPr>
          <w:p>
            <w:pPr/>
          </w:p>
        </w:tc>
        <w:tc>
          <w:tcPr>
            <w:tcW w:w="2476" w:type="dxa"/>
            <w:tcBorders>
              <w:top w:val="nil" w:sz="6" w:space="0" w:color="auto"/>
              <w:left w:val="nil" w:sz="6" w:space="0" w:color="auto"/>
              <w:bottom w:val="nil" w:sz="6" w:space="0" w:color="auto"/>
              <w:right w:val="single" w:sz="6" w:space="0" w:color="000000"/>
            </w:tcBorders>
          </w:tcPr>
          <w:p>
            <w:pPr>
              <w:pStyle w:val="TableParagraph"/>
              <w:spacing w:line="240" w:lineRule="auto" w:before="17"/>
              <w:ind w:left="1072" w:right="0"/>
              <w:jc w:val="left"/>
              <w:rPr>
                <w:rFonts w:ascii="Arial" w:hAnsi="Arial" w:cs="Arial" w:eastAsia="Arial" w:hint="default"/>
                <w:sz w:val="22"/>
                <w:szCs w:val="22"/>
              </w:rPr>
            </w:pPr>
            <w:r>
              <w:rPr>
                <w:rFonts w:ascii="Arial"/>
                <w:sz w:val="22"/>
              </w:rPr>
              <w:t>222,915,244</w:t>
            </w:r>
          </w:p>
        </w:tc>
      </w:tr>
      <w:tr>
        <w:trPr>
          <w:trHeight w:val="279" w:hRule="exact"/>
        </w:trPr>
        <w:tc>
          <w:tcPr>
            <w:tcW w:w="3088"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single" w:sz="6" w:space="0" w:color="000000"/>
            </w:tcBorders>
          </w:tcPr>
          <w:p>
            <w:pPr>
              <w:pStyle w:val="TableParagraph"/>
              <w:spacing w:line="239" w:lineRule="exact"/>
              <w:ind w:right="128"/>
              <w:jc w:val="center"/>
              <w:rPr>
                <w:rFonts w:ascii="宋体" w:hAnsi="宋体" w:cs="宋体" w:eastAsia="宋体" w:hint="default"/>
                <w:sz w:val="22"/>
                <w:szCs w:val="22"/>
              </w:rPr>
            </w:pPr>
            <w:r>
              <w:rPr>
                <w:rFonts w:ascii="宋体" w:hAnsi="宋体" w:cs="宋体" w:eastAsia="宋体" w:hint="default"/>
                <w:sz w:val="22"/>
                <w:szCs w:val="22"/>
              </w:rPr>
              <w:t>美元</w:t>
            </w:r>
          </w:p>
        </w:tc>
        <w:tc>
          <w:tcPr>
            <w:tcW w:w="229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7"/>
              <w:ind w:right="114"/>
              <w:jc w:val="right"/>
              <w:rPr>
                <w:rFonts w:ascii="Arial" w:hAnsi="Arial" w:cs="Arial" w:eastAsia="Arial" w:hint="default"/>
                <w:sz w:val="22"/>
                <w:szCs w:val="22"/>
              </w:rPr>
            </w:pPr>
            <w:r>
              <w:rPr>
                <w:rFonts w:ascii="Arial"/>
                <w:w w:val="95"/>
                <w:sz w:val="22"/>
              </w:rPr>
              <w:t>278,528,573</w:t>
            </w:r>
            <w:r>
              <w:rPr>
                <w:rFonts w:ascii="Arial"/>
                <w:sz w:val="22"/>
              </w:rPr>
            </w:r>
          </w:p>
        </w:tc>
        <w:tc>
          <w:tcPr>
            <w:tcW w:w="180" w:type="dxa"/>
            <w:tcBorders>
              <w:top w:val="nil" w:sz="6" w:space="0" w:color="auto"/>
              <w:left w:val="single" w:sz="6" w:space="0" w:color="000000"/>
              <w:bottom w:val="nil" w:sz="6" w:space="0" w:color="auto"/>
              <w:right w:val="nil" w:sz="6" w:space="0" w:color="auto"/>
            </w:tcBorders>
          </w:tcPr>
          <w:p>
            <w:pPr/>
          </w:p>
        </w:tc>
        <w:tc>
          <w:tcPr>
            <w:tcW w:w="2476" w:type="dxa"/>
            <w:tcBorders>
              <w:top w:val="nil" w:sz="6" w:space="0" w:color="auto"/>
              <w:left w:val="nil" w:sz="6" w:space="0" w:color="auto"/>
              <w:bottom w:val="single" w:sz="6" w:space="0" w:color="000000"/>
              <w:right w:val="single" w:sz="6" w:space="0" w:color="000000"/>
            </w:tcBorders>
          </w:tcPr>
          <w:p>
            <w:pPr>
              <w:pStyle w:val="TableParagraph"/>
              <w:spacing w:line="240" w:lineRule="auto" w:before="17"/>
              <w:ind w:left="1072" w:right="0"/>
              <w:jc w:val="left"/>
              <w:rPr>
                <w:rFonts w:ascii="Arial" w:hAnsi="Arial" w:cs="Arial" w:eastAsia="Arial" w:hint="default"/>
                <w:sz w:val="22"/>
                <w:szCs w:val="22"/>
              </w:rPr>
            </w:pPr>
            <w:r>
              <w:rPr>
                <w:rFonts w:ascii="Arial"/>
                <w:sz w:val="22"/>
              </w:rPr>
              <w:t>295,078,606</w:t>
            </w:r>
          </w:p>
        </w:tc>
      </w:tr>
      <w:tr>
        <w:trPr>
          <w:trHeight w:val="582" w:hRule="exact"/>
        </w:trPr>
        <w:tc>
          <w:tcPr>
            <w:tcW w:w="308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33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tabs>
                <w:tab w:pos="1783" w:val="left" w:leader="none"/>
                <w:tab w:pos="3314" w:val="left" w:leader="none"/>
              </w:tabs>
              <w:spacing w:line="240" w:lineRule="auto"/>
              <w:ind w:left="1018"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1,385,990,692</w:t>
              <w:tab/>
            </w:r>
            <w:r>
              <w:rPr>
                <w:rFonts w:ascii="Arial"/>
                <w:sz w:val="22"/>
              </w:rPr>
            </w:r>
          </w:p>
        </w:tc>
        <w:tc>
          <w:tcPr>
            <w:tcW w:w="180" w:type="dxa"/>
            <w:tcBorders>
              <w:top w:val="nil" w:sz="6" w:space="0" w:color="auto"/>
              <w:left w:val="nil" w:sz="6" w:space="0" w:color="auto"/>
              <w:bottom w:val="nil" w:sz="6" w:space="0" w:color="auto"/>
              <w:right w:val="nil" w:sz="6" w:space="0" w:color="auto"/>
            </w:tcBorders>
          </w:tcPr>
          <w:p>
            <w:pPr/>
          </w:p>
        </w:tc>
        <w:tc>
          <w:tcPr>
            <w:tcW w:w="2476"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tabs>
                <w:tab w:pos="889" w:val="left" w:leader="none"/>
                <w:tab w:pos="2475" w:val="left" w:leader="none"/>
              </w:tabs>
              <w:spacing w:line="240" w:lineRule="auto"/>
              <w:ind w:right="-1"/>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1,433,448,460</w:t>
              <w:tab/>
            </w:r>
            <w:r>
              <w:rPr>
                <w:rFonts w:ascii="Arial"/>
                <w:sz w:val="22"/>
              </w:rPr>
            </w:r>
          </w:p>
        </w:tc>
      </w:tr>
      <w:tr>
        <w:trPr>
          <w:trHeight w:val="692" w:hRule="exact"/>
        </w:trPr>
        <w:tc>
          <w:tcPr>
            <w:tcW w:w="9058" w:type="dxa"/>
            <w:gridSpan w:val="5"/>
            <w:tcBorders>
              <w:top w:val="nil" w:sz="6" w:space="0" w:color="auto"/>
              <w:left w:val="nil" w:sz="6" w:space="0" w:color="auto"/>
              <w:bottom w:val="nil" w:sz="6" w:space="0" w:color="auto"/>
              <w:right w:val="nil" w:sz="6" w:space="0" w:color="auto"/>
            </w:tcBorders>
          </w:tcPr>
          <w:p>
            <w:pPr>
              <w:pStyle w:val="TableParagraph"/>
              <w:spacing w:line="253" w:lineRule="exact"/>
              <w:ind w:left="200" w:right="0"/>
              <w:jc w:val="left"/>
              <w:rPr>
                <w:rFonts w:ascii="宋体" w:hAnsi="宋体" w:cs="宋体" w:eastAsia="宋体" w:hint="default"/>
                <w:sz w:val="22"/>
                <w:szCs w:val="22"/>
              </w:rPr>
            </w:pPr>
            <w:r>
              <w:rPr>
                <w:rFonts w:ascii="宋体" w:hAnsi="宋体" w:cs="宋体" w:eastAsia="宋体" w:hint="default"/>
                <w:sz w:val="22"/>
                <w:szCs w:val="22"/>
              </w:rPr>
              <w:t>减：</w:t>
            </w:r>
            <w:r>
              <w:rPr>
                <w:rFonts w:ascii="Arial" w:hAnsi="Arial" w:cs="Arial" w:eastAsia="Arial" w:hint="default"/>
                <w:sz w:val="22"/>
                <w:szCs w:val="22"/>
              </w:rPr>
              <w:t>1</w:t>
            </w:r>
            <w:r>
              <w:rPr>
                <w:rFonts w:ascii="Arial" w:hAnsi="Arial" w:cs="Arial" w:eastAsia="Arial" w:hint="default"/>
                <w:spacing w:val="-8"/>
                <w:sz w:val="22"/>
                <w:szCs w:val="22"/>
              </w:rPr>
              <w:t> </w:t>
            </w:r>
            <w:r>
              <w:rPr>
                <w:rFonts w:ascii="宋体" w:hAnsi="宋体" w:cs="宋体" w:eastAsia="宋体" w:hint="default"/>
                <w:sz w:val="22"/>
                <w:szCs w:val="22"/>
              </w:rPr>
              <w:t>年内（含</w:t>
            </w:r>
            <w:r>
              <w:rPr>
                <w:rFonts w:ascii="宋体" w:hAnsi="宋体" w:cs="宋体" w:eastAsia="宋体" w:hint="default"/>
                <w:spacing w:val="-57"/>
                <w:sz w:val="22"/>
                <w:szCs w:val="22"/>
              </w:rPr>
              <w:t> </w:t>
            </w:r>
            <w:r>
              <w:rPr>
                <w:rFonts w:ascii="Arial" w:hAnsi="Arial" w:cs="Arial" w:eastAsia="Arial" w:hint="default"/>
                <w:sz w:val="22"/>
                <w:szCs w:val="22"/>
              </w:rPr>
              <w:t>1</w:t>
            </w:r>
            <w:r>
              <w:rPr>
                <w:rFonts w:ascii="Arial" w:hAnsi="Arial" w:cs="Arial" w:eastAsia="Arial" w:hint="default"/>
                <w:spacing w:val="-8"/>
                <w:sz w:val="22"/>
                <w:szCs w:val="22"/>
              </w:rPr>
              <w:t> </w:t>
            </w:r>
            <w:r>
              <w:rPr>
                <w:rFonts w:ascii="宋体" w:hAnsi="宋体" w:cs="宋体" w:eastAsia="宋体" w:hint="default"/>
                <w:sz w:val="22"/>
                <w:szCs w:val="22"/>
              </w:rPr>
              <w:t>年）到期的</w:t>
            </w:r>
          </w:p>
          <w:p>
            <w:pPr>
              <w:pStyle w:val="TableParagraph"/>
              <w:spacing w:line="279" w:lineRule="exact"/>
              <w:ind w:left="641" w:right="0"/>
              <w:jc w:val="left"/>
              <w:rPr>
                <w:rFonts w:ascii="宋体" w:hAnsi="宋体" w:cs="宋体" w:eastAsia="宋体" w:hint="default"/>
                <w:sz w:val="22"/>
                <w:szCs w:val="22"/>
              </w:rPr>
            </w:pPr>
            <w:r>
              <w:rPr>
                <w:rFonts w:ascii="宋体" w:hAnsi="宋体" w:cs="宋体" w:eastAsia="宋体" w:hint="default"/>
                <w:sz w:val="22"/>
                <w:szCs w:val="22"/>
              </w:rPr>
              <w:t>长期借款</w:t>
            </w:r>
          </w:p>
        </w:tc>
      </w:tr>
      <w:tr>
        <w:trPr>
          <w:trHeight w:val="550" w:hRule="exact"/>
        </w:trPr>
        <w:tc>
          <w:tcPr>
            <w:tcW w:w="308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0" w:right="0"/>
              <w:jc w:val="left"/>
              <w:rPr>
                <w:rFonts w:ascii="宋体" w:hAnsi="宋体" w:cs="宋体" w:eastAsia="宋体" w:hint="default"/>
                <w:sz w:val="22"/>
                <w:szCs w:val="22"/>
              </w:rPr>
            </w:pPr>
            <w:r>
              <w:rPr>
                <w:rFonts w:ascii="宋体" w:hAnsi="宋体" w:cs="宋体" w:eastAsia="宋体" w:hint="default"/>
                <w:sz w:val="22"/>
                <w:szCs w:val="22"/>
              </w:rPr>
              <w:t>保证借款</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37"/>
              <w:jc w:val="center"/>
              <w:rPr>
                <w:rFonts w:ascii="宋体" w:hAnsi="宋体" w:cs="宋体" w:eastAsia="宋体" w:hint="default"/>
                <w:sz w:val="22"/>
                <w:szCs w:val="22"/>
              </w:rPr>
            </w:pPr>
            <w:r>
              <w:rPr>
                <w:rFonts w:ascii="宋体" w:hAnsi="宋体" w:cs="宋体" w:eastAsia="宋体" w:hint="default"/>
                <w:sz w:val="22"/>
                <w:szCs w:val="22"/>
              </w:rPr>
              <w:t>美元</w:t>
            </w:r>
          </w:p>
        </w:tc>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55"/>
              <w:jc w:val="right"/>
              <w:rPr>
                <w:rFonts w:ascii="Arial" w:hAnsi="Arial" w:cs="Arial" w:eastAsia="Arial" w:hint="default"/>
                <w:sz w:val="22"/>
                <w:szCs w:val="22"/>
              </w:rPr>
            </w:pPr>
            <w:r>
              <w:rPr>
                <w:rFonts w:ascii="Arial"/>
                <w:w w:val="95"/>
                <w:sz w:val="22"/>
              </w:rPr>
              <w:t>(7,258,012)</w:t>
            </w:r>
            <w:r>
              <w:rPr>
                <w:rFonts w:ascii="Arial"/>
                <w:sz w:val="22"/>
              </w:rPr>
            </w:r>
          </w:p>
        </w:tc>
        <w:tc>
          <w:tcPr>
            <w:tcW w:w="180" w:type="dxa"/>
            <w:tcBorders>
              <w:top w:val="nil" w:sz="6" w:space="0" w:color="auto"/>
              <w:left w:val="nil" w:sz="6" w:space="0" w:color="auto"/>
              <w:bottom w:val="nil" w:sz="6" w:space="0" w:color="auto"/>
              <w:right w:val="nil" w:sz="6" w:space="0" w:color="auto"/>
            </w:tcBorders>
          </w:tcPr>
          <w:p>
            <w:pPr/>
          </w:p>
        </w:tc>
        <w:tc>
          <w:tcPr>
            <w:tcW w:w="2476"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1243" w:right="0"/>
              <w:jc w:val="left"/>
              <w:rPr>
                <w:rFonts w:ascii="Arial" w:hAnsi="Arial" w:cs="Arial" w:eastAsia="Arial" w:hint="default"/>
                <w:sz w:val="22"/>
                <w:szCs w:val="22"/>
              </w:rPr>
            </w:pPr>
            <w:r>
              <w:rPr>
                <w:rFonts w:ascii="Arial"/>
                <w:sz w:val="22"/>
              </w:rPr>
              <w:t>(7,350,102)</w:t>
            </w:r>
          </w:p>
        </w:tc>
      </w:tr>
      <w:tr>
        <w:trPr>
          <w:trHeight w:val="406" w:hRule="exact"/>
        </w:trPr>
        <w:tc>
          <w:tcPr>
            <w:tcW w:w="308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00" w:right="0"/>
              <w:jc w:val="left"/>
              <w:rPr>
                <w:rFonts w:ascii="宋体" w:hAnsi="宋体" w:cs="宋体" w:eastAsia="宋体" w:hint="default"/>
                <w:sz w:val="22"/>
                <w:szCs w:val="22"/>
              </w:rPr>
            </w:pPr>
            <w:r>
              <w:rPr>
                <w:rFonts w:ascii="宋体" w:hAnsi="宋体" w:cs="宋体" w:eastAsia="宋体" w:hint="default"/>
                <w:sz w:val="22"/>
                <w:szCs w:val="22"/>
              </w:rPr>
              <w:t>信用借款</w:t>
            </w:r>
          </w:p>
        </w:tc>
        <w:tc>
          <w:tcPr>
            <w:tcW w:w="1019" w:type="dxa"/>
            <w:tcBorders>
              <w:top w:val="nil" w:sz="6" w:space="0" w:color="auto"/>
              <w:left w:val="nil" w:sz="6" w:space="0" w:color="auto"/>
              <w:bottom w:val="nil" w:sz="6" w:space="0" w:color="auto"/>
              <w:right w:val="nil" w:sz="6" w:space="0" w:color="auto"/>
            </w:tcBorders>
          </w:tcPr>
          <w:p>
            <w:pPr/>
          </w:p>
        </w:tc>
        <w:tc>
          <w:tcPr>
            <w:tcW w:w="2296" w:type="dxa"/>
            <w:tcBorders>
              <w:top w:val="nil" w:sz="6" w:space="0" w:color="auto"/>
              <w:left w:val="nil" w:sz="6" w:space="0" w:color="auto"/>
              <w:bottom w:val="single" w:sz="6" w:space="0" w:color="000000"/>
              <w:right w:val="nil" w:sz="6" w:space="0" w:color="auto"/>
            </w:tcBorders>
          </w:tcPr>
          <w:p>
            <w:pPr>
              <w:pStyle w:val="TableParagraph"/>
              <w:spacing w:line="240" w:lineRule="auto" w:before="143"/>
              <w:ind w:right="57"/>
              <w:jc w:val="right"/>
              <w:rPr>
                <w:rFonts w:ascii="Arial" w:hAnsi="Arial" w:cs="Arial" w:eastAsia="Arial" w:hint="default"/>
                <w:sz w:val="22"/>
                <w:szCs w:val="22"/>
              </w:rPr>
            </w:pPr>
            <w:r>
              <w:rPr>
                <w:rFonts w:ascii="Arial"/>
                <w:w w:val="95"/>
                <w:sz w:val="22"/>
              </w:rPr>
              <w:t>(842,880,902)</w:t>
            </w:r>
            <w:r>
              <w:rPr>
                <w:rFonts w:ascii="Arial"/>
                <w:sz w:val="22"/>
              </w:rPr>
            </w:r>
          </w:p>
        </w:tc>
        <w:tc>
          <w:tcPr>
            <w:tcW w:w="180" w:type="dxa"/>
            <w:tcBorders>
              <w:top w:val="nil" w:sz="6" w:space="0" w:color="auto"/>
              <w:left w:val="nil" w:sz="6" w:space="0" w:color="auto"/>
              <w:bottom w:val="nil" w:sz="6" w:space="0" w:color="auto"/>
              <w:right w:val="nil" w:sz="6" w:space="0" w:color="auto"/>
            </w:tcBorders>
          </w:tcPr>
          <w:p>
            <w:pPr/>
          </w:p>
        </w:tc>
        <w:tc>
          <w:tcPr>
            <w:tcW w:w="2476" w:type="dxa"/>
            <w:tcBorders>
              <w:top w:val="nil" w:sz="6" w:space="0" w:color="auto"/>
              <w:left w:val="nil" w:sz="6" w:space="0" w:color="auto"/>
              <w:bottom w:val="single" w:sz="6" w:space="0" w:color="000000"/>
              <w:right w:val="nil" w:sz="6" w:space="0" w:color="auto"/>
            </w:tcBorders>
          </w:tcPr>
          <w:p>
            <w:pPr>
              <w:pStyle w:val="TableParagraph"/>
              <w:spacing w:line="240" w:lineRule="auto" w:before="143"/>
              <w:ind w:left="1120" w:right="0"/>
              <w:jc w:val="left"/>
              <w:rPr>
                <w:rFonts w:ascii="Arial" w:hAnsi="Arial" w:cs="Arial" w:eastAsia="Arial" w:hint="default"/>
                <w:sz w:val="22"/>
                <w:szCs w:val="22"/>
              </w:rPr>
            </w:pPr>
            <w:r>
              <w:rPr>
                <w:rFonts w:ascii="Arial"/>
                <w:sz w:val="22"/>
              </w:rPr>
              <w:t>(42,418,884)</w:t>
            </w:r>
          </w:p>
        </w:tc>
      </w:tr>
      <w:tr>
        <w:trPr>
          <w:trHeight w:val="289" w:hRule="exact"/>
        </w:trPr>
        <w:tc>
          <w:tcPr>
            <w:tcW w:w="3088" w:type="dxa"/>
            <w:tcBorders>
              <w:top w:val="nil" w:sz="6" w:space="0" w:color="auto"/>
              <w:left w:val="nil" w:sz="6" w:space="0" w:color="auto"/>
              <w:bottom w:val="nil" w:sz="6" w:space="0" w:color="auto"/>
              <w:right w:val="nil" w:sz="6" w:space="0" w:color="auto"/>
            </w:tcBorders>
          </w:tcPr>
          <w:p>
            <w:pPr>
              <w:pStyle w:val="TableParagraph"/>
              <w:spacing w:line="25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其中：</w:t>
            </w:r>
          </w:p>
        </w:tc>
        <w:tc>
          <w:tcPr>
            <w:tcW w:w="1019" w:type="dxa"/>
            <w:tcBorders>
              <w:top w:val="nil" w:sz="6" w:space="0" w:color="auto"/>
              <w:left w:val="nil" w:sz="6" w:space="0" w:color="auto"/>
              <w:bottom w:val="nil" w:sz="6" w:space="0" w:color="auto"/>
              <w:right w:val="single" w:sz="6" w:space="0" w:color="000000"/>
            </w:tcBorders>
          </w:tcPr>
          <w:p>
            <w:pPr>
              <w:pStyle w:val="TableParagraph"/>
              <w:spacing w:line="259" w:lineRule="exact"/>
              <w:ind w:right="131"/>
              <w:jc w:val="center"/>
              <w:rPr>
                <w:rFonts w:ascii="宋体" w:hAnsi="宋体" w:cs="宋体" w:eastAsia="宋体" w:hint="default"/>
                <w:sz w:val="22"/>
                <w:szCs w:val="22"/>
              </w:rPr>
            </w:pPr>
            <w:r>
              <w:rPr>
                <w:rFonts w:ascii="宋体" w:hAnsi="宋体" w:cs="宋体" w:eastAsia="宋体" w:hint="default"/>
                <w:sz w:val="22"/>
                <w:szCs w:val="22"/>
              </w:rPr>
              <w:t>人民币</w:t>
            </w:r>
          </w:p>
        </w:tc>
        <w:tc>
          <w:tcPr>
            <w:tcW w:w="229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
              <w:ind w:right="48"/>
              <w:jc w:val="right"/>
              <w:rPr>
                <w:rFonts w:ascii="Arial" w:hAnsi="Arial" w:cs="Arial" w:eastAsia="Arial" w:hint="default"/>
                <w:sz w:val="22"/>
                <w:szCs w:val="22"/>
              </w:rPr>
            </w:pPr>
            <w:r>
              <w:rPr>
                <w:rFonts w:ascii="Arial"/>
                <w:w w:val="95"/>
                <w:sz w:val="22"/>
              </w:rPr>
              <w:t>(800,000,000)</w:t>
            </w:r>
            <w:r>
              <w:rPr>
                <w:rFonts w:ascii="Arial"/>
                <w:sz w:val="22"/>
              </w:rPr>
            </w:r>
          </w:p>
        </w:tc>
        <w:tc>
          <w:tcPr>
            <w:tcW w:w="180" w:type="dxa"/>
            <w:tcBorders>
              <w:top w:val="nil" w:sz="6" w:space="0" w:color="auto"/>
              <w:left w:val="single" w:sz="6" w:space="0" w:color="000000"/>
              <w:bottom w:val="nil" w:sz="6" w:space="0" w:color="auto"/>
              <w:right w:val="single" w:sz="6" w:space="0" w:color="000000"/>
            </w:tcBorders>
          </w:tcPr>
          <w:p>
            <w:pPr/>
          </w:p>
        </w:tc>
        <w:tc>
          <w:tcPr>
            <w:tcW w:w="247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
              <w:ind w:right="170"/>
              <w:jc w:val="right"/>
              <w:rPr>
                <w:rFonts w:ascii="Arial" w:hAnsi="Arial" w:cs="Arial" w:eastAsia="Arial" w:hint="default"/>
                <w:sz w:val="22"/>
                <w:szCs w:val="22"/>
              </w:rPr>
            </w:pPr>
            <w:r>
              <w:rPr>
                <w:rFonts w:ascii="Arial"/>
                <w:w w:val="99"/>
                <w:sz w:val="22"/>
              </w:rPr>
              <w:t>-</w:t>
            </w:r>
            <w:r>
              <w:rPr>
                <w:rFonts w:ascii="Arial"/>
                <w:sz w:val="22"/>
              </w:rPr>
            </w:r>
          </w:p>
        </w:tc>
      </w:tr>
      <w:tr>
        <w:trPr>
          <w:trHeight w:val="284" w:hRule="exact"/>
        </w:trPr>
        <w:tc>
          <w:tcPr>
            <w:tcW w:w="3088"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single" w:sz="6" w:space="0" w:color="000000"/>
            </w:tcBorders>
          </w:tcPr>
          <w:p>
            <w:pPr>
              <w:pStyle w:val="TableParagraph"/>
              <w:spacing w:line="239" w:lineRule="exact"/>
              <w:ind w:right="128"/>
              <w:jc w:val="center"/>
              <w:rPr>
                <w:rFonts w:ascii="宋体" w:hAnsi="宋体" w:cs="宋体" w:eastAsia="宋体" w:hint="default"/>
                <w:sz w:val="22"/>
                <w:szCs w:val="22"/>
              </w:rPr>
            </w:pPr>
            <w:r>
              <w:rPr>
                <w:rFonts w:ascii="宋体" w:hAnsi="宋体" w:cs="宋体" w:eastAsia="宋体" w:hint="default"/>
                <w:sz w:val="22"/>
                <w:szCs w:val="22"/>
              </w:rPr>
              <w:t>欧元</w:t>
            </w:r>
          </w:p>
        </w:tc>
        <w:tc>
          <w:tcPr>
            <w:tcW w:w="2296"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right="49"/>
              <w:jc w:val="right"/>
              <w:rPr>
                <w:rFonts w:ascii="Arial" w:hAnsi="Arial" w:cs="Arial" w:eastAsia="Arial" w:hint="default"/>
                <w:sz w:val="22"/>
                <w:szCs w:val="22"/>
              </w:rPr>
            </w:pPr>
            <w:r>
              <w:rPr>
                <w:rFonts w:ascii="Arial"/>
                <w:w w:val="95"/>
                <w:sz w:val="22"/>
              </w:rPr>
              <w:t>(26,940,191)</w:t>
            </w:r>
            <w:r>
              <w:rPr>
                <w:rFonts w:ascii="Arial"/>
                <w:sz w:val="22"/>
              </w:rPr>
            </w:r>
          </w:p>
        </w:tc>
        <w:tc>
          <w:tcPr>
            <w:tcW w:w="180" w:type="dxa"/>
            <w:tcBorders>
              <w:top w:val="nil" w:sz="6" w:space="0" w:color="auto"/>
              <w:left w:val="single" w:sz="6" w:space="0" w:color="000000"/>
              <w:bottom w:val="nil" w:sz="6" w:space="0" w:color="auto"/>
              <w:right w:val="single" w:sz="6" w:space="0" w:color="000000"/>
            </w:tcBorders>
          </w:tcPr>
          <w:p>
            <w:pPr/>
          </w:p>
        </w:tc>
        <w:tc>
          <w:tcPr>
            <w:tcW w:w="2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1113" w:right="0"/>
              <w:jc w:val="left"/>
              <w:rPr>
                <w:rFonts w:ascii="Arial" w:hAnsi="Arial" w:cs="Arial" w:eastAsia="Arial" w:hint="default"/>
                <w:sz w:val="22"/>
                <w:szCs w:val="22"/>
              </w:rPr>
            </w:pPr>
            <w:r>
              <w:rPr>
                <w:rFonts w:ascii="Arial"/>
                <w:sz w:val="22"/>
              </w:rPr>
              <w:t>(26,437,832)</w:t>
            </w:r>
          </w:p>
        </w:tc>
      </w:tr>
      <w:tr>
        <w:trPr>
          <w:trHeight w:val="279" w:hRule="exact"/>
        </w:trPr>
        <w:tc>
          <w:tcPr>
            <w:tcW w:w="3088"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single" w:sz="6" w:space="0" w:color="000000"/>
            </w:tcBorders>
          </w:tcPr>
          <w:p>
            <w:pPr>
              <w:pStyle w:val="TableParagraph"/>
              <w:spacing w:line="239" w:lineRule="exact"/>
              <w:ind w:right="128"/>
              <w:jc w:val="center"/>
              <w:rPr>
                <w:rFonts w:ascii="宋体" w:hAnsi="宋体" w:cs="宋体" w:eastAsia="宋体" w:hint="default"/>
                <w:sz w:val="22"/>
                <w:szCs w:val="22"/>
              </w:rPr>
            </w:pPr>
            <w:r>
              <w:rPr>
                <w:rFonts w:ascii="宋体" w:hAnsi="宋体" w:cs="宋体" w:eastAsia="宋体" w:hint="default"/>
                <w:sz w:val="22"/>
                <w:szCs w:val="22"/>
              </w:rPr>
              <w:t>美元</w:t>
            </w:r>
          </w:p>
        </w:tc>
        <w:tc>
          <w:tcPr>
            <w:tcW w:w="229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6"/>
              <w:ind w:right="49"/>
              <w:jc w:val="right"/>
              <w:rPr>
                <w:rFonts w:ascii="Arial" w:hAnsi="Arial" w:cs="Arial" w:eastAsia="Arial" w:hint="default"/>
                <w:sz w:val="22"/>
                <w:szCs w:val="22"/>
              </w:rPr>
            </w:pPr>
            <w:r>
              <w:rPr>
                <w:rFonts w:ascii="Arial"/>
                <w:w w:val="95"/>
                <w:sz w:val="22"/>
              </w:rPr>
              <w:t>(15,940,711)</w:t>
            </w:r>
            <w:r>
              <w:rPr>
                <w:rFonts w:ascii="Arial"/>
                <w:sz w:val="22"/>
              </w:rPr>
            </w:r>
          </w:p>
        </w:tc>
        <w:tc>
          <w:tcPr>
            <w:tcW w:w="180" w:type="dxa"/>
            <w:tcBorders>
              <w:top w:val="nil" w:sz="6" w:space="0" w:color="auto"/>
              <w:left w:val="single" w:sz="6" w:space="0" w:color="000000"/>
              <w:bottom w:val="nil" w:sz="6" w:space="0" w:color="auto"/>
              <w:right w:val="single" w:sz="6" w:space="0" w:color="000000"/>
            </w:tcBorders>
          </w:tcPr>
          <w:p>
            <w:pPr/>
          </w:p>
        </w:tc>
        <w:tc>
          <w:tcPr>
            <w:tcW w:w="247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6"/>
              <w:ind w:left="1113" w:right="0"/>
              <w:jc w:val="left"/>
              <w:rPr>
                <w:rFonts w:ascii="Arial" w:hAnsi="Arial" w:cs="Arial" w:eastAsia="Arial" w:hint="default"/>
                <w:sz w:val="22"/>
                <w:szCs w:val="22"/>
              </w:rPr>
            </w:pPr>
            <w:r>
              <w:rPr>
                <w:rFonts w:ascii="Arial"/>
                <w:sz w:val="22"/>
              </w:rPr>
              <w:t>(15,981,052)</w:t>
            </w:r>
          </w:p>
        </w:tc>
      </w:tr>
      <w:tr>
        <w:trPr>
          <w:trHeight w:val="716" w:hRule="exact"/>
        </w:trPr>
        <w:tc>
          <w:tcPr>
            <w:tcW w:w="308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33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tabs>
                <w:tab w:pos="1887" w:val="left" w:leader="none"/>
              </w:tabs>
              <w:spacing w:line="240" w:lineRule="auto"/>
              <w:ind w:left="1018"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(850,138,914)</w:t>
            </w:r>
            <w:r>
              <w:rPr>
                <w:rFonts w:ascii="Arial"/>
                <w:sz w:val="22"/>
              </w:rPr>
            </w:r>
          </w:p>
        </w:tc>
        <w:tc>
          <w:tcPr>
            <w:tcW w:w="180" w:type="dxa"/>
            <w:tcBorders>
              <w:top w:val="nil" w:sz="6" w:space="0" w:color="auto"/>
              <w:left w:val="nil" w:sz="6" w:space="0" w:color="auto"/>
              <w:bottom w:val="nil" w:sz="6" w:space="0" w:color="auto"/>
              <w:right w:val="nil" w:sz="6" w:space="0" w:color="auto"/>
            </w:tcBorders>
          </w:tcPr>
          <w:p>
            <w:pPr/>
          </w:p>
        </w:tc>
        <w:tc>
          <w:tcPr>
            <w:tcW w:w="2476"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tabs>
                <w:tab w:pos="1120" w:val="left" w:leader="none"/>
                <w:tab w:pos="2475" w:val="left" w:leader="none"/>
              </w:tabs>
              <w:spacing w:line="240" w:lineRule="auto"/>
              <w:ind w:right="-1"/>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(49,768,986)</w:t>
              <w:tab/>
            </w:r>
            <w:r>
              <w:rPr>
                <w:rFonts w:ascii="Arial"/>
                <w:sz w:val="22"/>
              </w:rPr>
            </w:r>
          </w:p>
        </w:tc>
      </w:tr>
      <w:tr>
        <w:trPr>
          <w:trHeight w:val="438" w:hRule="exact"/>
        </w:trPr>
        <w:tc>
          <w:tcPr>
            <w:tcW w:w="308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00"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11"/>
                <w:sz w:val="22"/>
                <w:szCs w:val="22"/>
              </w:rPr>
              <w:t> </w:t>
            </w:r>
            <w:r>
              <w:rPr>
                <w:rFonts w:ascii="宋体" w:hAnsi="宋体" w:cs="宋体" w:eastAsia="宋体" w:hint="default"/>
                <w:sz w:val="22"/>
                <w:szCs w:val="22"/>
              </w:rPr>
              <w:t>年以上到期的长期借款</w:t>
            </w:r>
          </w:p>
        </w:tc>
        <w:tc>
          <w:tcPr>
            <w:tcW w:w="1019" w:type="dxa"/>
            <w:tcBorders>
              <w:top w:val="nil" w:sz="6" w:space="0" w:color="auto"/>
              <w:left w:val="nil" w:sz="6" w:space="0" w:color="auto"/>
              <w:bottom w:val="single" w:sz="6" w:space="0" w:color="000000"/>
              <w:right w:val="nil" w:sz="6" w:space="0" w:color="auto"/>
            </w:tcBorders>
          </w:tcPr>
          <w:p>
            <w:pPr/>
          </w:p>
        </w:tc>
        <w:tc>
          <w:tcPr>
            <w:tcW w:w="2296" w:type="dxa"/>
            <w:tcBorders>
              <w:top w:val="nil" w:sz="6" w:space="0" w:color="auto"/>
              <w:left w:val="nil" w:sz="6" w:space="0" w:color="auto"/>
              <w:bottom w:val="single" w:sz="17" w:space="0" w:color="000000"/>
              <w:right w:val="nil" w:sz="6" w:space="0" w:color="auto"/>
            </w:tcBorders>
          </w:tcPr>
          <w:p>
            <w:pPr>
              <w:pStyle w:val="TableParagraph"/>
              <w:spacing w:line="240" w:lineRule="auto" w:before="160"/>
              <w:ind w:right="121"/>
              <w:jc w:val="right"/>
              <w:rPr>
                <w:rFonts w:ascii="Arial" w:hAnsi="Arial" w:cs="Arial" w:eastAsia="Arial" w:hint="default"/>
                <w:sz w:val="22"/>
                <w:szCs w:val="22"/>
              </w:rPr>
            </w:pPr>
            <w:r>
              <w:rPr>
                <w:rFonts w:ascii="Arial"/>
                <w:w w:val="95"/>
                <w:sz w:val="22"/>
              </w:rPr>
              <w:t>535,851,778</w:t>
            </w:r>
            <w:r>
              <w:rPr>
                <w:rFonts w:ascii="Arial"/>
                <w:sz w:val="22"/>
              </w:rPr>
            </w:r>
          </w:p>
        </w:tc>
        <w:tc>
          <w:tcPr>
            <w:tcW w:w="180" w:type="dxa"/>
            <w:tcBorders>
              <w:top w:val="nil" w:sz="6" w:space="0" w:color="auto"/>
              <w:left w:val="nil" w:sz="6" w:space="0" w:color="auto"/>
              <w:bottom w:val="nil" w:sz="6" w:space="0" w:color="auto"/>
              <w:right w:val="nil" w:sz="6" w:space="0" w:color="auto"/>
            </w:tcBorders>
          </w:tcPr>
          <w:p>
            <w:pPr/>
          </w:p>
        </w:tc>
        <w:tc>
          <w:tcPr>
            <w:tcW w:w="2476" w:type="dxa"/>
            <w:tcBorders>
              <w:top w:val="nil" w:sz="6" w:space="0" w:color="auto"/>
              <w:left w:val="nil" w:sz="6" w:space="0" w:color="auto"/>
              <w:bottom w:val="single" w:sz="17" w:space="0" w:color="000000"/>
              <w:right w:val="nil" w:sz="6" w:space="0" w:color="auto"/>
            </w:tcBorders>
          </w:tcPr>
          <w:p>
            <w:pPr>
              <w:pStyle w:val="TableParagraph"/>
              <w:spacing w:line="240" w:lineRule="auto" w:before="160"/>
              <w:ind w:left="889" w:right="0"/>
              <w:jc w:val="left"/>
              <w:rPr>
                <w:rFonts w:ascii="Arial" w:hAnsi="Arial" w:cs="Arial" w:eastAsia="Arial" w:hint="default"/>
                <w:sz w:val="22"/>
                <w:szCs w:val="22"/>
              </w:rPr>
            </w:pPr>
            <w:r>
              <w:rPr>
                <w:rFonts w:ascii="Arial"/>
                <w:sz w:val="22"/>
              </w:rPr>
              <w:t>1,383,679,474</w:t>
            </w:r>
          </w:p>
        </w:tc>
      </w:tr>
    </w:tbl>
    <w:p>
      <w:pPr>
        <w:spacing w:line="240" w:lineRule="auto" w:before="5"/>
        <w:rPr>
          <w:rFonts w:ascii="宋体" w:hAnsi="宋体" w:cs="宋体" w:eastAsia="宋体" w:hint="default"/>
          <w:sz w:val="12"/>
          <w:szCs w:val="12"/>
        </w:rPr>
      </w:pPr>
    </w:p>
    <w:p>
      <w:pPr>
        <w:pStyle w:val="BodyText"/>
        <w:spacing w:line="295" w:lineRule="exact" w:before="31"/>
        <w:ind w:left="550" w:right="0"/>
        <w:jc w:val="left"/>
        <w:rPr>
          <w:rFonts w:ascii="Arial" w:hAnsi="Arial" w:cs="Arial" w:eastAsia="Arial" w:hint="default"/>
        </w:rPr>
      </w:pPr>
      <w:r>
        <w:rPr>
          <w:spacing w:val="-14"/>
        </w:rPr>
        <w:t>注：于</w:t>
      </w:r>
      <w:r>
        <w:rPr>
          <w:spacing w:val="-61"/>
        </w:rPr>
        <w:t> </w:t>
      </w:r>
      <w:r>
        <w:rPr>
          <w:rFonts w:ascii="Arial" w:hAnsi="Arial" w:cs="Arial" w:eastAsia="Arial" w:hint="default"/>
        </w:rPr>
        <w:t>2012</w:t>
      </w:r>
      <w:r>
        <w:rPr>
          <w:rFonts w:ascii="Arial" w:hAnsi="Arial" w:cs="Arial" w:eastAsia="Arial" w:hint="default"/>
          <w:spacing w:val="-12"/>
        </w:rPr>
        <w:t> </w:t>
      </w:r>
      <w:r>
        <w:rPr/>
        <w:t>年</w:t>
      </w:r>
      <w:r>
        <w:rPr>
          <w:spacing w:val="-61"/>
        </w:rPr>
        <w:t> </w:t>
      </w:r>
      <w:r>
        <w:rPr>
          <w:rFonts w:ascii="Arial" w:hAnsi="Arial" w:cs="Arial" w:eastAsia="Arial" w:hint="default"/>
        </w:rPr>
        <w:t>12</w:t>
      </w:r>
      <w:r>
        <w:rPr>
          <w:rFonts w:ascii="Arial" w:hAnsi="Arial" w:cs="Arial" w:eastAsia="Arial" w:hint="default"/>
          <w:spacing w:val="-12"/>
        </w:rPr>
        <w:t> </w:t>
      </w:r>
      <w:r>
        <w:rPr/>
        <w:t>月</w:t>
      </w:r>
      <w:r>
        <w:rPr>
          <w:spacing w:val="-61"/>
        </w:rPr>
        <w:t> </w:t>
      </w:r>
      <w:r>
        <w:rPr>
          <w:rFonts w:ascii="Arial" w:hAnsi="Arial" w:cs="Arial" w:eastAsia="Arial" w:hint="default"/>
        </w:rPr>
        <w:t>31</w:t>
      </w:r>
      <w:r>
        <w:rPr>
          <w:rFonts w:ascii="Arial" w:hAnsi="Arial" w:cs="Arial" w:eastAsia="Arial" w:hint="default"/>
          <w:spacing w:val="-12"/>
        </w:rPr>
        <w:t> </w:t>
      </w:r>
      <w:r>
        <w:rPr/>
        <w:t>日，保证借款包括由第三方提供担保的借款约人民币</w:t>
      </w:r>
      <w:r>
        <w:rPr>
          <w:spacing w:val="-60"/>
        </w:rPr>
        <w:t> </w:t>
      </w:r>
      <w:r>
        <w:rPr>
          <w:rFonts w:ascii="Arial" w:hAnsi="Arial" w:cs="Arial" w:eastAsia="Arial" w:hint="default"/>
        </w:rPr>
        <w:t>1.07</w:t>
      </w:r>
      <w:r>
        <w:rPr>
          <w:rFonts w:ascii="Arial" w:hAnsi="Arial" w:cs="Arial" w:eastAsia="Arial" w:hint="default"/>
          <w:spacing w:val="-12"/>
        </w:rPr>
        <w:t> </w:t>
      </w:r>
      <w:r>
        <w:rPr>
          <w:spacing w:val="-6"/>
        </w:rPr>
        <w:t>亿元（</w:t>
      </w:r>
      <w:r>
        <w:rPr>
          <w:rFonts w:ascii="Arial" w:hAnsi="Arial" w:cs="Arial" w:eastAsia="Arial" w:hint="default"/>
          <w:spacing w:val="-6"/>
        </w:rPr>
        <w:t>2011</w:t>
      </w:r>
    </w:p>
    <w:p>
      <w:pPr>
        <w:pStyle w:val="BodyText"/>
        <w:spacing w:line="408" w:lineRule="auto"/>
        <w:ind w:left="550" w:right="4854" w:firstLine="408"/>
        <w:jc w:val="left"/>
      </w:pP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日：约人民币</w:t>
      </w:r>
      <w:r>
        <w:rPr>
          <w:spacing w:val="-57"/>
        </w:rPr>
        <w:t> </w:t>
      </w:r>
      <w:r>
        <w:rPr>
          <w:rFonts w:ascii="Arial" w:hAnsi="Arial" w:cs="Arial" w:eastAsia="Arial" w:hint="default"/>
        </w:rPr>
        <w:t>1.15</w:t>
      </w:r>
      <w:r>
        <w:rPr>
          <w:rFonts w:ascii="Arial" w:hAnsi="Arial" w:cs="Arial" w:eastAsia="Arial" w:hint="default"/>
          <w:spacing w:val="-8"/>
        </w:rPr>
        <w:t> </w:t>
      </w:r>
      <w:r>
        <w:rPr/>
        <w:t>亿元）。</w:t>
      </w:r>
      <w:r>
        <w:rPr>
          <w:w w:val="99"/>
        </w:rPr>
        <w:t> </w:t>
      </w:r>
      <w:r>
        <w:rPr/>
        <w:t>上述借款的利息按月或按季支付。</w:t>
      </w:r>
    </w:p>
    <w:p>
      <w:pPr>
        <w:pStyle w:val="BodyText"/>
        <w:tabs>
          <w:tab w:pos="597" w:val="left" w:leader="none"/>
        </w:tabs>
        <w:spacing w:line="240" w:lineRule="auto" w:before="73"/>
        <w:ind w:left="102" w:right="0"/>
        <w:jc w:val="left"/>
      </w:pPr>
      <w:r>
        <w:rPr>
          <w:rFonts w:ascii="Arial" w:hAnsi="Arial" w:cs="Arial" w:eastAsia="Arial" w:hint="default"/>
          <w:w w:val="95"/>
        </w:rPr>
        <w:t>(a)</w:t>
        <w:tab/>
      </w:r>
      <w:r>
        <w:rPr/>
        <w:t>金额前五名的长期借款（含一年内到期部分）</w:t>
      </w:r>
    </w:p>
    <w:p>
      <w:pPr>
        <w:spacing w:line="240" w:lineRule="auto" w:before="12"/>
        <w:rPr>
          <w:rFonts w:ascii="宋体" w:hAnsi="宋体" w:cs="宋体" w:eastAsia="宋体" w:hint="default"/>
          <w:sz w:val="20"/>
          <w:szCs w:val="20"/>
        </w:rPr>
      </w:pPr>
    </w:p>
    <w:tbl>
      <w:tblPr>
        <w:tblW w:w="0" w:type="auto"/>
        <w:jc w:val="left"/>
        <w:tblInd w:w="353" w:type="dxa"/>
        <w:tblLayout w:type="fixed"/>
        <w:tblCellMar>
          <w:top w:w="0" w:type="dxa"/>
          <w:left w:w="0" w:type="dxa"/>
          <w:bottom w:w="0" w:type="dxa"/>
          <w:right w:w="0" w:type="dxa"/>
        </w:tblCellMar>
        <w:tblLook w:val="01E0"/>
      </w:tblPr>
      <w:tblGrid>
        <w:gridCol w:w="1433"/>
        <w:gridCol w:w="998"/>
        <w:gridCol w:w="1072"/>
        <w:gridCol w:w="671"/>
        <w:gridCol w:w="670"/>
        <w:gridCol w:w="1018"/>
        <w:gridCol w:w="1142"/>
        <w:gridCol w:w="1150"/>
        <w:gridCol w:w="1082"/>
      </w:tblGrid>
      <w:tr>
        <w:trPr>
          <w:trHeight w:val="215" w:hRule="exact"/>
        </w:trPr>
        <w:tc>
          <w:tcPr>
            <w:tcW w:w="1433"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single" w:sz="6" w:space="0" w:color="000000"/>
              <w:right w:val="nil" w:sz="6" w:space="0" w:color="auto"/>
            </w:tcBorders>
          </w:tcPr>
          <w:p>
            <w:pPr>
              <w:pStyle w:val="TableParagraph"/>
              <w:spacing w:line="180" w:lineRule="exact"/>
              <w:ind w:right="23"/>
              <w:jc w:val="center"/>
              <w:rPr>
                <w:rFonts w:ascii="宋体" w:hAnsi="宋体" w:cs="宋体" w:eastAsia="宋体" w:hint="default"/>
                <w:sz w:val="18"/>
                <w:szCs w:val="18"/>
              </w:rPr>
            </w:pPr>
            <w:r>
              <w:rPr>
                <w:rFonts w:ascii="宋体" w:hAnsi="宋体" w:cs="宋体" w:eastAsia="宋体" w:hint="default"/>
                <w:sz w:val="18"/>
                <w:szCs w:val="18"/>
              </w:rPr>
              <w:t>借款起始日</w:t>
            </w:r>
          </w:p>
        </w:tc>
        <w:tc>
          <w:tcPr>
            <w:tcW w:w="1072" w:type="dxa"/>
            <w:tcBorders>
              <w:top w:val="nil" w:sz="6" w:space="0" w:color="auto"/>
              <w:left w:val="nil" w:sz="6" w:space="0" w:color="auto"/>
              <w:bottom w:val="single" w:sz="6" w:space="0" w:color="000000"/>
              <w:right w:val="nil" w:sz="6" w:space="0" w:color="auto"/>
            </w:tcBorders>
          </w:tcPr>
          <w:p>
            <w:pPr>
              <w:pStyle w:val="TableParagraph"/>
              <w:spacing w:line="180" w:lineRule="exact"/>
              <w:ind w:left="45" w:right="0"/>
              <w:jc w:val="center"/>
              <w:rPr>
                <w:rFonts w:ascii="宋体" w:hAnsi="宋体" w:cs="宋体" w:eastAsia="宋体" w:hint="default"/>
                <w:sz w:val="18"/>
                <w:szCs w:val="18"/>
              </w:rPr>
            </w:pPr>
            <w:r>
              <w:rPr>
                <w:rFonts w:ascii="宋体" w:hAnsi="宋体" w:cs="宋体" w:eastAsia="宋体" w:hint="default"/>
                <w:sz w:val="18"/>
                <w:szCs w:val="18"/>
              </w:rPr>
              <w:t>借款终止日</w:t>
            </w:r>
          </w:p>
        </w:tc>
        <w:tc>
          <w:tcPr>
            <w:tcW w:w="671" w:type="dxa"/>
            <w:tcBorders>
              <w:top w:val="nil" w:sz="6" w:space="0" w:color="auto"/>
              <w:left w:val="nil" w:sz="6" w:space="0" w:color="auto"/>
              <w:bottom w:val="single" w:sz="6"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币种</w:t>
            </w:r>
          </w:p>
        </w:tc>
        <w:tc>
          <w:tcPr>
            <w:tcW w:w="670" w:type="dxa"/>
            <w:tcBorders>
              <w:top w:val="nil" w:sz="6" w:space="0" w:color="auto"/>
              <w:left w:val="nil" w:sz="6" w:space="0" w:color="auto"/>
              <w:bottom w:val="single" w:sz="6" w:space="0" w:color="000000"/>
              <w:right w:val="nil" w:sz="6" w:space="0" w:color="auto"/>
            </w:tcBorders>
          </w:tcPr>
          <w:p>
            <w:pPr>
              <w:pStyle w:val="TableParagraph"/>
              <w:spacing w:line="180" w:lineRule="exact"/>
              <w:ind w:left="106"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2160" w:type="dxa"/>
            <w:gridSpan w:val="2"/>
            <w:tcBorders>
              <w:top w:val="nil" w:sz="6" w:space="0" w:color="auto"/>
              <w:left w:val="nil" w:sz="6" w:space="0" w:color="auto"/>
              <w:bottom w:val="single" w:sz="6" w:space="0" w:color="000000"/>
              <w:right w:val="nil" w:sz="6" w:space="0" w:color="auto"/>
            </w:tcBorders>
          </w:tcPr>
          <w:p>
            <w:pPr>
              <w:pStyle w:val="TableParagraph"/>
              <w:spacing w:line="193" w:lineRule="exact"/>
              <w:ind w:left="309"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232" w:type="dxa"/>
            <w:gridSpan w:val="2"/>
            <w:tcBorders>
              <w:top w:val="nil" w:sz="6" w:space="0" w:color="auto"/>
              <w:left w:val="nil" w:sz="6" w:space="0" w:color="auto"/>
              <w:bottom w:val="single" w:sz="6" w:space="0" w:color="000000"/>
              <w:right w:val="nil" w:sz="6" w:space="0" w:color="auto"/>
            </w:tcBorders>
          </w:tcPr>
          <w:p>
            <w:pPr>
              <w:pStyle w:val="TableParagraph"/>
              <w:spacing w:line="193" w:lineRule="exact"/>
              <w:ind w:left="386"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248" w:hRule="exact"/>
        </w:trPr>
        <w:tc>
          <w:tcPr>
            <w:tcW w:w="1433" w:type="dxa"/>
            <w:tcBorders>
              <w:top w:val="nil" w:sz="6" w:space="0" w:color="auto"/>
              <w:left w:val="nil" w:sz="6" w:space="0" w:color="auto"/>
              <w:bottom w:val="nil" w:sz="6" w:space="0" w:color="auto"/>
              <w:right w:val="nil" w:sz="6" w:space="0" w:color="auto"/>
            </w:tcBorders>
          </w:tcPr>
          <w:p>
            <w:pPr/>
          </w:p>
        </w:tc>
        <w:tc>
          <w:tcPr>
            <w:tcW w:w="998" w:type="dxa"/>
            <w:tcBorders>
              <w:top w:val="single" w:sz="6" w:space="0" w:color="000000"/>
              <w:left w:val="nil" w:sz="6" w:space="0" w:color="auto"/>
              <w:bottom w:val="nil" w:sz="6" w:space="0" w:color="auto"/>
              <w:right w:val="nil" w:sz="6" w:space="0" w:color="auto"/>
            </w:tcBorders>
          </w:tcPr>
          <w:p>
            <w:pPr/>
          </w:p>
        </w:tc>
        <w:tc>
          <w:tcPr>
            <w:tcW w:w="1072" w:type="dxa"/>
            <w:tcBorders>
              <w:top w:val="single" w:sz="6" w:space="0" w:color="000000"/>
              <w:left w:val="nil" w:sz="6" w:space="0" w:color="auto"/>
              <w:bottom w:val="nil" w:sz="6" w:space="0" w:color="auto"/>
              <w:right w:val="nil" w:sz="6" w:space="0" w:color="auto"/>
            </w:tcBorders>
          </w:tcPr>
          <w:p>
            <w:pPr/>
          </w:p>
        </w:tc>
        <w:tc>
          <w:tcPr>
            <w:tcW w:w="671" w:type="dxa"/>
            <w:tcBorders>
              <w:top w:val="single" w:sz="6" w:space="0" w:color="000000"/>
              <w:left w:val="nil" w:sz="6" w:space="0" w:color="auto"/>
              <w:bottom w:val="nil" w:sz="6" w:space="0" w:color="auto"/>
              <w:right w:val="nil" w:sz="6" w:space="0" w:color="auto"/>
            </w:tcBorders>
          </w:tcPr>
          <w:p>
            <w:pPr/>
          </w:p>
        </w:tc>
        <w:tc>
          <w:tcPr>
            <w:tcW w:w="670" w:type="dxa"/>
            <w:tcBorders>
              <w:top w:val="single" w:sz="6" w:space="0" w:color="000000"/>
              <w:left w:val="nil" w:sz="6" w:space="0" w:color="auto"/>
              <w:bottom w:val="nil" w:sz="6" w:space="0" w:color="auto"/>
              <w:right w:val="nil" w:sz="6" w:space="0" w:color="auto"/>
            </w:tcBorders>
          </w:tcPr>
          <w:p>
            <w:pPr/>
          </w:p>
        </w:tc>
        <w:tc>
          <w:tcPr>
            <w:tcW w:w="1018" w:type="dxa"/>
            <w:tcBorders>
              <w:top w:val="single" w:sz="6" w:space="0" w:color="000000"/>
              <w:left w:val="nil" w:sz="6" w:space="0" w:color="auto"/>
              <w:bottom w:val="single" w:sz="6" w:space="0" w:color="000000"/>
              <w:right w:val="nil" w:sz="6" w:space="0" w:color="auto"/>
            </w:tcBorders>
          </w:tcPr>
          <w:p>
            <w:pPr>
              <w:pStyle w:val="TableParagraph"/>
              <w:spacing w:line="207" w:lineRule="exact"/>
              <w:ind w:right="85"/>
              <w:jc w:val="right"/>
              <w:rPr>
                <w:rFonts w:ascii="宋体" w:hAnsi="宋体" w:cs="宋体" w:eastAsia="宋体" w:hint="default"/>
                <w:sz w:val="18"/>
                <w:szCs w:val="18"/>
              </w:rPr>
            </w:pPr>
            <w:r>
              <w:rPr>
                <w:rFonts w:ascii="宋体" w:hAnsi="宋体" w:cs="宋体" w:eastAsia="宋体" w:hint="default"/>
                <w:sz w:val="18"/>
                <w:szCs w:val="18"/>
              </w:rPr>
              <w:t>外币金额</w:t>
            </w:r>
          </w:p>
        </w:tc>
        <w:tc>
          <w:tcPr>
            <w:tcW w:w="1142" w:type="dxa"/>
            <w:tcBorders>
              <w:top w:val="single" w:sz="6" w:space="0" w:color="000000"/>
              <w:left w:val="nil" w:sz="6" w:space="0" w:color="auto"/>
              <w:bottom w:val="single" w:sz="6" w:space="0" w:color="000000"/>
              <w:right w:val="nil" w:sz="6" w:space="0" w:color="auto"/>
            </w:tcBorders>
          </w:tcPr>
          <w:p>
            <w:pPr>
              <w:pStyle w:val="TableParagraph"/>
              <w:spacing w:line="207" w:lineRule="exact"/>
              <w:ind w:left="141" w:right="0"/>
              <w:jc w:val="center"/>
              <w:rPr>
                <w:rFonts w:ascii="宋体" w:hAnsi="宋体" w:cs="宋体" w:eastAsia="宋体" w:hint="default"/>
                <w:sz w:val="18"/>
                <w:szCs w:val="18"/>
              </w:rPr>
            </w:pPr>
            <w:r>
              <w:rPr>
                <w:rFonts w:ascii="宋体" w:hAnsi="宋体" w:cs="宋体" w:eastAsia="宋体" w:hint="default"/>
                <w:sz w:val="18"/>
                <w:szCs w:val="18"/>
              </w:rPr>
              <w:t>人民币金额</w:t>
            </w:r>
          </w:p>
        </w:tc>
        <w:tc>
          <w:tcPr>
            <w:tcW w:w="1150" w:type="dxa"/>
            <w:tcBorders>
              <w:top w:val="single" w:sz="6" w:space="0" w:color="000000"/>
              <w:left w:val="nil" w:sz="6" w:space="0" w:color="auto"/>
              <w:bottom w:val="single" w:sz="6" w:space="0" w:color="000000"/>
              <w:right w:val="nil" w:sz="6" w:space="0" w:color="auto"/>
            </w:tcBorders>
          </w:tcPr>
          <w:p>
            <w:pPr>
              <w:pStyle w:val="TableParagraph"/>
              <w:spacing w:line="207" w:lineRule="exact"/>
              <w:ind w:right="44"/>
              <w:jc w:val="right"/>
              <w:rPr>
                <w:rFonts w:ascii="宋体" w:hAnsi="宋体" w:cs="宋体" w:eastAsia="宋体" w:hint="default"/>
                <w:sz w:val="18"/>
                <w:szCs w:val="18"/>
              </w:rPr>
            </w:pPr>
            <w:r>
              <w:rPr>
                <w:rFonts w:ascii="宋体" w:hAnsi="宋体" w:cs="宋体" w:eastAsia="宋体" w:hint="default"/>
                <w:sz w:val="18"/>
                <w:szCs w:val="18"/>
              </w:rPr>
              <w:t>外币金额</w:t>
            </w:r>
          </w:p>
        </w:tc>
        <w:tc>
          <w:tcPr>
            <w:tcW w:w="1082" w:type="dxa"/>
            <w:tcBorders>
              <w:top w:val="single" w:sz="6" w:space="0" w:color="000000"/>
              <w:left w:val="nil" w:sz="6" w:space="0" w:color="auto"/>
              <w:bottom w:val="single" w:sz="6" w:space="0" w:color="000000"/>
              <w:right w:val="nil" w:sz="6" w:space="0" w:color="auto"/>
            </w:tcBorders>
          </w:tcPr>
          <w:p>
            <w:pPr>
              <w:pStyle w:val="TableParagraph"/>
              <w:spacing w:line="207" w:lineRule="exact"/>
              <w:ind w:left="110" w:right="0"/>
              <w:jc w:val="center"/>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692" w:hRule="exact"/>
        </w:trPr>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88" w:right="150" w:hanging="189"/>
              <w:jc w:val="left"/>
              <w:rPr>
                <w:rFonts w:ascii="宋体" w:hAnsi="宋体" w:cs="宋体" w:eastAsia="宋体" w:hint="default"/>
                <w:sz w:val="18"/>
                <w:szCs w:val="18"/>
              </w:rPr>
            </w:pPr>
            <w:r>
              <w:rPr>
                <w:rFonts w:ascii="宋体" w:hAnsi="宋体" w:cs="宋体" w:eastAsia="宋体" w:hint="default"/>
                <w:sz w:val="18"/>
                <w:szCs w:val="18"/>
              </w:rPr>
              <w:t>中国邮政储蓄 银行</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5"/>
              <w:jc w:val="center"/>
              <w:rPr>
                <w:rFonts w:ascii="Arial" w:hAnsi="Arial" w:cs="Arial" w:eastAsia="Arial" w:hint="default"/>
                <w:sz w:val="18"/>
                <w:szCs w:val="18"/>
              </w:rPr>
            </w:pPr>
            <w:r>
              <w:rPr>
                <w:rFonts w:ascii="Arial"/>
                <w:sz w:val="18"/>
              </w:rPr>
              <w:t>2010-08-30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
              <w:jc w:val="center"/>
              <w:rPr>
                <w:rFonts w:ascii="Arial" w:hAnsi="Arial" w:cs="Arial" w:eastAsia="Arial" w:hint="default"/>
                <w:sz w:val="18"/>
                <w:szCs w:val="18"/>
              </w:rPr>
            </w:pPr>
            <w:r>
              <w:rPr>
                <w:rFonts w:ascii="Arial"/>
                <w:sz w:val="18"/>
              </w:rPr>
              <w:t>2013-08-30</w:t>
            </w:r>
          </w:p>
        </w:tc>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人民币</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8" w:right="0"/>
              <w:jc w:val="left"/>
              <w:rPr>
                <w:rFonts w:ascii="Arial" w:hAnsi="Arial" w:cs="Arial" w:eastAsia="Arial" w:hint="default"/>
                <w:sz w:val="18"/>
                <w:szCs w:val="18"/>
              </w:rPr>
            </w:pPr>
            <w:r>
              <w:rPr>
                <w:rFonts w:ascii="Arial"/>
                <w:sz w:val="18"/>
              </w:rPr>
              <w:t>5.65%</w:t>
            </w:r>
          </w:p>
        </w:tc>
        <w:tc>
          <w:tcPr>
            <w:tcW w:w="1018"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7"/>
              <w:jc w:val="right"/>
              <w:rPr>
                <w:rFonts w:ascii="Arial" w:hAnsi="Arial" w:cs="Arial" w:eastAsia="Arial" w:hint="default"/>
                <w:sz w:val="18"/>
                <w:szCs w:val="18"/>
              </w:rPr>
            </w:pPr>
            <w:r>
              <w:rPr>
                <w:rFonts w:ascii="Arial"/>
                <w:w w:val="99"/>
                <w:sz w:val="18"/>
              </w:rPr>
              <w:t>-</w:t>
            </w:r>
            <w:r>
              <w:rPr>
                <w:rFonts w:ascii="Arial"/>
                <w:sz w:val="18"/>
              </w:rPr>
            </w:r>
          </w:p>
        </w:tc>
        <w:tc>
          <w:tcPr>
            <w:tcW w:w="1142"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2" w:right="0"/>
              <w:jc w:val="center"/>
              <w:rPr>
                <w:rFonts w:ascii="Arial" w:hAnsi="Arial" w:cs="Arial" w:eastAsia="Arial" w:hint="default"/>
                <w:sz w:val="18"/>
                <w:szCs w:val="18"/>
              </w:rPr>
            </w:pPr>
            <w:r>
              <w:rPr>
                <w:rFonts w:ascii="Arial"/>
                <w:sz w:val="18"/>
              </w:rPr>
              <w:t>800,000,000</w:t>
            </w:r>
          </w:p>
        </w:tc>
        <w:tc>
          <w:tcPr>
            <w:tcW w:w="1150"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72"/>
              <w:jc w:val="right"/>
              <w:rPr>
                <w:rFonts w:ascii="Arial" w:hAnsi="Arial" w:cs="Arial" w:eastAsia="Arial" w:hint="default"/>
                <w:sz w:val="18"/>
                <w:szCs w:val="18"/>
              </w:rPr>
            </w:pPr>
            <w:r>
              <w:rPr>
                <w:rFonts w:ascii="Arial"/>
                <w:w w:val="99"/>
                <w:sz w:val="18"/>
              </w:rPr>
              <w:t>-</w:t>
            </w:r>
            <w:r>
              <w:rPr>
                <w:rFonts w:ascii="Arial"/>
                <w:sz w:val="18"/>
              </w:rPr>
            </w:r>
          </w:p>
        </w:tc>
        <w:tc>
          <w:tcPr>
            <w:tcW w:w="1082"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1" w:right="0"/>
              <w:jc w:val="center"/>
              <w:rPr>
                <w:rFonts w:ascii="Arial" w:hAnsi="Arial" w:cs="Arial" w:eastAsia="Arial" w:hint="default"/>
                <w:sz w:val="18"/>
                <w:szCs w:val="18"/>
              </w:rPr>
            </w:pPr>
            <w:r>
              <w:rPr>
                <w:rFonts w:ascii="Arial"/>
                <w:sz w:val="18"/>
              </w:rPr>
              <w:t>800,000,000</w:t>
            </w:r>
          </w:p>
        </w:tc>
      </w:tr>
      <w:tr>
        <w:trPr>
          <w:trHeight w:val="467" w:hRule="exact"/>
        </w:trPr>
        <w:tc>
          <w:tcPr>
            <w:tcW w:w="1433"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中国银行北京</w:t>
            </w:r>
          </w:p>
          <w:p>
            <w:pPr>
              <w:pStyle w:val="TableParagraph"/>
              <w:spacing w:line="235" w:lineRule="exact"/>
              <w:ind w:left="388" w:right="0"/>
              <w:jc w:val="left"/>
              <w:rPr>
                <w:rFonts w:ascii="宋体" w:hAnsi="宋体" w:cs="宋体" w:eastAsia="宋体" w:hint="default"/>
                <w:sz w:val="18"/>
                <w:szCs w:val="18"/>
              </w:rPr>
            </w:pPr>
            <w:r>
              <w:rPr>
                <w:rFonts w:ascii="宋体" w:hAnsi="宋体" w:cs="宋体" w:eastAsia="宋体" w:hint="default"/>
                <w:sz w:val="18"/>
                <w:szCs w:val="18"/>
              </w:rPr>
              <w:t>市分行</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5"/>
              <w:jc w:val="center"/>
              <w:rPr>
                <w:rFonts w:ascii="Arial" w:hAnsi="Arial" w:cs="Arial" w:eastAsia="Arial" w:hint="default"/>
                <w:sz w:val="18"/>
                <w:szCs w:val="18"/>
              </w:rPr>
            </w:pPr>
            <w:r>
              <w:rPr>
                <w:rFonts w:ascii="Arial"/>
                <w:sz w:val="18"/>
              </w:rPr>
              <w:t>1988-08-04</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center"/>
              <w:rPr>
                <w:rFonts w:ascii="Arial" w:hAnsi="Arial" w:cs="Arial" w:eastAsia="Arial" w:hint="default"/>
                <w:sz w:val="18"/>
                <w:szCs w:val="18"/>
              </w:rPr>
            </w:pPr>
            <w:r>
              <w:rPr>
                <w:rFonts w:ascii="Arial"/>
                <w:sz w:val="18"/>
              </w:rPr>
              <w:t>2018-08-19</w:t>
            </w:r>
          </w:p>
        </w:tc>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欧元</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8" w:right="0"/>
              <w:jc w:val="left"/>
              <w:rPr>
                <w:rFonts w:ascii="Arial" w:hAnsi="Arial" w:cs="Arial" w:eastAsia="Arial" w:hint="default"/>
                <w:sz w:val="18"/>
                <w:szCs w:val="18"/>
              </w:rPr>
            </w:pPr>
            <w:r>
              <w:rPr>
                <w:rFonts w:ascii="Arial"/>
                <w:sz w:val="18"/>
              </w:rPr>
              <w:t>2.50%</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9"/>
              <w:jc w:val="right"/>
              <w:rPr>
                <w:rFonts w:ascii="Arial" w:hAnsi="Arial" w:cs="Arial" w:eastAsia="Arial" w:hint="default"/>
                <w:sz w:val="18"/>
                <w:szCs w:val="18"/>
              </w:rPr>
            </w:pPr>
            <w:r>
              <w:rPr>
                <w:rFonts w:ascii="Arial"/>
                <w:spacing w:val="-1"/>
                <w:sz w:val="18"/>
              </w:rPr>
              <w:t>13,194,557</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center"/>
              <w:rPr>
                <w:rFonts w:ascii="Arial" w:hAnsi="Arial" w:cs="Arial" w:eastAsia="Arial" w:hint="default"/>
                <w:sz w:val="18"/>
                <w:szCs w:val="18"/>
              </w:rPr>
            </w:pPr>
            <w:r>
              <w:rPr>
                <w:rFonts w:ascii="Arial"/>
                <w:sz w:val="18"/>
              </w:rPr>
              <w:t>109,747,043</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3"/>
              <w:jc w:val="right"/>
              <w:rPr>
                <w:rFonts w:ascii="Arial" w:hAnsi="Arial" w:cs="Arial" w:eastAsia="Arial" w:hint="default"/>
                <w:sz w:val="18"/>
                <w:szCs w:val="18"/>
              </w:rPr>
            </w:pPr>
            <w:r>
              <w:rPr>
                <w:rFonts w:ascii="Arial"/>
                <w:spacing w:val="-1"/>
                <w:sz w:val="18"/>
              </w:rPr>
              <w:t>15,365,802</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 w:right="0"/>
              <w:jc w:val="center"/>
              <w:rPr>
                <w:rFonts w:ascii="Arial" w:hAnsi="Arial" w:cs="Arial" w:eastAsia="Arial" w:hint="default"/>
                <w:sz w:val="18"/>
                <w:szCs w:val="18"/>
              </w:rPr>
            </w:pPr>
            <w:r>
              <w:rPr>
                <w:rFonts w:ascii="Arial"/>
                <w:sz w:val="18"/>
              </w:rPr>
              <w:t>125,423,356</w:t>
            </w:r>
          </w:p>
        </w:tc>
      </w:tr>
      <w:tr>
        <w:trPr>
          <w:trHeight w:val="467" w:hRule="exact"/>
        </w:trPr>
        <w:tc>
          <w:tcPr>
            <w:tcW w:w="1433"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中国建设银行</w:t>
            </w:r>
          </w:p>
          <w:p>
            <w:pPr>
              <w:pStyle w:val="TableParagraph"/>
              <w:spacing w:line="235" w:lineRule="exact"/>
              <w:ind w:left="352" w:right="0"/>
              <w:jc w:val="left"/>
              <w:rPr>
                <w:rFonts w:ascii="宋体" w:hAnsi="宋体" w:cs="宋体" w:eastAsia="宋体" w:hint="default"/>
                <w:sz w:val="18"/>
                <w:szCs w:val="18"/>
              </w:rPr>
            </w:pPr>
            <w:r>
              <w:rPr>
                <w:rFonts w:ascii="宋体" w:hAnsi="宋体" w:cs="宋体" w:eastAsia="宋体" w:hint="default"/>
                <w:sz w:val="18"/>
                <w:szCs w:val="18"/>
              </w:rPr>
              <w:t>黑龙江省分行</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5"/>
              <w:jc w:val="center"/>
              <w:rPr>
                <w:rFonts w:ascii="Arial" w:hAnsi="Arial" w:cs="Arial" w:eastAsia="Arial" w:hint="default"/>
                <w:sz w:val="18"/>
                <w:szCs w:val="18"/>
              </w:rPr>
            </w:pPr>
            <w:r>
              <w:rPr>
                <w:rFonts w:ascii="Arial"/>
                <w:sz w:val="18"/>
              </w:rPr>
              <w:t>1991-12-31</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center"/>
              <w:rPr>
                <w:rFonts w:ascii="Arial" w:hAnsi="Arial" w:cs="Arial" w:eastAsia="Arial" w:hint="default"/>
                <w:sz w:val="18"/>
                <w:szCs w:val="18"/>
              </w:rPr>
            </w:pPr>
            <w:r>
              <w:rPr>
                <w:rFonts w:ascii="Arial"/>
                <w:sz w:val="18"/>
              </w:rPr>
              <w:t>2025-06-30</w:t>
            </w:r>
          </w:p>
        </w:tc>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欧元</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8" w:right="0"/>
              <w:jc w:val="left"/>
              <w:rPr>
                <w:rFonts w:ascii="Arial" w:hAnsi="Arial" w:cs="Arial" w:eastAsia="Arial" w:hint="default"/>
                <w:sz w:val="18"/>
                <w:szCs w:val="18"/>
              </w:rPr>
            </w:pPr>
            <w:r>
              <w:rPr>
                <w:rFonts w:ascii="Arial"/>
                <w:sz w:val="18"/>
              </w:rPr>
              <w:t>2.00%</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8"/>
              <w:jc w:val="right"/>
              <w:rPr>
                <w:rFonts w:ascii="Arial" w:hAnsi="Arial" w:cs="Arial" w:eastAsia="Arial" w:hint="default"/>
                <w:sz w:val="18"/>
                <w:szCs w:val="18"/>
              </w:rPr>
            </w:pPr>
            <w:r>
              <w:rPr>
                <w:rFonts w:ascii="Arial"/>
                <w:spacing w:val="-1"/>
                <w:sz w:val="18"/>
              </w:rPr>
              <w:t>8,087,753</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1" w:right="0"/>
              <w:jc w:val="center"/>
              <w:rPr>
                <w:rFonts w:ascii="Arial" w:hAnsi="Arial" w:cs="Arial" w:eastAsia="Arial" w:hint="default"/>
                <w:sz w:val="18"/>
                <w:szCs w:val="18"/>
              </w:rPr>
            </w:pPr>
            <w:r>
              <w:rPr>
                <w:rFonts w:ascii="Arial"/>
                <w:sz w:val="18"/>
              </w:rPr>
              <w:t>67,270,696</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2"/>
              <w:jc w:val="right"/>
              <w:rPr>
                <w:rFonts w:ascii="Arial" w:hAnsi="Arial" w:cs="Arial" w:eastAsia="Arial" w:hint="default"/>
                <w:sz w:val="18"/>
                <w:szCs w:val="18"/>
              </w:rPr>
            </w:pPr>
            <w:r>
              <w:rPr>
                <w:rFonts w:ascii="Arial"/>
                <w:spacing w:val="-1"/>
                <w:sz w:val="18"/>
              </w:rPr>
              <w:t>9,118,305</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center"/>
              <w:rPr>
                <w:rFonts w:ascii="Arial" w:hAnsi="Arial" w:cs="Arial" w:eastAsia="Arial" w:hint="default"/>
                <w:sz w:val="18"/>
                <w:szCs w:val="18"/>
              </w:rPr>
            </w:pPr>
            <w:r>
              <w:rPr>
                <w:rFonts w:ascii="Arial"/>
                <w:sz w:val="18"/>
              </w:rPr>
              <w:t>74,428,167</w:t>
            </w:r>
          </w:p>
        </w:tc>
      </w:tr>
      <w:tr>
        <w:trPr>
          <w:trHeight w:val="467" w:hRule="exact"/>
        </w:trPr>
        <w:tc>
          <w:tcPr>
            <w:tcW w:w="1433"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中国银行河北</w:t>
            </w:r>
          </w:p>
          <w:p>
            <w:pPr>
              <w:pStyle w:val="TableParagraph"/>
              <w:spacing w:line="234" w:lineRule="exact"/>
              <w:ind w:left="388" w:right="0"/>
              <w:jc w:val="left"/>
              <w:rPr>
                <w:rFonts w:ascii="宋体" w:hAnsi="宋体" w:cs="宋体" w:eastAsia="宋体" w:hint="default"/>
                <w:sz w:val="18"/>
                <w:szCs w:val="18"/>
              </w:rPr>
            </w:pPr>
            <w:r>
              <w:rPr>
                <w:rFonts w:ascii="宋体" w:hAnsi="宋体" w:cs="宋体" w:eastAsia="宋体" w:hint="default"/>
                <w:sz w:val="18"/>
                <w:szCs w:val="18"/>
              </w:rPr>
              <w:t>省分行</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5"/>
              <w:jc w:val="center"/>
              <w:rPr>
                <w:rFonts w:ascii="Arial" w:hAnsi="Arial" w:cs="Arial" w:eastAsia="Arial" w:hint="default"/>
                <w:sz w:val="18"/>
                <w:szCs w:val="18"/>
              </w:rPr>
            </w:pPr>
            <w:r>
              <w:rPr>
                <w:rFonts w:ascii="Arial"/>
                <w:sz w:val="18"/>
              </w:rPr>
              <w:t>1993-02-08</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center"/>
              <w:rPr>
                <w:rFonts w:ascii="Arial" w:hAnsi="Arial" w:cs="Arial" w:eastAsia="Arial" w:hint="default"/>
                <w:sz w:val="18"/>
                <w:szCs w:val="18"/>
              </w:rPr>
            </w:pPr>
            <w:r>
              <w:rPr>
                <w:rFonts w:ascii="Arial"/>
                <w:sz w:val="18"/>
              </w:rPr>
              <w:t>2032-04-30</w:t>
            </w:r>
          </w:p>
        </w:tc>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美元</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Arial" w:hAnsi="Arial" w:cs="Arial" w:eastAsia="Arial" w:hint="default"/>
                <w:sz w:val="18"/>
                <w:szCs w:val="18"/>
              </w:rPr>
            </w:pPr>
            <w:r>
              <w:rPr>
                <w:rFonts w:ascii="Arial"/>
                <w:w w:val="99"/>
                <w:sz w:val="18"/>
              </w:rPr>
              <w:t>-</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9"/>
              <w:jc w:val="right"/>
              <w:rPr>
                <w:rFonts w:ascii="Arial" w:hAnsi="Arial" w:cs="Arial" w:eastAsia="Arial" w:hint="default"/>
                <w:sz w:val="18"/>
                <w:szCs w:val="18"/>
              </w:rPr>
            </w:pPr>
            <w:r>
              <w:rPr>
                <w:rFonts w:ascii="Arial"/>
                <w:spacing w:val="-1"/>
                <w:sz w:val="18"/>
              </w:rPr>
              <w:t>10,947,315</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1" w:right="0"/>
              <w:jc w:val="center"/>
              <w:rPr>
                <w:rFonts w:ascii="Arial" w:hAnsi="Arial" w:cs="Arial" w:eastAsia="Arial" w:hint="default"/>
                <w:sz w:val="18"/>
                <w:szCs w:val="18"/>
              </w:rPr>
            </w:pPr>
            <w:r>
              <w:rPr>
                <w:rFonts w:ascii="Arial"/>
                <w:sz w:val="18"/>
              </w:rPr>
              <w:t>68,809,349</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3"/>
              <w:jc w:val="right"/>
              <w:rPr>
                <w:rFonts w:ascii="Arial" w:hAnsi="Arial" w:cs="Arial" w:eastAsia="Arial" w:hint="default"/>
                <w:sz w:val="18"/>
                <w:szCs w:val="18"/>
              </w:rPr>
            </w:pPr>
            <w:r>
              <w:rPr>
                <w:rFonts w:ascii="Arial"/>
                <w:spacing w:val="-1"/>
                <w:sz w:val="18"/>
              </w:rPr>
              <w:t>11,479,686</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center"/>
              <w:rPr>
                <w:rFonts w:ascii="Arial" w:hAnsi="Arial" w:cs="Arial" w:eastAsia="Arial" w:hint="default"/>
                <w:sz w:val="18"/>
                <w:szCs w:val="18"/>
              </w:rPr>
            </w:pPr>
            <w:r>
              <w:rPr>
                <w:rFonts w:ascii="Arial"/>
                <w:sz w:val="18"/>
              </w:rPr>
              <w:t>72,332,352</w:t>
            </w:r>
          </w:p>
        </w:tc>
      </w:tr>
      <w:tr>
        <w:trPr>
          <w:trHeight w:val="451" w:hRule="exact"/>
        </w:trPr>
        <w:tc>
          <w:tcPr>
            <w:tcW w:w="1433"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中国银行河南</w:t>
            </w:r>
          </w:p>
          <w:p>
            <w:pPr>
              <w:pStyle w:val="TableParagraph"/>
              <w:spacing w:line="234" w:lineRule="exact"/>
              <w:ind w:left="388" w:right="0"/>
              <w:jc w:val="left"/>
              <w:rPr>
                <w:rFonts w:ascii="宋体" w:hAnsi="宋体" w:cs="宋体" w:eastAsia="宋体" w:hint="default"/>
                <w:sz w:val="18"/>
                <w:szCs w:val="18"/>
              </w:rPr>
            </w:pPr>
            <w:r>
              <w:rPr>
                <w:rFonts w:ascii="宋体" w:hAnsi="宋体" w:cs="宋体" w:eastAsia="宋体" w:hint="default"/>
                <w:sz w:val="18"/>
                <w:szCs w:val="18"/>
              </w:rPr>
              <w:t>省分行</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5"/>
              <w:jc w:val="center"/>
              <w:rPr>
                <w:rFonts w:ascii="Arial" w:hAnsi="Arial" w:cs="Arial" w:eastAsia="Arial" w:hint="default"/>
                <w:sz w:val="18"/>
                <w:szCs w:val="18"/>
              </w:rPr>
            </w:pPr>
            <w:r>
              <w:rPr>
                <w:rFonts w:ascii="Arial"/>
                <w:sz w:val="18"/>
              </w:rPr>
              <w:t>1993-06-08</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center"/>
              <w:rPr>
                <w:rFonts w:ascii="Arial" w:hAnsi="Arial" w:cs="Arial" w:eastAsia="Arial" w:hint="default"/>
                <w:sz w:val="18"/>
                <w:szCs w:val="18"/>
              </w:rPr>
            </w:pPr>
            <w:r>
              <w:rPr>
                <w:rFonts w:ascii="Arial"/>
                <w:sz w:val="18"/>
              </w:rPr>
              <w:t>2032-11-13</w:t>
            </w:r>
          </w:p>
        </w:tc>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美元</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Arial" w:hAnsi="Arial" w:cs="Arial" w:eastAsia="Arial" w:hint="default"/>
                <w:sz w:val="18"/>
                <w:szCs w:val="18"/>
              </w:rPr>
            </w:pPr>
            <w:r>
              <w:rPr>
                <w:rFonts w:ascii="Arial"/>
                <w:w w:val="99"/>
                <w:sz w:val="18"/>
              </w:rPr>
              <w:t>-</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8"/>
              <w:jc w:val="right"/>
              <w:rPr>
                <w:rFonts w:ascii="Arial" w:hAnsi="Arial" w:cs="Arial" w:eastAsia="Arial" w:hint="default"/>
                <w:sz w:val="18"/>
                <w:szCs w:val="18"/>
              </w:rPr>
            </w:pPr>
            <w:r>
              <w:rPr>
                <w:rFonts w:ascii="Arial"/>
                <w:spacing w:val="-1"/>
                <w:sz w:val="18"/>
              </w:rPr>
              <w:t>7,519,927</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1" w:right="0"/>
              <w:jc w:val="center"/>
              <w:rPr>
                <w:rFonts w:ascii="Arial" w:hAnsi="Arial" w:cs="Arial" w:eastAsia="Arial" w:hint="default"/>
                <w:sz w:val="18"/>
                <w:szCs w:val="18"/>
              </w:rPr>
            </w:pPr>
            <w:r>
              <w:rPr>
                <w:rFonts w:ascii="Arial"/>
                <w:sz w:val="18"/>
              </w:rPr>
              <w:t>47,266,503</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2"/>
              <w:jc w:val="right"/>
              <w:rPr>
                <w:rFonts w:ascii="Arial" w:hAnsi="Arial" w:cs="Arial" w:eastAsia="Arial" w:hint="default"/>
                <w:sz w:val="18"/>
                <w:szCs w:val="18"/>
              </w:rPr>
            </w:pPr>
            <w:r>
              <w:rPr>
                <w:rFonts w:ascii="Arial"/>
                <w:spacing w:val="-1"/>
                <w:sz w:val="18"/>
              </w:rPr>
              <w:t>7,895,924</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center"/>
              <w:rPr>
                <w:rFonts w:ascii="Arial" w:hAnsi="Arial" w:cs="Arial" w:eastAsia="Arial" w:hint="default"/>
                <w:sz w:val="18"/>
                <w:szCs w:val="18"/>
              </w:rPr>
            </w:pPr>
            <w:r>
              <w:rPr>
                <w:rFonts w:ascii="Arial"/>
                <w:sz w:val="18"/>
              </w:rPr>
              <w:t>49,751,428</w:t>
            </w:r>
          </w:p>
        </w:tc>
      </w:tr>
    </w:tbl>
    <w:p>
      <w:pPr>
        <w:spacing w:after="0" w:line="240" w:lineRule="auto"/>
        <w:jc w:val="center"/>
        <w:rPr>
          <w:rFonts w:ascii="Arial" w:hAnsi="Arial" w:cs="Arial" w:eastAsia="Arial" w:hint="default"/>
          <w:sz w:val="18"/>
          <w:szCs w:val="18"/>
        </w:rPr>
        <w:sectPr>
          <w:headerReference w:type="default" r:id="rId108"/>
          <w:pgSz w:w="11910" w:h="16840"/>
          <w:pgMar w:header="1184" w:footer="457" w:top="3560" w:bottom="640" w:left="1280" w:right="920"/>
        </w:sectPr>
      </w:pPr>
    </w:p>
    <w:p>
      <w:pPr>
        <w:spacing w:line="240" w:lineRule="auto" w:before="13"/>
        <w:rPr>
          <w:rFonts w:ascii="宋体" w:hAnsi="宋体" w:cs="宋体" w:eastAsia="宋体" w:hint="default"/>
          <w:sz w:val="15"/>
          <w:szCs w:val="15"/>
        </w:rPr>
      </w:pPr>
    </w:p>
    <w:p>
      <w:pPr>
        <w:pStyle w:val="BodyText"/>
        <w:spacing w:line="240" w:lineRule="auto" w:before="31"/>
        <w:ind w:left="122" w:right="3521"/>
        <w:jc w:val="left"/>
      </w:pPr>
      <w:r>
        <w:rPr>
          <w:rFonts w:ascii="Arial" w:hAnsi="Arial" w:cs="Arial" w:eastAsia="Arial" w:hint="default"/>
        </w:rPr>
        <w:t>(b) </w:t>
      </w:r>
      <w:r>
        <w:rPr>
          <w:rFonts w:ascii="Arial" w:hAnsi="Arial" w:cs="Arial" w:eastAsia="Arial" w:hint="default"/>
          <w:spacing w:val="22"/>
        </w:rPr>
        <w:t> </w:t>
      </w:r>
      <w:r>
        <w:rPr/>
        <w:t>长期借款到期日分析如下：</w:t>
      </w:r>
    </w:p>
    <w:p>
      <w:pPr>
        <w:spacing w:line="240" w:lineRule="auto" w:before="1"/>
        <w:rPr>
          <w:rFonts w:ascii="宋体" w:hAnsi="宋体" w:cs="宋体" w:eastAsia="宋体" w:hint="default"/>
          <w:sz w:val="23"/>
          <w:szCs w:val="23"/>
        </w:rPr>
      </w:pPr>
    </w:p>
    <w:tbl>
      <w:tblPr>
        <w:tblW w:w="0" w:type="auto"/>
        <w:jc w:val="left"/>
        <w:tblInd w:w="402" w:type="dxa"/>
        <w:tblLayout w:type="fixed"/>
        <w:tblCellMar>
          <w:top w:w="0" w:type="dxa"/>
          <w:left w:w="0" w:type="dxa"/>
          <w:bottom w:w="0" w:type="dxa"/>
          <w:right w:w="0" w:type="dxa"/>
        </w:tblCellMar>
        <w:tblLook w:val="01E0"/>
      </w:tblPr>
      <w:tblGrid>
        <w:gridCol w:w="4326"/>
        <w:gridCol w:w="2394"/>
        <w:gridCol w:w="132"/>
        <w:gridCol w:w="2356"/>
      </w:tblGrid>
      <w:tr>
        <w:trPr>
          <w:trHeight w:val="261" w:hRule="exact"/>
        </w:trPr>
        <w:tc>
          <w:tcPr>
            <w:tcW w:w="4326" w:type="dxa"/>
            <w:tcBorders>
              <w:top w:val="nil" w:sz="6" w:space="0" w:color="auto"/>
              <w:left w:val="nil" w:sz="6" w:space="0" w:color="auto"/>
              <w:bottom w:val="nil" w:sz="6" w:space="0" w:color="auto"/>
              <w:right w:val="nil" w:sz="6" w:space="0" w:color="auto"/>
            </w:tcBorders>
          </w:tcPr>
          <w:p>
            <w:pPr/>
          </w:p>
        </w:tc>
        <w:tc>
          <w:tcPr>
            <w:tcW w:w="2394" w:type="dxa"/>
            <w:tcBorders>
              <w:top w:val="nil" w:sz="6" w:space="0" w:color="auto"/>
              <w:left w:val="nil" w:sz="6" w:space="0" w:color="auto"/>
              <w:bottom w:val="single" w:sz="6" w:space="0" w:color="000000"/>
              <w:right w:val="nil" w:sz="6" w:space="0" w:color="auto"/>
            </w:tcBorders>
          </w:tcPr>
          <w:p>
            <w:pPr>
              <w:pStyle w:val="TableParagraph"/>
              <w:spacing w:line="235" w:lineRule="exact"/>
              <w:ind w:right="55"/>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32" w:type="dxa"/>
            <w:tcBorders>
              <w:top w:val="nil" w:sz="6" w:space="0" w:color="auto"/>
              <w:left w:val="nil" w:sz="6" w:space="0" w:color="auto"/>
              <w:bottom w:val="nil" w:sz="6" w:space="0" w:color="auto"/>
              <w:right w:val="nil" w:sz="6" w:space="0" w:color="auto"/>
            </w:tcBorders>
          </w:tcPr>
          <w:p>
            <w:pPr/>
          </w:p>
        </w:tc>
        <w:tc>
          <w:tcPr>
            <w:tcW w:w="2356" w:type="dxa"/>
            <w:tcBorders>
              <w:top w:val="nil" w:sz="6" w:space="0" w:color="auto"/>
              <w:left w:val="nil" w:sz="6" w:space="0" w:color="auto"/>
              <w:bottom w:val="single" w:sz="6" w:space="0" w:color="000000"/>
              <w:right w:val="nil" w:sz="6" w:space="0" w:color="auto"/>
            </w:tcBorders>
          </w:tcPr>
          <w:p>
            <w:pPr>
              <w:pStyle w:val="TableParagraph"/>
              <w:spacing w:line="235" w:lineRule="exact"/>
              <w:ind w:right="54"/>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8"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7"/>
                <w:sz w:val="22"/>
                <w:szCs w:val="22"/>
              </w:rPr>
              <w:t> </w:t>
            </w:r>
            <w:r>
              <w:rPr>
                <w:rFonts w:ascii="宋体" w:hAnsi="宋体" w:cs="宋体" w:eastAsia="宋体" w:hint="default"/>
                <w:sz w:val="22"/>
                <w:szCs w:val="22"/>
              </w:rPr>
              <w:t>到</w:t>
            </w:r>
            <w:r>
              <w:rPr>
                <w:rFonts w:ascii="宋体" w:hAnsi="宋体" w:cs="宋体" w:eastAsia="宋体" w:hint="default"/>
                <w:spacing w:val="-56"/>
                <w:sz w:val="22"/>
                <w:szCs w:val="22"/>
              </w:rPr>
              <w:t> </w:t>
            </w:r>
            <w:r>
              <w:rPr>
                <w:rFonts w:ascii="Arial" w:hAnsi="Arial" w:cs="Arial" w:eastAsia="Arial" w:hint="default"/>
                <w:sz w:val="22"/>
                <w:szCs w:val="22"/>
              </w:rPr>
              <w:t>2</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394"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Arial" w:hAnsi="Arial" w:cs="Arial" w:eastAsia="Arial" w:hint="default"/>
                <w:sz w:val="22"/>
                <w:szCs w:val="22"/>
              </w:rPr>
            </w:pPr>
            <w:r>
              <w:rPr>
                <w:rFonts w:ascii="Arial"/>
                <w:w w:val="95"/>
                <w:sz w:val="22"/>
              </w:rPr>
              <w:t>47,850,348</w:t>
            </w:r>
            <w:r>
              <w:rPr>
                <w:rFonts w:ascii="Arial"/>
                <w:sz w:val="22"/>
              </w:rPr>
            </w:r>
          </w:p>
        </w:tc>
        <w:tc>
          <w:tcPr>
            <w:tcW w:w="132" w:type="dxa"/>
            <w:tcBorders>
              <w:top w:val="nil" w:sz="6" w:space="0" w:color="auto"/>
              <w:left w:val="nil" w:sz="6" w:space="0" w:color="auto"/>
              <w:bottom w:val="nil" w:sz="6" w:space="0" w:color="auto"/>
              <w:right w:val="nil" w:sz="6" w:space="0" w:color="auto"/>
            </w:tcBorders>
          </w:tcPr>
          <w:p>
            <w:pPr/>
          </w:p>
        </w:tc>
        <w:tc>
          <w:tcPr>
            <w:tcW w:w="2356"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6"/>
              <w:jc w:val="right"/>
              <w:rPr>
                <w:rFonts w:ascii="Arial" w:hAnsi="Arial" w:cs="Arial" w:eastAsia="Arial" w:hint="default"/>
                <w:sz w:val="22"/>
                <w:szCs w:val="22"/>
              </w:rPr>
            </w:pPr>
            <w:r>
              <w:rPr>
                <w:rFonts w:ascii="Arial"/>
                <w:w w:val="95"/>
                <w:sz w:val="22"/>
              </w:rPr>
              <w:t>847,535,689</w:t>
            </w:r>
            <w:r>
              <w:rPr>
                <w:rFonts w:ascii="Arial"/>
                <w:sz w:val="22"/>
              </w:rPr>
            </w:r>
          </w:p>
        </w:tc>
      </w:tr>
      <w:tr>
        <w:trPr>
          <w:trHeight w:val="286"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2</w:t>
            </w:r>
            <w:r>
              <w:rPr>
                <w:rFonts w:ascii="Arial" w:hAnsi="Arial" w:cs="Arial" w:eastAsia="Arial" w:hint="default"/>
                <w:spacing w:val="-7"/>
                <w:sz w:val="22"/>
                <w:szCs w:val="22"/>
              </w:rPr>
              <w:t> </w:t>
            </w:r>
            <w:r>
              <w:rPr>
                <w:rFonts w:ascii="宋体" w:hAnsi="宋体" w:cs="宋体" w:eastAsia="宋体" w:hint="default"/>
                <w:sz w:val="22"/>
                <w:szCs w:val="22"/>
              </w:rPr>
              <w:t>到</w:t>
            </w:r>
            <w:r>
              <w:rPr>
                <w:rFonts w:ascii="宋体" w:hAnsi="宋体" w:cs="宋体" w:eastAsia="宋体" w:hint="default"/>
                <w:spacing w:val="-56"/>
                <w:sz w:val="22"/>
                <w:szCs w:val="22"/>
              </w:rPr>
              <w:t> </w:t>
            </w:r>
            <w:r>
              <w:rPr>
                <w:rFonts w:ascii="Arial" w:hAnsi="Arial" w:cs="Arial" w:eastAsia="Arial" w:hint="default"/>
                <w:sz w:val="22"/>
                <w:szCs w:val="22"/>
              </w:rPr>
              <w:t>5</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9"/>
              <w:jc w:val="right"/>
              <w:rPr>
                <w:rFonts w:ascii="Arial" w:hAnsi="Arial" w:cs="Arial" w:eastAsia="Arial" w:hint="default"/>
                <w:sz w:val="22"/>
                <w:szCs w:val="22"/>
              </w:rPr>
            </w:pPr>
            <w:r>
              <w:rPr>
                <w:rFonts w:ascii="Arial"/>
                <w:w w:val="95"/>
                <w:sz w:val="22"/>
              </w:rPr>
              <w:t>143,551,045</w:t>
            </w:r>
            <w:r>
              <w:rPr>
                <w:rFonts w:ascii="Arial"/>
                <w:sz w:val="22"/>
              </w:rPr>
            </w:r>
          </w:p>
        </w:tc>
        <w:tc>
          <w:tcPr>
            <w:tcW w:w="132" w:type="dxa"/>
            <w:tcBorders>
              <w:top w:val="nil" w:sz="6" w:space="0" w:color="auto"/>
              <w:left w:val="nil" w:sz="6" w:space="0" w:color="auto"/>
              <w:bottom w:val="nil" w:sz="6" w:space="0" w:color="auto"/>
              <w:right w:val="nil" w:sz="6" w:space="0" w:color="auto"/>
            </w:tcBorders>
          </w:tcPr>
          <w:p>
            <w:pP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2"/>
                <w:szCs w:val="22"/>
              </w:rPr>
            </w:pPr>
            <w:r>
              <w:rPr>
                <w:rFonts w:ascii="Arial"/>
                <w:w w:val="95"/>
                <w:sz w:val="22"/>
              </w:rPr>
              <w:t>150,340,884</w:t>
            </w:r>
            <w:r>
              <w:rPr>
                <w:rFonts w:ascii="Arial"/>
                <w:sz w:val="22"/>
              </w:rPr>
            </w:r>
          </w:p>
        </w:tc>
      </w:tr>
      <w:tr>
        <w:trPr>
          <w:trHeight w:val="419"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5</w:t>
            </w:r>
            <w:r>
              <w:rPr>
                <w:rFonts w:ascii="Arial" w:hAnsi="Arial" w:cs="Arial" w:eastAsia="Arial" w:hint="default"/>
                <w:spacing w:val="-8"/>
                <w:sz w:val="22"/>
                <w:szCs w:val="22"/>
              </w:rPr>
              <w:t> </w:t>
            </w:r>
            <w:r>
              <w:rPr>
                <w:rFonts w:ascii="宋体" w:hAnsi="宋体" w:cs="宋体" w:eastAsia="宋体" w:hint="default"/>
                <w:sz w:val="22"/>
                <w:szCs w:val="22"/>
              </w:rPr>
              <w:t>年以上</w:t>
            </w:r>
          </w:p>
        </w:tc>
        <w:tc>
          <w:tcPr>
            <w:tcW w:w="2394" w:type="dxa"/>
            <w:tcBorders>
              <w:top w:val="nil" w:sz="6" w:space="0" w:color="auto"/>
              <w:left w:val="nil" w:sz="6" w:space="0" w:color="auto"/>
              <w:bottom w:val="nil" w:sz="6" w:space="0" w:color="auto"/>
              <w:right w:val="nil" w:sz="6" w:space="0" w:color="auto"/>
            </w:tcBorders>
          </w:tcPr>
          <w:p>
            <w:pPr>
              <w:pStyle w:val="TableParagraph"/>
              <w:tabs>
                <w:tab w:pos="1068" w:val="left" w:leader="none"/>
                <w:tab w:pos="2394"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344,450,385</w:t>
            </w:r>
            <w:r>
              <w:rPr>
                <w:rFonts w:ascii="Arial"/>
                <w:sz w:val="22"/>
                <w:u w:val="single" w:color="000000"/>
              </w:rPr>
              <w:tab/>
            </w:r>
            <w:r>
              <w:rPr>
                <w:rFonts w:ascii="Arial"/>
                <w:sz w:val="22"/>
              </w:rPr>
            </w:r>
          </w:p>
        </w:tc>
        <w:tc>
          <w:tcPr>
            <w:tcW w:w="132" w:type="dxa"/>
            <w:tcBorders>
              <w:top w:val="nil" w:sz="6" w:space="0" w:color="auto"/>
              <w:left w:val="nil" w:sz="6" w:space="0" w:color="auto"/>
              <w:bottom w:val="nil" w:sz="6" w:space="0" w:color="auto"/>
              <w:right w:val="nil" w:sz="6" w:space="0" w:color="auto"/>
            </w:tcBorders>
          </w:tcPr>
          <w:p>
            <w:pPr/>
          </w:p>
        </w:tc>
        <w:tc>
          <w:tcPr>
            <w:tcW w:w="2356" w:type="dxa"/>
            <w:tcBorders>
              <w:top w:val="nil" w:sz="6" w:space="0" w:color="auto"/>
              <w:left w:val="nil" w:sz="6" w:space="0" w:color="auto"/>
              <w:bottom w:val="nil" w:sz="6" w:space="0" w:color="auto"/>
              <w:right w:val="nil" w:sz="6" w:space="0" w:color="auto"/>
            </w:tcBorders>
          </w:tcPr>
          <w:p>
            <w:pPr>
              <w:pStyle w:val="TableParagraph"/>
              <w:tabs>
                <w:tab w:pos="1016" w:val="left" w:leader="none"/>
                <w:tab w:pos="2348"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385,802,901</w:t>
            </w:r>
            <w:r>
              <w:rPr>
                <w:rFonts w:ascii="Arial"/>
                <w:sz w:val="22"/>
                <w:u w:val="single" w:color="000000"/>
              </w:rPr>
              <w:tab/>
            </w:r>
            <w:r>
              <w:rPr>
                <w:rFonts w:ascii="Arial"/>
                <w:sz w:val="22"/>
              </w:rPr>
            </w:r>
          </w:p>
        </w:tc>
      </w:tr>
      <w:tr>
        <w:trPr>
          <w:trHeight w:val="430"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94"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99"/>
              <w:jc w:val="right"/>
              <w:rPr>
                <w:rFonts w:ascii="Arial" w:hAnsi="Arial" w:cs="Arial" w:eastAsia="Arial" w:hint="default"/>
                <w:sz w:val="22"/>
                <w:szCs w:val="22"/>
              </w:rPr>
            </w:pPr>
            <w:r>
              <w:rPr>
                <w:rFonts w:ascii="Arial"/>
                <w:w w:val="95"/>
                <w:sz w:val="22"/>
              </w:rPr>
              <w:t>535,851,778</w:t>
            </w:r>
            <w:r>
              <w:rPr>
                <w:rFonts w:ascii="Arial"/>
                <w:sz w:val="22"/>
              </w:rPr>
            </w:r>
          </w:p>
        </w:tc>
        <w:tc>
          <w:tcPr>
            <w:tcW w:w="132" w:type="dxa"/>
            <w:tcBorders>
              <w:top w:val="nil" w:sz="6" w:space="0" w:color="auto"/>
              <w:left w:val="nil" w:sz="6" w:space="0" w:color="auto"/>
              <w:bottom w:val="nil" w:sz="6" w:space="0" w:color="auto"/>
              <w:right w:val="nil" w:sz="6" w:space="0" w:color="auto"/>
            </w:tcBorders>
          </w:tcPr>
          <w:p>
            <w:pPr/>
          </w:p>
        </w:tc>
        <w:tc>
          <w:tcPr>
            <w:tcW w:w="2356"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07"/>
              <w:jc w:val="right"/>
              <w:rPr>
                <w:rFonts w:ascii="Arial" w:hAnsi="Arial" w:cs="Arial" w:eastAsia="Arial" w:hint="default"/>
                <w:sz w:val="22"/>
                <w:szCs w:val="22"/>
              </w:rPr>
            </w:pPr>
            <w:r>
              <w:rPr>
                <w:rFonts w:ascii="Arial"/>
                <w:spacing w:val="-1"/>
                <w:sz w:val="22"/>
              </w:rPr>
              <w:t>1,383,679,474</w:t>
            </w:r>
          </w:p>
        </w:tc>
      </w:tr>
    </w:tbl>
    <w:p>
      <w:pPr>
        <w:spacing w:line="240" w:lineRule="auto" w:before="2"/>
        <w:rPr>
          <w:rFonts w:ascii="宋体" w:hAnsi="宋体" w:cs="宋体" w:eastAsia="宋体" w:hint="default"/>
          <w:sz w:val="14"/>
          <w:szCs w:val="14"/>
        </w:rPr>
      </w:pPr>
    </w:p>
    <w:p>
      <w:pPr>
        <w:pStyle w:val="BodyText"/>
        <w:spacing w:line="286" w:lineRule="exact" w:before="60"/>
        <w:ind w:left="542" w:right="0"/>
        <w:jc w:val="left"/>
      </w:pPr>
      <w:r>
        <w:rPr/>
        <w:t>于</w:t>
      </w:r>
      <w:r>
        <w:rPr>
          <w:spacing w:val="-56"/>
        </w:rPr>
        <w:t> </w:t>
      </w:r>
      <w:r>
        <w:rPr>
          <w:rFonts w:ascii="Arial" w:hAnsi="Arial" w:cs="Arial" w:eastAsia="Arial" w:hint="default"/>
        </w:rPr>
        <w:t>2012</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spacing w:val="-6"/>
        </w:rPr>
        <w:t>日，长期借款的年利率范围为</w:t>
      </w:r>
      <w:r>
        <w:rPr>
          <w:spacing w:val="-56"/>
        </w:rPr>
        <w:t> </w:t>
      </w:r>
      <w:r>
        <w:rPr>
          <w:rFonts w:ascii="Arial" w:hAnsi="Arial" w:cs="Arial" w:eastAsia="Arial" w:hint="default"/>
          <w:spacing w:val="-6"/>
        </w:rPr>
        <w:t>0%~5.65%</w:t>
      </w:r>
      <w:r>
        <w:rPr>
          <w:spacing w:val="-6"/>
        </w:rPr>
        <w:t>（</w:t>
      </w:r>
      <w:r>
        <w:rPr>
          <w:rFonts w:ascii="Arial" w:hAnsi="Arial" w:cs="Arial" w:eastAsia="Arial" w:hint="default"/>
          <w:spacing w:val="-6"/>
        </w:rPr>
        <w:t>2011</w:t>
      </w:r>
      <w:r>
        <w:rPr>
          <w:rFonts w:ascii="Arial" w:hAnsi="Arial" w:cs="Arial" w:eastAsia="Arial" w:hint="default"/>
          <w:spacing w:val="-7"/>
        </w:rPr>
        <w:t> </w:t>
      </w:r>
      <w:r>
        <w:rPr/>
        <w:t>年</w:t>
      </w:r>
      <w:r>
        <w:rPr>
          <w:spacing w:val="-55"/>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spacing w:val="-8"/>
        </w:rPr>
        <w:t>日：</w:t>
      </w:r>
      <w:r>
        <w:rPr>
          <w:rFonts w:ascii="Arial" w:hAnsi="Arial" w:cs="Arial" w:eastAsia="Arial" w:hint="default"/>
          <w:spacing w:val="-8"/>
        </w:rPr>
        <w:t>0~5.65%</w:t>
      </w:r>
      <w:r>
        <w:rPr>
          <w:spacing w:val="-8"/>
        </w:rPr>
        <w:t>，</w:t>
      </w:r>
      <w:r>
        <w:rPr>
          <w:w w:val="99"/>
        </w:rPr>
        <w:t> </w:t>
      </w:r>
      <w:r>
        <w:rPr/>
        <w:t>其中，零利率的借款来自经中国银行转贷的外国政府无息借款）。</w:t>
      </w:r>
    </w:p>
    <w:p>
      <w:pPr>
        <w:spacing w:line="240" w:lineRule="auto" w:before="1"/>
        <w:rPr>
          <w:rFonts w:ascii="宋体" w:hAnsi="宋体" w:cs="宋体" w:eastAsia="宋体" w:hint="default"/>
          <w:sz w:val="17"/>
          <w:szCs w:val="17"/>
        </w:rPr>
      </w:pPr>
    </w:p>
    <w:p>
      <w:pPr>
        <w:pStyle w:val="BodyText"/>
        <w:spacing w:line="240" w:lineRule="auto"/>
        <w:ind w:left="542" w:right="0"/>
        <w:jc w:val="left"/>
      </w:pPr>
      <w:r>
        <w:rPr/>
        <w:t>于</w:t>
      </w:r>
      <w:r>
        <w:rPr>
          <w:spacing w:val="-57"/>
        </w:rPr>
        <w:t> </w:t>
      </w:r>
      <w:r>
        <w:rPr>
          <w:rFonts w:ascii="Arial" w:hAnsi="Arial" w:cs="Arial" w:eastAsia="Arial" w:hint="default"/>
        </w:rPr>
        <w:t>2012</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日，本集团无已到期但尚未偿还的长期借款（</w:t>
      </w:r>
      <w:r>
        <w:rPr>
          <w:rFonts w:ascii="Arial" w:hAnsi="Arial" w:cs="Arial" w:eastAsia="Arial" w:hint="default"/>
        </w:rPr>
        <w:t>2011</w:t>
      </w:r>
      <w:r>
        <w:rPr>
          <w:rFonts w:ascii="Arial" w:hAnsi="Arial" w:cs="Arial" w:eastAsia="Arial" w:hint="default"/>
          <w:spacing w:val="-7"/>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日：无）。</w:t>
      </w:r>
    </w:p>
    <w:p>
      <w:pPr>
        <w:spacing w:line="240" w:lineRule="auto" w:before="13"/>
        <w:rPr>
          <w:rFonts w:ascii="宋体" w:hAnsi="宋体" w:cs="宋体" w:eastAsia="宋体" w:hint="default"/>
          <w:sz w:val="17"/>
          <w:szCs w:val="17"/>
        </w:rPr>
      </w:pPr>
    </w:p>
    <w:p>
      <w:pPr>
        <w:pStyle w:val="BodyText"/>
        <w:tabs>
          <w:tab w:pos="569" w:val="left" w:leader="none"/>
        </w:tabs>
        <w:spacing w:line="240" w:lineRule="auto"/>
        <w:ind w:left="108" w:right="3521"/>
        <w:jc w:val="left"/>
      </w:pPr>
      <w:r>
        <w:rPr>
          <w:rFonts w:ascii="Arial" w:hAnsi="Arial" w:cs="Arial" w:eastAsia="Arial" w:hint="default"/>
          <w:w w:val="95"/>
        </w:rPr>
        <w:t>(c)</w:t>
        <w:tab/>
      </w:r>
      <w:r>
        <w:rPr/>
        <w:t>长期借款非流动部分的公允价值分析如下：</w:t>
      </w:r>
    </w:p>
    <w:p>
      <w:pPr>
        <w:spacing w:line="240" w:lineRule="auto" w:before="1"/>
        <w:rPr>
          <w:rFonts w:ascii="宋体" w:hAnsi="宋体" w:cs="宋体" w:eastAsia="宋体" w:hint="default"/>
          <w:sz w:val="23"/>
          <w:szCs w:val="23"/>
        </w:rPr>
      </w:pPr>
    </w:p>
    <w:tbl>
      <w:tblPr>
        <w:tblW w:w="0" w:type="auto"/>
        <w:jc w:val="left"/>
        <w:tblInd w:w="398" w:type="dxa"/>
        <w:tblLayout w:type="fixed"/>
        <w:tblCellMar>
          <w:top w:w="0" w:type="dxa"/>
          <w:left w:w="0" w:type="dxa"/>
          <w:bottom w:w="0" w:type="dxa"/>
          <w:right w:w="0" w:type="dxa"/>
        </w:tblCellMar>
        <w:tblLook w:val="01E0"/>
      </w:tblPr>
      <w:tblGrid>
        <w:gridCol w:w="4254"/>
        <w:gridCol w:w="2343"/>
        <w:gridCol w:w="228"/>
        <w:gridCol w:w="2395"/>
      </w:tblGrid>
      <w:tr>
        <w:trPr>
          <w:trHeight w:val="261"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20" w:lineRule="exact"/>
              <w:ind w:left="200" w:right="0"/>
              <w:jc w:val="left"/>
              <w:rPr>
                <w:rFonts w:ascii="宋体" w:hAnsi="宋体" w:cs="宋体" w:eastAsia="宋体" w:hint="default"/>
                <w:sz w:val="22"/>
                <w:szCs w:val="22"/>
              </w:rPr>
            </w:pPr>
            <w:r>
              <w:rPr>
                <w:rFonts w:ascii="宋体" w:hAnsi="宋体" w:cs="宋体" w:eastAsia="宋体" w:hint="default"/>
                <w:sz w:val="22"/>
                <w:szCs w:val="22"/>
              </w:rPr>
              <w:t>（单位：人民币百万元）</w:t>
            </w:r>
          </w:p>
        </w:tc>
        <w:tc>
          <w:tcPr>
            <w:tcW w:w="2343" w:type="dxa"/>
            <w:tcBorders>
              <w:top w:val="nil" w:sz="6" w:space="0" w:color="auto"/>
              <w:left w:val="nil" w:sz="6" w:space="0" w:color="auto"/>
              <w:bottom w:val="single" w:sz="6" w:space="0" w:color="000000"/>
              <w:right w:val="nil" w:sz="6" w:space="0" w:color="auto"/>
            </w:tcBorders>
          </w:tcPr>
          <w:p>
            <w:pPr>
              <w:pStyle w:val="TableParagraph"/>
              <w:spacing w:line="235" w:lineRule="exact"/>
              <w:ind w:right="71"/>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28"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single" w:sz="6" w:space="0" w:color="000000"/>
              <w:right w:val="nil" w:sz="6" w:space="0" w:color="auto"/>
            </w:tcBorders>
          </w:tcPr>
          <w:p>
            <w:pPr>
              <w:pStyle w:val="TableParagraph"/>
              <w:spacing w:line="235" w:lineRule="exact"/>
              <w:ind w:right="47"/>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20"/>
                <w:sz w:val="22"/>
                <w:szCs w:val="22"/>
              </w:rPr>
              <w:t> </w:t>
            </w:r>
            <w:r>
              <w:rPr>
                <w:rFonts w:ascii="宋体" w:hAnsi="宋体" w:cs="宋体" w:eastAsia="宋体" w:hint="default"/>
                <w:sz w:val="22"/>
                <w:szCs w:val="22"/>
              </w:rPr>
              <w:t>年</w:t>
            </w:r>
            <w:r>
              <w:rPr>
                <w:rFonts w:ascii="宋体" w:hAnsi="宋体" w:cs="宋体" w:eastAsia="宋体" w:hint="default"/>
                <w:spacing w:val="-69"/>
                <w:sz w:val="22"/>
                <w:szCs w:val="22"/>
              </w:rPr>
              <w:t> </w:t>
            </w:r>
            <w:r>
              <w:rPr>
                <w:rFonts w:ascii="Arial" w:hAnsi="Arial" w:cs="Arial" w:eastAsia="Arial" w:hint="default"/>
                <w:sz w:val="22"/>
                <w:szCs w:val="22"/>
              </w:rPr>
              <w:t>12</w:t>
            </w:r>
            <w:r>
              <w:rPr>
                <w:rFonts w:ascii="Arial" w:hAnsi="Arial" w:cs="Arial" w:eastAsia="Arial" w:hint="default"/>
                <w:spacing w:val="-22"/>
                <w:sz w:val="22"/>
                <w:szCs w:val="22"/>
              </w:rPr>
              <w:t> </w:t>
            </w:r>
            <w:r>
              <w:rPr>
                <w:rFonts w:ascii="宋体" w:hAnsi="宋体" w:cs="宋体" w:eastAsia="宋体" w:hint="default"/>
                <w:sz w:val="22"/>
                <w:szCs w:val="22"/>
              </w:rPr>
              <w:t>月</w:t>
            </w:r>
            <w:r>
              <w:rPr>
                <w:rFonts w:ascii="宋体" w:hAnsi="宋体" w:cs="宋体" w:eastAsia="宋体" w:hint="default"/>
                <w:spacing w:val="-69"/>
                <w:sz w:val="22"/>
                <w:szCs w:val="22"/>
              </w:rPr>
              <w:t> </w:t>
            </w:r>
            <w:r>
              <w:rPr>
                <w:rFonts w:ascii="Arial" w:hAnsi="Arial" w:cs="Arial" w:eastAsia="Arial" w:hint="default"/>
                <w:sz w:val="22"/>
                <w:szCs w:val="22"/>
              </w:rPr>
              <w:t>31</w:t>
            </w:r>
            <w:r>
              <w:rPr>
                <w:rFonts w:ascii="Arial" w:hAnsi="Arial" w:cs="Arial" w:eastAsia="Arial" w:hint="default"/>
                <w:spacing w:val="-20"/>
                <w:sz w:val="22"/>
                <w:szCs w:val="22"/>
              </w:rPr>
              <w:t> </w:t>
            </w:r>
            <w:r>
              <w:rPr>
                <w:rFonts w:ascii="宋体" w:hAnsi="宋体" w:cs="宋体" w:eastAsia="宋体" w:hint="default"/>
                <w:sz w:val="22"/>
                <w:szCs w:val="22"/>
              </w:rPr>
              <w:t>日</w:t>
            </w:r>
          </w:p>
        </w:tc>
      </w:tr>
      <w:tr>
        <w:trPr>
          <w:trHeight w:val="582"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4" w:right="0"/>
              <w:jc w:val="left"/>
              <w:rPr>
                <w:rFonts w:ascii="宋体" w:hAnsi="宋体" w:cs="宋体" w:eastAsia="宋体" w:hint="default"/>
                <w:sz w:val="22"/>
                <w:szCs w:val="22"/>
              </w:rPr>
            </w:pPr>
            <w:r>
              <w:rPr>
                <w:rFonts w:ascii="宋体" w:hAnsi="宋体" w:cs="宋体" w:eastAsia="宋体" w:hint="default"/>
                <w:sz w:val="22"/>
                <w:szCs w:val="22"/>
              </w:rPr>
              <w:t>长期借款非流动部分公允价值</w:t>
            </w:r>
          </w:p>
        </w:tc>
        <w:tc>
          <w:tcPr>
            <w:tcW w:w="2343" w:type="dxa"/>
            <w:tcBorders>
              <w:top w:val="single" w:sz="6"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20"/>
              <w:jc w:val="right"/>
              <w:rPr>
                <w:rFonts w:ascii="Arial" w:hAnsi="Arial" w:cs="Arial" w:eastAsia="Arial" w:hint="default"/>
                <w:sz w:val="22"/>
                <w:szCs w:val="22"/>
              </w:rPr>
            </w:pPr>
            <w:r>
              <w:rPr>
                <w:rFonts w:ascii="Arial"/>
                <w:w w:val="95"/>
                <w:sz w:val="22"/>
              </w:rPr>
              <w:t>438</w:t>
            </w:r>
            <w:r>
              <w:rPr>
                <w:rFonts w:ascii="Arial"/>
                <w:sz w:val="22"/>
              </w:rPr>
            </w:r>
          </w:p>
        </w:tc>
        <w:tc>
          <w:tcPr>
            <w:tcW w:w="228" w:type="dxa"/>
            <w:tcBorders>
              <w:top w:val="nil" w:sz="6" w:space="0" w:color="auto"/>
              <w:left w:val="nil" w:sz="6" w:space="0" w:color="auto"/>
              <w:bottom w:val="nil" w:sz="6" w:space="0" w:color="auto"/>
              <w:right w:val="nil" w:sz="6" w:space="0" w:color="auto"/>
            </w:tcBorders>
          </w:tcPr>
          <w:p>
            <w:pPr/>
          </w:p>
        </w:tc>
        <w:tc>
          <w:tcPr>
            <w:tcW w:w="2395" w:type="dxa"/>
            <w:tcBorders>
              <w:top w:val="single" w:sz="6"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14"/>
              <w:jc w:val="right"/>
              <w:rPr>
                <w:rFonts w:ascii="Arial" w:hAnsi="Arial" w:cs="Arial" w:eastAsia="Arial" w:hint="default"/>
                <w:sz w:val="22"/>
                <w:szCs w:val="22"/>
              </w:rPr>
            </w:pPr>
            <w:r>
              <w:rPr>
                <w:rFonts w:ascii="Arial"/>
                <w:w w:val="95"/>
                <w:sz w:val="22"/>
              </w:rPr>
              <w:t>1,225</w:t>
            </w:r>
            <w:r>
              <w:rPr>
                <w:rFonts w:ascii="Arial"/>
                <w:sz w:val="22"/>
              </w:rPr>
            </w:r>
          </w:p>
        </w:tc>
      </w:tr>
    </w:tbl>
    <w:p>
      <w:pPr>
        <w:spacing w:line="240" w:lineRule="auto" w:before="2"/>
        <w:rPr>
          <w:rFonts w:ascii="宋体" w:hAnsi="宋体" w:cs="宋体" w:eastAsia="宋体" w:hint="default"/>
          <w:sz w:val="14"/>
          <w:szCs w:val="14"/>
        </w:rPr>
      </w:pPr>
    </w:p>
    <w:p>
      <w:pPr>
        <w:pStyle w:val="BodyText"/>
        <w:spacing w:line="295" w:lineRule="exact" w:before="31"/>
        <w:ind w:left="570" w:right="0"/>
        <w:jc w:val="left"/>
      </w:pPr>
      <w:r>
        <w:rPr/>
        <w:t>于</w:t>
      </w:r>
      <w:r>
        <w:rPr>
          <w:spacing w:val="-54"/>
        </w:rPr>
        <w:t> </w:t>
      </w:r>
      <w:r>
        <w:rPr>
          <w:rFonts w:ascii="Arial" w:hAnsi="Arial" w:cs="Arial" w:eastAsia="Arial" w:hint="default"/>
        </w:rPr>
        <w:t>2012</w:t>
      </w:r>
      <w:r>
        <w:rPr>
          <w:rFonts w:ascii="Arial" w:hAnsi="Arial" w:cs="Arial" w:eastAsia="Arial" w:hint="default"/>
          <w:spacing w:val="-5"/>
        </w:rPr>
        <w:t> </w:t>
      </w:r>
      <w:r>
        <w:rPr/>
        <w:t>年</w:t>
      </w:r>
      <w:r>
        <w:rPr>
          <w:spacing w:val="-54"/>
        </w:rPr>
        <w:t> </w:t>
      </w:r>
      <w:r>
        <w:rPr>
          <w:rFonts w:ascii="Arial" w:hAnsi="Arial" w:cs="Arial" w:eastAsia="Arial" w:hint="default"/>
        </w:rPr>
        <w:t>12</w:t>
      </w:r>
      <w:r>
        <w:rPr>
          <w:rFonts w:ascii="Arial" w:hAnsi="Arial" w:cs="Arial" w:eastAsia="Arial" w:hint="default"/>
          <w:spacing w:val="-5"/>
        </w:rPr>
        <w:t> </w:t>
      </w:r>
      <w:r>
        <w:rPr/>
        <w:t>月</w:t>
      </w:r>
      <w:r>
        <w:rPr>
          <w:spacing w:val="-54"/>
        </w:rPr>
        <w:t> </w:t>
      </w:r>
      <w:r>
        <w:rPr>
          <w:rFonts w:ascii="Arial" w:hAnsi="Arial" w:cs="Arial" w:eastAsia="Arial" w:hint="default"/>
        </w:rPr>
        <w:t>31</w:t>
      </w:r>
      <w:r>
        <w:rPr>
          <w:rFonts w:ascii="Arial" w:hAnsi="Arial" w:cs="Arial" w:eastAsia="Arial" w:hint="default"/>
          <w:spacing w:val="-5"/>
        </w:rPr>
        <w:t> </w:t>
      </w:r>
      <w:r>
        <w:rPr>
          <w:spacing w:val="-3"/>
        </w:rPr>
        <w:t>日，上述公允价值以现金流量按市场利率</w:t>
      </w:r>
      <w:r>
        <w:rPr>
          <w:spacing w:val="-54"/>
        </w:rPr>
        <w:t> </w:t>
      </w:r>
      <w:r>
        <w:rPr>
          <w:rFonts w:ascii="Arial" w:hAnsi="Arial" w:cs="Arial" w:eastAsia="Arial" w:hint="default"/>
        </w:rPr>
        <w:t>3.52%</w:t>
      </w:r>
      <w:r>
        <w:rPr/>
        <w:t>至</w:t>
      </w:r>
      <w:r>
        <w:rPr>
          <w:spacing w:val="-54"/>
        </w:rPr>
        <w:t> </w:t>
      </w:r>
      <w:r>
        <w:rPr>
          <w:rFonts w:ascii="Arial" w:hAnsi="Arial" w:cs="Arial" w:eastAsia="Arial" w:hint="default"/>
          <w:spacing w:val="-4"/>
        </w:rPr>
        <w:t>3.67%</w:t>
      </w:r>
      <w:r>
        <w:rPr>
          <w:spacing w:val="-4"/>
        </w:rPr>
        <w:t>来折算（</w:t>
      </w:r>
      <w:r>
        <w:rPr>
          <w:rFonts w:ascii="Arial" w:hAnsi="Arial" w:cs="Arial" w:eastAsia="Arial" w:hint="default"/>
          <w:spacing w:val="-4"/>
        </w:rPr>
        <w:t>2011</w:t>
      </w:r>
      <w:r>
        <w:rPr>
          <w:rFonts w:ascii="Arial" w:hAnsi="Arial" w:cs="Arial" w:eastAsia="Arial" w:hint="default"/>
          <w:spacing w:val="-5"/>
        </w:rPr>
        <w:t> </w:t>
      </w:r>
      <w:r>
        <w:rPr/>
        <w:t>年</w:t>
      </w:r>
    </w:p>
    <w:p>
      <w:pPr>
        <w:pStyle w:val="BodyText"/>
        <w:spacing w:line="295" w:lineRule="exact"/>
        <w:ind w:left="570" w:right="3521"/>
        <w:jc w:val="left"/>
      </w:pP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w:t>
      </w:r>
      <w:r>
        <w:rPr>
          <w:rFonts w:ascii="Arial" w:hAnsi="Arial" w:cs="Arial" w:eastAsia="Arial" w:hint="default"/>
        </w:rPr>
        <w:t>4.63%</w:t>
      </w:r>
      <w:r>
        <w:rPr/>
        <w:t>至</w:t>
      </w:r>
      <w:r>
        <w:rPr>
          <w:spacing w:val="-57"/>
        </w:rPr>
        <w:t> </w:t>
      </w:r>
      <w:r>
        <w:rPr>
          <w:rFonts w:ascii="Arial" w:hAnsi="Arial" w:cs="Arial" w:eastAsia="Arial" w:hint="default"/>
        </w:rPr>
        <w:t>5.41%</w:t>
      </w:r>
      <w:r>
        <w:rPr/>
        <w:t>）。</w:t>
      </w:r>
    </w:p>
    <w:p>
      <w:pPr>
        <w:spacing w:line="240" w:lineRule="auto" w:before="12"/>
        <w:rPr>
          <w:rFonts w:ascii="宋体" w:hAnsi="宋体" w:cs="宋体" w:eastAsia="宋体" w:hint="default"/>
          <w:sz w:val="17"/>
          <w:szCs w:val="17"/>
        </w:rPr>
      </w:pPr>
    </w:p>
    <w:p>
      <w:pPr>
        <w:pStyle w:val="BodyText"/>
        <w:spacing w:line="240" w:lineRule="auto"/>
        <w:ind w:left="122" w:right="3521"/>
        <w:jc w:val="left"/>
      </w:pPr>
      <w:r>
        <w:rPr>
          <w:rFonts w:ascii="Arial" w:hAnsi="Arial" w:cs="Arial" w:eastAsia="Arial" w:hint="default"/>
        </w:rPr>
        <w:t>28</w:t>
      </w:r>
      <w:r>
        <w:rPr/>
        <w:t>、应付债券</w:t>
      </w:r>
    </w:p>
    <w:p>
      <w:pPr>
        <w:spacing w:line="240" w:lineRule="auto" w:before="0"/>
        <w:rPr>
          <w:rFonts w:ascii="宋体" w:hAnsi="宋体" w:cs="宋体" w:eastAsia="宋体" w:hint="default"/>
          <w:sz w:val="23"/>
          <w:szCs w:val="23"/>
        </w:rPr>
      </w:pPr>
    </w:p>
    <w:tbl>
      <w:tblPr>
        <w:tblW w:w="0" w:type="auto"/>
        <w:jc w:val="left"/>
        <w:tblInd w:w="435" w:type="dxa"/>
        <w:tblLayout w:type="fixed"/>
        <w:tblCellMar>
          <w:top w:w="0" w:type="dxa"/>
          <w:left w:w="0" w:type="dxa"/>
          <w:bottom w:w="0" w:type="dxa"/>
          <w:right w:w="0" w:type="dxa"/>
        </w:tblCellMar>
        <w:tblLook w:val="01E0"/>
      </w:tblPr>
      <w:tblGrid>
        <w:gridCol w:w="2486"/>
        <w:gridCol w:w="1808"/>
        <w:gridCol w:w="136"/>
        <w:gridCol w:w="1338"/>
        <w:gridCol w:w="110"/>
        <w:gridCol w:w="1342"/>
        <w:gridCol w:w="109"/>
        <w:gridCol w:w="1787"/>
      </w:tblGrid>
      <w:tr>
        <w:trPr>
          <w:trHeight w:val="237" w:hRule="exact"/>
        </w:trPr>
        <w:tc>
          <w:tcPr>
            <w:tcW w:w="4295" w:type="dxa"/>
            <w:gridSpan w:val="2"/>
            <w:tcBorders>
              <w:top w:val="nil" w:sz="6" w:space="0" w:color="auto"/>
              <w:left w:val="nil" w:sz="6" w:space="0" w:color="auto"/>
              <w:bottom w:val="nil" w:sz="6" w:space="0" w:color="auto"/>
              <w:right w:val="nil" w:sz="6" w:space="0" w:color="auto"/>
            </w:tcBorders>
          </w:tcPr>
          <w:p>
            <w:pPr>
              <w:pStyle w:val="TableParagraph"/>
              <w:spacing w:line="215" w:lineRule="exact"/>
              <w:ind w:left="253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7"/>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136"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single" w:sz="6" w:space="0" w:color="000000"/>
              <w:right w:val="nil" w:sz="6" w:space="0" w:color="auto"/>
            </w:tcBorders>
          </w:tcPr>
          <w:p>
            <w:pPr>
              <w:pStyle w:val="TableParagraph"/>
              <w:spacing w:line="200" w:lineRule="exact"/>
              <w:ind w:right="95"/>
              <w:jc w:val="right"/>
              <w:rPr>
                <w:rFonts w:ascii="宋体" w:hAnsi="宋体" w:cs="宋体" w:eastAsia="宋体" w:hint="default"/>
                <w:sz w:val="20"/>
                <w:szCs w:val="20"/>
              </w:rPr>
            </w:pPr>
            <w:r>
              <w:rPr>
                <w:rFonts w:ascii="宋体" w:hAnsi="宋体" w:cs="宋体" w:eastAsia="宋体" w:hint="default"/>
                <w:sz w:val="20"/>
                <w:szCs w:val="20"/>
              </w:rPr>
              <w:t>本年增加</w:t>
            </w:r>
          </w:p>
        </w:tc>
        <w:tc>
          <w:tcPr>
            <w:tcW w:w="110"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single" w:sz="6" w:space="0" w:color="000000"/>
              <w:right w:val="nil" w:sz="6" w:space="0" w:color="auto"/>
            </w:tcBorders>
          </w:tcPr>
          <w:p>
            <w:pPr>
              <w:pStyle w:val="TableParagraph"/>
              <w:spacing w:line="200" w:lineRule="exact"/>
              <w:ind w:right="86"/>
              <w:jc w:val="right"/>
              <w:rPr>
                <w:rFonts w:ascii="宋体" w:hAnsi="宋体" w:cs="宋体" w:eastAsia="宋体" w:hint="default"/>
                <w:sz w:val="20"/>
                <w:szCs w:val="20"/>
              </w:rPr>
            </w:pPr>
            <w:r>
              <w:rPr>
                <w:rFonts w:ascii="宋体" w:hAnsi="宋体" w:cs="宋体" w:eastAsia="宋体" w:hint="default"/>
                <w:sz w:val="20"/>
                <w:szCs w:val="20"/>
              </w:rPr>
              <w:t>本年减少</w:t>
            </w:r>
          </w:p>
        </w:tc>
        <w:tc>
          <w:tcPr>
            <w:tcW w:w="109"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single" w:sz="6" w:space="0" w:color="000000"/>
              <w:right w:val="nil" w:sz="6" w:space="0" w:color="auto"/>
            </w:tcBorders>
          </w:tcPr>
          <w:p>
            <w:pPr>
              <w:pStyle w:val="TableParagraph"/>
              <w:spacing w:line="215" w:lineRule="exact"/>
              <w:ind w:left="45"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19"/>
                <w:sz w:val="20"/>
                <w:szCs w:val="20"/>
              </w:rPr>
              <w:t> </w:t>
            </w:r>
            <w:r>
              <w:rPr>
                <w:rFonts w:ascii="宋体" w:hAnsi="宋体" w:cs="宋体" w:eastAsia="宋体" w:hint="default"/>
                <w:sz w:val="20"/>
                <w:szCs w:val="20"/>
              </w:rPr>
              <w:t>年</w:t>
            </w:r>
            <w:r>
              <w:rPr>
                <w:rFonts w:ascii="宋体" w:hAnsi="宋体" w:cs="宋体" w:eastAsia="宋体" w:hint="default"/>
                <w:spacing w:val="-62"/>
                <w:sz w:val="20"/>
                <w:szCs w:val="20"/>
              </w:rPr>
              <w:t> </w:t>
            </w:r>
            <w:r>
              <w:rPr>
                <w:rFonts w:ascii="Arial" w:hAnsi="Arial" w:cs="Arial" w:eastAsia="Arial" w:hint="default"/>
                <w:sz w:val="20"/>
                <w:szCs w:val="20"/>
              </w:rPr>
              <w:t>12</w:t>
            </w:r>
            <w:r>
              <w:rPr>
                <w:rFonts w:ascii="Arial" w:hAnsi="Arial" w:cs="Arial" w:eastAsia="Arial" w:hint="default"/>
                <w:spacing w:val="-17"/>
                <w:sz w:val="20"/>
                <w:szCs w:val="20"/>
              </w:rPr>
              <w:t> </w:t>
            </w:r>
            <w:r>
              <w:rPr>
                <w:rFonts w:ascii="宋体" w:hAnsi="宋体" w:cs="宋体" w:eastAsia="宋体" w:hint="default"/>
                <w:sz w:val="20"/>
                <w:szCs w:val="20"/>
              </w:rPr>
              <w:t>月</w:t>
            </w:r>
            <w:r>
              <w:rPr>
                <w:rFonts w:ascii="宋体" w:hAnsi="宋体" w:cs="宋体" w:eastAsia="宋体" w:hint="default"/>
                <w:spacing w:val="-63"/>
                <w:sz w:val="20"/>
                <w:szCs w:val="20"/>
              </w:rPr>
              <w:t> </w:t>
            </w:r>
            <w:r>
              <w:rPr>
                <w:rFonts w:ascii="Arial" w:hAnsi="Arial" w:cs="Arial" w:eastAsia="Arial" w:hint="default"/>
                <w:sz w:val="20"/>
                <w:szCs w:val="20"/>
              </w:rPr>
              <w:t>31</w:t>
            </w:r>
            <w:r>
              <w:rPr>
                <w:rFonts w:ascii="Arial" w:hAnsi="Arial" w:cs="Arial" w:eastAsia="Arial" w:hint="default"/>
                <w:spacing w:val="-17"/>
                <w:sz w:val="20"/>
                <w:szCs w:val="20"/>
              </w:rPr>
              <w:t> </w:t>
            </w:r>
            <w:r>
              <w:rPr>
                <w:rFonts w:ascii="宋体" w:hAnsi="宋体" w:cs="宋体" w:eastAsia="宋体" w:hint="default"/>
                <w:sz w:val="20"/>
                <w:szCs w:val="20"/>
              </w:rPr>
              <w:t>日</w:t>
            </w:r>
          </w:p>
        </w:tc>
      </w:tr>
      <w:tr>
        <w:trPr>
          <w:trHeight w:val="508"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20"/>
                <w:szCs w:val="20"/>
              </w:rPr>
            </w:pPr>
            <w:r>
              <w:rPr>
                <w:rFonts w:ascii="Arial" w:hAnsi="Arial" w:cs="Arial" w:eastAsia="Arial" w:hint="default"/>
                <w:sz w:val="20"/>
                <w:szCs w:val="20"/>
              </w:rPr>
              <w:t>2007</w:t>
            </w:r>
            <w:r>
              <w:rPr>
                <w:rFonts w:ascii="Arial" w:hAnsi="Arial" w:cs="Arial" w:eastAsia="Arial" w:hint="default"/>
                <w:spacing w:val="-8"/>
                <w:sz w:val="20"/>
                <w:szCs w:val="20"/>
              </w:rPr>
              <w:t> </w:t>
            </w:r>
            <w:r>
              <w:rPr>
                <w:rFonts w:ascii="宋体" w:hAnsi="宋体" w:cs="宋体" w:eastAsia="宋体" w:hint="default"/>
                <w:sz w:val="20"/>
                <w:szCs w:val="20"/>
              </w:rPr>
              <w:t>年公司债券</w:t>
            </w:r>
          </w:p>
        </w:tc>
        <w:tc>
          <w:tcPr>
            <w:tcW w:w="1808"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Arial" w:hAnsi="Arial" w:cs="Arial" w:eastAsia="Arial" w:hint="default"/>
                <w:sz w:val="20"/>
                <w:szCs w:val="20"/>
              </w:rPr>
            </w:pPr>
            <w:r>
              <w:rPr>
                <w:rFonts w:ascii="Arial"/>
                <w:spacing w:val="-1"/>
                <w:sz w:val="20"/>
              </w:rPr>
              <w:t>2,000,000,000</w:t>
            </w:r>
          </w:p>
        </w:tc>
        <w:tc>
          <w:tcPr>
            <w:tcW w:w="136" w:type="dxa"/>
            <w:tcBorders>
              <w:top w:val="nil" w:sz="6" w:space="0" w:color="auto"/>
              <w:left w:val="nil" w:sz="6" w:space="0" w:color="auto"/>
              <w:bottom w:val="nil" w:sz="6" w:space="0" w:color="auto"/>
              <w:right w:val="nil" w:sz="6" w:space="0" w:color="auto"/>
            </w:tcBorders>
          </w:tcPr>
          <w:p>
            <w:pPr/>
          </w:p>
        </w:tc>
        <w:tc>
          <w:tcPr>
            <w:tcW w:w="1338"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66"/>
              <w:jc w:val="right"/>
              <w:rPr>
                <w:rFonts w:ascii="Arial" w:hAnsi="Arial" w:cs="Arial" w:eastAsia="Arial" w:hint="default"/>
                <w:sz w:val="20"/>
                <w:szCs w:val="20"/>
              </w:rPr>
            </w:pPr>
            <w:r>
              <w:rPr>
                <w:rFonts w:ascii="Arial"/>
                <w:w w:val="100"/>
                <w:sz w:val="20"/>
              </w:rPr>
              <w:t>-</w:t>
            </w:r>
          </w:p>
        </w:tc>
        <w:tc>
          <w:tcPr>
            <w:tcW w:w="110" w:type="dxa"/>
            <w:tcBorders>
              <w:top w:val="nil" w:sz="6" w:space="0" w:color="auto"/>
              <w:left w:val="nil" w:sz="6" w:space="0" w:color="auto"/>
              <w:bottom w:val="nil" w:sz="6" w:space="0" w:color="auto"/>
              <w:right w:val="nil" w:sz="6" w:space="0" w:color="auto"/>
            </w:tcBorders>
          </w:tcPr>
          <w:p>
            <w:pPr/>
          </w:p>
        </w:tc>
        <w:tc>
          <w:tcPr>
            <w:tcW w:w="1342"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Arial" w:hAnsi="Arial" w:cs="Arial" w:eastAsia="Arial" w:hint="default"/>
                <w:sz w:val="20"/>
                <w:szCs w:val="20"/>
              </w:rPr>
            </w:pPr>
            <w:r>
              <w:rPr>
                <w:rFonts w:ascii="Arial"/>
                <w:w w:val="100"/>
                <w:sz w:val="20"/>
              </w:rPr>
              <w:t>-</w:t>
            </w:r>
          </w:p>
        </w:tc>
        <w:tc>
          <w:tcPr>
            <w:tcW w:w="109" w:type="dxa"/>
            <w:tcBorders>
              <w:top w:val="nil" w:sz="6" w:space="0" w:color="auto"/>
              <w:left w:val="nil" w:sz="6" w:space="0" w:color="auto"/>
              <w:bottom w:val="nil" w:sz="6" w:space="0" w:color="auto"/>
              <w:right w:val="nil" w:sz="6" w:space="0" w:color="auto"/>
            </w:tcBorders>
          </w:tcPr>
          <w:p>
            <w:pPr/>
          </w:p>
        </w:tc>
        <w:tc>
          <w:tcPr>
            <w:tcW w:w="1787"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66" w:right="0"/>
              <w:jc w:val="left"/>
              <w:rPr>
                <w:rFonts w:ascii="Arial" w:hAnsi="Arial" w:cs="Arial" w:eastAsia="Arial" w:hint="default"/>
                <w:sz w:val="20"/>
                <w:szCs w:val="20"/>
              </w:rPr>
            </w:pPr>
            <w:r>
              <w:rPr>
                <w:rFonts w:ascii="Arial"/>
                <w:sz w:val="20"/>
              </w:rPr>
              <w:t>2,000,000,000</w:t>
            </w:r>
          </w:p>
        </w:tc>
      </w:tr>
      <w:tr>
        <w:trPr>
          <w:trHeight w:val="260"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32" w:lineRule="exact"/>
              <w:ind w:left="200" w:right="0"/>
              <w:jc w:val="left"/>
              <w:rPr>
                <w:rFonts w:ascii="宋体" w:hAnsi="宋体" w:cs="宋体" w:eastAsia="宋体" w:hint="default"/>
                <w:sz w:val="20"/>
                <w:szCs w:val="20"/>
              </w:rPr>
            </w:pPr>
            <w:r>
              <w:rPr>
                <w:rFonts w:ascii="Arial" w:hAnsi="Arial" w:cs="Arial" w:eastAsia="Arial" w:hint="default"/>
                <w:sz w:val="20"/>
                <w:szCs w:val="20"/>
              </w:rPr>
              <w:t>2008</w:t>
            </w:r>
            <w:r>
              <w:rPr>
                <w:rFonts w:ascii="Arial" w:hAnsi="Arial" w:cs="Arial" w:eastAsia="Arial" w:hint="default"/>
                <w:spacing w:val="-8"/>
                <w:sz w:val="20"/>
                <w:szCs w:val="20"/>
              </w:rPr>
              <w:t> </w:t>
            </w:r>
            <w:r>
              <w:rPr>
                <w:rFonts w:ascii="宋体" w:hAnsi="宋体" w:cs="宋体" w:eastAsia="宋体" w:hint="default"/>
                <w:sz w:val="20"/>
                <w:szCs w:val="20"/>
              </w:rPr>
              <w:t>年公司债券</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20"/>
                <w:szCs w:val="20"/>
              </w:rPr>
            </w:pPr>
            <w:r>
              <w:rPr>
                <w:rFonts w:ascii="Arial"/>
                <w:spacing w:val="-1"/>
                <w:sz w:val="20"/>
              </w:rPr>
              <w:t>5,000,000,000</w:t>
            </w:r>
          </w:p>
        </w:tc>
        <w:tc>
          <w:tcPr>
            <w:tcW w:w="136"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6"/>
              <w:jc w:val="right"/>
              <w:rPr>
                <w:rFonts w:ascii="Arial" w:hAnsi="Arial" w:cs="Arial" w:eastAsia="Arial" w:hint="default"/>
                <w:sz w:val="20"/>
                <w:szCs w:val="20"/>
              </w:rPr>
            </w:pPr>
            <w:r>
              <w:rPr>
                <w:rFonts w:ascii="Arial"/>
                <w:w w:val="100"/>
                <w:sz w:val="20"/>
              </w:rPr>
              <w:t>-</w:t>
            </w:r>
          </w:p>
        </w:tc>
        <w:tc>
          <w:tcPr>
            <w:tcW w:w="110"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5"/>
              <w:jc w:val="right"/>
              <w:rPr>
                <w:rFonts w:ascii="Arial" w:hAnsi="Arial" w:cs="Arial" w:eastAsia="Arial" w:hint="default"/>
                <w:sz w:val="20"/>
                <w:szCs w:val="20"/>
              </w:rPr>
            </w:pPr>
            <w:r>
              <w:rPr>
                <w:rFonts w:ascii="Arial"/>
                <w:w w:val="100"/>
                <w:sz w:val="20"/>
              </w:rPr>
              <w:t>-</w:t>
            </w:r>
          </w:p>
        </w:tc>
        <w:tc>
          <w:tcPr>
            <w:tcW w:w="109"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66" w:right="0"/>
              <w:jc w:val="left"/>
              <w:rPr>
                <w:rFonts w:ascii="Arial" w:hAnsi="Arial" w:cs="Arial" w:eastAsia="Arial" w:hint="default"/>
                <w:sz w:val="20"/>
                <w:szCs w:val="20"/>
              </w:rPr>
            </w:pPr>
            <w:r>
              <w:rPr>
                <w:rFonts w:ascii="Arial"/>
                <w:sz w:val="20"/>
              </w:rPr>
              <w:t>5,000,000,000</w:t>
            </w:r>
          </w:p>
        </w:tc>
      </w:tr>
      <w:tr>
        <w:trPr>
          <w:trHeight w:val="259"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33" w:lineRule="exact"/>
              <w:ind w:left="200"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9"/>
                <w:sz w:val="20"/>
                <w:szCs w:val="20"/>
              </w:rPr>
              <w:t> </w:t>
            </w:r>
            <w:r>
              <w:rPr>
                <w:rFonts w:ascii="宋体" w:hAnsi="宋体" w:cs="宋体" w:eastAsia="宋体" w:hint="default"/>
                <w:sz w:val="20"/>
                <w:szCs w:val="20"/>
              </w:rPr>
              <w:t>年第一期中期票据</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20"/>
                <w:szCs w:val="20"/>
              </w:rPr>
            </w:pPr>
            <w:r>
              <w:rPr>
                <w:rFonts w:ascii="Arial"/>
                <w:spacing w:val="-1"/>
                <w:sz w:val="20"/>
              </w:rPr>
              <w:t>3,000,000,000</w:t>
            </w:r>
          </w:p>
        </w:tc>
        <w:tc>
          <w:tcPr>
            <w:tcW w:w="136"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6"/>
              <w:jc w:val="right"/>
              <w:rPr>
                <w:rFonts w:ascii="Arial" w:hAnsi="Arial" w:cs="Arial" w:eastAsia="Arial" w:hint="default"/>
                <w:sz w:val="20"/>
                <w:szCs w:val="20"/>
              </w:rPr>
            </w:pPr>
            <w:r>
              <w:rPr>
                <w:rFonts w:ascii="Arial"/>
                <w:w w:val="100"/>
                <w:sz w:val="20"/>
              </w:rPr>
              <w:t>-</w:t>
            </w:r>
          </w:p>
        </w:tc>
        <w:tc>
          <w:tcPr>
            <w:tcW w:w="110"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5"/>
              <w:jc w:val="right"/>
              <w:rPr>
                <w:rFonts w:ascii="Arial" w:hAnsi="Arial" w:cs="Arial" w:eastAsia="Arial" w:hint="default"/>
                <w:sz w:val="20"/>
                <w:szCs w:val="20"/>
              </w:rPr>
            </w:pPr>
            <w:r>
              <w:rPr>
                <w:rFonts w:ascii="Arial"/>
                <w:w w:val="100"/>
                <w:sz w:val="20"/>
              </w:rPr>
              <w:t>-</w:t>
            </w:r>
          </w:p>
        </w:tc>
        <w:tc>
          <w:tcPr>
            <w:tcW w:w="109"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66" w:right="0"/>
              <w:jc w:val="left"/>
              <w:rPr>
                <w:rFonts w:ascii="Arial" w:hAnsi="Arial" w:cs="Arial" w:eastAsia="Arial" w:hint="default"/>
                <w:sz w:val="20"/>
                <w:szCs w:val="20"/>
              </w:rPr>
            </w:pPr>
            <w:r>
              <w:rPr>
                <w:rFonts w:ascii="Arial"/>
                <w:sz w:val="20"/>
              </w:rPr>
              <w:t>3,000,000,000</w:t>
            </w:r>
          </w:p>
        </w:tc>
      </w:tr>
      <w:tr>
        <w:trPr>
          <w:trHeight w:val="259"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33" w:lineRule="exact"/>
              <w:ind w:left="200"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9"/>
                <w:sz w:val="20"/>
                <w:szCs w:val="20"/>
              </w:rPr>
              <w:t> </w:t>
            </w:r>
            <w:r>
              <w:rPr>
                <w:rFonts w:ascii="宋体" w:hAnsi="宋体" w:cs="宋体" w:eastAsia="宋体" w:hint="default"/>
                <w:sz w:val="20"/>
                <w:szCs w:val="20"/>
              </w:rPr>
              <w:t>年第二期中期票据</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10" w:right="0"/>
              <w:jc w:val="left"/>
              <w:rPr>
                <w:rFonts w:ascii="Arial" w:hAnsi="Arial" w:cs="Arial" w:eastAsia="Arial" w:hint="default"/>
                <w:sz w:val="20"/>
                <w:szCs w:val="20"/>
              </w:rPr>
            </w:pPr>
            <w:r>
              <w:rPr>
                <w:rFonts w:ascii="Arial"/>
                <w:sz w:val="20"/>
              </w:rPr>
              <w:t>12,000,000,000</w:t>
            </w:r>
          </w:p>
        </w:tc>
        <w:tc>
          <w:tcPr>
            <w:tcW w:w="136"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6"/>
              <w:jc w:val="right"/>
              <w:rPr>
                <w:rFonts w:ascii="Arial" w:hAnsi="Arial" w:cs="Arial" w:eastAsia="Arial" w:hint="default"/>
                <w:sz w:val="20"/>
                <w:szCs w:val="20"/>
              </w:rPr>
            </w:pPr>
            <w:r>
              <w:rPr>
                <w:rFonts w:ascii="Arial"/>
                <w:w w:val="100"/>
                <w:sz w:val="20"/>
              </w:rPr>
              <w:t>-</w:t>
            </w:r>
          </w:p>
        </w:tc>
        <w:tc>
          <w:tcPr>
            <w:tcW w:w="110"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5"/>
              <w:jc w:val="right"/>
              <w:rPr>
                <w:rFonts w:ascii="Arial" w:hAnsi="Arial" w:cs="Arial" w:eastAsia="Arial" w:hint="default"/>
                <w:sz w:val="20"/>
                <w:szCs w:val="20"/>
              </w:rPr>
            </w:pPr>
            <w:r>
              <w:rPr>
                <w:rFonts w:ascii="Arial"/>
                <w:w w:val="100"/>
                <w:sz w:val="20"/>
              </w:rPr>
              <w:t>-</w:t>
            </w:r>
          </w:p>
        </w:tc>
        <w:tc>
          <w:tcPr>
            <w:tcW w:w="109"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55" w:right="0"/>
              <w:jc w:val="left"/>
              <w:rPr>
                <w:rFonts w:ascii="Arial" w:hAnsi="Arial" w:cs="Arial" w:eastAsia="Arial" w:hint="default"/>
                <w:sz w:val="20"/>
                <w:szCs w:val="20"/>
              </w:rPr>
            </w:pPr>
            <w:r>
              <w:rPr>
                <w:rFonts w:ascii="Arial"/>
                <w:sz w:val="20"/>
              </w:rPr>
              <w:t>12,000,000,000</w:t>
            </w:r>
          </w:p>
        </w:tc>
      </w:tr>
      <w:tr>
        <w:trPr>
          <w:trHeight w:val="267"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33" w:lineRule="exact"/>
              <w:ind w:left="200"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8"/>
                <w:sz w:val="20"/>
                <w:szCs w:val="20"/>
              </w:rPr>
              <w:t> </w:t>
            </w:r>
            <w:r>
              <w:rPr>
                <w:rFonts w:ascii="宋体" w:hAnsi="宋体" w:cs="宋体" w:eastAsia="宋体" w:hint="default"/>
                <w:sz w:val="20"/>
                <w:szCs w:val="20"/>
              </w:rPr>
              <w:t>年可转换债券</w:t>
            </w:r>
          </w:p>
        </w:tc>
        <w:tc>
          <w:tcPr>
            <w:tcW w:w="1808" w:type="dxa"/>
            <w:tcBorders>
              <w:top w:val="nil" w:sz="6" w:space="0" w:color="auto"/>
              <w:left w:val="nil" w:sz="6" w:space="0" w:color="auto"/>
              <w:bottom w:val="nil" w:sz="6" w:space="0" w:color="auto"/>
              <w:right w:val="nil" w:sz="6" w:space="0" w:color="auto"/>
            </w:tcBorders>
          </w:tcPr>
          <w:p>
            <w:pPr>
              <w:pStyle w:val="TableParagraph"/>
              <w:tabs>
                <w:tab w:pos="310" w:val="left" w:leader="none"/>
                <w:tab w:pos="1808" w:val="left" w:leader="none"/>
              </w:tabs>
              <w:spacing w:line="240" w:lineRule="auto" w:before="15"/>
              <w:ind w:right="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11,118,105,681</w:t>
              <w:tab/>
            </w:r>
            <w:r>
              <w:rPr>
                <w:rFonts w:ascii="Arial"/>
                <w:spacing w:val="-1"/>
                <w:sz w:val="20"/>
              </w:rPr>
            </w:r>
          </w:p>
        </w:tc>
        <w:tc>
          <w:tcPr>
            <w:tcW w:w="136"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Style w:val="TableParagraph"/>
              <w:tabs>
                <w:tab w:pos="1338" w:val="left" w:leader="none"/>
              </w:tabs>
              <w:spacing w:line="240" w:lineRule="auto" w:before="15"/>
              <w:ind w:right="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11"/>
                <w:sz w:val="20"/>
                <w:u w:val="single" w:color="000000"/>
              </w:rPr>
              <w:t> </w:t>
            </w:r>
            <w:r>
              <w:rPr>
                <w:rFonts w:ascii="Arial"/>
                <w:spacing w:val="-1"/>
                <w:sz w:val="20"/>
                <w:u w:val="single" w:color="000000"/>
              </w:rPr>
              <w:t>184,129,731</w:t>
              <w:tab/>
            </w:r>
            <w:r>
              <w:rPr>
                <w:rFonts w:ascii="Arial"/>
                <w:spacing w:val="-1"/>
                <w:sz w:val="20"/>
              </w:rPr>
            </w:r>
          </w:p>
        </w:tc>
        <w:tc>
          <w:tcPr>
            <w:tcW w:w="110"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4"/>
                <w:sz w:val="20"/>
                <w:u w:val="single" w:color="000000"/>
              </w:rPr>
              <w:t> </w:t>
            </w:r>
            <w:r>
              <w:rPr>
                <w:rFonts w:ascii="Arial"/>
                <w:spacing w:val="-1"/>
                <w:sz w:val="20"/>
                <w:u w:val="single" w:color="000000"/>
              </w:rPr>
              <w:t>(86,861,923)</w:t>
            </w:r>
            <w:r>
              <w:rPr>
                <w:rFonts w:ascii="Arial"/>
                <w:spacing w:val="-1"/>
                <w:sz w:val="20"/>
              </w:rPr>
            </w:r>
          </w:p>
        </w:tc>
        <w:tc>
          <w:tcPr>
            <w:tcW w:w="109"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nil" w:sz="6" w:space="0" w:color="auto"/>
              <w:right w:val="nil" w:sz="6" w:space="0" w:color="auto"/>
            </w:tcBorders>
          </w:tcPr>
          <w:p>
            <w:pPr>
              <w:pStyle w:val="TableParagraph"/>
              <w:tabs>
                <w:tab w:pos="1786" w:val="left" w:leader="none"/>
              </w:tabs>
              <w:spacing w:line="240" w:lineRule="auto" w:before="15"/>
              <w:ind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3"/>
                <w:sz w:val="20"/>
                <w:u w:val="single" w:color="000000"/>
              </w:rPr>
              <w:t> </w:t>
            </w:r>
            <w:r>
              <w:rPr>
                <w:rFonts w:ascii="Arial"/>
                <w:sz w:val="20"/>
                <w:u w:val="single" w:color="000000"/>
              </w:rPr>
              <w:t>11,215,373,489</w:t>
              <w:tab/>
            </w:r>
            <w:r>
              <w:rPr>
                <w:rFonts w:ascii="Arial"/>
                <w:sz w:val="20"/>
              </w:rPr>
            </w:r>
          </w:p>
        </w:tc>
      </w:tr>
      <w:tr>
        <w:trPr>
          <w:trHeight w:val="278"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10" w:right="0"/>
              <w:jc w:val="left"/>
              <w:rPr>
                <w:rFonts w:ascii="Arial" w:hAnsi="Arial" w:cs="Arial" w:eastAsia="Arial" w:hint="default"/>
                <w:sz w:val="20"/>
                <w:szCs w:val="20"/>
              </w:rPr>
            </w:pPr>
            <w:r>
              <w:rPr>
                <w:rFonts w:ascii="Arial"/>
                <w:sz w:val="20"/>
              </w:rPr>
              <w:t>33,118,105,681</w:t>
            </w:r>
          </w:p>
        </w:tc>
        <w:tc>
          <w:tcPr>
            <w:tcW w:w="136"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single" w:sz="17" w:space="0" w:color="000000"/>
              <w:right w:val="nil" w:sz="6" w:space="0" w:color="auto"/>
            </w:tcBorders>
          </w:tcPr>
          <w:p>
            <w:pPr>
              <w:pStyle w:val="TableParagraph"/>
              <w:spacing w:line="240" w:lineRule="auto" w:before="23"/>
              <w:ind w:left="156" w:right="0"/>
              <w:jc w:val="left"/>
              <w:rPr>
                <w:rFonts w:ascii="Arial" w:hAnsi="Arial" w:cs="Arial" w:eastAsia="Arial" w:hint="default"/>
                <w:sz w:val="20"/>
                <w:szCs w:val="20"/>
              </w:rPr>
            </w:pPr>
            <w:r>
              <w:rPr>
                <w:rFonts w:ascii="Arial"/>
                <w:sz w:val="20"/>
              </w:rPr>
              <w:t>184,129,731</w:t>
            </w:r>
          </w:p>
        </w:tc>
        <w:tc>
          <w:tcPr>
            <w:tcW w:w="110"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single" w:sz="17" w:space="0" w:color="000000"/>
              <w:right w:val="nil" w:sz="6" w:space="0" w:color="auto"/>
            </w:tcBorders>
          </w:tcPr>
          <w:p>
            <w:pPr>
              <w:pStyle w:val="TableParagraph"/>
              <w:spacing w:line="240" w:lineRule="auto" w:before="23"/>
              <w:ind w:right="41"/>
              <w:jc w:val="right"/>
              <w:rPr>
                <w:rFonts w:ascii="Arial" w:hAnsi="Arial" w:cs="Arial" w:eastAsia="Arial" w:hint="default"/>
                <w:sz w:val="20"/>
                <w:szCs w:val="20"/>
              </w:rPr>
            </w:pPr>
            <w:r>
              <w:rPr>
                <w:rFonts w:ascii="Arial"/>
                <w:spacing w:val="-1"/>
                <w:sz w:val="20"/>
              </w:rPr>
              <w:t>(86,861,923)</w:t>
            </w:r>
          </w:p>
        </w:tc>
        <w:tc>
          <w:tcPr>
            <w:tcW w:w="109"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55" w:right="0"/>
              <w:jc w:val="left"/>
              <w:rPr>
                <w:rFonts w:ascii="Arial" w:hAnsi="Arial" w:cs="Arial" w:eastAsia="Arial" w:hint="default"/>
                <w:sz w:val="20"/>
                <w:szCs w:val="20"/>
              </w:rPr>
            </w:pPr>
            <w:r>
              <w:rPr>
                <w:rFonts w:ascii="Arial"/>
                <w:sz w:val="20"/>
              </w:rPr>
              <w:t>33,215,373,489</w:t>
            </w:r>
          </w:p>
        </w:tc>
      </w:tr>
      <w:tr>
        <w:trPr>
          <w:trHeight w:val="520"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0"/>
                <w:szCs w:val="20"/>
              </w:rPr>
            </w:pPr>
            <w:r>
              <w:rPr>
                <w:rFonts w:ascii="宋体" w:hAnsi="宋体" w:cs="宋体" w:eastAsia="宋体" w:hint="default"/>
                <w:w w:val="100"/>
                <w:sz w:val="20"/>
                <w:szCs w:val="20"/>
              </w:rPr>
              <w:t>减</w:t>
            </w:r>
            <w:r>
              <w:rPr>
                <w:rFonts w:ascii="宋体" w:hAnsi="宋体" w:cs="宋体" w:eastAsia="宋体" w:hint="default"/>
                <w:spacing w:val="-92"/>
                <w:w w:val="100"/>
                <w:sz w:val="20"/>
                <w:szCs w:val="20"/>
              </w:rPr>
              <w:t>：</w:t>
            </w:r>
            <w:r>
              <w:rPr>
                <w:rFonts w:ascii="Arial" w:hAnsi="Arial" w:cs="Arial" w:eastAsia="Arial" w:hint="default"/>
                <w:w w:val="100"/>
                <w:sz w:val="20"/>
                <w:szCs w:val="20"/>
              </w:rPr>
              <w:t>1</w:t>
            </w:r>
            <w:r>
              <w:rPr>
                <w:rFonts w:ascii="Arial" w:hAnsi="Arial" w:cs="Arial" w:eastAsia="Arial" w:hint="default"/>
                <w:spacing w:val="-6"/>
                <w:sz w:val="20"/>
                <w:szCs w:val="20"/>
              </w:rPr>
              <w:t> </w:t>
            </w:r>
            <w:r>
              <w:rPr>
                <w:rFonts w:ascii="宋体" w:hAnsi="宋体" w:cs="宋体" w:eastAsia="宋体" w:hint="default"/>
                <w:w w:val="100"/>
                <w:sz w:val="20"/>
                <w:szCs w:val="20"/>
              </w:rPr>
              <w:t>年内</w:t>
            </w:r>
            <w:r>
              <w:rPr>
                <w:rFonts w:ascii="宋体" w:hAnsi="宋体" w:cs="宋体" w:eastAsia="宋体" w:hint="default"/>
                <w:spacing w:val="-2"/>
                <w:w w:val="100"/>
                <w:sz w:val="20"/>
                <w:szCs w:val="20"/>
              </w:rPr>
              <w:t>到</w:t>
            </w:r>
            <w:r>
              <w:rPr>
                <w:rFonts w:ascii="宋体" w:hAnsi="宋体" w:cs="宋体" w:eastAsia="宋体" w:hint="default"/>
                <w:w w:val="100"/>
                <w:sz w:val="20"/>
                <w:szCs w:val="20"/>
              </w:rPr>
              <w:t>期的应</w:t>
            </w:r>
            <w:r>
              <w:rPr>
                <w:rFonts w:ascii="宋体" w:hAnsi="宋体" w:cs="宋体" w:eastAsia="宋体" w:hint="default"/>
                <w:spacing w:val="-2"/>
                <w:w w:val="100"/>
                <w:sz w:val="20"/>
                <w:szCs w:val="20"/>
              </w:rPr>
              <w:t>付</w:t>
            </w:r>
            <w:r>
              <w:rPr>
                <w:rFonts w:ascii="宋体" w:hAnsi="宋体" w:cs="宋体" w:eastAsia="宋体" w:hint="default"/>
                <w:w w:val="100"/>
                <w:sz w:val="20"/>
                <w:szCs w:val="20"/>
              </w:rPr>
              <w:t>债券</w:t>
            </w:r>
          </w:p>
        </w:tc>
        <w:tc>
          <w:tcPr>
            <w:tcW w:w="1808" w:type="dxa"/>
            <w:tcBorders>
              <w:top w:val="nil" w:sz="6" w:space="0" w:color="auto"/>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5"/>
              <w:jc w:val="right"/>
              <w:rPr>
                <w:rFonts w:ascii="Arial" w:hAnsi="Arial" w:cs="Arial" w:eastAsia="Arial" w:hint="default"/>
                <w:sz w:val="20"/>
                <w:szCs w:val="20"/>
              </w:rPr>
            </w:pPr>
            <w:r>
              <w:rPr>
                <w:rFonts w:ascii="Arial"/>
                <w:w w:val="100"/>
                <w:sz w:val="20"/>
              </w:rPr>
              <w:t>-</w:t>
            </w:r>
          </w:p>
        </w:tc>
        <w:tc>
          <w:tcPr>
            <w:tcW w:w="136" w:type="dxa"/>
            <w:tcBorders>
              <w:top w:val="nil" w:sz="6" w:space="0" w:color="auto"/>
              <w:left w:val="nil" w:sz="6" w:space="0" w:color="auto"/>
              <w:bottom w:val="nil" w:sz="6" w:space="0" w:color="auto"/>
              <w:right w:val="nil" w:sz="6" w:space="0" w:color="auto"/>
            </w:tcBorders>
          </w:tcPr>
          <w:p>
            <w:pPr/>
          </w:p>
        </w:tc>
        <w:tc>
          <w:tcPr>
            <w:tcW w:w="1338" w:type="dxa"/>
            <w:tcBorders>
              <w:top w:val="single" w:sz="17" w:space="0" w:color="000000"/>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342" w:type="dxa"/>
            <w:tcBorders>
              <w:top w:val="single" w:sz="17" w:space="0" w:color="000000"/>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87" w:right="0"/>
              <w:jc w:val="left"/>
              <w:rPr>
                <w:rFonts w:ascii="Arial" w:hAnsi="Arial" w:cs="Arial" w:eastAsia="Arial" w:hint="default"/>
                <w:sz w:val="20"/>
                <w:szCs w:val="20"/>
              </w:rPr>
            </w:pPr>
            <w:r>
              <w:rPr>
                <w:rFonts w:ascii="Arial"/>
                <w:sz w:val="20"/>
              </w:rPr>
              <w:t>(31,215,373,489)</w:t>
            </w:r>
          </w:p>
        </w:tc>
      </w:tr>
      <w:tr>
        <w:trPr>
          <w:trHeight w:val="521"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808" w:type="dxa"/>
            <w:tcBorders>
              <w:top w:val="single" w:sz="6"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10" w:right="0"/>
              <w:jc w:val="left"/>
              <w:rPr>
                <w:rFonts w:ascii="Arial" w:hAnsi="Arial" w:cs="Arial" w:eastAsia="Arial" w:hint="default"/>
                <w:sz w:val="20"/>
                <w:szCs w:val="20"/>
              </w:rPr>
            </w:pPr>
            <w:r>
              <w:rPr>
                <w:rFonts w:ascii="Arial"/>
                <w:sz w:val="20"/>
              </w:rPr>
              <w:t>33,118,105,681</w:t>
            </w:r>
          </w:p>
        </w:tc>
        <w:tc>
          <w:tcPr>
            <w:tcW w:w="136"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787" w:type="dxa"/>
            <w:tcBorders>
              <w:top w:val="single" w:sz="6"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66" w:right="0"/>
              <w:jc w:val="left"/>
              <w:rPr>
                <w:rFonts w:ascii="Arial" w:hAnsi="Arial" w:cs="Arial" w:eastAsia="Arial" w:hint="default"/>
                <w:sz w:val="20"/>
                <w:szCs w:val="20"/>
              </w:rPr>
            </w:pPr>
            <w:r>
              <w:rPr>
                <w:rFonts w:ascii="Arial"/>
                <w:sz w:val="20"/>
              </w:rPr>
              <w:t>2,000,000,000</w:t>
            </w:r>
          </w:p>
        </w:tc>
      </w:tr>
    </w:tbl>
    <w:p>
      <w:pPr>
        <w:spacing w:line="240" w:lineRule="auto" w:before="2"/>
        <w:rPr>
          <w:rFonts w:ascii="宋体" w:hAnsi="宋体" w:cs="宋体" w:eastAsia="宋体" w:hint="default"/>
          <w:sz w:val="14"/>
          <w:szCs w:val="14"/>
        </w:rPr>
      </w:pPr>
    </w:p>
    <w:p>
      <w:pPr>
        <w:pStyle w:val="BodyText"/>
        <w:spacing w:line="294" w:lineRule="exact" w:before="31"/>
        <w:ind w:left="580" w:right="0"/>
        <w:jc w:val="left"/>
      </w:pPr>
      <w:r>
        <w:rPr>
          <w:spacing w:val="-5"/>
        </w:rPr>
        <w:t>注：本公司所属子公司联通运营公司发行的</w:t>
      </w:r>
      <w:r>
        <w:rPr>
          <w:spacing w:val="-55"/>
        </w:rPr>
        <w:t> </w:t>
      </w:r>
      <w:r>
        <w:rPr>
          <w:rFonts w:ascii="Arial" w:hAnsi="Arial" w:cs="Arial" w:eastAsia="Arial" w:hint="default"/>
        </w:rPr>
        <w:t>2008</w:t>
      </w:r>
      <w:r>
        <w:rPr>
          <w:rFonts w:ascii="Arial" w:hAnsi="Arial" w:cs="Arial" w:eastAsia="Arial" w:hint="default"/>
          <w:spacing w:val="-8"/>
        </w:rPr>
        <w:t> </w:t>
      </w:r>
      <w:r>
        <w:rPr/>
        <w:t>年公司债券以及</w:t>
      </w:r>
      <w:r>
        <w:rPr>
          <w:spacing w:val="-57"/>
        </w:rPr>
        <w:t> </w:t>
      </w:r>
      <w:r>
        <w:rPr>
          <w:rFonts w:ascii="Arial" w:hAnsi="Arial" w:cs="Arial" w:eastAsia="Arial" w:hint="default"/>
        </w:rPr>
        <w:t>2010</w:t>
      </w:r>
      <w:r>
        <w:rPr>
          <w:rFonts w:ascii="Arial" w:hAnsi="Arial" w:cs="Arial" w:eastAsia="Arial" w:hint="default"/>
          <w:spacing w:val="-8"/>
        </w:rPr>
        <w:t> </w:t>
      </w:r>
      <w:r>
        <w:rPr/>
        <w:t>年第一期和第二期中期</w:t>
      </w:r>
    </w:p>
    <w:p>
      <w:pPr>
        <w:pStyle w:val="BodyText"/>
        <w:spacing w:line="285" w:lineRule="exact"/>
        <w:ind w:left="940" w:right="0"/>
        <w:jc w:val="left"/>
      </w:pPr>
      <w:r>
        <w:rPr/>
        <w:t>票据将于 </w:t>
      </w:r>
      <w:r>
        <w:rPr>
          <w:rFonts w:ascii="Arial" w:hAnsi="Arial" w:cs="Arial" w:eastAsia="Arial" w:hint="default"/>
        </w:rPr>
        <w:t>2013  </w:t>
      </w:r>
      <w:r>
        <w:rPr/>
        <w:t>年到期以及亿迅公司发行的 </w:t>
      </w:r>
      <w:r>
        <w:rPr>
          <w:rFonts w:ascii="Arial" w:hAnsi="Arial" w:cs="Arial" w:eastAsia="Arial" w:hint="default"/>
        </w:rPr>
        <w:t>2010</w:t>
      </w:r>
      <w:r>
        <w:rPr>
          <w:rFonts w:ascii="Arial" w:hAnsi="Arial" w:cs="Arial" w:eastAsia="Arial" w:hint="default"/>
          <w:spacing w:val="17"/>
        </w:rPr>
        <w:t> </w:t>
      </w:r>
      <w:r>
        <w:rPr/>
        <w:t>年可转换债券的债券持有人有权选择于</w:t>
      </w:r>
    </w:p>
    <w:p>
      <w:pPr>
        <w:pStyle w:val="BodyText"/>
        <w:spacing w:line="286" w:lineRule="exact" w:before="19"/>
        <w:ind w:left="940" w:right="209"/>
        <w:jc w:val="left"/>
      </w:pPr>
      <w:r>
        <w:rPr>
          <w:rFonts w:ascii="Arial" w:hAnsi="Arial" w:cs="Arial" w:eastAsia="Arial" w:hint="default"/>
        </w:rPr>
        <w:t>2013</w:t>
      </w:r>
      <w:r>
        <w:rPr>
          <w:rFonts w:ascii="Arial" w:hAnsi="Arial" w:cs="Arial" w:eastAsia="Arial" w:hint="default"/>
          <w:spacing w:val="-21"/>
        </w:rPr>
        <w:t> </w:t>
      </w:r>
      <w:r>
        <w:rPr/>
        <w:t>年</w:t>
      </w:r>
      <w:r>
        <w:rPr>
          <w:spacing w:val="-70"/>
        </w:rPr>
        <w:t> </w:t>
      </w:r>
      <w:r>
        <w:rPr>
          <w:rFonts w:ascii="Arial" w:hAnsi="Arial" w:cs="Arial" w:eastAsia="Arial" w:hint="default"/>
        </w:rPr>
        <w:t>10</w:t>
      </w:r>
      <w:r>
        <w:rPr>
          <w:rFonts w:ascii="Arial" w:hAnsi="Arial" w:cs="Arial" w:eastAsia="Arial" w:hint="default"/>
          <w:spacing w:val="-21"/>
        </w:rPr>
        <w:t> </w:t>
      </w:r>
      <w:r>
        <w:rPr/>
        <w:t>月</w:t>
      </w:r>
      <w:r>
        <w:rPr>
          <w:spacing w:val="-70"/>
        </w:rPr>
        <w:t> </w:t>
      </w:r>
      <w:r>
        <w:rPr>
          <w:rFonts w:ascii="Arial" w:hAnsi="Arial" w:cs="Arial" w:eastAsia="Arial" w:hint="default"/>
        </w:rPr>
        <w:t>18</w:t>
      </w:r>
      <w:r>
        <w:rPr>
          <w:rFonts w:ascii="Arial" w:hAnsi="Arial" w:cs="Arial" w:eastAsia="Arial" w:hint="default"/>
          <w:spacing w:val="-21"/>
        </w:rPr>
        <w:t> </w:t>
      </w:r>
      <w:r>
        <w:rPr/>
        <w:t>日按本金连同应计而未支付的利息赎回可转换债券，故计入一年内到期的</w:t>
      </w:r>
      <w:r>
        <w:rPr>
          <w:w w:val="99"/>
        </w:rPr>
        <w:t> </w:t>
      </w:r>
      <w:r>
        <w:rPr/>
        <w:t>非流动负债。</w:t>
      </w:r>
    </w:p>
    <w:p>
      <w:pPr>
        <w:spacing w:after="0" w:line="286" w:lineRule="exact"/>
        <w:jc w:val="left"/>
        <w:sectPr>
          <w:pgSz w:w="11910" w:h="16840"/>
          <w:pgMar w:header="1184" w:footer="457" w:top="3560" w:bottom="640" w:left="1260" w:right="820"/>
        </w:sectPr>
      </w:pPr>
    </w:p>
    <w:p>
      <w:pPr>
        <w:spacing w:line="240" w:lineRule="auto" w:before="13"/>
        <w:rPr>
          <w:rFonts w:ascii="宋体" w:hAnsi="宋体" w:cs="宋体" w:eastAsia="宋体" w:hint="default"/>
          <w:sz w:val="15"/>
          <w:szCs w:val="15"/>
        </w:rPr>
      </w:pPr>
    </w:p>
    <w:p>
      <w:pPr>
        <w:pStyle w:val="BodyText"/>
        <w:spacing w:line="240" w:lineRule="auto" w:before="31"/>
        <w:ind w:left="108" w:right="122"/>
        <w:jc w:val="left"/>
      </w:pPr>
      <w:r>
        <w:rPr>
          <w:rFonts w:ascii="Arial" w:hAnsi="Arial" w:cs="Arial" w:eastAsia="Arial" w:hint="default"/>
        </w:rPr>
        <w:t>(a)  </w:t>
      </w:r>
      <w:r>
        <w:rPr>
          <w:rFonts w:ascii="Arial" w:hAnsi="Arial" w:cs="Arial" w:eastAsia="Arial" w:hint="default"/>
          <w:spacing w:val="6"/>
        </w:rPr>
        <w:t> </w:t>
      </w:r>
      <w:r>
        <w:rPr/>
        <w:t>债券有关信息如下：</w:t>
      </w:r>
    </w:p>
    <w:p>
      <w:pPr>
        <w:spacing w:line="240" w:lineRule="auto" w:before="12"/>
        <w:rPr>
          <w:rFonts w:ascii="宋体" w:hAnsi="宋体" w:cs="宋体" w:eastAsia="宋体" w:hint="default"/>
          <w:sz w:val="17"/>
          <w:szCs w:val="17"/>
        </w:rPr>
      </w:pPr>
    </w:p>
    <w:p>
      <w:pPr>
        <w:pStyle w:val="BodyText"/>
        <w:tabs>
          <w:tab w:pos="539" w:val="left" w:leader="none"/>
        </w:tabs>
        <w:spacing w:line="240" w:lineRule="auto"/>
        <w:ind w:left="122" w:right="122"/>
        <w:jc w:val="left"/>
      </w:pPr>
      <w:r>
        <w:rPr>
          <w:rFonts w:ascii="Arial" w:hAnsi="Arial" w:cs="Arial" w:eastAsia="Arial" w:hint="default"/>
          <w:w w:val="95"/>
        </w:rPr>
        <w:t>(i)</w:t>
        <w:tab/>
      </w:r>
      <w:r>
        <w:rPr/>
        <w:t>基本信息</w:t>
      </w:r>
    </w:p>
    <w:p>
      <w:pPr>
        <w:spacing w:line="240" w:lineRule="auto" w:before="7"/>
        <w:rPr>
          <w:rFonts w:ascii="宋体" w:hAnsi="宋体" w:cs="宋体" w:eastAsia="宋体" w:hint="default"/>
          <w:sz w:val="22"/>
          <w:szCs w:val="22"/>
        </w:rPr>
      </w:pPr>
    </w:p>
    <w:tbl>
      <w:tblPr>
        <w:tblW w:w="0" w:type="auto"/>
        <w:jc w:val="left"/>
        <w:tblInd w:w="372" w:type="dxa"/>
        <w:tblLayout w:type="fixed"/>
        <w:tblCellMar>
          <w:top w:w="0" w:type="dxa"/>
          <w:left w:w="0" w:type="dxa"/>
          <w:bottom w:w="0" w:type="dxa"/>
          <w:right w:w="0" w:type="dxa"/>
        </w:tblCellMar>
        <w:tblLook w:val="01E0"/>
      </w:tblPr>
      <w:tblGrid>
        <w:gridCol w:w="2082"/>
        <w:gridCol w:w="1066"/>
        <w:gridCol w:w="1564"/>
        <w:gridCol w:w="792"/>
        <w:gridCol w:w="1103"/>
        <w:gridCol w:w="656"/>
        <w:gridCol w:w="1984"/>
      </w:tblGrid>
      <w:tr>
        <w:trPr>
          <w:trHeight w:val="204" w:hRule="exact"/>
        </w:trPr>
        <w:tc>
          <w:tcPr>
            <w:tcW w:w="2082"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single" w:sz="6" w:space="0" w:color="000000"/>
              <w:right w:val="nil" w:sz="6" w:space="0" w:color="auto"/>
            </w:tcBorders>
          </w:tcPr>
          <w:p>
            <w:pPr>
              <w:pStyle w:val="TableParagraph"/>
              <w:spacing w:line="170" w:lineRule="exact"/>
              <w:ind w:left="336" w:right="0"/>
              <w:jc w:val="left"/>
              <w:rPr>
                <w:rFonts w:ascii="宋体" w:hAnsi="宋体" w:cs="宋体" w:eastAsia="宋体" w:hint="default"/>
                <w:sz w:val="17"/>
                <w:szCs w:val="17"/>
              </w:rPr>
            </w:pPr>
            <w:r>
              <w:rPr>
                <w:rFonts w:ascii="宋体" w:hAnsi="宋体" w:cs="宋体" w:eastAsia="宋体" w:hint="default"/>
                <w:sz w:val="17"/>
                <w:szCs w:val="17"/>
              </w:rPr>
              <w:t>面值</w:t>
            </w:r>
          </w:p>
        </w:tc>
        <w:tc>
          <w:tcPr>
            <w:tcW w:w="1564" w:type="dxa"/>
            <w:tcBorders>
              <w:top w:val="nil" w:sz="6" w:space="0" w:color="auto"/>
              <w:left w:val="nil" w:sz="6" w:space="0" w:color="auto"/>
              <w:bottom w:val="single" w:sz="6" w:space="0" w:color="000000"/>
              <w:right w:val="nil" w:sz="6" w:space="0" w:color="auto"/>
            </w:tcBorders>
          </w:tcPr>
          <w:p>
            <w:pPr>
              <w:pStyle w:val="TableParagraph"/>
              <w:spacing w:line="170" w:lineRule="exact"/>
              <w:ind w:right="13"/>
              <w:jc w:val="center"/>
              <w:rPr>
                <w:rFonts w:ascii="宋体" w:hAnsi="宋体" w:cs="宋体" w:eastAsia="宋体" w:hint="default"/>
                <w:sz w:val="17"/>
                <w:szCs w:val="17"/>
              </w:rPr>
            </w:pPr>
            <w:r>
              <w:rPr>
                <w:rFonts w:ascii="宋体" w:hAnsi="宋体" w:cs="宋体" w:eastAsia="宋体" w:hint="default"/>
                <w:sz w:val="17"/>
                <w:szCs w:val="17"/>
              </w:rPr>
              <w:t>发行日期</w:t>
            </w:r>
          </w:p>
        </w:tc>
        <w:tc>
          <w:tcPr>
            <w:tcW w:w="792" w:type="dxa"/>
            <w:tcBorders>
              <w:top w:val="nil" w:sz="6" w:space="0" w:color="auto"/>
              <w:left w:val="nil" w:sz="6" w:space="0" w:color="auto"/>
              <w:bottom w:val="single" w:sz="6" w:space="0" w:color="000000"/>
              <w:right w:val="nil" w:sz="6" w:space="0" w:color="auto"/>
            </w:tcBorders>
          </w:tcPr>
          <w:p>
            <w:pPr>
              <w:pStyle w:val="TableParagraph"/>
              <w:spacing w:line="170" w:lineRule="exact"/>
              <w:ind w:right="64"/>
              <w:jc w:val="right"/>
              <w:rPr>
                <w:rFonts w:ascii="宋体" w:hAnsi="宋体" w:cs="宋体" w:eastAsia="宋体" w:hint="default"/>
                <w:sz w:val="17"/>
                <w:szCs w:val="17"/>
              </w:rPr>
            </w:pPr>
            <w:r>
              <w:rPr>
                <w:rFonts w:ascii="宋体" w:hAnsi="宋体" w:cs="宋体" w:eastAsia="宋体" w:hint="default"/>
                <w:sz w:val="17"/>
                <w:szCs w:val="17"/>
              </w:rPr>
              <w:t>债券期限</w:t>
            </w:r>
          </w:p>
        </w:tc>
        <w:tc>
          <w:tcPr>
            <w:tcW w:w="1103" w:type="dxa"/>
            <w:tcBorders>
              <w:top w:val="nil" w:sz="6" w:space="0" w:color="auto"/>
              <w:left w:val="nil" w:sz="6" w:space="0" w:color="auto"/>
              <w:bottom w:val="single" w:sz="6" w:space="0" w:color="000000"/>
              <w:right w:val="nil" w:sz="6" w:space="0" w:color="auto"/>
            </w:tcBorders>
          </w:tcPr>
          <w:p>
            <w:pPr>
              <w:pStyle w:val="TableParagraph"/>
              <w:spacing w:line="170" w:lineRule="exact"/>
              <w:ind w:left="202" w:right="0"/>
              <w:jc w:val="left"/>
              <w:rPr>
                <w:rFonts w:ascii="宋体" w:hAnsi="宋体" w:cs="宋体" w:eastAsia="宋体" w:hint="default"/>
                <w:sz w:val="17"/>
                <w:szCs w:val="17"/>
              </w:rPr>
            </w:pPr>
            <w:r>
              <w:rPr>
                <w:rFonts w:ascii="宋体" w:hAnsi="宋体" w:cs="宋体" w:eastAsia="宋体" w:hint="default"/>
                <w:sz w:val="17"/>
                <w:szCs w:val="17"/>
              </w:rPr>
              <w:t>发行金额</w:t>
            </w:r>
          </w:p>
        </w:tc>
        <w:tc>
          <w:tcPr>
            <w:tcW w:w="656" w:type="dxa"/>
            <w:tcBorders>
              <w:top w:val="nil" w:sz="6" w:space="0" w:color="auto"/>
              <w:left w:val="nil" w:sz="6" w:space="0" w:color="auto"/>
              <w:bottom w:val="single" w:sz="6" w:space="0" w:color="000000"/>
              <w:right w:val="nil" w:sz="6" w:space="0" w:color="auto"/>
            </w:tcBorders>
          </w:tcPr>
          <w:p>
            <w:pPr>
              <w:pStyle w:val="TableParagraph"/>
              <w:spacing w:line="170" w:lineRule="exact"/>
              <w:ind w:right="5"/>
              <w:jc w:val="center"/>
              <w:rPr>
                <w:rFonts w:ascii="宋体" w:hAnsi="宋体" w:cs="宋体" w:eastAsia="宋体" w:hint="default"/>
                <w:sz w:val="17"/>
                <w:szCs w:val="17"/>
              </w:rPr>
            </w:pPr>
            <w:r>
              <w:rPr>
                <w:rFonts w:ascii="宋体" w:hAnsi="宋体" w:cs="宋体" w:eastAsia="宋体" w:hint="default"/>
                <w:sz w:val="17"/>
                <w:szCs w:val="17"/>
              </w:rPr>
              <w:t>年利率</w:t>
            </w:r>
          </w:p>
        </w:tc>
        <w:tc>
          <w:tcPr>
            <w:tcW w:w="1984" w:type="dxa"/>
            <w:tcBorders>
              <w:top w:val="nil" w:sz="6" w:space="0" w:color="auto"/>
              <w:left w:val="nil" w:sz="6" w:space="0" w:color="auto"/>
              <w:bottom w:val="single" w:sz="6" w:space="0" w:color="000000"/>
              <w:right w:val="nil" w:sz="6" w:space="0" w:color="auto"/>
            </w:tcBorders>
          </w:tcPr>
          <w:p>
            <w:pPr>
              <w:pStyle w:val="TableParagraph"/>
              <w:spacing w:line="170" w:lineRule="exact"/>
              <w:ind w:left="61" w:right="0"/>
              <w:jc w:val="center"/>
              <w:rPr>
                <w:rFonts w:ascii="宋体" w:hAnsi="宋体" w:cs="宋体" w:eastAsia="宋体" w:hint="default"/>
                <w:sz w:val="17"/>
                <w:szCs w:val="17"/>
              </w:rPr>
            </w:pPr>
            <w:r>
              <w:rPr>
                <w:rFonts w:ascii="宋体" w:hAnsi="宋体" w:cs="宋体" w:eastAsia="宋体" w:hint="default"/>
                <w:sz w:val="17"/>
                <w:szCs w:val="17"/>
              </w:rPr>
              <w:t>备注</w:t>
            </w:r>
          </w:p>
        </w:tc>
      </w:tr>
      <w:tr>
        <w:trPr>
          <w:trHeight w:val="652" w:hRule="exact"/>
        </w:trPr>
        <w:tc>
          <w:tcPr>
            <w:tcW w:w="20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00" w:right="0"/>
              <w:jc w:val="left"/>
              <w:rPr>
                <w:rFonts w:ascii="宋体" w:hAnsi="宋体" w:cs="宋体" w:eastAsia="宋体" w:hint="default"/>
                <w:sz w:val="17"/>
                <w:szCs w:val="17"/>
              </w:rPr>
            </w:pPr>
            <w:r>
              <w:rPr>
                <w:rFonts w:ascii="Arial" w:hAnsi="Arial" w:cs="Arial" w:eastAsia="Arial" w:hint="default"/>
                <w:sz w:val="17"/>
                <w:szCs w:val="17"/>
              </w:rPr>
              <w:t>2007</w:t>
            </w:r>
            <w:r>
              <w:rPr>
                <w:rFonts w:ascii="Arial" w:hAnsi="Arial" w:cs="Arial" w:eastAsia="Arial" w:hint="default"/>
                <w:spacing w:val="-7"/>
                <w:sz w:val="17"/>
                <w:szCs w:val="17"/>
              </w:rPr>
              <w:t> </w:t>
            </w:r>
            <w:r>
              <w:rPr>
                <w:rFonts w:ascii="宋体" w:hAnsi="宋体" w:cs="宋体" w:eastAsia="宋体" w:hint="default"/>
                <w:sz w:val="17"/>
                <w:szCs w:val="17"/>
              </w:rPr>
              <w:t>年公司债券</w:t>
            </w:r>
          </w:p>
        </w:tc>
        <w:tc>
          <w:tcPr>
            <w:tcW w:w="106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54"/>
              <w:jc w:val="right"/>
              <w:rPr>
                <w:rFonts w:ascii="宋体" w:hAnsi="宋体" w:cs="宋体" w:eastAsia="宋体" w:hint="default"/>
                <w:sz w:val="17"/>
                <w:szCs w:val="17"/>
              </w:rPr>
            </w:pPr>
            <w:r>
              <w:rPr>
                <w:rFonts w:ascii="Arial" w:hAnsi="Arial" w:cs="Arial" w:eastAsia="Arial" w:hint="default"/>
                <w:sz w:val="17"/>
                <w:szCs w:val="17"/>
              </w:rPr>
              <w:t>20</w:t>
            </w:r>
            <w:r>
              <w:rPr>
                <w:rFonts w:ascii="Arial" w:hAnsi="Arial" w:cs="Arial" w:eastAsia="Arial" w:hint="default"/>
                <w:spacing w:val="-5"/>
                <w:sz w:val="17"/>
                <w:szCs w:val="17"/>
              </w:rPr>
              <w:t> </w:t>
            </w:r>
            <w:r>
              <w:rPr>
                <w:rFonts w:ascii="宋体" w:hAnsi="宋体" w:cs="宋体" w:eastAsia="宋体" w:hint="default"/>
                <w:sz w:val="17"/>
                <w:szCs w:val="17"/>
              </w:rPr>
              <w:t>亿元</w:t>
            </w:r>
          </w:p>
        </w:tc>
        <w:tc>
          <w:tcPr>
            <w:tcW w:w="1564"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58"/>
              <w:jc w:val="center"/>
              <w:rPr>
                <w:rFonts w:ascii="宋体" w:hAnsi="宋体" w:cs="宋体" w:eastAsia="宋体" w:hint="default"/>
                <w:sz w:val="17"/>
                <w:szCs w:val="17"/>
              </w:rPr>
            </w:pPr>
            <w:r>
              <w:rPr>
                <w:rFonts w:ascii="Arial" w:hAnsi="Arial" w:cs="Arial" w:eastAsia="Arial" w:hint="default"/>
                <w:sz w:val="17"/>
                <w:szCs w:val="17"/>
              </w:rPr>
              <w:t>2007</w:t>
            </w:r>
            <w:r>
              <w:rPr>
                <w:rFonts w:ascii="Arial" w:hAnsi="Arial" w:cs="Arial" w:eastAsia="Arial" w:hint="default"/>
                <w:spacing w:val="-6"/>
                <w:sz w:val="17"/>
                <w:szCs w:val="17"/>
              </w:rPr>
              <w:t> </w:t>
            </w:r>
            <w:r>
              <w:rPr>
                <w:rFonts w:ascii="宋体" w:hAnsi="宋体" w:cs="宋体" w:eastAsia="宋体" w:hint="default"/>
                <w:sz w:val="17"/>
                <w:szCs w:val="17"/>
              </w:rPr>
              <w:t>年</w:t>
            </w:r>
            <w:r>
              <w:rPr>
                <w:rFonts w:ascii="宋体" w:hAnsi="宋体" w:cs="宋体" w:eastAsia="宋体" w:hint="default"/>
                <w:spacing w:val="-43"/>
                <w:sz w:val="17"/>
                <w:szCs w:val="17"/>
              </w:rPr>
              <w:t> </w:t>
            </w:r>
            <w:r>
              <w:rPr>
                <w:rFonts w:ascii="Arial" w:hAnsi="Arial" w:cs="Arial" w:eastAsia="Arial" w:hint="default"/>
                <w:sz w:val="17"/>
                <w:szCs w:val="17"/>
              </w:rPr>
              <w:t>6</w:t>
            </w:r>
            <w:r>
              <w:rPr>
                <w:rFonts w:ascii="Arial" w:hAnsi="Arial" w:cs="Arial" w:eastAsia="Arial" w:hint="default"/>
                <w:spacing w:val="-6"/>
                <w:sz w:val="17"/>
                <w:szCs w:val="17"/>
              </w:rPr>
              <w:t> </w:t>
            </w:r>
            <w:r>
              <w:rPr>
                <w:rFonts w:ascii="宋体" w:hAnsi="宋体" w:cs="宋体" w:eastAsia="宋体" w:hint="default"/>
                <w:sz w:val="17"/>
                <w:szCs w:val="17"/>
              </w:rPr>
              <w:t>月</w:t>
            </w:r>
            <w:r>
              <w:rPr>
                <w:rFonts w:ascii="宋体" w:hAnsi="宋体" w:cs="宋体" w:eastAsia="宋体" w:hint="default"/>
                <w:spacing w:val="-43"/>
                <w:sz w:val="17"/>
                <w:szCs w:val="17"/>
              </w:rPr>
              <w:t> </w:t>
            </w:r>
            <w:r>
              <w:rPr>
                <w:rFonts w:ascii="Arial" w:hAnsi="Arial" w:cs="Arial" w:eastAsia="Arial" w:hint="default"/>
                <w:sz w:val="17"/>
                <w:szCs w:val="17"/>
              </w:rPr>
              <w:t>8</w:t>
            </w:r>
            <w:r>
              <w:rPr>
                <w:rFonts w:ascii="Arial" w:hAnsi="Arial" w:cs="Arial" w:eastAsia="Arial" w:hint="default"/>
                <w:spacing w:val="-6"/>
                <w:sz w:val="17"/>
                <w:szCs w:val="17"/>
              </w:rPr>
              <w:t> </w:t>
            </w:r>
            <w:r>
              <w:rPr>
                <w:rFonts w:ascii="宋体" w:hAnsi="宋体" w:cs="宋体" w:eastAsia="宋体" w:hint="default"/>
                <w:sz w:val="17"/>
                <w:szCs w:val="17"/>
              </w:rPr>
              <w:t>日</w:t>
            </w:r>
          </w:p>
        </w:tc>
        <w:tc>
          <w:tcPr>
            <w:tcW w:w="792"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53"/>
              <w:jc w:val="right"/>
              <w:rPr>
                <w:rFonts w:ascii="宋体" w:hAnsi="宋体" w:cs="宋体" w:eastAsia="宋体" w:hint="default"/>
                <w:sz w:val="17"/>
                <w:szCs w:val="17"/>
              </w:rPr>
            </w:pPr>
            <w:r>
              <w:rPr>
                <w:rFonts w:ascii="Arial" w:hAnsi="Arial" w:cs="Arial" w:eastAsia="Arial" w:hint="default"/>
                <w:sz w:val="17"/>
                <w:szCs w:val="17"/>
              </w:rPr>
              <w:t>10</w:t>
            </w:r>
            <w:r>
              <w:rPr>
                <w:rFonts w:ascii="Arial" w:hAnsi="Arial" w:cs="Arial" w:eastAsia="Arial" w:hint="default"/>
                <w:spacing w:val="-6"/>
                <w:sz w:val="17"/>
                <w:szCs w:val="17"/>
              </w:rPr>
              <w:t> </w:t>
            </w:r>
            <w:r>
              <w:rPr>
                <w:rFonts w:ascii="宋体" w:hAnsi="宋体" w:cs="宋体" w:eastAsia="宋体" w:hint="default"/>
                <w:sz w:val="17"/>
                <w:szCs w:val="17"/>
              </w:rPr>
              <w:t>年</w:t>
            </w:r>
          </w:p>
        </w:tc>
        <w:tc>
          <w:tcPr>
            <w:tcW w:w="1103"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66"/>
              <w:jc w:val="right"/>
              <w:rPr>
                <w:rFonts w:ascii="宋体" w:hAnsi="宋体" w:cs="宋体" w:eastAsia="宋体" w:hint="default"/>
                <w:sz w:val="17"/>
                <w:szCs w:val="17"/>
              </w:rPr>
            </w:pPr>
            <w:r>
              <w:rPr>
                <w:rFonts w:ascii="Arial" w:hAnsi="Arial" w:cs="Arial" w:eastAsia="Arial" w:hint="default"/>
                <w:sz w:val="17"/>
                <w:szCs w:val="17"/>
              </w:rPr>
              <w:t>20</w:t>
            </w:r>
            <w:r>
              <w:rPr>
                <w:rFonts w:ascii="Arial" w:hAnsi="Arial" w:cs="Arial" w:eastAsia="Arial" w:hint="default"/>
                <w:spacing w:val="-5"/>
                <w:sz w:val="17"/>
                <w:szCs w:val="17"/>
              </w:rPr>
              <w:t> </w:t>
            </w:r>
            <w:r>
              <w:rPr>
                <w:rFonts w:ascii="宋体" w:hAnsi="宋体" w:cs="宋体" w:eastAsia="宋体" w:hint="default"/>
                <w:sz w:val="17"/>
                <w:szCs w:val="17"/>
              </w:rPr>
              <w:t>亿元</w:t>
            </w:r>
          </w:p>
        </w:tc>
        <w:tc>
          <w:tcPr>
            <w:tcW w:w="65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9" w:right="0"/>
              <w:jc w:val="center"/>
              <w:rPr>
                <w:rFonts w:ascii="Arial" w:hAnsi="Arial" w:cs="Arial" w:eastAsia="Arial" w:hint="default"/>
                <w:sz w:val="17"/>
                <w:szCs w:val="17"/>
              </w:rPr>
            </w:pPr>
            <w:r>
              <w:rPr>
                <w:rFonts w:ascii="Arial"/>
                <w:sz w:val="17"/>
              </w:rPr>
              <w:t>4.50%</w:t>
            </w:r>
          </w:p>
        </w:tc>
        <w:tc>
          <w:tcPr>
            <w:tcW w:w="1984"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9" w:right="78" w:hanging="208"/>
              <w:jc w:val="left"/>
              <w:rPr>
                <w:rFonts w:ascii="宋体" w:hAnsi="宋体" w:cs="宋体" w:eastAsia="宋体" w:hint="default"/>
                <w:sz w:val="17"/>
                <w:szCs w:val="17"/>
              </w:rPr>
            </w:pPr>
            <w:r>
              <w:rPr>
                <w:rFonts w:ascii="宋体" w:hAnsi="宋体" w:cs="宋体" w:eastAsia="宋体" w:hint="default"/>
                <w:spacing w:val="-1"/>
                <w:sz w:val="17"/>
                <w:szCs w:val="17"/>
              </w:rPr>
              <w:t>由中国银行股份有限公司</w:t>
            </w:r>
            <w:r>
              <w:rPr>
                <w:rFonts w:ascii="宋体" w:hAnsi="宋体" w:cs="宋体" w:eastAsia="宋体" w:hint="default"/>
                <w:spacing w:val="-74"/>
                <w:sz w:val="17"/>
                <w:szCs w:val="17"/>
              </w:rPr>
              <w:t> </w:t>
            </w:r>
            <w:r>
              <w:rPr>
                <w:rFonts w:ascii="宋体" w:hAnsi="宋体" w:cs="宋体" w:eastAsia="宋体" w:hint="default"/>
                <w:spacing w:val="-74"/>
                <w:sz w:val="17"/>
                <w:szCs w:val="17"/>
              </w:rPr>
            </w:r>
            <w:r>
              <w:rPr>
                <w:rFonts w:ascii="宋体" w:hAnsi="宋体" w:cs="宋体" w:eastAsia="宋体" w:hint="default"/>
                <w:sz w:val="17"/>
                <w:szCs w:val="17"/>
              </w:rPr>
              <w:t>提供担保</w:t>
            </w:r>
          </w:p>
        </w:tc>
      </w:tr>
      <w:tr>
        <w:trPr>
          <w:trHeight w:val="221" w:hRule="exact"/>
        </w:trPr>
        <w:tc>
          <w:tcPr>
            <w:tcW w:w="2082" w:type="dxa"/>
            <w:tcBorders>
              <w:top w:val="nil" w:sz="6" w:space="0" w:color="auto"/>
              <w:left w:val="nil" w:sz="6" w:space="0" w:color="auto"/>
              <w:bottom w:val="nil" w:sz="6" w:space="0" w:color="auto"/>
              <w:right w:val="nil" w:sz="6" w:space="0" w:color="auto"/>
            </w:tcBorders>
          </w:tcPr>
          <w:p>
            <w:pPr>
              <w:pStyle w:val="TableParagraph"/>
              <w:spacing w:line="197" w:lineRule="exact"/>
              <w:ind w:left="200" w:right="0"/>
              <w:jc w:val="left"/>
              <w:rPr>
                <w:rFonts w:ascii="宋体" w:hAnsi="宋体" w:cs="宋体" w:eastAsia="宋体" w:hint="default"/>
                <w:sz w:val="17"/>
                <w:szCs w:val="17"/>
              </w:rPr>
            </w:pPr>
            <w:r>
              <w:rPr>
                <w:rFonts w:ascii="Arial" w:hAnsi="Arial" w:cs="Arial" w:eastAsia="Arial" w:hint="default"/>
                <w:sz w:val="17"/>
                <w:szCs w:val="17"/>
              </w:rPr>
              <w:t>2008</w:t>
            </w:r>
            <w:r>
              <w:rPr>
                <w:rFonts w:ascii="Arial" w:hAnsi="Arial" w:cs="Arial" w:eastAsia="Arial" w:hint="default"/>
                <w:spacing w:val="-8"/>
                <w:sz w:val="17"/>
                <w:szCs w:val="17"/>
              </w:rPr>
              <w:t> </w:t>
            </w:r>
            <w:r>
              <w:rPr>
                <w:rFonts w:ascii="宋体" w:hAnsi="宋体" w:cs="宋体" w:eastAsia="宋体" w:hint="default"/>
                <w:sz w:val="17"/>
                <w:szCs w:val="17"/>
              </w:rPr>
              <w:t>年公司债券</w:t>
            </w:r>
          </w:p>
        </w:tc>
        <w:tc>
          <w:tcPr>
            <w:tcW w:w="1066" w:type="dxa"/>
            <w:tcBorders>
              <w:top w:val="nil" w:sz="6" w:space="0" w:color="auto"/>
              <w:left w:val="nil" w:sz="6" w:space="0" w:color="auto"/>
              <w:bottom w:val="nil" w:sz="6" w:space="0" w:color="auto"/>
              <w:right w:val="nil" w:sz="6" w:space="0" w:color="auto"/>
            </w:tcBorders>
          </w:tcPr>
          <w:p>
            <w:pPr>
              <w:pStyle w:val="TableParagraph"/>
              <w:spacing w:line="197" w:lineRule="exact"/>
              <w:ind w:right="54"/>
              <w:jc w:val="right"/>
              <w:rPr>
                <w:rFonts w:ascii="宋体" w:hAnsi="宋体" w:cs="宋体" w:eastAsia="宋体" w:hint="default"/>
                <w:sz w:val="17"/>
                <w:szCs w:val="17"/>
              </w:rPr>
            </w:pPr>
            <w:r>
              <w:rPr>
                <w:rFonts w:ascii="Arial" w:hAnsi="Arial" w:cs="Arial" w:eastAsia="Arial" w:hint="default"/>
                <w:sz w:val="17"/>
                <w:szCs w:val="17"/>
              </w:rPr>
              <w:t>50</w:t>
            </w:r>
            <w:r>
              <w:rPr>
                <w:rFonts w:ascii="Arial" w:hAnsi="Arial" w:cs="Arial" w:eastAsia="Arial" w:hint="default"/>
                <w:spacing w:val="-5"/>
                <w:sz w:val="17"/>
                <w:szCs w:val="17"/>
              </w:rPr>
              <w:t> </w:t>
            </w:r>
            <w:r>
              <w:rPr>
                <w:rFonts w:ascii="宋体" w:hAnsi="宋体" w:cs="宋体" w:eastAsia="宋体" w:hint="default"/>
                <w:sz w:val="17"/>
                <w:szCs w:val="17"/>
              </w:rPr>
              <w:t>亿元</w:t>
            </w:r>
          </w:p>
        </w:tc>
        <w:tc>
          <w:tcPr>
            <w:tcW w:w="1564" w:type="dxa"/>
            <w:tcBorders>
              <w:top w:val="nil" w:sz="6" w:space="0" w:color="auto"/>
              <w:left w:val="nil" w:sz="6" w:space="0" w:color="auto"/>
              <w:bottom w:val="nil" w:sz="6" w:space="0" w:color="auto"/>
              <w:right w:val="nil" w:sz="6" w:space="0" w:color="auto"/>
            </w:tcBorders>
          </w:tcPr>
          <w:p>
            <w:pPr>
              <w:pStyle w:val="TableParagraph"/>
              <w:spacing w:line="197" w:lineRule="exact"/>
              <w:ind w:right="158"/>
              <w:jc w:val="center"/>
              <w:rPr>
                <w:rFonts w:ascii="宋体" w:hAnsi="宋体" w:cs="宋体" w:eastAsia="宋体" w:hint="default"/>
                <w:sz w:val="17"/>
                <w:szCs w:val="17"/>
              </w:rPr>
            </w:pPr>
            <w:r>
              <w:rPr>
                <w:rFonts w:ascii="Arial" w:hAnsi="Arial" w:cs="Arial" w:eastAsia="Arial" w:hint="default"/>
                <w:sz w:val="17"/>
                <w:szCs w:val="17"/>
              </w:rPr>
              <w:t>2008</w:t>
            </w:r>
            <w:r>
              <w:rPr>
                <w:rFonts w:ascii="Arial" w:hAnsi="Arial" w:cs="Arial" w:eastAsia="Arial" w:hint="default"/>
                <w:spacing w:val="-6"/>
                <w:sz w:val="17"/>
                <w:szCs w:val="17"/>
              </w:rPr>
              <w:t> </w:t>
            </w:r>
            <w:r>
              <w:rPr>
                <w:rFonts w:ascii="宋体" w:hAnsi="宋体" w:cs="宋体" w:eastAsia="宋体" w:hint="default"/>
                <w:sz w:val="17"/>
                <w:szCs w:val="17"/>
              </w:rPr>
              <w:t>年</w:t>
            </w:r>
            <w:r>
              <w:rPr>
                <w:rFonts w:ascii="宋体" w:hAnsi="宋体" w:cs="宋体" w:eastAsia="宋体" w:hint="default"/>
                <w:spacing w:val="-43"/>
                <w:sz w:val="17"/>
                <w:szCs w:val="17"/>
              </w:rPr>
              <w:t> </w:t>
            </w:r>
            <w:r>
              <w:rPr>
                <w:rFonts w:ascii="Arial" w:hAnsi="Arial" w:cs="Arial" w:eastAsia="Arial" w:hint="default"/>
                <w:sz w:val="17"/>
                <w:szCs w:val="17"/>
              </w:rPr>
              <w:t>9</w:t>
            </w:r>
            <w:r>
              <w:rPr>
                <w:rFonts w:ascii="Arial" w:hAnsi="Arial" w:cs="Arial" w:eastAsia="Arial" w:hint="default"/>
                <w:spacing w:val="-6"/>
                <w:sz w:val="17"/>
                <w:szCs w:val="17"/>
              </w:rPr>
              <w:t> </w:t>
            </w:r>
            <w:r>
              <w:rPr>
                <w:rFonts w:ascii="宋体" w:hAnsi="宋体" w:cs="宋体" w:eastAsia="宋体" w:hint="default"/>
                <w:sz w:val="17"/>
                <w:szCs w:val="17"/>
              </w:rPr>
              <w:t>月</w:t>
            </w:r>
            <w:r>
              <w:rPr>
                <w:rFonts w:ascii="宋体" w:hAnsi="宋体" w:cs="宋体" w:eastAsia="宋体" w:hint="default"/>
                <w:spacing w:val="-43"/>
                <w:sz w:val="17"/>
                <w:szCs w:val="17"/>
              </w:rPr>
              <w:t> </w:t>
            </w:r>
            <w:r>
              <w:rPr>
                <w:rFonts w:ascii="Arial" w:hAnsi="Arial" w:cs="Arial" w:eastAsia="Arial" w:hint="default"/>
                <w:sz w:val="17"/>
                <w:szCs w:val="17"/>
              </w:rPr>
              <w:t>3</w:t>
            </w:r>
            <w:r>
              <w:rPr>
                <w:rFonts w:ascii="Arial" w:hAnsi="Arial" w:cs="Arial" w:eastAsia="Arial" w:hint="default"/>
                <w:spacing w:val="-6"/>
                <w:sz w:val="17"/>
                <w:szCs w:val="17"/>
              </w:rPr>
              <w:t> </w:t>
            </w:r>
            <w:r>
              <w:rPr>
                <w:rFonts w:ascii="宋体" w:hAnsi="宋体" w:cs="宋体" w:eastAsia="宋体" w:hint="default"/>
                <w:sz w:val="17"/>
                <w:szCs w:val="17"/>
              </w:rPr>
              <w:t>日</w:t>
            </w:r>
          </w:p>
        </w:tc>
        <w:tc>
          <w:tcPr>
            <w:tcW w:w="792" w:type="dxa"/>
            <w:tcBorders>
              <w:top w:val="nil" w:sz="6" w:space="0" w:color="auto"/>
              <w:left w:val="nil" w:sz="6" w:space="0" w:color="auto"/>
              <w:bottom w:val="nil" w:sz="6" w:space="0" w:color="auto"/>
              <w:right w:val="nil" w:sz="6" w:space="0" w:color="auto"/>
            </w:tcBorders>
          </w:tcPr>
          <w:p>
            <w:pPr>
              <w:pStyle w:val="TableParagraph"/>
              <w:spacing w:line="197" w:lineRule="exact"/>
              <w:ind w:right="53"/>
              <w:jc w:val="right"/>
              <w:rPr>
                <w:rFonts w:ascii="宋体" w:hAnsi="宋体" w:cs="宋体" w:eastAsia="宋体" w:hint="default"/>
                <w:sz w:val="17"/>
                <w:szCs w:val="17"/>
              </w:rPr>
            </w:pPr>
            <w:r>
              <w:rPr>
                <w:rFonts w:ascii="Arial" w:hAnsi="Arial" w:cs="Arial" w:eastAsia="Arial" w:hint="default"/>
                <w:sz w:val="17"/>
                <w:szCs w:val="17"/>
              </w:rPr>
              <w:t>5</w:t>
            </w:r>
            <w:r>
              <w:rPr>
                <w:rFonts w:ascii="Arial" w:hAnsi="Arial" w:cs="Arial" w:eastAsia="Arial" w:hint="default"/>
                <w:spacing w:val="-6"/>
                <w:sz w:val="17"/>
                <w:szCs w:val="17"/>
              </w:rPr>
              <w:t> </w:t>
            </w:r>
            <w:r>
              <w:rPr>
                <w:rFonts w:ascii="宋体" w:hAnsi="宋体" w:cs="宋体" w:eastAsia="宋体" w:hint="default"/>
                <w:sz w:val="17"/>
                <w:szCs w:val="17"/>
              </w:rPr>
              <w:t>年</w:t>
            </w:r>
          </w:p>
        </w:tc>
        <w:tc>
          <w:tcPr>
            <w:tcW w:w="1103" w:type="dxa"/>
            <w:tcBorders>
              <w:top w:val="nil" w:sz="6" w:space="0" w:color="auto"/>
              <w:left w:val="nil" w:sz="6" w:space="0" w:color="auto"/>
              <w:bottom w:val="nil" w:sz="6" w:space="0" w:color="auto"/>
              <w:right w:val="nil" w:sz="6" w:space="0" w:color="auto"/>
            </w:tcBorders>
          </w:tcPr>
          <w:p>
            <w:pPr>
              <w:pStyle w:val="TableParagraph"/>
              <w:spacing w:line="197" w:lineRule="exact"/>
              <w:ind w:right="66"/>
              <w:jc w:val="right"/>
              <w:rPr>
                <w:rFonts w:ascii="宋体" w:hAnsi="宋体" w:cs="宋体" w:eastAsia="宋体" w:hint="default"/>
                <w:sz w:val="17"/>
                <w:szCs w:val="17"/>
              </w:rPr>
            </w:pPr>
            <w:r>
              <w:rPr>
                <w:rFonts w:ascii="Arial" w:hAnsi="Arial" w:cs="Arial" w:eastAsia="Arial" w:hint="default"/>
                <w:sz w:val="17"/>
                <w:szCs w:val="17"/>
              </w:rPr>
              <w:t>50</w:t>
            </w:r>
            <w:r>
              <w:rPr>
                <w:rFonts w:ascii="Arial" w:hAnsi="Arial" w:cs="Arial" w:eastAsia="Arial" w:hint="default"/>
                <w:spacing w:val="-5"/>
                <w:sz w:val="17"/>
                <w:szCs w:val="17"/>
              </w:rPr>
              <w:t> </w:t>
            </w:r>
            <w:r>
              <w:rPr>
                <w:rFonts w:ascii="宋体" w:hAnsi="宋体" w:cs="宋体" w:eastAsia="宋体" w:hint="default"/>
                <w:sz w:val="17"/>
                <w:szCs w:val="17"/>
              </w:rPr>
              <w:t>亿元</w:t>
            </w:r>
          </w:p>
        </w:tc>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9" w:right="0"/>
              <w:jc w:val="center"/>
              <w:rPr>
                <w:rFonts w:ascii="Arial" w:hAnsi="Arial" w:cs="Arial" w:eastAsia="Arial" w:hint="default"/>
                <w:sz w:val="17"/>
                <w:szCs w:val="17"/>
              </w:rPr>
            </w:pPr>
            <w:r>
              <w:rPr>
                <w:rFonts w:ascii="Arial"/>
                <w:sz w:val="17"/>
              </w:rPr>
              <w:t>5.29%</w:t>
            </w:r>
          </w:p>
        </w:tc>
        <w:tc>
          <w:tcPr>
            <w:tcW w:w="1984" w:type="dxa"/>
            <w:tcBorders>
              <w:top w:val="nil" w:sz="6" w:space="0" w:color="auto"/>
              <w:left w:val="nil" w:sz="6" w:space="0" w:color="auto"/>
              <w:bottom w:val="nil" w:sz="6" w:space="0" w:color="auto"/>
              <w:right w:val="nil" w:sz="6" w:space="0" w:color="auto"/>
            </w:tcBorders>
          </w:tcPr>
          <w:p>
            <w:pPr>
              <w:pStyle w:val="TableParagraph"/>
              <w:spacing w:line="185" w:lineRule="exact"/>
              <w:ind w:left="31" w:right="0"/>
              <w:jc w:val="left"/>
              <w:rPr>
                <w:rFonts w:ascii="宋体" w:hAnsi="宋体" w:cs="宋体" w:eastAsia="宋体" w:hint="default"/>
                <w:sz w:val="17"/>
                <w:szCs w:val="17"/>
              </w:rPr>
            </w:pPr>
            <w:r>
              <w:rPr>
                <w:rFonts w:ascii="宋体" w:hAnsi="宋体" w:cs="宋体" w:eastAsia="宋体" w:hint="default"/>
                <w:sz w:val="17"/>
                <w:szCs w:val="17"/>
              </w:rPr>
              <w:t>由国家电网公司提供担保</w:t>
            </w:r>
          </w:p>
        </w:tc>
      </w:tr>
      <w:tr>
        <w:trPr>
          <w:trHeight w:val="221" w:hRule="exact"/>
        </w:trPr>
        <w:tc>
          <w:tcPr>
            <w:tcW w:w="2082" w:type="dxa"/>
            <w:tcBorders>
              <w:top w:val="nil" w:sz="6" w:space="0" w:color="auto"/>
              <w:left w:val="nil" w:sz="6" w:space="0" w:color="auto"/>
              <w:bottom w:val="nil" w:sz="6" w:space="0" w:color="auto"/>
              <w:right w:val="nil" w:sz="6" w:space="0" w:color="auto"/>
            </w:tcBorders>
          </w:tcPr>
          <w:p>
            <w:pPr>
              <w:pStyle w:val="TableParagraph"/>
              <w:spacing w:line="197" w:lineRule="exact"/>
              <w:ind w:left="200" w:right="0"/>
              <w:jc w:val="left"/>
              <w:rPr>
                <w:rFonts w:ascii="宋体" w:hAnsi="宋体" w:cs="宋体" w:eastAsia="宋体" w:hint="default"/>
                <w:sz w:val="17"/>
                <w:szCs w:val="17"/>
              </w:rPr>
            </w:pPr>
            <w:r>
              <w:rPr>
                <w:rFonts w:ascii="Arial" w:hAnsi="Arial" w:cs="Arial" w:eastAsia="Arial" w:hint="default"/>
                <w:sz w:val="17"/>
                <w:szCs w:val="17"/>
              </w:rPr>
              <w:t>2010</w:t>
            </w:r>
            <w:r>
              <w:rPr>
                <w:rFonts w:ascii="Arial" w:hAnsi="Arial" w:cs="Arial" w:eastAsia="Arial" w:hint="default"/>
                <w:spacing w:val="-6"/>
                <w:sz w:val="17"/>
                <w:szCs w:val="17"/>
              </w:rPr>
              <w:t> </w:t>
            </w:r>
            <w:r>
              <w:rPr>
                <w:rFonts w:ascii="宋体" w:hAnsi="宋体" w:cs="宋体" w:eastAsia="宋体" w:hint="default"/>
                <w:sz w:val="17"/>
                <w:szCs w:val="17"/>
              </w:rPr>
              <w:t>年第一期中期票据</w:t>
            </w:r>
          </w:p>
        </w:tc>
        <w:tc>
          <w:tcPr>
            <w:tcW w:w="1066" w:type="dxa"/>
            <w:tcBorders>
              <w:top w:val="nil" w:sz="6" w:space="0" w:color="auto"/>
              <w:left w:val="nil" w:sz="6" w:space="0" w:color="auto"/>
              <w:bottom w:val="nil" w:sz="6" w:space="0" w:color="auto"/>
              <w:right w:val="nil" w:sz="6" w:space="0" w:color="auto"/>
            </w:tcBorders>
          </w:tcPr>
          <w:p>
            <w:pPr>
              <w:pStyle w:val="TableParagraph"/>
              <w:spacing w:line="197" w:lineRule="exact"/>
              <w:ind w:right="54"/>
              <w:jc w:val="right"/>
              <w:rPr>
                <w:rFonts w:ascii="宋体" w:hAnsi="宋体" w:cs="宋体" w:eastAsia="宋体" w:hint="default"/>
                <w:sz w:val="17"/>
                <w:szCs w:val="17"/>
              </w:rPr>
            </w:pPr>
            <w:r>
              <w:rPr>
                <w:rFonts w:ascii="Arial" w:hAnsi="Arial" w:cs="Arial" w:eastAsia="Arial" w:hint="default"/>
                <w:sz w:val="17"/>
                <w:szCs w:val="17"/>
              </w:rPr>
              <w:t>30</w:t>
            </w:r>
            <w:r>
              <w:rPr>
                <w:rFonts w:ascii="Arial" w:hAnsi="Arial" w:cs="Arial" w:eastAsia="Arial" w:hint="default"/>
                <w:spacing w:val="-5"/>
                <w:sz w:val="17"/>
                <w:szCs w:val="17"/>
              </w:rPr>
              <w:t> </w:t>
            </w:r>
            <w:r>
              <w:rPr>
                <w:rFonts w:ascii="宋体" w:hAnsi="宋体" w:cs="宋体" w:eastAsia="宋体" w:hint="default"/>
                <w:sz w:val="17"/>
                <w:szCs w:val="17"/>
              </w:rPr>
              <w:t>亿元</w:t>
            </w:r>
          </w:p>
        </w:tc>
        <w:tc>
          <w:tcPr>
            <w:tcW w:w="1564" w:type="dxa"/>
            <w:tcBorders>
              <w:top w:val="nil" w:sz="6" w:space="0" w:color="auto"/>
              <w:left w:val="nil" w:sz="6" w:space="0" w:color="auto"/>
              <w:bottom w:val="nil" w:sz="6" w:space="0" w:color="auto"/>
              <w:right w:val="nil" w:sz="6" w:space="0" w:color="auto"/>
            </w:tcBorders>
          </w:tcPr>
          <w:p>
            <w:pPr>
              <w:pStyle w:val="TableParagraph"/>
              <w:spacing w:line="197" w:lineRule="exact"/>
              <w:ind w:right="158"/>
              <w:jc w:val="center"/>
              <w:rPr>
                <w:rFonts w:ascii="宋体" w:hAnsi="宋体" w:cs="宋体" w:eastAsia="宋体" w:hint="default"/>
                <w:sz w:val="17"/>
                <w:szCs w:val="17"/>
              </w:rPr>
            </w:pPr>
            <w:r>
              <w:rPr>
                <w:rFonts w:ascii="Arial" w:hAnsi="Arial" w:cs="Arial" w:eastAsia="Arial" w:hint="default"/>
                <w:sz w:val="17"/>
                <w:szCs w:val="17"/>
              </w:rPr>
              <w:t>2010</w:t>
            </w:r>
            <w:r>
              <w:rPr>
                <w:rFonts w:ascii="Arial" w:hAnsi="Arial" w:cs="Arial" w:eastAsia="Arial" w:hint="default"/>
                <w:spacing w:val="-6"/>
                <w:sz w:val="17"/>
                <w:szCs w:val="17"/>
              </w:rPr>
              <w:t> </w:t>
            </w:r>
            <w:r>
              <w:rPr>
                <w:rFonts w:ascii="宋体" w:hAnsi="宋体" w:cs="宋体" w:eastAsia="宋体" w:hint="default"/>
                <w:sz w:val="17"/>
                <w:szCs w:val="17"/>
              </w:rPr>
              <w:t>年</w:t>
            </w:r>
            <w:r>
              <w:rPr>
                <w:rFonts w:ascii="宋体" w:hAnsi="宋体" w:cs="宋体" w:eastAsia="宋体" w:hint="default"/>
                <w:spacing w:val="-43"/>
                <w:sz w:val="17"/>
                <w:szCs w:val="17"/>
              </w:rPr>
              <w:t> </w:t>
            </w:r>
            <w:r>
              <w:rPr>
                <w:rFonts w:ascii="Arial" w:hAnsi="Arial" w:cs="Arial" w:eastAsia="Arial" w:hint="default"/>
                <w:sz w:val="17"/>
                <w:szCs w:val="17"/>
              </w:rPr>
              <w:t>4</w:t>
            </w:r>
            <w:r>
              <w:rPr>
                <w:rFonts w:ascii="Arial" w:hAnsi="Arial" w:cs="Arial" w:eastAsia="Arial" w:hint="default"/>
                <w:spacing w:val="-6"/>
                <w:sz w:val="17"/>
                <w:szCs w:val="17"/>
              </w:rPr>
              <w:t> </w:t>
            </w:r>
            <w:r>
              <w:rPr>
                <w:rFonts w:ascii="宋体" w:hAnsi="宋体" w:cs="宋体" w:eastAsia="宋体" w:hint="default"/>
                <w:sz w:val="17"/>
                <w:szCs w:val="17"/>
              </w:rPr>
              <w:t>月</w:t>
            </w:r>
            <w:r>
              <w:rPr>
                <w:rFonts w:ascii="宋体" w:hAnsi="宋体" w:cs="宋体" w:eastAsia="宋体" w:hint="default"/>
                <w:spacing w:val="-43"/>
                <w:sz w:val="17"/>
                <w:szCs w:val="17"/>
              </w:rPr>
              <w:t> </w:t>
            </w:r>
            <w:r>
              <w:rPr>
                <w:rFonts w:ascii="Arial" w:hAnsi="Arial" w:cs="Arial" w:eastAsia="Arial" w:hint="default"/>
                <w:sz w:val="17"/>
                <w:szCs w:val="17"/>
              </w:rPr>
              <w:t>2</w:t>
            </w:r>
            <w:r>
              <w:rPr>
                <w:rFonts w:ascii="Arial" w:hAnsi="Arial" w:cs="Arial" w:eastAsia="Arial" w:hint="default"/>
                <w:spacing w:val="-6"/>
                <w:sz w:val="17"/>
                <w:szCs w:val="17"/>
              </w:rPr>
              <w:t> </w:t>
            </w:r>
            <w:r>
              <w:rPr>
                <w:rFonts w:ascii="宋体" w:hAnsi="宋体" w:cs="宋体" w:eastAsia="宋体" w:hint="default"/>
                <w:sz w:val="17"/>
                <w:szCs w:val="17"/>
              </w:rPr>
              <w:t>日</w:t>
            </w:r>
          </w:p>
        </w:tc>
        <w:tc>
          <w:tcPr>
            <w:tcW w:w="792" w:type="dxa"/>
            <w:tcBorders>
              <w:top w:val="nil" w:sz="6" w:space="0" w:color="auto"/>
              <w:left w:val="nil" w:sz="6" w:space="0" w:color="auto"/>
              <w:bottom w:val="nil" w:sz="6" w:space="0" w:color="auto"/>
              <w:right w:val="nil" w:sz="6" w:space="0" w:color="auto"/>
            </w:tcBorders>
          </w:tcPr>
          <w:p>
            <w:pPr>
              <w:pStyle w:val="TableParagraph"/>
              <w:spacing w:line="197" w:lineRule="exact"/>
              <w:ind w:right="53"/>
              <w:jc w:val="right"/>
              <w:rPr>
                <w:rFonts w:ascii="宋体" w:hAnsi="宋体" w:cs="宋体" w:eastAsia="宋体" w:hint="default"/>
                <w:sz w:val="17"/>
                <w:szCs w:val="17"/>
              </w:rPr>
            </w:pPr>
            <w:r>
              <w:rPr>
                <w:rFonts w:ascii="Arial" w:hAnsi="Arial" w:cs="Arial" w:eastAsia="Arial" w:hint="default"/>
                <w:sz w:val="17"/>
                <w:szCs w:val="17"/>
              </w:rPr>
              <w:t>3</w:t>
            </w:r>
            <w:r>
              <w:rPr>
                <w:rFonts w:ascii="Arial" w:hAnsi="Arial" w:cs="Arial" w:eastAsia="Arial" w:hint="default"/>
                <w:spacing w:val="-6"/>
                <w:sz w:val="17"/>
                <w:szCs w:val="17"/>
              </w:rPr>
              <w:t> </w:t>
            </w:r>
            <w:r>
              <w:rPr>
                <w:rFonts w:ascii="宋体" w:hAnsi="宋体" w:cs="宋体" w:eastAsia="宋体" w:hint="default"/>
                <w:sz w:val="17"/>
                <w:szCs w:val="17"/>
              </w:rPr>
              <w:t>年</w:t>
            </w:r>
          </w:p>
        </w:tc>
        <w:tc>
          <w:tcPr>
            <w:tcW w:w="1103" w:type="dxa"/>
            <w:tcBorders>
              <w:top w:val="nil" w:sz="6" w:space="0" w:color="auto"/>
              <w:left w:val="nil" w:sz="6" w:space="0" w:color="auto"/>
              <w:bottom w:val="nil" w:sz="6" w:space="0" w:color="auto"/>
              <w:right w:val="nil" w:sz="6" w:space="0" w:color="auto"/>
            </w:tcBorders>
          </w:tcPr>
          <w:p>
            <w:pPr>
              <w:pStyle w:val="TableParagraph"/>
              <w:spacing w:line="197" w:lineRule="exact"/>
              <w:ind w:right="66"/>
              <w:jc w:val="right"/>
              <w:rPr>
                <w:rFonts w:ascii="宋体" w:hAnsi="宋体" w:cs="宋体" w:eastAsia="宋体" w:hint="default"/>
                <w:sz w:val="17"/>
                <w:szCs w:val="17"/>
              </w:rPr>
            </w:pPr>
            <w:r>
              <w:rPr>
                <w:rFonts w:ascii="Arial" w:hAnsi="Arial" w:cs="Arial" w:eastAsia="Arial" w:hint="default"/>
                <w:sz w:val="17"/>
                <w:szCs w:val="17"/>
              </w:rPr>
              <w:t>30</w:t>
            </w:r>
            <w:r>
              <w:rPr>
                <w:rFonts w:ascii="Arial" w:hAnsi="Arial" w:cs="Arial" w:eastAsia="Arial" w:hint="default"/>
                <w:spacing w:val="-5"/>
                <w:sz w:val="17"/>
                <w:szCs w:val="17"/>
              </w:rPr>
              <w:t> </w:t>
            </w:r>
            <w:r>
              <w:rPr>
                <w:rFonts w:ascii="宋体" w:hAnsi="宋体" w:cs="宋体" w:eastAsia="宋体" w:hint="default"/>
                <w:sz w:val="17"/>
                <w:szCs w:val="17"/>
              </w:rPr>
              <w:t>亿元</w:t>
            </w:r>
          </w:p>
        </w:tc>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9" w:right="0"/>
              <w:jc w:val="center"/>
              <w:rPr>
                <w:rFonts w:ascii="Arial" w:hAnsi="Arial" w:cs="Arial" w:eastAsia="Arial" w:hint="default"/>
                <w:sz w:val="17"/>
                <w:szCs w:val="17"/>
              </w:rPr>
            </w:pPr>
            <w:r>
              <w:rPr>
                <w:rFonts w:ascii="Arial"/>
                <w:sz w:val="17"/>
              </w:rPr>
              <w:t>3.73%</w:t>
            </w:r>
          </w:p>
        </w:tc>
        <w:tc>
          <w:tcPr>
            <w:tcW w:w="1984" w:type="dxa"/>
            <w:tcBorders>
              <w:top w:val="nil" w:sz="6" w:space="0" w:color="auto"/>
              <w:left w:val="nil" w:sz="6" w:space="0" w:color="auto"/>
              <w:bottom w:val="nil" w:sz="6" w:space="0" w:color="auto"/>
              <w:right w:val="nil" w:sz="6" w:space="0" w:color="auto"/>
            </w:tcBorders>
          </w:tcPr>
          <w:p>
            <w:pPr>
              <w:pStyle w:val="TableParagraph"/>
              <w:spacing w:line="185" w:lineRule="exact"/>
              <w:ind w:left="31" w:right="0"/>
              <w:jc w:val="left"/>
              <w:rPr>
                <w:rFonts w:ascii="宋体" w:hAnsi="宋体" w:cs="宋体" w:eastAsia="宋体" w:hint="default"/>
                <w:sz w:val="17"/>
                <w:szCs w:val="17"/>
              </w:rPr>
            </w:pPr>
            <w:r>
              <w:rPr>
                <w:rFonts w:ascii="宋体" w:hAnsi="宋体" w:cs="宋体" w:eastAsia="宋体" w:hint="default"/>
                <w:sz w:val="17"/>
                <w:szCs w:val="17"/>
              </w:rPr>
              <w:t>无担保</w:t>
            </w:r>
          </w:p>
        </w:tc>
      </w:tr>
      <w:tr>
        <w:trPr>
          <w:trHeight w:val="221" w:hRule="exact"/>
        </w:trPr>
        <w:tc>
          <w:tcPr>
            <w:tcW w:w="2082" w:type="dxa"/>
            <w:tcBorders>
              <w:top w:val="nil" w:sz="6" w:space="0" w:color="auto"/>
              <w:left w:val="nil" w:sz="6" w:space="0" w:color="auto"/>
              <w:bottom w:val="nil" w:sz="6" w:space="0" w:color="auto"/>
              <w:right w:val="nil" w:sz="6" w:space="0" w:color="auto"/>
            </w:tcBorders>
          </w:tcPr>
          <w:p>
            <w:pPr>
              <w:pStyle w:val="TableParagraph"/>
              <w:spacing w:line="197" w:lineRule="exact"/>
              <w:ind w:left="200" w:right="0"/>
              <w:jc w:val="left"/>
              <w:rPr>
                <w:rFonts w:ascii="宋体" w:hAnsi="宋体" w:cs="宋体" w:eastAsia="宋体" w:hint="default"/>
                <w:sz w:val="17"/>
                <w:szCs w:val="17"/>
              </w:rPr>
            </w:pPr>
            <w:r>
              <w:rPr>
                <w:rFonts w:ascii="Arial" w:hAnsi="Arial" w:cs="Arial" w:eastAsia="Arial" w:hint="default"/>
                <w:sz w:val="17"/>
                <w:szCs w:val="17"/>
              </w:rPr>
              <w:t>2010</w:t>
            </w:r>
            <w:r>
              <w:rPr>
                <w:rFonts w:ascii="Arial" w:hAnsi="Arial" w:cs="Arial" w:eastAsia="Arial" w:hint="default"/>
                <w:spacing w:val="-6"/>
                <w:sz w:val="17"/>
                <w:szCs w:val="17"/>
              </w:rPr>
              <w:t> </w:t>
            </w:r>
            <w:r>
              <w:rPr>
                <w:rFonts w:ascii="宋体" w:hAnsi="宋体" w:cs="宋体" w:eastAsia="宋体" w:hint="default"/>
                <w:sz w:val="17"/>
                <w:szCs w:val="17"/>
              </w:rPr>
              <w:t>年第二期中期票据</w:t>
            </w:r>
          </w:p>
        </w:tc>
        <w:tc>
          <w:tcPr>
            <w:tcW w:w="1066" w:type="dxa"/>
            <w:tcBorders>
              <w:top w:val="nil" w:sz="6" w:space="0" w:color="auto"/>
              <w:left w:val="nil" w:sz="6" w:space="0" w:color="auto"/>
              <w:bottom w:val="nil" w:sz="6" w:space="0" w:color="auto"/>
              <w:right w:val="nil" w:sz="6" w:space="0" w:color="auto"/>
            </w:tcBorders>
          </w:tcPr>
          <w:p>
            <w:pPr>
              <w:pStyle w:val="TableParagraph"/>
              <w:spacing w:line="197" w:lineRule="exact"/>
              <w:ind w:right="54"/>
              <w:jc w:val="right"/>
              <w:rPr>
                <w:rFonts w:ascii="宋体" w:hAnsi="宋体" w:cs="宋体" w:eastAsia="宋体" w:hint="default"/>
                <w:sz w:val="17"/>
                <w:szCs w:val="17"/>
              </w:rPr>
            </w:pPr>
            <w:r>
              <w:rPr>
                <w:rFonts w:ascii="Arial" w:hAnsi="Arial" w:cs="Arial" w:eastAsia="Arial" w:hint="default"/>
                <w:sz w:val="17"/>
                <w:szCs w:val="17"/>
              </w:rPr>
              <w:t>120</w:t>
            </w:r>
            <w:r>
              <w:rPr>
                <w:rFonts w:ascii="Arial" w:hAnsi="Arial" w:cs="Arial" w:eastAsia="Arial" w:hint="default"/>
                <w:spacing w:val="-5"/>
                <w:sz w:val="17"/>
                <w:szCs w:val="17"/>
              </w:rPr>
              <w:t> </w:t>
            </w:r>
            <w:r>
              <w:rPr>
                <w:rFonts w:ascii="宋体" w:hAnsi="宋体" w:cs="宋体" w:eastAsia="宋体" w:hint="default"/>
                <w:sz w:val="17"/>
                <w:szCs w:val="17"/>
              </w:rPr>
              <w:t>亿元</w:t>
            </w:r>
          </w:p>
        </w:tc>
        <w:tc>
          <w:tcPr>
            <w:tcW w:w="1564" w:type="dxa"/>
            <w:tcBorders>
              <w:top w:val="nil" w:sz="6" w:space="0" w:color="auto"/>
              <w:left w:val="nil" w:sz="6" w:space="0" w:color="auto"/>
              <w:bottom w:val="nil" w:sz="6" w:space="0" w:color="auto"/>
              <w:right w:val="nil" w:sz="6" w:space="0" w:color="auto"/>
            </w:tcBorders>
          </w:tcPr>
          <w:p>
            <w:pPr>
              <w:pStyle w:val="TableParagraph"/>
              <w:spacing w:line="197" w:lineRule="exact"/>
              <w:ind w:right="64"/>
              <w:jc w:val="center"/>
              <w:rPr>
                <w:rFonts w:ascii="宋体" w:hAnsi="宋体" w:cs="宋体" w:eastAsia="宋体" w:hint="default"/>
                <w:sz w:val="17"/>
                <w:szCs w:val="17"/>
              </w:rPr>
            </w:pPr>
            <w:r>
              <w:rPr>
                <w:rFonts w:ascii="Arial" w:hAnsi="Arial" w:cs="Arial" w:eastAsia="Arial" w:hint="default"/>
                <w:sz w:val="17"/>
                <w:szCs w:val="17"/>
              </w:rPr>
              <w:t>2010</w:t>
            </w:r>
            <w:r>
              <w:rPr>
                <w:rFonts w:ascii="Arial" w:hAnsi="Arial" w:cs="Arial" w:eastAsia="Arial" w:hint="default"/>
                <w:spacing w:val="-6"/>
                <w:sz w:val="17"/>
                <w:szCs w:val="17"/>
              </w:rPr>
              <w:t> </w:t>
            </w:r>
            <w:r>
              <w:rPr>
                <w:rFonts w:ascii="宋体" w:hAnsi="宋体" w:cs="宋体" w:eastAsia="宋体" w:hint="default"/>
                <w:sz w:val="17"/>
                <w:szCs w:val="17"/>
              </w:rPr>
              <w:t>年</w:t>
            </w:r>
            <w:r>
              <w:rPr>
                <w:rFonts w:ascii="宋体" w:hAnsi="宋体" w:cs="宋体" w:eastAsia="宋体" w:hint="default"/>
                <w:spacing w:val="-43"/>
                <w:sz w:val="17"/>
                <w:szCs w:val="17"/>
              </w:rPr>
              <w:t> </w:t>
            </w:r>
            <w:r>
              <w:rPr>
                <w:rFonts w:ascii="Arial" w:hAnsi="Arial" w:cs="Arial" w:eastAsia="Arial" w:hint="default"/>
                <w:sz w:val="17"/>
                <w:szCs w:val="17"/>
              </w:rPr>
              <w:t>9</w:t>
            </w:r>
            <w:r>
              <w:rPr>
                <w:rFonts w:ascii="Arial" w:hAnsi="Arial" w:cs="Arial" w:eastAsia="Arial" w:hint="default"/>
                <w:spacing w:val="-6"/>
                <w:sz w:val="17"/>
                <w:szCs w:val="17"/>
              </w:rPr>
              <w:t> </w:t>
            </w:r>
            <w:r>
              <w:rPr>
                <w:rFonts w:ascii="宋体" w:hAnsi="宋体" w:cs="宋体" w:eastAsia="宋体" w:hint="default"/>
                <w:sz w:val="17"/>
                <w:szCs w:val="17"/>
              </w:rPr>
              <w:t>月</w:t>
            </w:r>
            <w:r>
              <w:rPr>
                <w:rFonts w:ascii="宋体" w:hAnsi="宋体" w:cs="宋体" w:eastAsia="宋体" w:hint="default"/>
                <w:spacing w:val="-43"/>
                <w:sz w:val="17"/>
                <w:szCs w:val="17"/>
              </w:rPr>
              <w:t> </w:t>
            </w:r>
            <w:r>
              <w:rPr>
                <w:rFonts w:ascii="Arial" w:hAnsi="Arial" w:cs="Arial" w:eastAsia="Arial" w:hint="default"/>
                <w:sz w:val="17"/>
                <w:szCs w:val="17"/>
              </w:rPr>
              <w:t>20</w:t>
            </w:r>
            <w:r>
              <w:rPr>
                <w:rFonts w:ascii="Arial" w:hAnsi="Arial" w:cs="Arial" w:eastAsia="Arial" w:hint="default"/>
                <w:spacing w:val="-6"/>
                <w:sz w:val="17"/>
                <w:szCs w:val="17"/>
              </w:rPr>
              <w:t> </w:t>
            </w:r>
            <w:r>
              <w:rPr>
                <w:rFonts w:ascii="宋体" w:hAnsi="宋体" w:cs="宋体" w:eastAsia="宋体" w:hint="default"/>
                <w:sz w:val="17"/>
                <w:szCs w:val="17"/>
              </w:rPr>
              <w:t>日</w:t>
            </w:r>
          </w:p>
        </w:tc>
        <w:tc>
          <w:tcPr>
            <w:tcW w:w="792" w:type="dxa"/>
            <w:tcBorders>
              <w:top w:val="nil" w:sz="6" w:space="0" w:color="auto"/>
              <w:left w:val="nil" w:sz="6" w:space="0" w:color="auto"/>
              <w:bottom w:val="nil" w:sz="6" w:space="0" w:color="auto"/>
              <w:right w:val="nil" w:sz="6" w:space="0" w:color="auto"/>
            </w:tcBorders>
          </w:tcPr>
          <w:p>
            <w:pPr>
              <w:pStyle w:val="TableParagraph"/>
              <w:spacing w:line="197" w:lineRule="exact"/>
              <w:ind w:right="53"/>
              <w:jc w:val="right"/>
              <w:rPr>
                <w:rFonts w:ascii="宋体" w:hAnsi="宋体" w:cs="宋体" w:eastAsia="宋体" w:hint="default"/>
                <w:sz w:val="17"/>
                <w:szCs w:val="17"/>
              </w:rPr>
            </w:pPr>
            <w:r>
              <w:rPr>
                <w:rFonts w:ascii="Arial" w:hAnsi="Arial" w:cs="Arial" w:eastAsia="Arial" w:hint="default"/>
                <w:sz w:val="17"/>
                <w:szCs w:val="17"/>
              </w:rPr>
              <w:t>3</w:t>
            </w:r>
            <w:r>
              <w:rPr>
                <w:rFonts w:ascii="Arial" w:hAnsi="Arial" w:cs="Arial" w:eastAsia="Arial" w:hint="default"/>
                <w:spacing w:val="-6"/>
                <w:sz w:val="17"/>
                <w:szCs w:val="17"/>
              </w:rPr>
              <w:t> </w:t>
            </w:r>
            <w:r>
              <w:rPr>
                <w:rFonts w:ascii="宋体" w:hAnsi="宋体" w:cs="宋体" w:eastAsia="宋体" w:hint="default"/>
                <w:sz w:val="17"/>
                <w:szCs w:val="17"/>
              </w:rPr>
              <w:t>年</w:t>
            </w:r>
          </w:p>
        </w:tc>
        <w:tc>
          <w:tcPr>
            <w:tcW w:w="1103" w:type="dxa"/>
            <w:tcBorders>
              <w:top w:val="nil" w:sz="6" w:space="0" w:color="auto"/>
              <w:left w:val="nil" w:sz="6" w:space="0" w:color="auto"/>
              <w:bottom w:val="nil" w:sz="6" w:space="0" w:color="auto"/>
              <w:right w:val="nil" w:sz="6" w:space="0" w:color="auto"/>
            </w:tcBorders>
          </w:tcPr>
          <w:p>
            <w:pPr>
              <w:pStyle w:val="TableParagraph"/>
              <w:spacing w:line="197" w:lineRule="exact"/>
              <w:ind w:right="66"/>
              <w:jc w:val="right"/>
              <w:rPr>
                <w:rFonts w:ascii="宋体" w:hAnsi="宋体" w:cs="宋体" w:eastAsia="宋体" w:hint="default"/>
                <w:sz w:val="17"/>
                <w:szCs w:val="17"/>
              </w:rPr>
            </w:pPr>
            <w:r>
              <w:rPr>
                <w:rFonts w:ascii="Arial" w:hAnsi="Arial" w:cs="Arial" w:eastAsia="Arial" w:hint="default"/>
                <w:sz w:val="17"/>
                <w:szCs w:val="17"/>
              </w:rPr>
              <w:t>120</w:t>
            </w:r>
            <w:r>
              <w:rPr>
                <w:rFonts w:ascii="Arial" w:hAnsi="Arial" w:cs="Arial" w:eastAsia="Arial" w:hint="default"/>
                <w:spacing w:val="-5"/>
                <w:sz w:val="17"/>
                <w:szCs w:val="17"/>
              </w:rPr>
              <w:t> </w:t>
            </w:r>
            <w:r>
              <w:rPr>
                <w:rFonts w:ascii="宋体" w:hAnsi="宋体" w:cs="宋体" w:eastAsia="宋体" w:hint="default"/>
                <w:sz w:val="17"/>
                <w:szCs w:val="17"/>
              </w:rPr>
              <w:t>亿元</w:t>
            </w:r>
          </w:p>
        </w:tc>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9" w:right="0"/>
              <w:jc w:val="center"/>
              <w:rPr>
                <w:rFonts w:ascii="Arial" w:hAnsi="Arial" w:cs="Arial" w:eastAsia="Arial" w:hint="default"/>
                <w:sz w:val="17"/>
                <w:szCs w:val="17"/>
              </w:rPr>
            </w:pPr>
            <w:r>
              <w:rPr>
                <w:rFonts w:ascii="Arial"/>
                <w:sz w:val="17"/>
              </w:rPr>
              <w:t>3.31%</w:t>
            </w:r>
          </w:p>
        </w:tc>
        <w:tc>
          <w:tcPr>
            <w:tcW w:w="1984" w:type="dxa"/>
            <w:tcBorders>
              <w:top w:val="nil" w:sz="6" w:space="0" w:color="auto"/>
              <w:left w:val="nil" w:sz="6" w:space="0" w:color="auto"/>
              <w:bottom w:val="nil" w:sz="6" w:space="0" w:color="auto"/>
              <w:right w:val="nil" w:sz="6" w:space="0" w:color="auto"/>
            </w:tcBorders>
          </w:tcPr>
          <w:p>
            <w:pPr>
              <w:pStyle w:val="TableParagraph"/>
              <w:spacing w:line="185" w:lineRule="exact"/>
              <w:ind w:left="31" w:right="0"/>
              <w:jc w:val="left"/>
              <w:rPr>
                <w:rFonts w:ascii="宋体" w:hAnsi="宋体" w:cs="宋体" w:eastAsia="宋体" w:hint="default"/>
                <w:sz w:val="17"/>
                <w:szCs w:val="17"/>
              </w:rPr>
            </w:pPr>
            <w:r>
              <w:rPr>
                <w:rFonts w:ascii="宋体" w:hAnsi="宋体" w:cs="宋体" w:eastAsia="宋体" w:hint="default"/>
                <w:sz w:val="17"/>
                <w:szCs w:val="17"/>
              </w:rPr>
              <w:t>无担保</w:t>
            </w:r>
          </w:p>
        </w:tc>
      </w:tr>
      <w:tr>
        <w:trPr>
          <w:trHeight w:val="205" w:hRule="exact"/>
        </w:trPr>
        <w:tc>
          <w:tcPr>
            <w:tcW w:w="2082" w:type="dxa"/>
            <w:tcBorders>
              <w:top w:val="nil" w:sz="6" w:space="0" w:color="auto"/>
              <w:left w:val="nil" w:sz="6" w:space="0" w:color="auto"/>
              <w:bottom w:val="nil" w:sz="6" w:space="0" w:color="auto"/>
              <w:right w:val="nil" w:sz="6" w:space="0" w:color="auto"/>
            </w:tcBorders>
          </w:tcPr>
          <w:p>
            <w:pPr>
              <w:pStyle w:val="TableParagraph"/>
              <w:spacing w:line="197" w:lineRule="exact"/>
              <w:ind w:left="200" w:right="0"/>
              <w:jc w:val="left"/>
              <w:rPr>
                <w:rFonts w:ascii="宋体" w:hAnsi="宋体" w:cs="宋体" w:eastAsia="宋体" w:hint="default"/>
                <w:sz w:val="17"/>
                <w:szCs w:val="17"/>
              </w:rPr>
            </w:pPr>
            <w:r>
              <w:rPr>
                <w:rFonts w:ascii="Arial" w:hAnsi="Arial" w:cs="Arial" w:eastAsia="Arial" w:hint="default"/>
                <w:sz w:val="17"/>
                <w:szCs w:val="17"/>
              </w:rPr>
              <w:t>2010</w:t>
            </w:r>
            <w:r>
              <w:rPr>
                <w:rFonts w:ascii="Arial" w:hAnsi="Arial" w:cs="Arial" w:eastAsia="Arial" w:hint="default"/>
                <w:spacing w:val="-7"/>
                <w:sz w:val="17"/>
                <w:szCs w:val="17"/>
              </w:rPr>
              <w:t> </w:t>
            </w:r>
            <w:r>
              <w:rPr>
                <w:rFonts w:ascii="宋体" w:hAnsi="宋体" w:cs="宋体" w:eastAsia="宋体" w:hint="default"/>
                <w:sz w:val="17"/>
                <w:szCs w:val="17"/>
              </w:rPr>
              <w:t>年可转换债券</w:t>
            </w:r>
          </w:p>
        </w:tc>
        <w:tc>
          <w:tcPr>
            <w:tcW w:w="1066" w:type="dxa"/>
            <w:tcBorders>
              <w:top w:val="nil" w:sz="6" w:space="0" w:color="auto"/>
              <w:left w:val="nil" w:sz="6" w:space="0" w:color="auto"/>
              <w:bottom w:val="nil" w:sz="6" w:space="0" w:color="auto"/>
              <w:right w:val="nil" w:sz="6" w:space="0" w:color="auto"/>
            </w:tcBorders>
          </w:tcPr>
          <w:p>
            <w:pPr>
              <w:pStyle w:val="TableParagraph"/>
              <w:spacing w:line="197" w:lineRule="exact"/>
              <w:ind w:right="54"/>
              <w:jc w:val="right"/>
              <w:rPr>
                <w:rFonts w:ascii="宋体" w:hAnsi="宋体" w:cs="宋体" w:eastAsia="宋体" w:hint="default"/>
                <w:sz w:val="17"/>
                <w:szCs w:val="17"/>
              </w:rPr>
            </w:pPr>
            <w:r>
              <w:rPr>
                <w:rFonts w:ascii="Arial" w:hAnsi="Arial" w:cs="Arial" w:eastAsia="Arial" w:hint="default"/>
                <w:sz w:val="17"/>
                <w:szCs w:val="17"/>
              </w:rPr>
              <w:t>18.39</w:t>
            </w:r>
            <w:r>
              <w:rPr>
                <w:rFonts w:ascii="Arial" w:hAnsi="Arial" w:cs="Arial" w:eastAsia="Arial" w:hint="default"/>
                <w:spacing w:val="-4"/>
                <w:sz w:val="17"/>
                <w:szCs w:val="17"/>
              </w:rPr>
              <w:t> </w:t>
            </w:r>
            <w:r>
              <w:rPr>
                <w:rFonts w:ascii="宋体" w:hAnsi="宋体" w:cs="宋体" w:eastAsia="宋体" w:hint="default"/>
                <w:sz w:val="17"/>
                <w:szCs w:val="17"/>
              </w:rPr>
              <w:t>亿美元</w:t>
            </w:r>
          </w:p>
        </w:tc>
        <w:tc>
          <w:tcPr>
            <w:tcW w:w="1564" w:type="dxa"/>
            <w:tcBorders>
              <w:top w:val="nil" w:sz="6" w:space="0" w:color="auto"/>
              <w:left w:val="nil" w:sz="6" w:space="0" w:color="auto"/>
              <w:bottom w:val="nil" w:sz="6" w:space="0" w:color="auto"/>
              <w:right w:val="nil" w:sz="6" w:space="0" w:color="auto"/>
            </w:tcBorders>
          </w:tcPr>
          <w:p>
            <w:pPr>
              <w:pStyle w:val="TableParagraph"/>
              <w:spacing w:line="197" w:lineRule="exact"/>
              <w:ind w:left="10" w:right="0"/>
              <w:jc w:val="center"/>
              <w:rPr>
                <w:rFonts w:ascii="宋体" w:hAnsi="宋体" w:cs="宋体" w:eastAsia="宋体" w:hint="default"/>
                <w:sz w:val="17"/>
                <w:szCs w:val="17"/>
              </w:rPr>
            </w:pPr>
            <w:r>
              <w:rPr>
                <w:rFonts w:ascii="Arial" w:hAnsi="Arial" w:cs="Arial" w:eastAsia="Arial" w:hint="default"/>
                <w:sz w:val="17"/>
                <w:szCs w:val="17"/>
              </w:rPr>
              <w:t>2010</w:t>
            </w:r>
            <w:r>
              <w:rPr>
                <w:rFonts w:ascii="Arial" w:hAnsi="Arial" w:cs="Arial" w:eastAsia="Arial" w:hint="default"/>
                <w:spacing w:val="-9"/>
                <w:sz w:val="17"/>
                <w:szCs w:val="17"/>
              </w:rPr>
              <w:t> </w:t>
            </w:r>
            <w:r>
              <w:rPr>
                <w:rFonts w:ascii="宋体" w:hAnsi="宋体" w:cs="宋体" w:eastAsia="宋体" w:hint="default"/>
                <w:sz w:val="17"/>
                <w:szCs w:val="17"/>
              </w:rPr>
              <w:t>年</w:t>
            </w:r>
            <w:r>
              <w:rPr>
                <w:rFonts w:ascii="宋体" w:hAnsi="宋体" w:cs="宋体" w:eastAsia="宋体" w:hint="default"/>
                <w:spacing w:val="-47"/>
                <w:sz w:val="17"/>
                <w:szCs w:val="17"/>
              </w:rPr>
              <w:t> </w:t>
            </w:r>
            <w:r>
              <w:rPr>
                <w:rFonts w:ascii="Arial" w:hAnsi="Arial" w:cs="Arial" w:eastAsia="Arial" w:hint="default"/>
                <w:sz w:val="17"/>
                <w:szCs w:val="17"/>
              </w:rPr>
              <w:t>10</w:t>
            </w:r>
            <w:r>
              <w:rPr>
                <w:rFonts w:ascii="Arial" w:hAnsi="Arial" w:cs="Arial" w:eastAsia="Arial" w:hint="default"/>
                <w:spacing w:val="-9"/>
                <w:sz w:val="17"/>
                <w:szCs w:val="17"/>
              </w:rPr>
              <w:t> </w:t>
            </w:r>
            <w:r>
              <w:rPr>
                <w:rFonts w:ascii="宋体" w:hAnsi="宋体" w:cs="宋体" w:eastAsia="宋体" w:hint="default"/>
                <w:sz w:val="17"/>
                <w:szCs w:val="17"/>
              </w:rPr>
              <w:t>月</w:t>
            </w:r>
            <w:r>
              <w:rPr>
                <w:rFonts w:ascii="宋体" w:hAnsi="宋体" w:cs="宋体" w:eastAsia="宋体" w:hint="default"/>
                <w:spacing w:val="-47"/>
                <w:sz w:val="17"/>
                <w:szCs w:val="17"/>
              </w:rPr>
              <w:t> </w:t>
            </w:r>
            <w:r>
              <w:rPr>
                <w:rFonts w:ascii="Arial" w:hAnsi="Arial" w:cs="Arial" w:eastAsia="Arial" w:hint="default"/>
                <w:sz w:val="17"/>
                <w:szCs w:val="17"/>
              </w:rPr>
              <w:t>18</w:t>
            </w:r>
            <w:r>
              <w:rPr>
                <w:rFonts w:ascii="Arial" w:hAnsi="Arial" w:cs="Arial" w:eastAsia="Arial" w:hint="default"/>
                <w:spacing w:val="-9"/>
                <w:sz w:val="17"/>
                <w:szCs w:val="17"/>
              </w:rPr>
              <w:t> </w:t>
            </w:r>
            <w:r>
              <w:rPr>
                <w:rFonts w:ascii="宋体" w:hAnsi="宋体" w:cs="宋体" w:eastAsia="宋体" w:hint="default"/>
                <w:sz w:val="17"/>
                <w:szCs w:val="17"/>
              </w:rPr>
              <w:t>日</w:t>
            </w:r>
          </w:p>
        </w:tc>
        <w:tc>
          <w:tcPr>
            <w:tcW w:w="792" w:type="dxa"/>
            <w:tcBorders>
              <w:top w:val="nil" w:sz="6" w:space="0" w:color="auto"/>
              <w:left w:val="nil" w:sz="6" w:space="0" w:color="auto"/>
              <w:bottom w:val="nil" w:sz="6" w:space="0" w:color="auto"/>
              <w:right w:val="nil" w:sz="6" w:space="0" w:color="auto"/>
            </w:tcBorders>
          </w:tcPr>
          <w:p>
            <w:pPr>
              <w:pStyle w:val="TableParagraph"/>
              <w:spacing w:line="197" w:lineRule="exact"/>
              <w:ind w:right="53"/>
              <w:jc w:val="right"/>
              <w:rPr>
                <w:rFonts w:ascii="宋体" w:hAnsi="宋体" w:cs="宋体" w:eastAsia="宋体" w:hint="default"/>
                <w:sz w:val="17"/>
                <w:szCs w:val="17"/>
              </w:rPr>
            </w:pPr>
            <w:r>
              <w:rPr>
                <w:rFonts w:ascii="Arial" w:hAnsi="Arial" w:cs="Arial" w:eastAsia="Arial" w:hint="default"/>
                <w:sz w:val="17"/>
                <w:szCs w:val="17"/>
              </w:rPr>
              <w:t>5</w:t>
            </w:r>
            <w:r>
              <w:rPr>
                <w:rFonts w:ascii="Arial" w:hAnsi="Arial" w:cs="Arial" w:eastAsia="Arial" w:hint="default"/>
                <w:spacing w:val="-6"/>
                <w:sz w:val="17"/>
                <w:szCs w:val="17"/>
              </w:rPr>
              <w:t> </w:t>
            </w:r>
            <w:r>
              <w:rPr>
                <w:rFonts w:ascii="宋体" w:hAnsi="宋体" w:cs="宋体" w:eastAsia="宋体" w:hint="default"/>
                <w:sz w:val="17"/>
                <w:szCs w:val="17"/>
              </w:rPr>
              <w:t>年</w:t>
            </w:r>
          </w:p>
        </w:tc>
        <w:tc>
          <w:tcPr>
            <w:tcW w:w="1103" w:type="dxa"/>
            <w:tcBorders>
              <w:top w:val="nil" w:sz="6" w:space="0" w:color="auto"/>
              <w:left w:val="nil" w:sz="6" w:space="0" w:color="auto"/>
              <w:bottom w:val="nil" w:sz="6" w:space="0" w:color="auto"/>
              <w:right w:val="nil" w:sz="6" w:space="0" w:color="auto"/>
            </w:tcBorders>
          </w:tcPr>
          <w:p>
            <w:pPr>
              <w:pStyle w:val="TableParagraph"/>
              <w:spacing w:line="197" w:lineRule="exact"/>
              <w:ind w:right="66"/>
              <w:jc w:val="right"/>
              <w:rPr>
                <w:rFonts w:ascii="宋体" w:hAnsi="宋体" w:cs="宋体" w:eastAsia="宋体" w:hint="default"/>
                <w:sz w:val="17"/>
                <w:szCs w:val="17"/>
              </w:rPr>
            </w:pPr>
            <w:r>
              <w:rPr>
                <w:rFonts w:ascii="Arial" w:hAnsi="Arial" w:cs="Arial" w:eastAsia="Arial" w:hint="default"/>
                <w:sz w:val="17"/>
                <w:szCs w:val="17"/>
              </w:rPr>
              <w:t>18.39</w:t>
            </w:r>
            <w:r>
              <w:rPr>
                <w:rFonts w:ascii="Arial" w:hAnsi="Arial" w:cs="Arial" w:eastAsia="Arial" w:hint="default"/>
                <w:spacing w:val="-4"/>
                <w:sz w:val="17"/>
                <w:szCs w:val="17"/>
              </w:rPr>
              <w:t> </w:t>
            </w:r>
            <w:r>
              <w:rPr>
                <w:rFonts w:ascii="宋体" w:hAnsi="宋体" w:cs="宋体" w:eastAsia="宋体" w:hint="default"/>
                <w:sz w:val="17"/>
                <w:szCs w:val="17"/>
              </w:rPr>
              <w:t>亿美元</w:t>
            </w:r>
          </w:p>
        </w:tc>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9" w:right="0"/>
              <w:jc w:val="center"/>
              <w:rPr>
                <w:rFonts w:ascii="Arial" w:hAnsi="Arial" w:cs="Arial" w:eastAsia="Arial" w:hint="default"/>
                <w:sz w:val="17"/>
                <w:szCs w:val="17"/>
              </w:rPr>
            </w:pPr>
            <w:r>
              <w:rPr>
                <w:rFonts w:ascii="Arial"/>
                <w:sz w:val="17"/>
              </w:rPr>
              <w:t>0.75%</w:t>
            </w:r>
          </w:p>
        </w:tc>
        <w:tc>
          <w:tcPr>
            <w:tcW w:w="1984" w:type="dxa"/>
            <w:tcBorders>
              <w:top w:val="nil" w:sz="6" w:space="0" w:color="auto"/>
              <w:left w:val="nil" w:sz="6" w:space="0" w:color="auto"/>
              <w:bottom w:val="nil" w:sz="6" w:space="0" w:color="auto"/>
              <w:right w:val="nil" w:sz="6" w:space="0" w:color="auto"/>
            </w:tcBorders>
          </w:tcPr>
          <w:p>
            <w:pPr>
              <w:pStyle w:val="TableParagraph"/>
              <w:spacing w:line="185" w:lineRule="exact"/>
              <w:ind w:left="31" w:right="0"/>
              <w:jc w:val="left"/>
              <w:rPr>
                <w:rFonts w:ascii="宋体" w:hAnsi="宋体" w:cs="宋体" w:eastAsia="宋体" w:hint="default"/>
                <w:sz w:val="17"/>
                <w:szCs w:val="17"/>
              </w:rPr>
            </w:pPr>
            <w:r>
              <w:rPr>
                <w:rFonts w:ascii="宋体" w:hAnsi="宋体" w:cs="宋体" w:eastAsia="宋体" w:hint="default"/>
                <w:sz w:val="17"/>
                <w:szCs w:val="17"/>
              </w:rPr>
              <w:t>由联通红筹公司提供担保</w:t>
            </w:r>
          </w:p>
        </w:tc>
      </w:tr>
    </w:tbl>
    <w:p>
      <w:pPr>
        <w:spacing w:line="240" w:lineRule="auto" w:before="8"/>
        <w:rPr>
          <w:rFonts w:ascii="宋体" w:hAnsi="宋体" w:cs="宋体" w:eastAsia="宋体" w:hint="default"/>
          <w:sz w:val="14"/>
          <w:szCs w:val="14"/>
        </w:rPr>
      </w:pPr>
    </w:p>
    <w:p>
      <w:pPr>
        <w:pStyle w:val="BodyText"/>
        <w:spacing w:line="286" w:lineRule="exact" w:before="60"/>
        <w:ind w:left="994" w:right="130" w:hanging="425"/>
        <w:jc w:val="left"/>
      </w:pPr>
      <w:r>
        <w:rPr/>
        <w:t>注：除亿迅公司发行的 </w:t>
      </w:r>
      <w:r>
        <w:rPr>
          <w:rFonts w:ascii="Arial" w:hAnsi="Arial" w:cs="Arial" w:eastAsia="Arial" w:hint="default"/>
        </w:rPr>
        <w:t>2010</w:t>
      </w:r>
      <w:r>
        <w:rPr>
          <w:rFonts w:ascii="Arial" w:hAnsi="Arial" w:cs="Arial" w:eastAsia="Arial" w:hint="default"/>
          <w:spacing w:val="9"/>
        </w:rPr>
        <w:t> </w:t>
      </w:r>
      <w:r>
        <w:rPr/>
        <w:t>年可转换债券外，以上公司债券及中期票据均为本公司所属联通</w:t>
      </w:r>
      <w:r>
        <w:rPr>
          <w:w w:val="99"/>
        </w:rPr>
        <w:t> </w:t>
      </w:r>
      <w:r>
        <w:rPr/>
        <w:t>运营公司发行，且均为单利按年计息，每年付息一次。</w:t>
      </w:r>
    </w:p>
    <w:p>
      <w:pPr>
        <w:spacing w:line="240" w:lineRule="auto" w:before="1"/>
        <w:rPr>
          <w:rFonts w:ascii="宋体" w:hAnsi="宋体" w:cs="宋体" w:eastAsia="宋体" w:hint="default"/>
          <w:sz w:val="17"/>
          <w:szCs w:val="17"/>
        </w:rPr>
      </w:pPr>
    </w:p>
    <w:p>
      <w:pPr>
        <w:pStyle w:val="BodyText"/>
        <w:spacing w:line="240" w:lineRule="auto"/>
        <w:ind w:left="122" w:right="122"/>
        <w:jc w:val="left"/>
      </w:pPr>
      <w:r>
        <w:rPr>
          <w:rFonts w:ascii="Arial" w:hAnsi="Arial" w:cs="Arial" w:eastAsia="Arial" w:hint="default"/>
        </w:rPr>
        <w:t>(ii) </w:t>
      </w:r>
      <w:r>
        <w:rPr>
          <w:rFonts w:ascii="Arial" w:hAnsi="Arial" w:cs="Arial" w:eastAsia="Arial" w:hint="default"/>
          <w:spacing w:val="46"/>
        </w:rPr>
        <w:t> </w:t>
      </w:r>
      <w:r>
        <w:rPr/>
        <w:t>可转换债券相关信息</w:t>
      </w:r>
    </w:p>
    <w:p>
      <w:pPr>
        <w:spacing w:line="240" w:lineRule="auto" w:before="13"/>
        <w:rPr>
          <w:rFonts w:ascii="宋体" w:hAnsi="宋体" w:cs="宋体" w:eastAsia="宋体" w:hint="default"/>
          <w:sz w:val="17"/>
          <w:szCs w:val="17"/>
        </w:rPr>
      </w:pPr>
    </w:p>
    <w:p>
      <w:pPr>
        <w:pStyle w:val="BodyText"/>
        <w:spacing w:line="295" w:lineRule="exact"/>
        <w:ind w:left="554" w:right="0"/>
        <w:jc w:val="both"/>
      </w:pPr>
      <w:r>
        <w:rPr/>
        <w:t>于</w:t>
      </w:r>
      <w:r>
        <w:rPr>
          <w:spacing w:val="-45"/>
        </w:rPr>
        <w:t> </w:t>
      </w:r>
      <w:r>
        <w:rPr>
          <w:rFonts w:ascii="Arial" w:hAnsi="Arial" w:cs="Arial" w:eastAsia="Arial" w:hint="default"/>
        </w:rPr>
        <w:t>2010</w:t>
      </w:r>
      <w:r>
        <w:rPr>
          <w:rFonts w:ascii="Arial" w:hAnsi="Arial" w:cs="Arial" w:eastAsia="Arial" w:hint="default"/>
          <w:spacing w:val="5"/>
        </w:rPr>
        <w:t> </w:t>
      </w:r>
      <w:r>
        <w:rPr/>
        <w:t>年</w:t>
      </w:r>
      <w:r>
        <w:rPr>
          <w:spacing w:val="-45"/>
        </w:rPr>
        <w:t> </w:t>
      </w:r>
      <w:r>
        <w:rPr>
          <w:rFonts w:ascii="Arial" w:hAnsi="Arial" w:cs="Arial" w:eastAsia="Arial" w:hint="default"/>
        </w:rPr>
        <w:t>10</w:t>
      </w:r>
      <w:r>
        <w:rPr>
          <w:rFonts w:ascii="Arial" w:hAnsi="Arial" w:cs="Arial" w:eastAsia="Arial" w:hint="default"/>
          <w:spacing w:val="4"/>
        </w:rPr>
        <w:t> </w:t>
      </w:r>
      <w:r>
        <w:rPr/>
        <w:t>月</w:t>
      </w:r>
      <w:r>
        <w:rPr>
          <w:spacing w:val="-45"/>
        </w:rPr>
        <w:t> </w:t>
      </w:r>
      <w:r>
        <w:rPr>
          <w:rFonts w:ascii="Arial" w:hAnsi="Arial" w:cs="Arial" w:eastAsia="Arial" w:hint="default"/>
        </w:rPr>
        <w:t>18</w:t>
      </w:r>
      <w:r>
        <w:rPr>
          <w:rFonts w:ascii="Arial" w:hAnsi="Arial" w:cs="Arial" w:eastAsia="Arial" w:hint="default"/>
          <w:spacing w:val="4"/>
        </w:rPr>
        <w:t> </w:t>
      </w:r>
      <w:r>
        <w:rPr/>
        <w:t>日，联通红筹公司的全资子公司亿迅公司作为可转换债券的债券发行人，</w:t>
      </w:r>
    </w:p>
    <w:p>
      <w:pPr>
        <w:pStyle w:val="BodyText"/>
        <w:spacing w:line="286" w:lineRule="exact"/>
        <w:ind w:left="554" w:right="0"/>
        <w:jc w:val="both"/>
      </w:pPr>
      <w:r>
        <w:rPr/>
        <w:t>发行总本金额为</w:t>
      </w:r>
      <w:r>
        <w:rPr>
          <w:spacing w:val="-56"/>
        </w:rPr>
        <w:t> </w:t>
      </w:r>
      <w:r>
        <w:rPr>
          <w:rFonts w:ascii="Arial" w:hAnsi="Arial" w:cs="Arial" w:eastAsia="Arial" w:hint="default"/>
        </w:rPr>
        <w:t>18.388</w:t>
      </w:r>
      <w:r>
        <w:rPr>
          <w:rFonts w:ascii="Arial" w:hAnsi="Arial" w:cs="Arial" w:eastAsia="Arial" w:hint="default"/>
          <w:spacing w:val="-8"/>
        </w:rPr>
        <w:t> </w:t>
      </w:r>
      <w:r>
        <w:rPr/>
        <w:t>亿美元（按固定汇率</w:t>
      </w:r>
      <w:r>
        <w:rPr>
          <w:spacing w:val="-56"/>
        </w:rPr>
        <w:t> </w:t>
      </w:r>
      <w:r>
        <w:rPr>
          <w:rFonts w:ascii="Arial" w:hAnsi="Arial" w:cs="Arial" w:eastAsia="Arial" w:hint="default"/>
        </w:rPr>
        <w:t>1</w:t>
      </w:r>
      <w:r>
        <w:rPr>
          <w:rFonts w:ascii="Arial" w:hAnsi="Arial" w:cs="Arial" w:eastAsia="Arial" w:hint="default"/>
          <w:spacing w:val="-7"/>
        </w:rPr>
        <w:t> </w:t>
      </w:r>
      <w:r>
        <w:rPr/>
        <w:t>美元等值港币</w:t>
      </w:r>
      <w:r>
        <w:rPr>
          <w:spacing w:val="-56"/>
        </w:rPr>
        <w:t> </w:t>
      </w:r>
      <w:r>
        <w:rPr>
          <w:rFonts w:ascii="Arial" w:hAnsi="Arial" w:cs="Arial" w:eastAsia="Arial" w:hint="default"/>
        </w:rPr>
        <w:t>7.7576</w:t>
      </w:r>
      <w:r>
        <w:rPr>
          <w:rFonts w:ascii="Arial" w:hAnsi="Arial" w:cs="Arial" w:eastAsia="Arial" w:hint="default"/>
          <w:spacing w:val="-8"/>
        </w:rPr>
        <w:t> </w:t>
      </w:r>
      <w:r>
        <w:rPr/>
        <w:t>元）年利率</w:t>
      </w:r>
      <w:r>
        <w:rPr>
          <w:spacing w:val="-56"/>
        </w:rPr>
        <w:t> </w:t>
      </w:r>
      <w:r>
        <w:rPr>
          <w:rFonts w:ascii="Arial" w:hAnsi="Arial" w:cs="Arial" w:eastAsia="Arial" w:hint="default"/>
        </w:rPr>
        <w:t>0.75%</w:t>
      </w:r>
      <w:r>
        <w:rPr/>
        <w:t>的有担</w:t>
      </w:r>
    </w:p>
    <w:p>
      <w:pPr>
        <w:pStyle w:val="BodyText"/>
        <w:spacing w:line="285" w:lineRule="exact"/>
        <w:ind w:left="554" w:right="0"/>
        <w:jc w:val="both"/>
        <w:rPr>
          <w:rFonts w:ascii="Arial" w:hAnsi="Arial" w:cs="Arial" w:eastAsia="Arial" w:hint="default"/>
        </w:rPr>
      </w:pPr>
      <w:r>
        <w:rPr/>
        <w:t>保可转换债券，该可转换债券于</w:t>
      </w:r>
      <w:r>
        <w:rPr>
          <w:spacing w:val="-53"/>
        </w:rPr>
        <w:t> </w:t>
      </w:r>
      <w:r>
        <w:rPr>
          <w:rFonts w:ascii="Arial" w:hAnsi="Arial" w:cs="Arial" w:eastAsia="Arial" w:hint="default"/>
        </w:rPr>
        <w:t>2015</w:t>
      </w:r>
      <w:r>
        <w:rPr>
          <w:rFonts w:ascii="Arial" w:hAnsi="Arial" w:cs="Arial" w:eastAsia="Arial" w:hint="default"/>
          <w:spacing w:val="-6"/>
        </w:rPr>
        <w:t> </w:t>
      </w:r>
      <w:r>
        <w:rPr/>
        <w:t>年</w:t>
      </w:r>
      <w:r>
        <w:rPr>
          <w:spacing w:val="-55"/>
        </w:rPr>
        <w:t> </w:t>
      </w:r>
      <w:r>
        <w:rPr>
          <w:rFonts w:ascii="Arial" w:hAnsi="Arial" w:cs="Arial" w:eastAsia="Arial" w:hint="default"/>
        </w:rPr>
        <w:t>10</w:t>
      </w:r>
      <w:r>
        <w:rPr>
          <w:rFonts w:ascii="Arial" w:hAnsi="Arial" w:cs="Arial" w:eastAsia="Arial" w:hint="default"/>
          <w:spacing w:val="-6"/>
        </w:rPr>
        <w:t> </w:t>
      </w:r>
      <w:r>
        <w:rPr/>
        <w:t>月到期并以本金</w:t>
      </w:r>
      <w:r>
        <w:rPr>
          <w:spacing w:val="-54"/>
        </w:rPr>
        <w:t> </w:t>
      </w:r>
      <w:r>
        <w:rPr>
          <w:rFonts w:ascii="Arial" w:hAnsi="Arial" w:cs="Arial" w:eastAsia="Arial" w:hint="default"/>
        </w:rPr>
        <w:t>100%</w:t>
      </w:r>
      <w:r>
        <w:rPr/>
        <w:t>赎回，每年</w:t>
      </w:r>
      <w:r>
        <w:rPr>
          <w:spacing w:val="-54"/>
        </w:rPr>
        <w:t> </w:t>
      </w:r>
      <w:r>
        <w:rPr>
          <w:rFonts w:ascii="Arial" w:hAnsi="Arial" w:cs="Arial" w:eastAsia="Arial" w:hint="default"/>
        </w:rPr>
        <w:t>4</w:t>
      </w:r>
      <w:r>
        <w:rPr>
          <w:rFonts w:ascii="Arial" w:hAnsi="Arial" w:cs="Arial" w:eastAsia="Arial" w:hint="default"/>
          <w:spacing w:val="-5"/>
        </w:rPr>
        <w:t> </w:t>
      </w:r>
      <w:r>
        <w:rPr/>
        <w:t>月</w:t>
      </w:r>
      <w:r>
        <w:rPr>
          <w:spacing w:val="-55"/>
        </w:rPr>
        <w:t> </w:t>
      </w:r>
      <w:r>
        <w:rPr>
          <w:rFonts w:ascii="Arial" w:hAnsi="Arial" w:cs="Arial" w:eastAsia="Arial" w:hint="default"/>
        </w:rPr>
        <w:t>18</w:t>
      </w:r>
      <w:r>
        <w:rPr>
          <w:rFonts w:ascii="Arial" w:hAnsi="Arial" w:cs="Arial" w:eastAsia="Arial" w:hint="default"/>
          <w:spacing w:val="-6"/>
        </w:rPr>
        <w:t> </w:t>
      </w:r>
      <w:r>
        <w:rPr/>
        <w:t>日和</w:t>
      </w:r>
      <w:r>
        <w:rPr>
          <w:spacing w:val="-55"/>
        </w:rPr>
        <w:t> </w:t>
      </w:r>
      <w:r>
        <w:rPr>
          <w:rFonts w:ascii="Arial" w:hAnsi="Arial" w:cs="Arial" w:eastAsia="Arial" w:hint="default"/>
        </w:rPr>
        <w:t>10</w:t>
      </w:r>
    </w:p>
    <w:p>
      <w:pPr>
        <w:pStyle w:val="BodyText"/>
        <w:spacing w:line="285" w:lineRule="exact"/>
        <w:ind w:left="554" w:right="0"/>
        <w:jc w:val="both"/>
      </w:pPr>
      <w:r>
        <w:rPr/>
        <w:t>月 </w:t>
      </w:r>
      <w:r>
        <w:rPr>
          <w:rFonts w:ascii="Arial" w:hAnsi="Arial" w:cs="Arial" w:eastAsia="Arial" w:hint="default"/>
        </w:rPr>
        <w:t>18</w:t>
      </w:r>
      <w:r>
        <w:rPr>
          <w:rFonts w:ascii="Arial" w:hAnsi="Arial" w:cs="Arial" w:eastAsia="Arial" w:hint="default"/>
          <w:spacing w:val="49"/>
        </w:rPr>
        <w:t> </w:t>
      </w:r>
      <w:r>
        <w:rPr/>
        <w:t>日进行半年派息。本次发行的可转换债券的偿还由联通红筹公司担保，并可以按照每股</w:t>
      </w:r>
    </w:p>
    <w:p>
      <w:pPr>
        <w:pStyle w:val="BodyText"/>
        <w:spacing w:line="286" w:lineRule="exact"/>
        <w:ind w:left="554" w:right="0"/>
        <w:jc w:val="both"/>
        <w:rPr>
          <w:rFonts w:ascii="Arial" w:hAnsi="Arial" w:cs="Arial" w:eastAsia="Arial" w:hint="default"/>
        </w:rPr>
      </w:pPr>
      <w:r>
        <w:rPr>
          <w:rFonts w:ascii="Arial" w:hAnsi="Arial" w:cs="Arial" w:eastAsia="Arial" w:hint="default"/>
        </w:rPr>
        <w:t>15.85 </w:t>
      </w:r>
      <w:r>
        <w:rPr/>
        <w:t>港元的初步转股价格相应转换为联通红筹公司的普通股股票。转股价可根据 </w:t>
      </w:r>
      <w:r>
        <w:rPr>
          <w:rFonts w:ascii="Arial" w:hAnsi="Arial" w:cs="Arial" w:eastAsia="Arial" w:hint="default"/>
        </w:rPr>
        <w:t>2010 </w:t>
      </w:r>
      <w:r>
        <w:rPr/>
        <w:t>年</w:t>
      </w:r>
      <w:r>
        <w:rPr>
          <w:spacing w:val="-36"/>
        </w:rPr>
        <w:t> </w:t>
      </w:r>
      <w:r>
        <w:rPr>
          <w:rFonts w:ascii="Arial" w:hAnsi="Arial" w:cs="Arial" w:eastAsia="Arial" w:hint="default"/>
        </w:rPr>
        <w:t>10</w:t>
      </w:r>
    </w:p>
    <w:p>
      <w:pPr>
        <w:pStyle w:val="BodyText"/>
        <w:spacing w:line="286" w:lineRule="exact"/>
        <w:ind w:left="554" w:right="0"/>
        <w:jc w:val="both"/>
      </w:pPr>
      <w:r>
        <w:rPr>
          <w:w w:val="95"/>
        </w:rPr>
        <w:t>月  </w:t>
      </w:r>
      <w:r>
        <w:rPr>
          <w:rFonts w:ascii="Arial" w:hAnsi="Arial" w:cs="Arial" w:eastAsia="Arial" w:hint="default"/>
          <w:w w:val="95"/>
        </w:rPr>
        <w:t>18   </w:t>
      </w:r>
      <w:r>
        <w:rPr>
          <w:rFonts w:ascii="Arial" w:hAnsi="Arial" w:cs="Arial" w:eastAsia="Arial" w:hint="default"/>
          <w:spacing w:val="38"/>
          <w:w w:val="95"/>
        </w:rPr>
        <w:t> </w:t>
      </w:r>
      <w:r>
        <w:rPr>
          <w:w w:val="95"/>
        </w:rPr>
        <w:t>日订立的发行协议中规定的若干反摊薄及控制权变化的情况予以调整。由于本公司自可转</w:t>
      </w:r>
      <w:r>
        <w:rPr/>
      </w:r>
    </w:p>
    <w:p>
      <w:pPr>
        <w:pStyle w:val="BodyText"/>
        <w:spacing w:line="285" w:lineRule="exact"/>
        <w:ind w:left="554" w:right="0"/>
        <w:jc w:val="both"/>
        <w:rPr>
          <w:rFonts w:ascii="Arial" w:hAnsi="Arial" w:cs="Arial" w:eastAsia="Arial" w:hint="default"/>
        </w:rPr>
      </w:pPr>
      <w:r>
        <w:rPr/>
        <w:t>换债券发行以后派发股息，转股价由港币</w:t>
      </w:r>
      <w:r>
        <w:rPr>
          <w:spacing w:val="-59"/>
        </w:rPr>
        <w:t> </w:t>
      </w:r>
      <w:r>
        <w:rPr>
          <w:rFonts w:ascii="Arial" w:hAnsi="Arial" w:cs="Arial" w:eastAsia="Arial" w:hint="default"/>
        </w:rPr>
        <w:t>15.85</w:t>
      </w:r>
      <w:r>
        <w:rPr>
          <w:rFonts w:ascii="Arial" w:hAnsi="Arial" w:cs="Arial" w:eastAsia="Arial" w:hint="default"/>
          <w:spacing w:val="-12"/>
        </w:rPr>
        <w:t> </w:t>
      </w:r>
      <w:r>
        <w:rPr/>
        <w:t>元调整至港币</w:t>
      </w:r>
      <w:r>
        <w:rPr>
          <w:spacing w:val="-61"/>
        </w:rPr>
        <w:t> </w:t>
      </w:r>
      <w:r>
        <w:rPr>
          <w:rFonts w:ascii="Arial" w:hAnsi="Arial" w:cs="Arial" w:eastAsia="Arial" w:hint="default"/>
        </w:rPr>
        <w:t>15.58</w:t>
      </w:r>
      <w:r>
        <w:rPr>
          <w:rFonts w:ascii="Arial" w:hAnsi="Arial" w:cs="Arial" w:eastAsia="Arial" w:hint="default"/>
          <w:spacing w:val="-12"/>
        </w:rPr>
        <w:t> </w:t>
      </w:r>
      <w:r>
        <w:rPr>
          <w:spacing w:val="-3"/>
        </w:rPr>
        <w:t>元。债券持有人可于</w:t>
      </w:r>
      <w:r>
        <w:rPr>
          <w:spacing w:val="-61"/>
        </w:rPr>
        <w:t> </w:t>
      </w:r>
      <w:r>
        <w:rPr>
          <w:rFonts w:ascii="Arial" w:hAnsi="Arial" w:cs="Arial" w:eastAsia="Arial" w:hint="default"/>
        </w:rPr>
        <w:t>2010</w:t>
      </w:r>
    </w:p>
    <w:p>
      <w:pPr>
        <w:pStyle w:val="BodyText"/>
        <w:spacing w:line="285" w:lineRule="exact"/>
        <w:ind w:left="554" w:right="0"/>
        <w:jc w:val="both"/>
      </w:pPr>
      <w:r>
        <w:rPr/>
        <w:t>年</w:t>
      </w:r>
      <w:r>
        <w:rPr>
          <w:spacing w:val="-56"/>
        </w:rPr>
        <w:t> </w:t>
      </w:r>
      <w:r>
        <w:rPr>
          <w:rFonts w:ascii="Arial" w:hAnsi="Arial" w:cs="Arial" w:eastAsia="Arial" w:hint="default"/>
        </w:rPr>
        <w:t>11</w:t>
      </w:r>
      <w:r>
        <w:rPr>
          <w:rFonts w:ascii="Arial" w:hAnsi="Arial" w:cs="Arial" w:eastAsia="Arial" w:hint="default"/>
          <w:spacing w:val="-7"/>
        </w:rPr>
        <w:t> </w:t>
      </w:r>
      <w:r>
        <w:rPr/>
        <w:t>月</w:t>
      </w:r>
      <w:r>
        <w:rPr>
          <w:spacing w:val="-56"/>
        </w:rPr>
        <w:t> </w:t>
      </w:r>
      <w:r>
        <w:rPr>
          <w:rFonts w:ascii="Arial" w:hAnsi="Arial" w:cs="Arial" w:eastAsia="Arial" w:hint="default"/>
        </w:rPr>
        <w:t>28</w:t>
      </w:r>
      <w:r>
        <w:rPr>
          <w:rFonts w:ascii="Arial" w:hAnsi="Arial" w:cs="Arial" w:eastAsia="Arial" w:hint="default"/>
          <w:spacing w:val="-7"/>
        </w:rPr>
        <w:t> </w:t>
      </w:r>
      <w:r>
        <w:rPr/>
        <w:t>日或之后任何时候直至</w:t>
      </w:r>
      <w:r>
        <w:rPr>
          <w:spacing w:val="-54"/>
        </w:rPr>
        <w:t> </w:t>
      </w:r>
      <w:r>
        <w:rPr>
          <w:rFonts w:ascii="Arial" w:hAnsi="Arial" w:cs="Arial" w:eastAsia="Arial" w:hint="default"/>
        </w:rPr>
        <w:t>2015</w:t>
      </w:r>
      <w:r>
        <w:rPr>
          <w:rFonts w:ascii="Arial" w:hAnsi="Arial" w:cs="Arial" w:eastAsia="Arial" w:hint="default"/>
          <w:spacing w:val="-7"/>
        </w:rPr>
        <w:t> </w:t>
      </w:r>
      <w:r>
        <w:rPr/>
        <w:t>年</w:t>
      </w:r>
      <w:r>
        <w:rPr>
          <w:spacing w:val="-56"/>
        </w:rPr>
        <w:t> </w:t>
      </w:r>
      <w:r>
        <w:rPr>
          <w:rFonts w:ascii="Arial" w:hAnsi="Arial" w:cs="Arial" w:eastAsia="Arial" w:hint="default"/>
        </w:rPr>
        <w:t>10</w:t>
      </w:r>
      <w:r>
        <w:rPr>
          <w:rFonts w:ascii="Arial" w:hAnsi="Arial" w:cs="Arial" w:eastAsia="Arial" w:hint="default"/>
          <w:spacing w:val="-7"/>
        </w:rPr>
        <w:t> </w:t>
      </w:r>
      <w:r>
        <w:rPr/>
        <w:t>月</w:t>
      </w:r>
      <w:r>
        <w:rPr>
          <w:spacing w:val="-56"/>
        </w:rPr>
        <w:t> </w:t>
      </w:r>
      <w:r>
        <w:rPr>
          <w:rFonts w:ascii="Arial" w:hAnsi="Arial" w:cs="Arial" w:eastAsia="Arial" w:hint="default"/>
        </w:rPr>
        <w:t>8</w:t>
      </w:r>
      <w:r>
        <w:rPr>
          <w:rFonts w:ascii="Arial" w:hAnsi="Arial" w:cs="Arial" w:eastAsia="Arial" w:hint="default"/>
          <w:spacing w:val="-7"/>
        </w:rPr>
        <w:t> </w:t>
      </w:r>
      <w:r>
        <w:rPr>
          <w:spacing w:val="-4"/>
        </w:rPr>
        <w:t>日营业时间结束时（或若该等可转换债券已</w:t>
      </w:r>
    </w:p>
    <w:p>
      <w:pPr>
        <w:pStyle w:val="BodyText"/>
        <w:spacing w:line="286" w:lineRule="exact"/>
        <w:ind w:left="554" w:right="0"/>
        <w:jc w:val="both"/>
      </w:pPr>
      <w:r>
        <w:rPr/>
        <w:t>于</w:t>
      </w:r>
      <w:r>
        <w:rPr>
          <w:spacing w:val="-49"/>
        </w:rPr>
        <w:t> </w:t>
      </w:r>
      <w:r>
        <w:rPr>
          <w:rFonts w:ascii="Arial" w:hAnsi="Arial" w:cs="Arial" w:eastAsia="Arial" w:hint="default"/>
        </w:rPr>
        <w:t>2015 </w:t>
      </w:r>
      <w:r>
        <w:rPr/>
        <w:t>年</w:t>
      </w:r>
      <w:r>
        <w:rPr>
          <w:spacing w:val="-49"/>
        </w:rPr>
        <w:t> </w:t>
      </w:r>
      <w:r>
        <w:rPr>
          <w:rFonts w:ascii="Arial" w:hAnsi="Arial" w:cs="Arial" w:eastAsia="Arial" w:hint="default"/>
        </w:rPr>
        <w:t>10 </w:t>
      </w:r>
      <w:r>
        <w:rPr/>
        <w:t>月</w:t>
      </w:r>
      <w:r>
        <w:rPr>
          <w:spacing w:val="-49"/>
        </w:rPr>
        <w:t> </w:t>
      </w:r>
      <w:r>
        <w:rPr>
          <w:rFonts w:ascii="Arial" w:hAnsi="Arial" w:cs="Arial" w:eastAsia="Arial" w:hint="default"/>
        </w:rPr>
        <w:t>18 </w:t>
      </w:r>
      <w:r>
        <w:rPr/>
        <w:t>日前被联通红筹公司要求赎回，则直至不迟于指定赎回日期</w:t>
      </w:r>
      <w:r>
        <w:rPr>
          <w:spacing w:val="-46"/>
        </w:rPr>
        <w:t> </w:t>
      </w:r>
      <w:r>
        <w:rPr>
          <w:rFonts w:ascii="Arial" w:hAnsi="Arial" w:cs="Arial" w:eastAsia="Arial" w:hint="default"/>
        </w:rPr>
        <w:t>7 </w:t>
      </w:r>
      <w:r>
        <w:rPr/>
        <w:t>日前的营业</w:t>
      </w:r>
    </w:p>
    <w:p>
      <w:pPr>
        <w:pStyle w:val="BodyText"/>
        <w:spacing w:line="232" w:lineRule="auto"/>
        <w:ind w:left="554" w:right="104"/>
        <w:jc w:val="both"/>
      </w:pPr>
      <w:r>
        <w:rPr/>
        <w:t>时间结束时），随时行使转换权。亿迅公司将依据债券持有人的选择，于</w:t>
      </w:r>
      <w:r>
        <w:rPr>
          <w:spacing w:val="-43"/>
        </w:rPr>
        <w:t> </w:t>
      </w:r>
      <w:r>
        <w:rPr>
          <w:rFonts w:ascii="Arial" w:hAnsi="Arial" w:cs="Arial" w:eastAsia="Arial" w:hint="default"/>
        </w:rPr>
        <w:t>2013</w:t>
      </w:r>
      <w:r>
        <w:rPr>
          <w:rFonts w:ascii="Arial" w:hAnsi="Arial" w:cs="Arial" w:eastAsia="Arial" w:hint="default"/>
          <w:spacing w:val="4"/>
        </w:rPr>
        <w:t> </w:t>
      </w:r>
      <w:r>
        <w:rPr/>
        <w:t>年</w:t>
      </w:r>
      <w:r>
        <w:rPr>
          <w:spacing w:val="-45"/>
        </w:rPr>
        <w:t> </w:t>
      </w:r>
      <w:r>
        <w:rPr>
          <w:rFonts w:ascii="Arial" w:hAnsi="Arial" w:cs="Arial" w:eastAsia="Arial" w:hint="default"/>
        </w:rPr>
        <w:t>10</w:t>
      </w:r>
      <w:r>
        <w:rPr>
          <w:rFonts w:ascii="Arial" w:hAnsi="Arial" w:cs="Arial" w:eastAsia="Arial" w:hint="default"/>
          <w:spacing w:val="4"/>
        </w:rPr>
        <w:t> </w:t>
      </w:r>
      <w:r>
        <w:rPr/>
        <w:t>月</w:t>
      </w:r>
      <w:r>
        <w:rPr>
          <w:spacing w:val="-45"/>
        </w:rPr>
        <w:t> </w:t>
      </w:r>
      <w:r>
        <w:rPr>
          <w:rFonts w:ascii="Arial" w:hAnsi="Arial" w:cs="Arial" w:eastAsia="Arial" w:hint="default"/>
        </w:rPr>
        <w:t>18</w:t>
      </w:r>
      <w:r>
        <w:rPr>
          <w:rFonts w:ascii="Arial" w:hAnsi="Arial" w:cs="Arial" w:eastAsia="Arial" w:hint="default"/>
          <w:spacing w:val="3"/>
        </w:rPr>
        <w:t> </w:t>
      </w:r>
      <w:r>
        <w:rPr/>
        <w:t>日</w:t>
      </w:r>
      <w:r>
        <w:rPr>
          <w:w w:val="99"/>
        </w:rPr>
        <w:t> </w:t>
      </w:r>
      <w:r>
        <w:rPr/>
        <w:t>按本金额连同截至指定赎回日期应计而未支付的利息，赎回债券持有人的全部（而非部分）可</w:t>
      </w:r>
      <w:r>
        <w:rPr>
          <w:spacing w:val="-67"/>
        </w:rPr>
        <w:t> </w:t>
      </w:r>
      <w:r>
        <w:rPr>
          <w:spacing w:val="-67"/>
        </w:rPr>
      </w:r>
      <w:r>
        <w:rPr/>
        <w:t>转换债券。另外，于</w:t>
      </w:r>
      <w:r>
        <w:rPr>
          <w:spacing w:val="-49"/>
        </w:rPr>
        <w:t> </w:t>
      </w:r>
      <w:r>
        <w:rPr>
          <w:rFonts w:ascii="Arial" w:hAnsi="Arial" w:cs="Arial" w:eastAsia="Arial" w:hint="default"/>
        </w:rPr>
        <w:t>2013 </w:t>
      </w:r>
      <w:r>
        <w:rPr/>
        <w:t>年</w:t>
      </w:r>
      <w:r>
        <w:rPr>
          <w:spacing w:val="-50"/>
        </w:rPr>
        <w:t> </w:t>
      </w:r>
      <w:r>
        <w:rPr>
          <w:rFonts w:ascii="Arial" w:hAnsi="Arial" w:cs="Arial" w:eastAsia="Arial" w:hint="default"/>
        </w:rPr>
        <w:t>10</w:t>
      </w:r>
      <w:r>
        <w:rPr>
          <w:rFonts w:ascii="Arial" w:hAnsi="Arial" w:cs="Arial" w:eastAsia="Arial" w:hint="default"/>
          <w:spacing w:val="-1"/>
        </w:rPr>
        <w:t> </w:t>
      </w:r>
      <w:r>
        <w:rPr/>
        <w:t>月</w:t>
      </w:r>
      <w:r>
        <w:rPr>
          <w:spacing w:val="-49"/>
        </w:rPr>
        <w:t> </w:t>
      </w:r>
      <w:r>
        <w:rPr>
          <w:rFonts w:ascii="Arial" w:hAnsi="Arial" w:cs="Arial" w:eastAsia="Arial" w:hint="default"/>
        </w:rPr>
        <w:t>18</w:t>
      </w:r>
      <w:r>
        <w:rPr>
          <w:rFonts w:ascii="Arial" w:hAnsi="Arial" w:cs="Arial" w:eastAsia="Arial" w:hint="default"/>
          <w:spacing w:val="-1"/>
        </w:rPr>
        <w:t> </w:t>
      </w:r>
      <w:r>
        <w:rPr/>
        <w:t>日或该日之后任何时候至</w:t>
      </w:r>
      <w:r>
        <w:rPr>
          <w:spacing w:val="-49"/>
        </w:rPr>
        <w:t> </w:t>
      </w:r>
      <w:r>
        <w:rPr>
          <w:rFonts w:ascii="Arial" w:hAnsi="Arial" w:cs="Arial" w:eastAsia="Arial" w:hint="default"/>
        </w:rPr>
        <w:t>2015 </w:t>
      </w:r>
      <w:r>
        <w:rPr/>
        <w:t>年</w:t>
      </w:r>
      <w:r>
        <w:rPr>
          <w:spacing w:val="-50"/>
        </w:rPr>
        <w:t> </w:t>
      </w:r>
      <w:r>
        <w:rPr>
          <w:rFonts w:ascii="Arial" w:hAnsi="Arial" w:cs="Arial" w:eastAsia="Arial" w:hint="default"/>
        </w:rPr>
        <w:t>10</w:t>
      </w:r>
      <w:r>
        <w:rPr>
          <w:rFonts w:ascii="Arial" w:hAnsi="Arial" w:cs="Arial" w:eastAsia="Arial" w:hint="default"/>
          <w:spacing w:val="-1"/>
        </w:rPr>
        <w:t> </w:t>
      </w:r>
      <w:r>
        <w:rPr/>
        <w:t>月</w:t>
      </w:r>
      <w:r>
        <w:rPr>
          <w:spacing w:val="-50"/>
        </w:rPr>
        <w:t> </w:t>
      </w:r>
      <w:r>
        <w:rPr>
          <w:rFonts w:ascii="Arial" w:hAnsi="Arial" w:cs="Arial" w:eastAsia="Arial" w:hint="default"/>
        </w:rPr>
        <w:t>18 </w:t>
      </w:r>
      <w:r>
        <w:rPr/>
        <w:t>日前，亿迅</w:t>
      </w:r>
      <w:r>
        <w:rPr>
          <w:w w:val="99"/>
        </w:rPr>
        <w:t> </w:t>
      </w:r>
      <w:r>
        <w:rPr/>
        <w:t>公司可按本金额连同截至指定赎回日期应计而未支付的利息，赎回当时发行在外的全部（而非</w:t>
      </w:r>
      <w:r>
        <w:rPr>
          <w:spacing w:val="-66"/>
        </w:rPr>
        <w:t> </w:t>
      </w:r>
      <w:r>
        <w:rPr>
          <w:spacing w:val="-66"/>
        </w:rPr>
      </w:r>
      <w:r>
        <w:rPr/>
        <w:t>部分）可转换债券。</w:t>
      </w:r>
    </w:p>
    <w:p>
      <w:pPr>
        <w:spacing w:line="240" w:lineRule="auto" w:before="4"/>
        <w:rPr>
          <w:rFonts w:ascii="宋体" w:hAnsi="宋体" w:cs="宋体" w:eastAsia="宋体" w:hint="default"/>
          <w:sz w:val="21"/>
          <w:szCs w:val="21"/>
        </w:rPr>
      </w:pPr>
    </w:p>
    <w:p>
      <w:pPr>
        <w:pStyle w:val="BodyText"/>
        <w:spacing w:line="286" w:lineRule="exact"/>
        <w:ind w:left="554" w:right="107"/>
        <w:jc w:val="both"/>
      </w:pPr>
      <w:r>
        <w:rPr/>
        <w:t>于</w:t>
      </w:r>
      <w:r>
        <w:rPr>
          <w:spacing w:val="-67"/>
        </w:rPr>
        <w:t> </w:t>
      </w:r>
      <w:r>
        <w:rPr>
          <w:rFonts w:ascii="Arial" w:hAnsi="Arial" w:cs="Arial" w:eastAsia="Arial" w:hint="default"/>
        </w:rPr>
        <w:t>2012</w:t>
      </w:r>
      <w:r>
        <w:rPr>
          <w:rFonts w:ascii="Arial" w:hAnsi="Arial" w:cs="Arial" w:eastAsia="Arial" w:hint="default"/>
          <w:spacing w:val="-18"/>
        </w:rPr>
        <w:t> </w:t>
      </w:r>
      <w:r>
        <w:rPr/>
        <w:t>年度及</w:t>
      </w:r>
      <w:r>
        <w:rPr>
          <w:spacing w:val="-67"/>
        </w:rPr>
        <w:t> </w:t>
      </w:r>
      <w:r>
        <w:rPr>
          <w:rFonts w:ascii="Arial" w:hAnsi="Arial" w:cs="Arial" w:eastAsia="Arial" w:hint="default"/>
        </w:rPr>
        <w:t>2011</w:t>
      </w:r>
      <w:r>
        <w:rPr>
          <w:rFonts w:ascii="Arial" w:hAnsi="Arial" w:cs="Arial" w:eastAsia="Arial" w:hint="default"/>
          <w:spacing w:val="-18"/>
        </w:rPr>
        <w:t> </w:t>
      </w:r>
      <w:r>
        <w:rPr/>
        <w:t>年度，可转换债券持有人并未将可转换债券转换为联通红筹公司股份，而</w:t>
      </w:r>
      <w:r>
        <w:rPr>
          <w:w w:val="99"/>
        </w:rPr>
        <w:t> </w:t>
      </w:r>
      <w:r>
        <w:rPr/>
        <w:t>亿迅公司也未将可转换债券赎回。</w:t>
      </w:r>
    </w:p>
    <w:p>
      <w:pPr>
        <w:spacing w:after="0" w:line="286" w:lineRule="exact"/>
        <w:jc w:val="both"/>
        <w:sectPr>
          <w:headerReference w:type="default" r:id="rId109"/>
          <w:pgSz w:w="11910" w:h="16840"/>
          <w:pgMar w:header="1184" w:footer="457" w:top="3560" w:bottom="640" w:left="1260" w:right="900"/>
        </w:sectPr>
      </w:pPr>
    </w:p>
    <w:p>
      <w:pPr>
        <w:spacing w:line="240" w:lineRule="auto" w:before="13"/>
        <w:rPr>
          <w:rFonts w:ascii="宋体" w:hAnsi="宋体" w:cs="宋体" w:eastAsia="宋体" w:hint="default"/>
          <w:sz w:val="15"/>
          <w:szCs w:val="15"/>
        </w:rPr>
      </w:pPr>
    </w:p>
    <w:p>
      <w:pPr>
        <w:pStyle w:val="BodyText"/>
        <w:spacing w:line="240" w:lineRule="auto" w:before="31"/>
        <w:ind w:left="108" w:right="122"/>
        <w:jc w:val="left"/>
      </w:pPr>
      <w:r>
        <w:rPr>
          <w:rFonts w:ascii="Arial" w:hAnsi="Arial" w:cs="Arial" w:eastAsia="Arial" w:hint="default"/>
        </w:rPr>
        <w:t>(a)  </w:t>
      </w:r>
      <w:r>
        <w:rPr>
          <w:rFonts w:ascii="Arial" w:hAnsi="Arial" w:cs="Arial" w:eastAsia="Arial" w:hint="default"/>
          <w:spacing w:val="5"/>
        </w:rPr>
        <w:t> </w:t>
      </w:r>
      <w:r>
        <w:rPr/>
        <w:t>债券有关信息如下（续）：</w:t>
      </w:r>
    </w:p>
    <w:p>
      <w:pPr>
        <w:spacing w:line="240" w:lineRule="auto" w:before="12"/>
        <w:rPr>
          <w:rFonts w:ascii="宋体" w:hAnsi="宋体" w:cs="宋体" w:eastAsia="宋体" w:hint="default"/>
          <w:sz w:val="17"/>
          <w:szCs w:val="17"/>
        </w:rPr>
      </w:pPr>
    </w:p>
    <w:p>
      <w:pPr>
        <w:pStyle w:val="BodyText"/>
        <w:spacing w:line="240" w:lineRule="auto"/>
        <w:ind w:left="122" w:right="122"/>
        <w:jc w:val="left"/>
      </w:pPr>
      <w:r>
        <w:rPr>
          <w:rFonts w:ascii="Arial" w:hAnsi="Arial" w:cs="Arial" w:eastAsia="Arial" w:hint="default"/>
        </w:rPr>
        <w:t>(ii) </w:t>
      </w:r>
      <w:r>
        <w:rPr>
          <w:rFonts w:ascii="Arial" w:hAnsi="Arial" w:cs="Arial" w:eastAsia="Arial" w:hint="default"/>
          <w:spacing w:val="44"/>
        </w:rPr>
        <w:t> </w:t>
      </w:r>
      <w:r>
        <w:rPr/>
        <w:t>可转换债券相关信息（续）</w:t>
      </w:r>
    </w:p>
    <w:p>
      <w:pPr>
        <w:spacing w:line="240" w:lineRule="auto" w:before="2"/>
        <w:rPr>
          <w:rFonts w:ascii="宋体" w:hAnsi="宋体" w:cs="宋体" w:eastAsia="宋体" w:hint="default"/>
          <w:sz w:val="18"/>
          <w:szCs w:val="18"/>
        </w:rPr>
      </w:pPr>
    </w:p>
    <w:p>
      <w:pPr>
        <w:pStyle w:val="BodyText"/>
        <w:spacing w:line="237" w:lineRule="auto"/>
        <w:ind w:left="570" w:right="109"/>
        <w:jc w:val="both"/>
      </w:pPr>
      <w:r>
        <w:rPr/>
        <w:t>可转换债券负债部分的公允价值已于发行可转换债券时确定，以相同期限但没有转换权债券的</w:t>
      </w:r>
      <w:r>
        <w:rPr>
          <w:spacing w:val="-95"/>
        </w:rPr>
        <w:t> </w:t>
      </w:r>
      <w:r>
        <w:rPr>
          <w:spacing w:val="-95"/>
        </w:rPr>
      </w:r>
      <w:r>
        <w:rPr/>
        <w:t>市场利率计算。剩余数额，即面值（扣除发行费用）与负债部分公允价值的差异，计入股东权</w:t>
      </w:r>
      <w:r>
        <w:rPr>
          <w:spacing w:val="-88"/>
        </w:rPr>
        <w:t> </w:t>
      </w:r>
      <w:r>
        <w:rPr>
          <w:spacing w:val="-88"/>
        </w:rPr>
      </w:r>
      <w:r>
        <w:rPr/>
        <w:t>益的资本公积项下。</w:t>
      </w:r>
    </w:p>
    <w:p>
      <w:pPr>
        <w:spacing w:line="240" w:lineRule="auto" w:before="5"/>
        <w:rPr>
          <w:rFonts w:ascii="宋体" w:hAnsi="宋体" w:cs="宋体" w:eastAsia="宋体" w:hint="default"/>
          <w:sz w:val="21"/>
          <w:szCs w:val="21"/>
        </w:rPr>
      </w:pPr>
    </w:p>
    <w:p>
      <w:pPr>
        <w:pStyle w:val="BodyText"/>
        <w:spacing w:line="286" w:lineRule="exact"/>
        <w:ind w:left="570" w:right="134"/>
        <w:jc w:val="both"/>
      </w:pPr>
      <w:r>
        <w:rPr/>
        <w:t>于</w:t>
      </w:r>
      <w:r>
        <w:rPr>
          <w:spacing w:val="-54"/>
        </w:rPr>
        <w:t> </w:t>
      </w:r>
      <w:r>
        <w:rPr>
          <w:rFonts w:ascii="Arial" w:hAnsi="Arial" w:cs="Arial" w:eastAsia="Arial" w:hint="default"/>
        </w:rPr>
        <w:t>2010</w:t>
      </w:r>
      <w:r>
        <w:rPr>
          <w:rFonts w:ascii="Arial" w:hAnsi="Arial" w:cs="Arial" w:eastAsia="Arial" w:hint="default"/>
          <w:spacing w:val="-5"/>
        </w:rPr>
        <w:t> </w:t>
      </w:r>
      <w:r>
        <w:rPr/>
        <w:t>年</w:t>
      </w:r>
      <w:r>
        <w:rPr>
          <w:spacing w:val="-54"/>
        </w:rPr>
        <w:t> </w:t>
      </w:r>
      <w:r>
        <w:rPr>
          <w:rFonts w:ascii="Arial" w:hAnsi="Arial" w:cs="Arial" w:eastAsia="Arial" w:hint="default"/>
        </w:rPr>
        <w:t>10</w:t>
      </w:r>
      <w:r>
        <w:rPr>
          <w:rFonts w:ascii="Arial" w:hAnsi="Arial" w:cs="Arial" w:eastAsia="Arial" w:hint="default"/>
          <w:spacing w:val="-5"/>
        </w:rPr>
        <w:t> </w:t>
      </w:r>
      <w:r>
        <w:rPr/>
        <w:t>月</w:t>
      </w:r>
      <w:r>
        <w:rPr>
          <w:spacing w:val="-54"/>
        </w:rPr>
        <w:t> </w:t>
      </w:r>
      <w:r>
        <w:rPr>
          <w:rFonts w:ascii="Arial" w:hAnsi="Arial" w:cs="Arial" w:eastAsia="Arial" w:hint="default"/>
        </w:rPr>
        <w:t>18</w:t>
      </w:r>
      <w:r>
        <w:rPr>
          <w:rFonts w:ascii="Arial" w:hAnsi="Arial" w:cs="Arial" w:eastAsia="Arial" w:hint="default"/>
          <w:spacing w:val="-5"/>
        </w:rPr>
        <w:t> </w:t>
      </w:r>
      <w:r>
        <w:rPr>
          <w:spacing w:val="-3"/>
        </w:rPr>
        <w:t>日，可转换债券负债部分的入账价值折合人民币约</w:t>
      </w:r>
      <w:r>
        <w:rPr>
          <w:spacing w:val="-51"/>
        </w:rPr>
        <w:t> </w:t>
      </w:r>
      <w:r>
        <w:rPr>
          <w:rFonts w:ascii="Arial" w:hAnsi="Arial" w:cs="Arial" w:eastAsia="Arial" w:hint="default"/>
        </w:rPr>
        <w:t>115.68</w:t>
      </w:r>
      <w:r>
        <w:rPr>
          <w:rFonts w:ascii="Arial" w:hAnsi="Arial" w:cs="Arial" w:eastAsia="Arial" w:hint="default"/>
          <w:spacing w:val="-5"/>
        </w:rPr>
        <w:t> </w:t>
      </w:r>
      <w:r>
        <w:rPr>
          <w:spacing w:val="-7"/>
        </w:rPr>
        <w:t>亿元，其金额以</w:t>
      </w:r>
      <w:r>
        <w:rPr>
          <w:w w:val="99"/>
        </w:rPr>
        <w:t> </w:t>
      </w:r>
      <w:r>
        <w:rPr/>
        <w:t>现金流量并考虑发行费用的影响后按实际年利率</w:t>
      </w:r>
      <w:r>
        <w:rPr>
          <w:spacing w:val="-65"/>
        </w:rPr>
        <w:t> </w:t>
      </w:r>
      <w:r>
        <w:rPr>
          <w:rFonts w:ascii="Arial" w:hAnsi="Arial" w:cs="Arial" w:eastAsia="Arial" w:hint="default"/>
        </w:rPr>
        <w:t>1.90%</w:t>
      </w:r>
      <w:r>
        <w:rPr/>
        <w:t>来折现估算。</w:t>
      </w:r>
    </w:p>
    <w:p>
      <w:pPr>
        <w:spacing w:line="240" w:lineRule="auto" w:before="1"/>
        <w:rPr>
          <w:rFonts w:ascii="宋体" w:hAnsi="宋体" w:cs="宋体" w:eastAsia="宋体" w:hint="default"/>
          <w:sz w:val="17"/>
          <w:szCs w:val="17"/>
        </w:rPr>
      </w:pPr>
    </w:p>
    <w:p>
      <w:pPr>
        <w:pStyle w:val="BodyText"/>
        <w:spacing w:line="240" w:lineRule="auto"/>
        <w:ind w:left="570" w:right="0"/>
        <w:jc w:val="both"/>
      </w:pPr>
      <w:r>
        <w:rPr/>
        <w:t>于</w:t>
      </w:r>
      <w:r>
        <w:rPr>
          <w:spacing w:val="-58"/>
        </w:rPr>
        <w:t> </w:t>
      </w:r>
      <w:r>
        <w:rPr>
          <w:rFonts w:ascii="Arial" w:hAnsi="Arial" w:cs="Arial" w:eastAsia="Arial" w:hint="default"/>
        </w:rPr>
        <w:t>2012</w:t>
      </w:r>
      <w:r>
        <w:rPr>
          <w:rFonts w:ascii="Arial" w:hAnsi="Arial" w:cs="Arial" w:eastAsia="Arial" w:hint="default"/>
          <w:spacing w:val="-9"/>
        </w:rPr>
        <w:t> </w:t>
      </w:r>
      <w:r>
        <w:rPr/>
        <w:t>年度及</w:t>
      </w:r>
      <w:r>
        <w:rPr>
          <w:spacing w:val="-58"/>
        </w:rPr>
        <w:t> </w:t>
      </w:r>
      <w:r>
        <w:rPr>
          <w:rFonts w:ascii="Arial" w:hAnsi="Arial" w:cs="Arial" w:eastAsia="Arial" w:hint="default"/>
        </w:rPr>
        <w:t>2011</w:t>
      </w:r>
      <w:r>
        <w:rPr>
          <w:rFonts w:ascii="Arial" w:hAnsi="Arial" w:cs="Arial" w:eastAsia="Arial" w:hint="default"/>
          <w:spacing w:val="-9"/>
        </w:rPr>
        <w:t> </w:t>
      </w:r>
      <w:r>
        <w:rPr/>
        <w:t>年度，可转换债券负债部分的变动列示如下：</w:t>
      </w:r>
    </w:p>
    <w:p>
      <w:pPr>
        <w:spacing w:line="240" w:lineRule="auto" w:before="2"/>
        <w:rPr>
          <w:rFonts w:ascii="宋体" w:hAnsi="宋体" w:cs="宋体" w:eastAsia="宋体" w:hint="default"/>
          <w:sz w:val="23"/>
          <w:szCs w:val="23"/>
        </w:rPr>
      </w:pPr>
    </w:p>
    <w:tbl>
      <w:tblPr>
        <w:tblW w:w="0" w:type="auto"/>
        <w:jc w:val="left"/>
        <w:tblInd w:w="390" w:type="dxa"/>
        <w:tblLayout w:type="fixed"/>
        <w:tblCellMar>
          <w:top w:w="0" w:type="dxa"/>
          <w:left w:w="0" w:type="dxa"/>
          <w:bottom w:w="0" w:type="dxa"/>
          <w:right w:w="0" w:type="dxa"/>
        </w:tblCellMar>
        <w:tblLook w:val="01E0"/>
      </w:tblPr>
      <w:tblGrid>
        <w:gridCol w:w="4232"/>
        <w:gridCol w:w="2628"/>
        <w:gridCol w:w="144"/>
        <w:gridCol w:w="2242"/>
      </w:tblGrid>
      <w:tr>
        <w:trPr>
          <w:trHeight w:val="261" w:hRule="exact"/>
        </w:trPr>
        <w:tc>
          <w:tcPr>
            <w:tcW w:w="4232" w:type="dxa"/>
            <w:tcBorders>
              <w:top w:val="nil" w:sz="6" w:space="0" w:color="auto"/>
              <w:left w:val="nil" w:sz="6" w:space="0" w:color="auto"/>
              <w:bottom w:val="nil" w:sz="6" w:space="0" w:color="auto"/>
              <w:right w:val="nil" w:sz="6" w:space="0" w:color="auto"/>
            </w:tcBorders>
          </w:tcPr>
          <w:p>
            <w:pPr>
              <w:pStyle w:val="TableParagraph"/>
              <w:spacing w:line="220" w:lineRule="exact"/>
              <w:ind w:left="200" w:right="0"/>
              <w:jc w:val="left"/>
              <w:rPr>
                <w:rFonts w:ascii="宋体" w:hAnsi="宋体" w:cs="宋体" w:eastAsia="宋体" w:hint="default"/>
                <w:sz w:val="22"/>
                <w:szCs w:val="22"/>
              </w:rPr>
            </w:pPr>
            <w:r>
              <w:rPr>
                <w:rFonts w:ascii="宋体" w:hAnsi="宋体" w:cs="宋体" w:eastAsia="宋体" w:hint="default"/>
                <w:sz w:val="22"/>
                <w:szCs w:val="22"/>
              </w:rPr>
              <w:t>（单位：人民币百万元）</w:t>
            </w:r>
          </w:p>
        </w:tc>
        <w:tc>
          <w:tcPr>
            <w:tcW w:w="2628" w:type="dxa"/>
            <w:tcBorders>
              <w:top w:val="nil" w:sz="6" w:space="0" w:color="auto"/>
              <w:left w:val="nil" w:sz="6" w:space="0" w:color="auto"/>
              <w:bottom w:val="single" w:sz="6" w:space="0" w:color="000000"/>
              <w:right w:val="nil" w:sz="6" w:space="0" w:color="auto"/>
            </w:tcBorders>
          </w:tcPr>
          <w:p>
            <w:pPr>
              <w:pStyle w:val="TableParagraph"/>
              <w:spacing w:line="235" w:lineRule="exact"/>
              <w:ind w:right="114"/>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44"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single" w:sz="6" w:space="0" w:color="000000"/>
              <w:right w:val="nil" w:sz="6" w:space="0" w:color="auto"/>
            </w:tcBorders>
          </w:tcPr>
          <w:p>
            <w:pPr>
              <w:pStyle w:val="TableParagraph"/>
              <w:spacing w:line="235" w:lineRule="exact"/>
              <w:ind w:right="132"/>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58" w:hRule="exact"/>
        </w:trPr>
        <w:tc>
          <w:tcPr>
            <w:tcW w:w="423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负债部分的年初余额</w:t>
            </w:r>
          </w:p>
        </w:tc>
        <w:tc>
          <w:tcPr>
            <w:tcW w:w="2628"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33"/>
              <w:jc w:val="right"/>
              <w:rPr>
                <w:rFonts w:ascii="Arial" w:hAnsi="Arial" w:cs="Arial" w:eastAsia="Arial" w:hint="default"/>
                <w:sz w:val="22"/>
                <w:szCs w:val="22"/>
              </w:rPr>
            </w:pPr>
            <w:r>
              <w:rPr>
                <w:rFonts w:ascii="Arial"/>
                <w:w w:val="95"/>
                <w:sz w:val="22"/>
              </w:rPr>
              <w:t>11,118</w:t>
            </w:r>
            <w:r>
              <w:rPr>
                <w:rFonts w:ascii="Arial"/>
                <w:sz w:val="22"/>
              </w:rPr>
            </w:r>
          </w:p>
        </w:tc>
        <w:tc>
          <w:tcPr>
            <w:tcW w:w="144" w:type="dxa"/>
            <w:tcBorders>
              <w:top w:val="nil" w:sz="6" w:space="0" w:color="auto"/>
              <w:left w:val="nil" w:sz="6" w:space="0" w:color="auto"/>
              <w:bottom w:val="nil" w:sz="6" w:space="0" w:color="auto"/>
              <w:right w:val="nil" w:sz="6" w:space="0" w:color="auto"/>
            </w:tcBorders>
          </w:tcPr>
          <w:p>
            <w:pPr/>
          </w:p>
        </w:tc>
        <w:tc>
          <w:tcPr>
            <w:tcW w:w="224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425" w:right="0"/>
              <w:jc w:val="left"/>
              <w:rPr>
                <w:rFonts w:ascii="Arial" w:hAnsi="Arial" w:cs="Arial" w:eastAsia="Arial" w:hint="default"/>
                <w:sz w:val="22"/>
                <w:szCs w:val="22"/>
              </w:rPr>
            </w:pPr>
            <w:r>
              <w:rPr>
                <w:rFonts w:ascii="Arial"/>
                <w:sz w:val="22"/>
              </w:rPr>
              <w:t>11,558</w:t>
            </w:r>
          </w:p>
        </w:tc>
      </w:tr>
      <w:tr>
        <w:trPr>
          <w:trHeight w:val="285" w:hRule="exact"/>
        </w:trPr>
        <w:tc>
          <w:tcPr>
            <w:tcW w:w="4232"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减：本年支付的利息</w:t>
            </w: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0"/>
              <w:jc w:val="right"/>
              <w:rPr>
                <w:rFonts w:ascii="Arial" w:hAnsi="Arial" w:cs="Arial" w:eastAsia="Arial" w:hint="default"/>
                <w:sz w:val="22"/>
                <w:szCs w:val="22"/>
              </w:rPr>
            </w:pPr>
            <w:r>
              <w:rPr>
                <w:rFonts w:ascii="Arial"/>
                <w:w w:val="95"/>
                <w:sz w:val="22"/>
              </w:rPr>
              <w:t>(87)</w:t>
            </w:r>
            <w:r>
              <w:rPr>
                <w:rFonts w:ascii="Arial"/>
                <w:sz w:val="22"/>
              </w:rPr>
            </w:r>
          </w:p>
        </w:tc>
        <w:tc>
          <w:tcPr>
            <w:tcW w:w="144"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7"/>
              <w:jc w:val="right"/>
              <w:rPr>
                <w:rFonts w:ascii="Arial" w:hAnsi="Arial" w:cs="Arial" w:eastAsia="Arial" w:hint="default"/>
                <w:sz w:val="22"/>
                <w:szCs w:val="22"/>
              </w:rPr>
            </w:pPr>
            <w:r>
              <w:rPr>
                <w:rFonts w:ascii="Arial"/>
                <w:w w:val="95"/>
                <w:sz w:val="22"/>
              </w:rPr>
              <w:t>(89)</w:t>
            </w:r>
            <w:r>
              <w:rPr>
                <w:rFonts w:ascii="Arial"/>
                <w:sz w:val="22"/>
              </w:rPr>
            </w:r>
          </w:p>
        </w:tc>
      </w:tr>
      <w:tr>
        <w:trPr>
          <w:trHeight w:val="285" w:hRule="exact"/>
        </w:trPr>
        <w:tc>
          <w:tcPr>
            <w:tcW w:w="4232" w:type="dxa"/>
            <w:tcBorders>
              <w:top w:val="nil" w:sz="6" w:space="0" w:color="auto"/>
              <w:left w:val="nil" w:sz="6" w:space="0" w:color="auto"/>
              <w:bottom w:val="nil" w:sz="6" w:space="0" w:color="auto"/>
              <w:right w:val="nil" w:sz="6" w:space="0" w:color="auto"/>
            </w:tcBorders>
          </w:tcPr>
          <w:p>
            <w:pPr>
              <w:pStyle w:val="TableParagraph"/>
              <w:spacing w:line="239" w:lineRule="exact"/>
              <w:ind w:left="632" w:right="0"/>
              <w:jc w:val="left"/>
              <w:rPr>
                <w:rFonts w:ascii="宋体" w:hAnsi="宋体" w:cs="宋体" w:eastAsia="宋体" w:hint="default"/>
                <w:sz w:val="22"/>
                <w:szCs w:val="22"/>
              </w:rPr>
            </w:pPr>
            <w:r>
              <w:rPr>
                <w:rFonts w:ascii="宋体" w:hAnsi="宋体" w:cs="宋体" w:eastAsia="宋体" w:hint="default"/>
                <w:sz w:val="22"/>
                <w:szCs w:val="22"/>
              </w:rPr>
              <w:t>负债部分的汇兑收益</w:t>
            </w: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0"/>
              <w:jc w:val="right"/>
              <w:rPr>
                <w:rFonts w:ascii="Arial" w:hAnsi="Arial" w:cs="Arial" w:eastAsia="Arial" w:hint="default"/>
                <w:sz w:val="22"/>
                <w:szCs w:val="22"/>
              </w:rPr>
            </w:pPr>
            <w:r>
              <w:rPr>
                <w:rFonts w:ascii="Arial"/>
                <w:w w:val="95"/>
                <w:sz w:val="22"/>
              </w:rPr>
              <w:t>(28)</w:t>
            </w:r>
            <w:r>
              <w:rPr>
                <w:rFonts w:ascii="Arial"/>
                <w:sz w:val="22"/>
              </w:rPr>
            </w:r>
          </w:p>
        </w:tc>
        <w:tc>
          <w:tcPr>
            <w:tcW w:w="144"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7"/>
              <w:jc w:val="right"/>
              <w:rPr>
                <w:rFonts w:ascii="Arial" w:hAnsi="Arial" w:cs="Arial" w:eastAsia="Arial" w:hint="default"/>
                <w:sz w:val="22"/>
                <w:szCs w:val="22"/>
              </w:rPr>
            </w:pPr>
            <w:r>
              <w:rPr>
                <w:rFonts w:ascii="Arial"/>
                <w:w w:val="95"/>
                <w:sz w:val="22"/>
              </w:rPr>
              <w:t>(565)</w:t>
            </w:r>
            <w:r>
              <w:rPr>
                <w:rFonts w:ascii="Arial"/>
                <w:sz w:val="22"/>
              </w:rPr>
            </w:r>
          </w:p>
        </w:tc>
      </w:tr>
      <w:tr>
        <w:trPr>
          <w:trHeight w:val="419" w:hRule="exact"/>
        </w:trPr>
        <w:tc>
          <w:tcPr>
            <w:tcW w:w="4232"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加：负债部分的利息费用</w:t>
            </w:r>
          </w:p>
        </w:tc>
        <w:tc>
          <w:tcPr>
            <w:tcW w:w="2628" w:type="dxa"/>
            <w:tcBorders>
              <w:top w:val="nil" w:sz="6" w:space="0" w:color="auto"/>
              <w:left w:val="nil" w:sz="6" w:space="0" w:color="auto"/>
              <w:bottom w:val="nil" w:sz="6" w:space="0" w:color="auto"/>
              <w:right w:val="nil" w:sz="6" w:space="0" w:color="auto"/>
            </w:tcBorders>
          </w:tcPr>
          <w:p>
            <w:pPr>
              <w:pStyle w:val="TableParagraph"/>
              <w:tabs>
                <w:tab w:pos="2125" w:val="left" w:leader="none"/>
                <w:tab w:pos="2628"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212</w:t>
            </w:r>
            <w:r>
              <w:rPr>
                <w:rFonts w:ascii="Arial"/>
                <w:sz w:val="22"/>
                <w:u w:val="single" w:color="000000"/>
              </w:rPr>
              <w:tab/>
            </w:r>
            <w:r>
              <w:rPr>
                <w:rFonts w:ascii="Arial"/>
                <w:sz w:val="22"/>
              </w:rPr>
            </w:r>
          </w:p>
        </w:tc>
        <w:tc>
          <w:tcPr>
            <w:tcW w:w="144"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nil" w:sz="6" w:space="0" w:color="auto"/>
              <w:right w:val="nil" w:sz="6" w:space="0" w:color="auto"/>
            </w:tcBorders>
          </w:tcPr>
          <w:p>
            <w:pPr>
              <w:pStyle w:val="TableParagraph"/>
              <w:tabs>
                <w:tab w:pos="1731" w:val="left" w:leader="none"/>
                <w:tab w:pos="2241"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214</w:t>
            </w:r>
            <w:r>
              <w:rPr>
                <w:rFonts w:ascii="Arial"/>
                <w:sz w:val="22"/>
                <w:u w:val="single" w:color="000000"/>
              </w:rPr>
              <w:tab/>
            </w:r>
            <w:r>
              <w:rPr>
                <w:rFonts w:ascii="Arial"/>
                <w:sz w:val="22"/>
              </w:rPr>
            </w:r>
          </w:p>
        </w:tc>
      </w:tr>
      <w:tr>
        <w:trPr>
          <w:trHeight w:val="429" w:hRule="exact"/>
        </w:trPr>
        <w:tc>
          <w:tcPr>
            <w:tcW w:w="423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负债部分的年末余额</w:t>
            </w:r>
          </w:p>
        </w:tc>
        <w:tc>
          <w:tcPr>
            <w:tcW w:w="2628"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33"/>
              <w:jc w:val="right"/>
              <w:rPr>
                <w:rFonts w:ascii="Arial" w:hAnsi="Arial" w:cs="Arial" w:eastAsia="Arial" w:hint="default"/>
                <w:sz w:val="22"/>
                <w:szCs w:val="22"/>
              </w:rPr>
            </w:pPr>
            <w:r>
              <w:rPr>
                <w:rFonts w:ascii="Arial"/>
                <w:w w:val="95"/>
                <w:sz w:val="22"/>
              </w:rPr>
              <w:t>11,215</w:t>
            </w:r>
            <w:r>
              <w:rPr>
                <w:rFonts w:ascii="Arial"/>
                <w:sz w:val="22"/>
              </w:rPr>
            </w:r>
          </w:p>
        </w:tc>
        <w:tc>
          <w:tcPr>
            <w:tcW w:w="144"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1425" w:right="0"/>
              <w:jc w:val="left"/>
              <w:rPr>
                <w:rFonts w:ascii="Arial" w:hAnsi="Arial" w:cs="Arial" w:eastAsia="Arial" w:hint="default"/>
                <w:sz w:val="22"/>
                <w:szCs w:val="22"/>
              </w:rPr>
            </w:pPr>
            <w:r>
              <w:rPr>
                <w:rFonts w:ascii="Arial"/>
                <w:sz w:val="22"/>
              </w:rPr>
              <w:t>11,118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240" w:lineRule="auto"/>
        <w:ind w:left="108" w:right="122"/>
        <w:jc w:val="left"/>
      </w:pPr>
      <w:r>
        <w:rPr>
          <w:rFonts w:ascii="Arial" w:hAnsi="Arial" w:cs="Arial" w:eastAsia="Arial" w:hint="default"/>
        </w:rPr>
        <w:t>(b)  </w:t>
      </w:r>
      <w:r>
        <w:rPr>
          <w:rFonts w:ascii="Arial" w:hAnsi="Arial" w:cs="Arial" w:eastAsia="Arial" w:hint="default"/>
          <w:spacing w:val="4"/>
        </w:rPr>
        <w:t> </w:t>
      </w:r>
      <w:r>
        <w:rPr/>
        <w:t>债券之应计利息分析如下：</w:t>
      </w:r>
    </w:p>
    <w:p>
      <w:pPr>
        <w:spacing w:line="240" w:lineRule="auto" w:before="0"/>
        <w:rPr>
          <w:rFonts w:ascii="宋体" w:hAnsi="宋体" w:cs="宋体" w:eastAsia="宋体" w:hint="default"/>
          <w:sz w:val="23"/>
          <w:szCs w:val="23"/>
        </w:rPr>
      </w:pPr>
    </w:p>
    <w:tbl>
      <w:tblPr>
        <w:tblW w:w="0" w:type="auto"/>
        <w:jc w:val="left"/>
        <w:tblInd w:w="413" w:type="dxa"/>
        <w:tblLayout w:type="fixed"/>
        <w:tblCellMar>
          <w:top w:w="0" w:type="dxa"/>
          <w:left w:w="0" w:type="dxa"/>
          <w:bottom w:w="0" w:type="dxa"/>
          <w:right w:w="0" w:type="dxa"/>
        </w:tblCellMar>
        <w:tblLook w:val="01E0"/>
      </w:tblPr>
      <w:tblGrid>
        <w:gridCol w:w="3181"/>
        <w:gridCol w:w="1463"/>
        <w:gridCol w:w="106"/>
        <w:gridCol w:w="1440"/>
        <w:gridCol w:w="106"/>
        <w:gridCol w:w="1334"/>
        <w:gridCol w:w="106"/>
        <w:gridCol w:w="1470"/>
      </w:tblGrid>
      <w:tr>
        <w:trPr>
          <w:trHeight w:val="237" w:hRule="exact"/>
        </w:trPr>
        <w:tc>
          <w:tcPr>
            <w:tcW w:w="9206" w:type="dxa"/>
            <w:gridSpan w:val="8"/>
            <w:tcBorders>
              <w:top w:val="nil" w:sz="6" w:space="0" w:color="auto"/>
              <w:left w:val="nil" w:sz="6" w:space="0" w:color="auto"/>
              <w:bottom w:val="nil" w:sz="6" w:space="0" w:color="auto"/>
              <w:right w:val="nil" w:sz="6" w:space="0" w:color="auto"/>
            </w:tcBorders>
          </w:tcPr>
          <w:p>
            <w:pPr>
              <w:pStyle w:val="TableParagraph"/>
              <w:spacing w:line="215" w:lineRule="exact"/>
              <w:ind w:left="5065" w:right="0"/>
              <w:jc w:val="left"/>
              <w:rPr>
                <w:rFonts w:ascii="宋体" w:hAnsi="宋体" w:cs="宋体" w:eastAsia="宋体" w:hint="default"/>
                <w:sz w:val="20"/>
                <w:szCs w:val="20"/>
              </w:rPr>
            </w:pPr>
            <w:r>
              <w:rPr>
                <w:rFonts w:ascii="宋体" w:hAnsi="宋体" w:cs="宋体" w:eastAsia="宋体" w:hint="default"/>
                <w:sz w:val="20"/>
                <w:szCs w:val="20"/>
              </w:rPr>
              <w:t>应计利息（附注五</w:t>
            </w:r>
            <w:r>
              <w:rPr>
                <w:rFonts w:ascii="Arial" w:hAnsi="Arial" w:cs="Arial" w:eastAsia="Arial" w:hint="default"/>
                <w:sz w:val="20"/>
                <w:szCs w:val="20"/>
              </w:rPr>
              <w:t>(23)</w:t>
            </w:r>
            <w:r>
              <w:rPr>
                <w:rFonts w:ascii="宋体" w:hAnsi="宋体" w:cs="宋体" w:eastAsia="宋体" w:hint="default"/>
                <w:sz w:val="20"/>
                <w:szCs w:val="20"/>
              </w:rPr>
              <w:t>）</w:t>
            </w:r>
          </w:p>
        </w:tc>
      </w:tr>
      <w:tr>
        <w:trPr>
          <w:trHeight w:val="534" w:hRule="exact"/>
        </w:trPr>
        <w:tc>
          <w:tcPr>
            <w:tcW w:w="3181" w:type="dxa"/>
            <w:tcBorders>
              <w:top w:val="nil" w:sz="6" w:space="0" w:color="auto"/>
              <w:left w:val="nil" w:sz="6" w:space="0" w:color="auto"/>
              <w:bottom w:val="nil" w:sz="6" w:space="0" w:color="auto"/>
              <w:right w:val="nil" w:sz="6" w:space="0" w:color="auto"/>
            </w:tcBorders>
          </w:tcPr>
          <w:p>
            <w:pPr/>
          </w:p>
        </w:tc>
        <w:tc>
          <w:tcPr>
            <w:tcW w:w="1463" w:type="dxa"/>
            <w:tcBorders>
              <w:top w:val="single" w:sz="6" w:space="0" w:color="000000"/>
              <w:left w:val="nil" w:sz="6" w:space="0" w:color="auto"/>
              <w:bottom w:val="single" w:sz="6" w:space="0" w:color="000000"/>
              <w:right w:val="nil" w:sz="6" w:space="0" w:color="auto"/>
            </w:tcBorders>
          </w:tcPr>
          <w:p>
            <w:pPr>
              <w:pStyle w:val="TableParagraph"/>
              <w:spacing w:line="236" w:lineRule="exact"/>
              <w:ind w:left="694"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p>
          <w:p>
            <w:pPr>
              <w:pStyle w:val="TableParagraph"/>
              <w:spacing w:line="268" w:lineRule="exact"/>
              <w:ind w:left="394"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106" w:type="dxa"/>
            <w:tcBorders>
              <w:top w:val="single" w:sz="6" w:space="0" w:color="000000"/>
              <w:left w:val="nil" w:sz="6" w:space="0" w:color="auto"/>
              <w:bottom w:val="nil" w:sz="6" w:space="0" w:color="auto"/>
              <w:right w:val="nil" w:sz="6" w:space="0" w:color="auto"/>
            </w:tcBorders>
          </w:tcPr>
          <w:p>
            <w:pPr/>
          </w:p>
        </w:tc>
        <w:tc>
          <w:tcPr>
            <w:tcW w:w="1440" w:type="dxa"/>
            <w:tcBorders>
              <w:top w:val="single" w:sz="6" w:space="0" w:color="000000"/>
              <w:left w:val="nil" w:sz="6" w:space="0" w:color="auto"/>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96" w:right="0"/>
              <w:jc w:val="left"/>
              <w:rPr>
                <w:rFonts w:ascii="宋体" w:hAnsi="宋体" w:cs="宋体" w:eastAsia="宋体" w:hint="default"/>
                <w:sz w:val="20"/>
                <w:szCs w:val="20"/>
              </w:rPr>
            </w:pPr>
            <w:r>
              <w:rPr>
                <w:rFonts w:ascii="宋体" w:hAnsi="宋体" w:cs="宋体" w:eastAsia="宋体" w:hint="default"/>
                <w:sz w:val="20"/>
                <w:szCs w:val="20"/>
              </w:rPr>
              <w:t>本年应计利息</w:t>
            </w:r>
          </w:p>
        </w:tc>
        <w:tc>
          <w:tcPr>
            <w:tcW w:w="106" w:type="dxa"/>
            <w:tcBorders>
              <w:top w:val="single" w:sz="6" w:space="0" w:color="000000"/>
              <w:left w:val="nil" w:sz="6" w:space="0" w:color="auto"/>
              <w:bottom w:val="nil" w:sz="6" w:space="0" w:color="auto"/>
              <w:right w:val="nil" w:sz="6" w:space="0" w:color="auto"/>
            </w:tcBorders>
          </w:tcPr>
          <w:p>
            <w:pPr/>
          </w:p>
        </w:tc>
        <w:tc>
          <w:tcPr>
            <w:tcW w:w="1334" w:type="dxa"/>
            <w:tcBorders>
              <w:top w:val="single" w:sz="6" w:space="0" w:color="000000"/>
              <w:left w:val="nil" w:sz="6" w:space="0" w:color="auto"/>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51" w:right="0"/>
              <w:jc w:val="center"/>
              <w:rPr>
                <w:rFonts w:ascii="宋体" w:hAnsi="宋体" w:cs="宋体" w:eastAsia="宋体" w:hint="default"/>
                <w:sz w:val="20"/>
                <w:szCs w:val="20"/>
              </w:rPr>
            </w:pPr>
            <w:r>
              <w:rPr>
                <w:rFonts w:ascii="宋体" w:hAnsi="宋体" w:cs="宋体" w:eastAsia="宋体" w:hint="default"/>
                <w:sz w:val="20"/>
                <w:szCs w:val="20"/>
              </w:rPr>
              <w:t>本年已付利息</w:t>
            </w:r>
          </w:p>
        </w:tc>
        <w:tc>
          <w:tcPr>
            <w:tcW w:w="106" w:type="dxa"/>
            <w:tcBorders>
              <w:top w:val="single" w:sz="6" w:space="0" w:color="000000"/>
              <w:left w:val="nil" w:sz="6" w:space="0" w:color="auto"/>
              <w:bottom w:val="nil" w:sz="6" w:space="0" w:color="auto"/>
              <w:right w:val="nil" w:sz="6" w:space="0" w:color="auto"/>
            </w:tcBorders>
          </w:tcPr>
          <w:p>
            <w:pPr/>
          </w:p>
        </w:tc>
        <w:tc>
          <w:tcPr>
            <w:tcW w:w="1470" w:type="dxa"/>
            <w:tcBorders>
              <w:top w:val="single" w:sz="6" w:space="0" w:color="000000"/>
              <w:left w:val="nil" w:sz="6" w:space="0" w:color="auto"/>
              <w:bottom w:val="single" w:sz="6" w:space="0" w:color="000000"/>
              <w:right w:val="nil" w:sz="6" w:space="0" w:color="auto"/>
            </w:tcBorders>
          </w:tcPr>
          <w:p>
            <w:pPr>
              <w:pStyle w:val="TableParagraph"/>
              <w:spacing w:line="236" w:lineRule="exact"/>
              <w:ind w:left="730"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p>
          <w:p>
            <w:pPr>
              <w:pStyle w:val="TableParagraph"/>
              <w:spacing w:line="268" w:lineRule="exact"/>
              <w:ind w:left="430"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r>
      <w:tr>
        <w:trPr>
          <w:trHeight w:val="508"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20"/>
                <w:szCs w:val="20"/>
              </w:rPr>
            </w:pPr>
            <w:r>
              <w:rPr>
                <w:rFonts w:ascii="Arial" w:hAnsi="Arial" w:cs="Arial" w:eastAsia="Arial" w:hint="default"/>
                <w:sz w:val="20"/>
                <w:szCs w:val="20"/>
              </w:rPr>
              <w:t>2007</w:t>
            </w:r>
            <w:r>
              <w:rPr>
                <w:rFonts w:ascii="Arial" w:hAnsi="Arial" w:cs="Arial" w:eastAsia="Arial" w:hint="default"/>
                <w:spacing w:val="-8"/>
                <w:sz w:val="20"/>
                <w:szCs w:val="20"/>
              </w:rPr>
              <w:t> </w:t>
            </w:r>
            <w:r>
              <w:rPr>
                <w:rFonts w:ascii="宋体" w:hAnsi="宋体" w:cs="宋体" w:eastAsia="宋体" w:hint="default"/>
                <w:sz w:val="20"/>
                <w:szCs w:val="20"/>
              </w:rPr>
              <w:t>年公司债券</w:t>
            </w:r>
          </w:p>
        </w:tc>
        <w:tc>
          <w:tcPr>
            <w:tcW w:w="1463"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70" w:right="0"/>
              <w:jc w:val="left"/>
              <w:rPr>
                <w:rFonts w:ascii="Arial" w:hAnsi="Arial" w:cs="Arial" w:eastAsia="Arial" w:hint="default"/>
                <w:sz w:val="20"/>
                <w:szCs w:val="20"/>
              </w:rPr>
            </w:pPr>
            <w:r>
              <w:rPr>
                <w:rFonts w:ascii="Arial"/>
                <w:sz w:val="20"/>
              </w:rPr>
              <w:t>51,041,096</w:t>
            </w:r>
          </w:p>
        </w:tc>
        <w:tc>
          <w:tcPr>
            <w:tcW w:w="106" w:type="dxa"/>
            <w:tcBorders>
              <w:top w:val="nil" w:sz="6" w:space="0" w:color="auto"/>
              <w:left w:val="nil" w:sz="6" w:space="0" w:color="auto"/>
              <w:bottom w:val="nil" w:sz="6" w:space="0" w:color="auto"/>
              <w:right w:val="nil" w:sz="6" w:space="0" w:color="auto"/>
            </w:tcBorders>
          </w:tcPr>
          <w:p>
            <w:pPr/>
          </w:p>
        </w:tc>
        <w:tc>
          <w:tcPr>
            <w:tcW w:w="144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78"/>
              <w:jc w:val="right"/>
              <w:rPr>
                <w:rFonts w:ascii="Arial" w:hAnsi="Arial" w:cs="Arial" w:eastAsia="Arial" w:hint="default"/>
                <w:sz w:val="20"/>
                <w:szCs w:val="20"/>
              </w:rPr>
            </w:pPr>
            <w:r>
              <w:rPr>
                <w:rFonts w:ascii="Arial"/>
                <w:spacing w:val="-1"/>
                <w:sz w:val="20"/>
              </w:rPr>
              <w:t>90,246,575</w:t>
            </w:r>
          </w:p>
        </w:tc>
        <w:tc>
          <w:tcPr>
            <w:tcW w:w="106" w:type="dxa"/>
            <w:tcBorders>
              <w:top w:val="nil" w:sz="6" w:space="0" w:color="auto"/>
              <w:left w:val="nil" w:sz="6" w:space="0" w:color="auto"/>
              <w:bottom w:val="nil" w:sz="6" w:space="0" w:color="auto"/>
              <w:right w:val="nil" w:sz="6" w:space="0" w:color="auto"/>
            </w:tcBorders>
          </w:tcPr>
          <w:p>
            <w:pPr/>
          </w:p>
        </w:tc>
        <w:tc>
          <w:tcPr>
            <w:tcW w:w="1334"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55" w:right="0"/>
              <w:jc w:val="center"/>
              <w:rPr>
                <w:rFonts w:ascii="Arial" w:hAnsi="Arial" w:cs="Arial" w:eastAsia="Arial" w:hint="default"/>
                <w:sz w:val="20"/>
                <w:szCs w:val="20"/>
              </w:rPr>
            </w:pPr>
            <w:r>
              <w:rPr>
                <w:rFonts w:ascii="Arial"/>
                <w:sz w:val="20"/>
              </w:rPr>
              <w:t>(90,000,000)</w:t>
            </w:r>
          </w:p>
        </w:tc>
        <w:tc>
          <w:tcPr>
            <w:tcW w:w="106" w:type="dxa"/>
            <w:tcBorders>
              <w:top w:val="nil" w:sz="6" w:space="0" w:color="auto"/>
              <w:left w:val="nil" w:sz="6" w:space="0" w:color="auto"/>
              <w:bottom w:val="nil" w:sz="6" w:space="0" w:color="auto"/>
              <w:right w:val="nil" w:sz="6" w:space="0" w:color="auto"/>
            </w:tcBorders>
          </w:tcPr>
          <w:p>
            <w:pPr/>
          </w:p>
        </w:tc>
        <w:tc>
          <w:tcPr>
            <w:tcW w:w="147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79" w:right="0"/>
              <w:jc w:val="left"/>
              <w:rPr>
                <w:rFonts w:ascii="Arial" w:hAnsi="Arial" w:cs="Arial" w:eastAsia="Arial" w:hint="default"/>
                <w:sz w:val="20"/>
                <w:szCs w:val="20"/>
              </w:rPr>
            </w:pPr>
            <w:r>
              <w:rPr>
                <w:rFonts w:ascii="Arial"/>
                <w:sz w:val="20"/>
              </w:rPr>
              <w:t>51,287,671</w:t>
            </w:r>
          </w:p>
        </w:tc>
      </w:tr>
      <w:tr>
        <w:trPr>
          <w:trHeight w:val="259"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33" w:lineRule="exact"/>
              <w:ind w:left="200" w:right="0"/>
              <w:jc w:val="left"/>
              <w:rPr>
                <w:rFonts w:ascii="宋体" w:hAnsi="宋体" w:cs="宋体" w:eastAsia="宋体" w:hint="default"/>
                <w:sz w:val="20"/>
                <w:szCs w:val="20"/>
              </w:rPr>
            </w:pPr>
            <w:r>
              <w:rPr>
                <w:rFonts w:ascii="Arial" w:hAnsi="Arial" w:cs="Arial" w:eastAsia="Arial" w:hint="default"/>
                <w:sz w:val="20"/>
                <w:szCs w:val="20"/>
              </w:rPr>
              <w:t>2008</w:t>
            </w:r>
            <w:r>
              <w:rPr>
                <w:rFonts w:ascii="Arial" w:hAnsi="Arial" w:cs="Arial" w:eastAsia="Arial" w:hint="default"/>
                <w:spacing w:val="-8"/>
                <w:sz w:val="20"/>
                <w:szCs w:val="20"/>
              </w:rPr>
              <w:t> </w:t>
            </w:r>
            <w:r>
              <w:rPr>
                <w:rFonts w:ascii="宋体" w:hAnsi="宋体" w:cs="宋体" w:eastAsia="宋体" w:hint="default"/>
                <w:sz w:val="20"/>
                <w:szCs w:val="20"/>
              </w:rPr>
              <w:t>年公司债券</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70" w:right="0"/>
              <w:jc w:val="left"/>
              <w:rPr>
                <w:rFonts w:ascii="Arial" w:hAnsi="Arial" w:cs="Arial" w:eastAsia="Arial" w:hint="default"/>
                <w:sz w:val="20"/>
                <w:szCs w:val="20"/>
              </w:rPr>
            </w:pPr>
            <w:r>
              <w:rPr>
                <w:rFonts w:ascii="Arial"/>
                <w:sz w:val="20"/>
              </w:rPr>
              <w:t>86,958,904</w:t>
            </w:r>
          </w:p>
        </w:tc>
        <w:tc>
          <w:tcPr>
            <w:tcW w:w="10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47" w:right="0"/>
              <w:jc w:val="left"/>
              <w:rPr>
                <w:rFonts w:ascii="Arial" w:hAnsi="Arial" w:cs="Arial" w:eastAsia="Arial" w:hint="default"/>
                <w:sz w:val="20"/>
                <w:szCs w:val="20"/>
              </w:rPr>
            </w:pPr>
            <w:r>
              <w:rPr>
                <w:rFonts w:ascii="Arial"/>
                <w:sz w:val="20"/>
              </w:rPr>
              <w:t>265,224,658</w:t>
            </w:r>
          </w:p>
        </w:tc>
        <w:tc>
          <w:tcPr>
            <w:tcW w:w="106"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4" w:right="0"/>
              <w:jc w:val="center"/>
              <w:rPr>
                <w:rFonts w:ascii="Arial" w:hAnsi="Arial" w:cs="Arial" w:eastAsia="Arial" w:hint="default"/>
                <w:sz w:val="20"/>
                <w:szCs w:val="20"/>
              </w:rPr>
            </w:pPr>
            <w:r>
              <w:rPr>
                <w:rFonts w:ascii="Arial"/>
                <w:sz w:val="20"/>
              </w:rPr>
              <w:t>(264,500,000)</w:t>
            </w:r>
          </w:p>
        </w:tc>
        <w:tc>
          <w:tcPr>
            <w:tcW w:w="106"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79" w:right="0"/>
              <w:jc w:val="left"/>
              <w:rPr>
                <w:rFonts w:ascii="Arial" w:hAnsi="Arial" w:cs="Arial" w:eastAsia="Arial" w:hint="default"/>
                <w:sz w:val="20"/>
                <w:szCs w:val="20"/>
              </w:rPr>
            </w:pPr>
            <w:r>
              <w:rPr>
                <w:rFonts w:ascii="Arial"/>
                <w:sz w:val="20"/>
              </w:rPr>
              <w:t>87,683,562</w:t>
            </w:r>
          </w:p>
        </w:tc>
      </w:tr>
      <w:tr>
        <w:trPr>
          <w:trHeight w:val="260"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33" w:lineRule="exact"/>
              <w:ind w:left="200"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9"/>
                <w:sz w:val="20"/>
                <w:szCs w:val="20"/>
              </w:rPr>
              <w:t> </w:t>
            </w:r>
            <w:r>
              <w:rPr>
                <w:rFonts w:ascii="宋体" w:hAnsi="宋体" w:cs="宋体" w:eastAsia="宋体" w:hint="default"/>
                <w:sz w:val="20"/>
                <w:szCs w:val="20"/>
              </w:rPr>
              <w:t>年第一期中期票据</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70" w:right="0"/>
              <w:jc w:val="left"/>
              <w:rPr>
                <w:rFonts w:ascii="Arial" w:hAnsi="Arial" w:cs="Arial" w:eastAsia="Arial" w:hint="default"/>
                <w:sz w:val="20"/>
                <w:szCs w:val="20"/>
              </w:rPr>
            </w:pPr>
            <w:r>
              <w:rPr>
                <w:rFonts w:ascii="Arial"/>
                <w:sz w:val="20"/>
              </w:rPr>
              <w:t>84,001,644</w:t>
            </w:r>
          </w:p>
        </w:tc>
        <w:tc>
          <w:tcPr>
            <w:tcW w:w="10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47" w:right="0"/>
              <w:jc w:val="left"/>
              <w:rPr>
                <w:rFonts w:ascii="Arial" w:hAnsi="Arial" w:cs="Arial" w:eastAsia="Arial" w:hint="default"/>
                <w:sz w:val="20"/>
                <w:szCs w:val="20"/>
              </w:rPr>
            </w:pPr>
            <w:r>
              <w:rPr>
                <w:rFonts w:ascii="Arial"/>
                <w:sz w:val="20"/>
              </w:rPr>
              <w:t>112,206,575</w:t>
            </w:r>
          </w:p>
        </w:tc>
        <w:tc>
          <w:tcPr>
            <w:tcW w:w="106"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4" w:right="0"/>
              <w:jc w:val="center"/>
              <w:rPr>
                <w:rFonts w:ascii="Arial" w:hAnsi="Arial" w:cs="Arial" w:eastAsia="Arial" w:hint="default"/>
                <w:sz w:val="20"/>
                <w:szCs w:val="20"/>
              </w:rPr>
            </w:pPr>
            <w:r>
              <w:rPr>
                <w:rFonts w:ascii="Arial"/>
                <w:sz w:val="20"/>
              </w:rPr>
              <w:t>(111,900,000)</w:t>
            </w:r>
          </w:p>
        </w:tc>
        <w:tc>
          <w:tcPr>
            <w:tcW w:w="106"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79" w:right="0"/>
              <w:jc w:val="left"/>
              <w:rPr>
                <w:rFonts w:ascii="Arial" w:hAnsi="Arial" w:cs="Arial" w:eastAsia="Arial" w:hint="default"/>
                <w:sz w:val="20"/>
                <w:szCs w:val="20"/>
              </w:rPr>
            </w:pPr>
            <w:r>
              <w:rPr>
                <w:rFonts w:ascii="Arial"/>
                <w:sz w:val="20"/>
              </w:rPr>
              <w:t>84,308,219</w:t>
            </w:r>
          </w:p>
        </w:tc>
      </w:tr>
      <w:tr>
        <w:trPr>
          <w:trHeight w:val="267"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32" w:lineRule="exact"/>
              <w:ind w:left="200"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9"/>
                <w:sz w:val="20"/>
                <w:szCs w:val="20"/>
              </w:rPr>
              <w:t> </w:t>
            </w:r>
            <w:r>
              <w:rPr>
                <w:rFonts w:ascii="宋体" w:hAnsi="宋体" w:cs="宋体" w:eastAsia="宋体" w:hint="default"/>
                <w:sz w:val="20"/>
                <w:szCs w:val="20"/>
              </w:rPr>
              <w:t>年第二期中期票据</w:t>
            </w:r>
          </w:p>
        </w:tc>
        <w:tc>
          <w:tcPr>
            <w:tcW w:w="1463" w:type="dxa"/>
            <w:tcBorders>
              <w:top w:val="nil" w:sz="6" w:space="0" w:color="auto"/>
              <w:left w:val="nil" w:sz="6" w:space="0" w:color="auto"/>
              <w:bottom w:val="nil" w:sz="6" w:space="0" w:color="auto"/>
              <w:right w:val="nil" w:sz="6" w:space="0" w:color="auto"/>
            </w:tcBorders>
          </w:tcPr>
          <w:p>
            <w:pPr>
              <w:pStyle w:val="TableParagraph"/>
              <w:tabs>
                <w:tab w:pos="259" w:val="left" w:leader="none"/>
                <w:tab w:pos="1462" w:val="left" w:leader="none"/>
              </w:tabs>
              <w:spacing w:line="240" w:lineRule="auto" w:before="15"/>
              <w:ind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112,086,575</w:t>
              <w:tab/>
            </w:r>
            <w:r>
              <w:rPr>
                <w:rFonts w:ascii="Arial"/>
                <w:sz w:val="20"/>
              </w:rPr>
            </w:r>
          </w:p>
        </w:tc>
        <w:tc>
          <w:tcPr>
            <w:tcW w:w="10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tabs>
                <w:tab w:pos="1440" w:val="left" w:leader="none"/>
              </w:tabs>
              <w:spacing w:line="240" w:lineRule="auto" w:before="15"/>
              <w:ind w:right="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  </w:t>
            </w:r>
            <w:r>
              <w:rPr>
                <w:rFonts w:ascii="Arial"/>
                <w:spacing w:val="24"/>
                <w:sz w:val="20"/>
                <w:u w:val="single" w:color="000000"/>
              </w:rPr>
              <w:t> </w:t>
            </w:r>
            <w:r>
              <w:rPr>
                <w:rFonts w:ascii="Arial"/>
                <w:spacing w:val="-1"/>
                <w:sz w:val="20"/>
                <w:u w:val="single" w:color="000000"/>
              </w:rPr>
              <w:t>398,288,220</w:t>
              <w:tab/>
            </w:r>
            <w:r>
              <w:rPr>
                <w:rFonts w:ascii="Arial"/>
                <w:spacing w:val="-1"/>
                <w:sz w:val="20"/>
              </w:rPr>
            </w:r>
          </w:p>
        </w:tc>
        <w:tc>
          <w:tcPr>
            <w:tcW w:w="106"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
              <w:jc w:val="center"/>
              <w:rPr>
                <w:rFonts w:ascii="Arial" w:hAnsi="Arial" w:cs="Arial" w:eastAsia="Arial" w:hint="default"/>
                <w:sz w:val="20"/>
                <w:szCs w:val="20"/>
              </w:rPr>
            </w:pPr>
            <w:r>
              <w:rPr>
                <w:rFonts w:ascii="Arial"/>
                <w:w w:val="100"/>
                <w:sz w:val="20"/>
              </w:rPr>
            </w:r>
            <w:r>
              <w:rPr>
                <w:rFonts w:ascii="Arial"/>
                <w:spacing w:val="11"/>
                <w:w w:val="100"/>
                <w:sz w:val="20"/>
                <w:u w:val="single" w:color="000000"/>
              </w:rPr>
              <w:t> </w:t>
            </w:r>
            <w:r>
              <w:rPr>
                <w:rFonts w:ascii="Arial"/>
                <w:spacing w:val="-1"/>
                <w:sz w:val="20"/>
                <w:u w:val="single" w:color="000000"/>
              </w:rPr>
              <w:t>(397,200,000)</w:t>
            </w:r>
            <w:r>
              <w:rPr>
                <w:rFonts w:ascii="Arial"/>
                <w:spacing w:val="-1"/>
                <w:sz w:val="20"/>
              </w:rPr>
            </w:r>
          </w:p>
        </w:tc>
        <w:tc>
          <w:tcPr>
            <w:tcW w:w="106"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tabs>
                <w:tab w:pos="267" w:val="left" w:leader="none"/>
                <w:tab w:pos="1469" w:val="left" w:leader="none"/>
              </w:tabs>
              <w:spacing w:line="240" w:lineRule="auto" w:before="15"/>
              <w:ind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113,174,795</w:t>
              <w:tab/>
            </w:r>
            <w:r>
              <w:rPr>
                <w:rFonts w:ascii="Arial"/>
                <w:sz w:val="20"/>
              </w:rPr>
            </w:r>
          </w:p>
        </w:tc>
      </w:tr>
      <w:tr>
        <w:trPr>
          <w:trHeight w:val="280" w:hRule="exact"/>
        </w:trPr>
        <w:tc>
          <w:tcPr>
            <w:tcW w:w="3181"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463" w:type="dxa"/>
            <w:tcBorders>
              <w:top w:val="nil" w:sz="6" w:space="0" w:color="auto"/>
              <w:left w:val="nil" w:sz="6" w:space="0" w:color="auto"/>
              <w:bottom w:val="single" w:sz="17" w:space="0" w:color="000000"/>
              <w:right w:val="nil" w:sz="6" w:space="0" w:color="auto"/>
            </w:tcBorders>
          </w:tcPr>
          <w:p>
            <w:pPr>
              <w:pStyle w:val="TableParagraph"/>
              <w:spacing w:line="240" w:lineRule="auto" w:before="22"/>
              <w:ind w:left="259" w:right="0"/>
              <w:jc w:val="left"/>
              <w:rPr>
                <w:rFonts w:ascii="Arial" w:hAnsi="Arial" w:cs="Arial" w:eastAsia="Arial" w:hint="default"/>
                <w:sz w:val="20"/>
                <w:szCs w:val="20"/>
              </w:rPr>
            </w:pPr>
            <w:r>
              <w:rPr>
                <w:rFonts w:ascii="Arial"/>
                <w:sz w:val="20"/>
              </w:rPr>
              <w:t>334,088,219</w:t>
            </w:r>
          </w:p>
        </w:tc>
        <w:tc>
          <w:tcPr>
            <w:tcW w:w="10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single" w:sz="17" w:space="0" w:color="000000"/>
              <w:right w:val="nil" w:sz="6" w:space="0" w:color="auto"/>
            </w:tcBorders>
          </w:tcPr>
          <w:p>
            <w:pPr>
              <w:pStyle w:val="TableParagraph"/>
              <w:spacing w:line="240" w:lineRule="auto" w:before="22"/>
              <w:ind w:left="247" w:right="0"/>
              <w:jc w:val="left"/>
              <w:rPr>
                <w:rFonts w:ascii="Arial" w:hAnsi="Arial" w:cs="Arial" w:eastAsia="Arial" w:hint="default"/>
                <w:sz w:val="20"/>
                <w:szCs w:val="20"/>
              </w:rPr>
            </w:pPr>
            <w:r>
              <w:rPr>
                <w:rFonts w:ascii="Arial"/>
                <w:sz w:val="20"/>
              </w:rPr>
              <w:t>865,966,028</w:t>
            </w:r>
          </w:p>
        </w:tc>
        <w:tc>
          <w:tcPr>
            <w:tcW w:w="106"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single" w:sz="17" w:space="0" w:color="000000"/>
              <w:right w:val="nil" w:sz="6" w:space="0" w:color="auto"/>
            </w:tcBorders>
          </w:tcPr>
          <w:p>
            <w:pPr>
              <w:pStyle w:val="TableParagraph"/>
              <w:spacing w:line="240" w:lineRule="auto" w:before="22"/>
              <w:ind w:left="44" w:right="0"/>
              <w:jc w:val="center"/>
              <w:rPr>
                <w:rFonts w:ascii="Arial" w:hAnsi="Arial" w:cs="Arial" w:eastAsia="Arial" w:hint="default"/>
                <w:sz w:val="20"/>
                <w:szCs w:val="20"/>
              </w:rPr>
            </w:pPr>
            <w:r>
              <w:rPr>
                <w:rFonts w:ascii="Arial"/>
                <w:sz w:val="20"/>
              </w:rPr>
              <w:t>(863,600,000)</w:t>
            </w:r>
          </w:p>
        </w:tc>
        <w:tc>
          <w:tcPr>
            <w:tcW w:w="106"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single" w:sz="17" w:space="0" w:color="000000"/>
              <w:right w:val="nil" w:sz="6" w:space="0" w:color="auto"/>
            </w:tcBorders>
          </w:tcPr>
          <w:p>
            <w:pPr>
              <w:pStyle w:val="TableParagraph"/>
              <w:spacing w:line="240" w:lineRule="auto" w:before="22"/>
              <w:ind w:left="267" w:right="0"/>
              <w:jc w:val="left"/>
              <w:rPr>
                <w:rFonts w:ascii="Arial" w:hAnsi="Arial" w:cs="Arial" w:eastAsia="Arial" w:hint="default"/>
                <w:sz w:val="20"/>
                <w:szCs w:val="20"/>
              </w:rPr>
            </w:pPr>
            <w:r>
              <w:rPr>
                <w:rFonts w:ascii="Arial"/>
                <w:sz w:val="20"/>
              </w:rPr>
              <w:t>336,454,247</w:t>
            </w:r>
          </w:p>
        </w:tc>
      </w:tr>
    </w:tbl>
    <w:p>
      <w:pPr>
        <w:spacing w:line="240" w:lineRule="auto" w:before="1"/>
        <w:rPr>
          <w:rFonts w:ascii="宋体" w:hAnsi="宋体" w:cs="宋体" w:eastAsia="宋体" w:hint="default"/>
          <w:sz w:val="14"/>
          <w:szCs w:val="14"/>
        </w:rPr>
      </w:pPr>
    </w:p>
    <w:p>
      <w:pPr>
        <w:pStyle w:val="BodyText"/>
        <w:spacing w:line="295" w:lineRule="exact" w:before="31"/>
        <w:ind w:left="570" w:right="0"/>
        <w:jc w:val="left"/>
      </w:pPr>
      <w:r>
        <w:rPr/>
        <w:t>于 </w:t>
      </w:r>
      <w:r>
        <w:rPr>
          <w:rFonts w:ascii="Arial" w:hAnsi="Arial" w:cs="Arial" w:eastAsia="Arial" w:hint="default"/>
        </w:rPr>
        <w:t>2012</w:t>
      </w:r>
      <w:r>
        <w:rPr>
          <w:rFonts w:ascii="Arial" w:hAnsi="Arial" w:cs="Arial" w:eastAsia="Arial" w:hint="default"/>
          <w:spacing w:val="8"/>
        </w:rPr>
        <w:t> </w:t>
      </w:r>
      <w:r>
        <w:rPr/>
        <w:t>年度，亿迅公司发行的可转换债券按票面利率计算的尚未支付的应计利息余额约为人</w:t>
      </w:r>
    </w:p>
    <w:p>
      <w:pPr>
        <w:pStyle w:val="BodyText"/>
        <w:spacing w:line="295" w:lineRule="exact"/>
        <w:ind w:left="570" w:right="122"/>
        <w:jc w:val="left"/>
      </w:pPr>
      <w:r>
        <w:rPr/>
        <w:t>民币</w:t>
      </w:r>
      <w:r>
        <w:rPr>
          <w:spacing w:val="-57"/>
        </w:rPr>
        <w:t> </w:t>
      </w:r>
      <w:r>
        <w:rPr>
          <w:rFonts w:ascii="Arial" w:hAnsi="Arial" w:cs="Arial" w:eastAsia="Arial" w:hint="default"/>
        </w:rPr>
        <w:t>0.18</w:t>
      </w:r>
      <w:r>
        <w:rPr>
          <w:rFonts w:ascii="Arial" w:hAnsi="Arial" w:cs="Arial" w:eastAsia="Arial" w:hint="default"/>
          <w:spacing w:val="-8"/>
        </w:rPr>
        <w:t> </w:t>
      </w:r>
      <w:r>
        <w:rPr/>
        <w:t>亿元（</w:t>
      </w:r>
      <w:r>
        <w:rPr>
          <w:rFonts w:ascii="Arial" w:hAnsi="Arial" w:cs="Arial" w:eastAsia="Arial" w:hint="default"/>
        </w:rPr>
        <w:t>2011</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日：约人民币</w:t>
      </w:r>
      <w:r>
        <w:rPr>
          <w:spacing w:val="-57"/>
        </w:rPr>
        <w:t> </w:t>
      </w:r>
      <w:r>
        <w:rPr>
          <w:rFonts w:ascii="Arial" w:hAnsi="Arial" w:cs="Arial" w:eastAsia="Arial" w:hint="default"/>
        </w:rPr>
        <w:t>0.18</w:t>
      </w:r>
      <w:r>
        <w:rPr>
          <w:rFonts w:ascii="Arial" w:hAnsi="Arial" w:cs="Arial" w:eastAsia="Arial" w:hint="default"/>
          <w:spacing w:val="-8"/>
        </w:rPr>
        <w:t> </w:t>
      </w:r>
      <w:r>
        <w:rPr/>
        <w:t>亿元）。</w:t>
      </w:r>
    </w:p>
    <w:p>
      <w:pPr>
        <w:spacing w:after="0" w:line="295" w:lineRule="exact"/>
        <w:jc w:val="left"/>
        <w:sectPr>
          <w:headerReference w:type="default" r:id="rId110"/>
          <w:pgSz w:w="11910" w:h="16840"/>
          <w:pgMar w:header="1184" w:footer="457" w:top="3560" w:bottom="640" w:left="1260" w:right="900"/>
        </w:sectPr>
      </w:pPr>
    </w:p>
    <w:p>
      <w:pPr>
        <w:spacing w:line="240" w:lineRule="auto" w:before="5"/>
        <w:rPr>
          <w:rFonts w:ascii="宋体" w:hAnsi="宋体" w:cs="宋体" w:eastAsia="宋体" w:hint="default"/>
          <w:sz w:val="12"/>
          <w:szCs w:val="12"/>
        </w:rPr>
      </w:pPr>
    </w:p>
    <w:p>
      <w:pPr>
        <w:pStyle w:val="BodyText"/>
        <w:spacing w:line="240" w:lineRule="auto" w:before="31"/>
        <w:ind w:left="102" w:right="0"/>
        <w:jc w:val="left"/>
      </w:pPr>
      <w:r>
        <w:rPr>
          <w:rFonts w:ascii="Arial" w:hAnsi="Arial" w:cs="Arial" w:eastAsia="Arial" w:hint="default"/>
        </w:rPr>
        <w:t>(c) </w:t>
      </w:r>
      <w:r>
        <w:rPr>
          <w:rFonts w:ascii="Arial" w:hAnsi="Arial" w:cs="Arial" w:eastAsia="Arial" w:hint="default"/>
          <w:spacing w:val="32"/>
        </w:rPr>
        <w:t> </w:t>
      </w:r>
      <w:r>
        <w:rPr/>
        <w:t>公司债券及中期票据的公允价值分析如下：</w:t>
      </w:r>
    </w:p>
    <w:p>
      <w:pPr>
        <w:spacing w:line="240" w:lineRule="auto" w:before="2"/>
        <w:rPr>
          <w:rFonts w:ascii="宋体" w:hAnsi="宋体" w:cs="宋体" w:eastAsia="宋体" w:hint="default"/>
          <w:sz w:val="23"/>
          <w:szCs w:val="23"/>
        </w:rPr>
      </w:pPr>
    </w:p>
    <w:tbl>
      <w:tblPr>
        <w:tblW w:w="0" w:type="auto"/>
        <w:jc w:val="left"/>
        <w:tblInd w:w="351" w:type="dxa"/>
        <w:tblLayout w:type="fixed"/>
        <w:tblCellMar>
          <w:top w:w="0" w:type="dxa"/>
          <w:left w:w="0" w:type="dxa"/>
          <w:bottom w:w="0" w:type="dxa"/>
          <w:right w:w="0" w:type="dxa"/>
        </w:tblCellMar>
        <w:tblLook w:val="01E0"/>
      </w:tblPr>
      <w:tblGrid>
        <w:gridCol w:w="4957"/>
        <w:gridCol w:w="2085"/>
        <w:gridCol w:w="110"/>
        <w:gridCol w:w="2017"/>
      </w:tblGrid>
      <w:tr>
        <w:trPr>
          <w:trHeight w:val="261" w:hRule="exact"/>
        </w:trPr>
        <w:tc>
          <w:tcPr>
            <w:tcW w:w="4957" w:type="dxa"/>
            <w:tcBorders>
              <w:top w:val="nil" w:sz="6" w:space="0" w:color="auto"/>
              <w:left w:val="nil" w:sz="6" w:space="0" w:color="auto"/>
              <w:bottom w:val="nil" w:sz="6" w:space="0" w:color="auto"/>
              <w:right w:val="nil" w:sz="6" w:space="0" w:color="auto"/>
            </w:tcBorders>
          </w:tcPr>
          <w:p>
            <w:pPr>
              <w:pStyle w:val="TableParagraph"/>
              <w:spacing w:line="220" w:lineRule="exact"/>
              <w:ind w:left="227" w:right="0"/>
              <w:jc w:val="left"/>
              <w:rPr>
                <w:rFonts w:ascii="宋体" w:hAnsi="宋体" w:cs="宋体" w:eastAsia="宋体" w:hint="default"/>
                <w:sz w:val="22"/>
                <w:szCs w:val="22"/>
              </w:rPr>
            </w:pPr>
            <w:r>
              <w:rPr>
                <w:rFonts w:ascii="宋体" w:hAnsi="宋体" w:cs="宋体" w:eastAsia="宋体" w:hint="default"/>
                <w:sz w:val="22"/>
                <w:szCs w:val="22"/>
              </w:rPr>
              <w:t>（单位：人民币百万元）</w:t>
            </w:r>
          </w:p>
        </w:tc>
        <w:tc>
          <w:tcPr>
            <w:tcW w:w="2085" w:type="dxa"/>
            <w:tcBorders>
              <w:top w:val="nil" w:sz="6" w:space="0" w:color="auto"/>
              <w:left w:val="nil" w:sz="6" w:space="0" w:color="auto"/>
              <w:bottom w:val="single" w:sz="6" w:space="0" w:color="000000"/>
              <w:right w:val="nil" w:sz="6" w:space="0" w:color="auto"/>
            </w:tcBorders>
          </w:tcPr>
          <w:p>
            <w:pPr>
              <w:pStyle w:val="TableParagraph"/>
              <w:spacing w:line="235" w:lineRule="exact"/>
              <w:ind w:right="155"/>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10" w:type="dxa"/>
            <w:tcBorders>
              <w:top w:val="nil" w:sz="6" w:space="0" w:color="auto"/>
              <w:left w:val="nil" w:sz="6" w:space="0" w:color="auto"/>
              <w:bottom w:val="nil" w:sz="6" w:space="0" w:color="auto"/>
              <w:right w:val="nil" w:sz="6" w:space="0" w:color="auto"/>
            </w:tcBorders>
          </w:tcPr>
          <w:p>
            <w:pPr/>
          </w:p>
        </w:tc>
        <w:tc>
          <w:tcPr>
            <w:tcW w:w="2017" w:type="dxa"/>
            <w:tcBorders>
              <w:top w:val="nil" w:sz="6" w:space="0" w:color="auto"/>
              <w:left w:val="nil" w:sz="6" w:space="0" w:color="auto"/>
              <w:bottom w:val="single" w:sz="6" w:space="0" w:color="000000"/>
              <w:right w:val="nil" w:sz="6" w:space="0" w:color="auto"/>
            </w:tcBorders>
          </w:tcPr>
          <w:p>
            <w:pPr>
              <w:pStyle w:val="TableParagraph"/>
              <w:spacing w:line="235" w:lineRule="exact"/>
              <w:ind w:right="55"/>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82" w:hRule="exact"/>
        </w:trPr>
        <w:tc>
          <w:tcPr>
            <w:tcW w:w="49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公司债券及中期票据的公允价值（含流动部分）</w:t>
            </w:r>
          </w:p>
        </w:tc>
        <w:tc>
          <w:tcPr>
            <w:tcW w:w="2085" w:type="dxa"/>
            <w:tcBorders>
              <w:top w:val="single" w:sz="6" w:space="0" w:color="000000"/>
              <w:left w:val="nil" w:sz="6" w:space="0" w:color="auto"/>
              <w:bottom w:val="single" w:sz="17"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76"/>
              <w:jc w:val="right"/>
              <w:rPr>
                <w:rFonts w:ascii="Arial" w:hAnsi="Arial" w:cs="Arial" w:eastAsia="Arial" w:hint="default"/>
                <w:sz w:val="22"/>
                <w:szCs w:val="22"/>
              </w:rPr>
            </w:pPr>
            <w:r>
              <w:rPr>
                <w:rFonts w:ascii="Arial"/>
                <w:w w:val="95"/>
                <w:sz w:val="22"/>
              </w:rPr>
              <w:t>21,939</w:t>
            </w:r>
            <w:r>
              <w:rPr>
                <w:rFonts w:ascii="Arial"/>
                <w:sz w:val="22"/>
              </w:rPr>
            </w:r>
          </w:p>
        </w:tc>
        <w:tc>
          <w:tcPr>
            <w:tcW w:w="110" w:type="dxa"/>
            <w:tcBorders>
              <w:top w:val="nil" w:sz="6" w:space="0" w:color="auto"/>
              <w:left w:val="nil" w:sz="6" w:space="0" w:color="auto"/>
              <w:bottom w:val="nil" w:sz="6" w:space="0" w:color="auto"/>
              <w:right w:val="nil" w:sz="6" w:space="0" w:color="auto"/>
            </w:tcBorders>
          </w:tcPr>
          <w:p>
            <w:pPr/>
          </w:p>
        </w:tc>
        <w:tc>
          <w:tcPr>
            <w:tcW w:w="2017" w:type="dxa"/>
            <w:tcBorders>
              <w:top w:val="single" w:sz="6" w:space="0" w:color="000000"/>
              <w:left w:val="nil" w:sz="6" w:space="0" w:color="auto"/>
              <w:bottom w:val="single" w:sz="17"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44"/>
              <w:jc w:val="right"/>
              <w:rPr>
                <w:rFonts w:ascii="Arial" w:hAnsi="Arial" w:cs="Arial" w:eastAsia="Arial" w:hint="default"/>
                <w:sz w:val="22"/>
                <w:szCs w:val="22"/>
              </w:rPr>
            </w:pPr>
            <w:r>
              <w:rPr>
                <w:rFonts w:ascii="Arial"/>
                <w:w w:val="95"/>
                <w:sz w:val="22"/>
              </w:rPr>
              <w:t>22,005</w:t>
            </w:r>
            <w:r>
              <w:rPr>
                <w:rFonts w:ascii="Arial"/>
                <w:sz w:val="22"/>
              </w:rPr>
            </w:r>
          </w:p>
        </w:tc>
      </w:tr>
    </w:tbl>
    <w:p>
      <w:pPr>
        <w:spacing w:line="240" w:lineRule="auto" w:before="8"/>
        <w:rPr>
          <w:rFonts w:ascii="宋体" w:hAnsi="宋体" w:cs="宋体" w:eastAsia="宋体" w:hint="default"/>
          <w:sz w:val="10"/>
          <w:szCs w:val="10"/>
        </w:rPr>
      </w:pPr>
    </w:p>
    <w:p>
      <w:pPr>
        <w:pStyle w:val="BodyText"/>
        <w:spacing w:line="295" w:lineRule="exact" w:before="31"/>
        <w:ind w:left="550" w:right="0"/>
        <w:jc w:val="left"/>
        <w:rPr>
          <w:rFonts w:ascii="Arial" w:hAnsi="Arial" w:cs="Arial" w:eastAsia="Arial" w:hint="default"/>
        </w:rPr>
      </w:pPr>
      <w:r>
        <w:rPr/>
        <w:t>于</w:t>
      </w:r>
      <w:r>
        <w:rPr>
          <w:spacing w:val="-37"/>
        </w:rPr>
        <w:t> </w:t>
      </w:r>
      <w:r>
        <w:rPr>
          <w:rFonts w:ascii="Arial" w:hAnsi="Arial" w:cs="Arial" w:eastAsia="Arial" w:hint="default"/>
        </w:rPr>
        <w:t>2012</w:t>
      </w:r>
      <w:r>
        <w:rPr>
          <w:rFonts w:ascii="Arial" w:hAnsi="Arial" w:cs="Arial" w:eastAsia="Arial" w:hint="default"/>
          <w:spacing w:val="13"/>
        </w:rPr>
        <w:t> </w:t>
      </w:r>
      <w:r>
        <w:rPr/>
        <w:t>年</w:t>
      </w:r>
      <w:r>
        <w:rPr>
          <w:spacing w:val="-36"/>
        </w:rPr>
        <w:t> </w:t>
      </w:r>
      <w:r>
        <w:rPr>
          <w:rFonts w:ascii="Arial" w:hAnsi="Arial" w:cs="Arial" w:eastAsia="Arial" w:hint="default"/>
        </w:rPr>
        <w:t>12</w:t>
      </w:r>
      <w:r>
        <w:rPr>
          <w:rFonts w:ascii="Arial" w:hAnsi="Arial" w:cs="Arial" w:eastAsia="Arial" w:hint="default"/>
          <w:spacing w:val="12"/>
        </w:rPr>
        <w:t> </w:t>
      </w:r>
      <w:r>
        <w:rPr/>
        <w:t>月</w:t>
      </w:r>
      <w:r>
        <w:rPr>
          <w:spacing w:val="-37"/>
        </w:rPr>
        <w:t> </w:t>
      </w:r>
      <w:r>
        <w:rPr>
          <w:rFonts w:ascii="Arial" w:hAnsi="Arial" w:cs="Arial" w:eastAsia="Arial" w:hint="default"/>
        </w:rPr>
        <w:t>31</w:t>
      </w:r>
      <w:r>
        <w:rPr>
          <w:rFonts w:ascii="Arial" w:hAnsi="Arial" w:cs="Arial" w:eastAsia="Arial" w:hint="default"/>
          <w:spacing w:val="12"/>
        </w:rPr>
        <w:t> </w:t>
      </w:r>
      <w:r>
        <w:rPr/>
        <w:t>日，上述公允价值以现金流量按市场利率</w:t>
      </w:r>
      <w:r>
        <w:rPr>
          <w:spacing w:val="-35"/>
        </w:rPr>
        <w:t> </w:t>
      </w:r>
      <w:r>
        <w:rPr>
          <w:rFonts w:ascii="Arial" w:hAnsi="Arial" w:cs="Arial" w:eastAsia="Arial" w:hint="default"/>
        </w:rPr>
        <w:t>4.36%</w:t>
      </w:r>
      <w:r>
        <w:rPr/>
        <w:t>至</w:t>
      </w:r>
      <w:r>
        <w:rPr>
          <w:spacing w:val="-37"/>
        </w:rPr>
        <w:t> </w:t>
      </w:r>
      <w:r>
        <w:rPr>
          <w:rFonts w:ascii="Arial" w:hAnsi="Arial" w:cs="Arial" w:eastAsia="Arial" w:hint="default"/>
        </w:rPr>
        <w:t>4.89%</w:t>
      </w:r>
      <w:r>
        <w:rPr/>
        <w:t>来折算（</w:t>
      </w:r>
      <w:r>
        <w:rPr>
          <w:rFonts w:ascii="Arial" w:hAnsi="Arial" w:cs="Arial" w:eastAsia="Arial" w:hint="default"/>
        </w:rPr>
        <w:t>2011</w:t>
      </w:r>
    </w:p>
    <w:p>
      <w:pPr>
        <w:pStyle w:val="BodyText"/>
        <w:spacing w:line="424" w:lineRule="auto"/>
        <w:ind w:left="102" w:right="5597" w:firstLine="447"/>
        <w:jc w:val="left"/>
      </w:pP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w:t>
      </w:r>
      <w:r>
        <w:rPr>
          <w:rFonts w:ascii="Arial" w:hAnsi="Arial" w:cs="Arial" w:eastAsia="Arial" w:hint="default"/>
        </w:rPr>
        <w:t>4.71%</w:t>
      </w:r>
      <w:r>
        <w:rPr/>
        <w:t>至</w:t>
      </w:r>
      <w:r>
        <w:rPr>
          <w:spacing w:val="-57"/>
        </w:rPr>
        <w:t> </w:t>
      </w:r>
      <w:r>
        <w:rPr>
          <w:rFonts w:ascii="Arial" w:hAnsi="Arial" w:cs="Arial" w:eastAsia="Arial" w:hint="default"/>
        </w:rPr>
        <w:t>4.93%</w:t>
      </w:r>
      <w:r>
        <w:rPr/>
        <w:t>）。</w:t>
      </w:r>
      <w:r>
        <w:rPr>
          <w:w w:val="99"/>
        </w:rPr>
        <w:t> </w:t>
      </w:r>
      <w:r>
        <w:rPr>
          <w:rFonts w:ascii="Arial" w:hAnsi="Arial" w:cs="Arial" w:eastAsia="Arial" w:hint="default"/>
        </w:rPr>
        <w:t>29</w:t>
      </w:r>
      <w:r>
        <w:rPr/>
        <w:t>、长期应付款</w:t>
      </w:r>
    </w:p>
    <w:p>
      <w:pPr>
        <w:spacing w:line="240" w:lineRule="auto" w:before="8"/>
        <w:rPr>
          <w:rFonts w:ascii="宋体" w:hAnsi="宋体" w:cs="宋体" w:eastAsia="宋体" w:hint="default"/>
          <w:sz w:val="7"/>
          <w:szCs w:val="7"/>
        </w:rPr>
      </w:pPr>
    </w:p>
    <w:tbl>
      <w:tblPr>
        <w:tblW w:w="0" w:type="auto"/>
        <w:jc w:val="left"/>
        <w:tblInd w:w="351" w:type="dxa"/>
        <w:tblLayout w:type="fixed"/>
        <w:tblCellMar>
          <w:top w:w="0" w:type="dxa"/>
          <w:left w:w="0" w:type="dxa"/>
          <w:bottom w:w="0" w:type="dxa"/>
          <w:right w:w="0" w:type="dxa"/>
        </w:tblCellMar>
        <w:tblLook w:val="01E0"/>
      </w:tblPr>
      <w:tblGrid>
        <w:gridCol w:w="4470"/>
        <w:gridCol w:w="2360"/>
        <w:gridCol w:w="2386"/>
      </w:tblGrid>
      <w:tr>
        <w:trPr>
          <w:trHeight w:val="261" w:hRule="exact"/>
        </w:trPr>
        <w:tc>
          <w:tcPr>
            <w:tcW w:w="4470" w:type="dxa"/>
            <w:tcBorders>
              <w:top w:val="nil" w:sz="6" w:space="0" w:color="auto"/>
              <w:left w:val="nil" w:sz="6" w:space="0" w:color="auto"/>
              <w:bottom w:val="nil" w:sz="6" w:space="0" w:color="auto"/>
              <w:right w:val="nil" w:sz="6" w:space="0" w:color="auto"/>
            </w:tcBorders>
          </w:tcPr>
          <w:p>
            <w:pPr/>
          </w:p>
        </w:tc>
        <w:tc>
          <w:tcPr>
            <w:tcW w:w="2360" w:type="dxa"/>
            <w:tcBorders>
              <w:top w:val="nil" w:sz="6" w:space="0" w:color="auto"/>
              <w:left w:val="nil" w:sz="6" w:space="0" w:color="auto"/>
              <w:bottom w:val="single" w:sz="6" w:space="0" w:color="000000"/>
              <w:right w:val="nil" w:sz="6" w:space="0" w:color="auto"/>
            </w:tcBorders>
          </w:tcPr>
          <w:p>
            <w:pPr>
              <w:pStyle w:val="TableParagraph"/>
              <w:spacing w:line="235" w:lineRule="exact"/>
              <w:ind w:left="325" w:right="0"/>
              <w:jc w:val="lef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386" w:type="dxa"/>
            <w:tcBorders>
              <w:top w:val="nil" w:sz="6" w:space="0" w:color="auto"/>
              <w:left w:val="nil" w:sz="6" w:space="0" w:color="auto"/>
              <w:bottom w:val="single" w:sz="6" w:space="0" w:color="000000"/>
              <w:right w:val="nil" w:sz="6" w:space="0" w:color="auto"/>
            </w:tcBorders>
          </w:tcPr>
          <w:p>
            <w:pPr>
              <w:pStyle w:val="TableParagraph"/>
              <w:spacing w:line="235" w:lineRule="exact"/>
              <w:ind w:right="67"/>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71"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应付内退员工补偿费（附注五</w:t>
            </w:r>
            <w:r>
              <w:rPr>
                <w:rFonts w:ascii="Arial" w:hAnsi="Arial" w:cs="Arial" w:eastAsia="Arial" w:hint="default"/>
                <w:sz w:val="22"/>
                <w:szCs w:val="22"/>
              </w:rPr>
              <w:t>(21)</w:t>
            </w:r>
            <w:r>
              <w:rPr>
                <w:rFonts w:ascii="宋体" w:hAnsi="宋体" w:cs="宋体" w:eastAsia="宋体" w:hint="default"/>
                <w:sz w:val="22"/>
                <w:szCs w:val="22"/>
              </w:rPr>
              <w:t>）</w:t>
            </w:r>
          </w:p>
        </w:tc>
        <w:tc>
          <w:tcPr>
            <w:tcW w:w="2360"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4"/>
              <w:jc w:val="right"/>
              <w:rPr>
                <w:rFonts w:ascii="Arial" w:hAnsi="Arial" w:cs="Arial" w:eastAsia="Arial" w:hint="default"/>
                <w:sz w:val="22"/>
                <w:szCs w:val="22"/>
              </w:rPr>
            </w:pPr>
            <w:r>
              <w:rPr>
                <w:rFonts w:ascii="Arial"/>
                <w:w w:val="95"/>
                <w:sz w:val="22"/>
              </w:rPr>
              <w:t>7,838,331</w:t>
            </w:r>
            <w:r>
              <w:rPr>
                <w:rFonts w:ascii="Arial"/>
                <w:sz w:val="22"/>
              </w:rPr>
            </w:r>
          </w:p>
        </w:tc>
        <w:tc>
          <w:tcPr>
            <w:tcW w:w="2386"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22"/>
                <w:szCs w:val="22"/>
              </w:rPr>
            </w:pPr>
            <w:r>
              <w:rPr>
                <w:rFonts w:ascii="Arial"/>
                <w:w w:val="95"/>
                <w:sz w:val="22"/>
              </w:rPr>
              <w:t>8,975,089</w:t>
            </w:r>
            <w:r>
              <w:rPr>
                <w:rFonts w:ascii="Arial"/>
                <w:sz w:val="22"/>
              </w:rPr>
            </w:r>
          </w:p>
        </w:tc>
      </w:tr>
      <w:tr>
        <w:trPr>
          <w:trHeight w:val="285"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应付离退休后补充福利（附注五</w:t>
            </w:r>
            <w:r>
              <w:rPr>
                <w:rFonts w:ascii="Arial" w:hAnsi="Arial" w:cs="Arial" w:eastAsia="Arial" w:hint="default"/>
                <w:sz w:val="22"/>
                <w:szCs w:val="22"/>
              </w:rPr>
              <w:t>(21)</w:t>
            </w:r>
            <w:r>
              <w:rPr>
                <w:rFonts w:ascii="宋体" w:hAnsi="宋体" w:cs="宋体" w:eastAsia="宋体" w:hint="default"/>
                <w:sz w:val="22"/>
                <w:szCs w:val="22"/>
              </w:rPr>
              <w:t>）</w:t>
            </w: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3"/>
              <w:jc w:val="right"/>
              <w:rPr>
                <w:rFonts w:ascii="Arial" w:hAnsi="Arial" w:cs="Arial" w:eastAsia="Arial" w:hint="default"/>
                <w:sz w:val="22"/>
                <w:szCs w:val="22"/>
              </w:rPr>
            </w:pPr>
            <w:r>
              <w:rPr>
                <w:rFonts w:ascii="Arial"/>
                <w:w w:val="95"/>
                <w:sz w:val="22"/>
              </w:rPr>
              <w:t>116,377,382</w:t>
            </w:r>
            <w:r>
              <w:rPr>
                <w:rFonts w:ascii="Arial"/>
                <w:sz w:val="22"/>
              </w:rPr>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0"/>
              <w:jc w:val="right"/>
              <w:rPr>
                <w:rFonts w:ascii="Arial" w:hAnsi="Arial" w:cs="Arial" w:eastAsia="Arial" w:hint="default"/>
                <w:sz w:val="22"/>
                <w:szCs w:val="22"/>
              </w:rPr>
            </w:pPr>
            <w:r>
              <w:rPr>
                <w:rFonts w:ascii="Arial"/>
                <w:w w:val="95"/>
                <w:sz w:val="22"/>
              </w:rPr>
              <w:t>82,732,598</w:t>
            </w:r>
            <w:r>
              <w:rPr>
                <w:rFonts w:ascii="Arial"/>
                <w:sz w:val="22"/>
              </w:rPr>
            </w:r>
          </w:p>
        </w:tc>
      </w:tr>
      <w:tr>
        <w:trPr>
          <w:trHeight w:val="285"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应付融资租赁款（附注十二）</w:t>
            </w: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3"/>
              <w:jc w:val="right"/>
              <w:rPr>
                <w:rFonts w:ascii="Arial" w:hAnsi="Arial" w:cs="Arial" w:eastAsia="Arial" w:hint="default"/>
                <w:sz w:val="22"/>
                <w:szCs w:val="22"/>
              </w:rPr>
            </w:pPr>
            <w:r>
              <w:rPr>
                <w:rFonts w:ascii="Arial"/>
                <w:w w:val="95"/>
                <w:sz w:val="22"/>
              </w:rPr>
              <w:t>344,421,088</w:t>
            </w:r>
            <w:r>
              <w:rPr>
                <w:rFonts w:ascii="Arial"/>
                <w:sz w:val="22"/>
              </w:rPr>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1"/>
              <w:jc w:val="right"/>
              <w:rPr>
                <w:rFonts w:ascii="Arial" w:hAnsi="Arial" w:cs="Arial" w:eastAsia="Arial" w:hint="default"/>
                <w:sz w:val="22"/>
                <w:szCs w:val="22"/>
              </w:rPr>
            </w:pPr>
            <w:r>
              <w:rPr>
                <w:rFonts w:ascii="Arial"/>
                <w:w w:val="95"/>
                <w:sz w:val="22"/>
              </w:rPr>
              <w:t>78,150,630</w:t>
            </w:r>
            <w:r>
              <w:rPr>
                <w:rFonts w:ascii="Arial"/>
                <w:sz w:val="22"/>
              </w:rPr>
            </w:r>
          </w:p>
        </w:tc>
      </w:tr>
      <w:tr>
        <w:trPr>
          <w:trHeight w:val="293"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360" w:type="dxa"/>
            <w:tcBorders>
              <w:top w:val="nil" w:sz="6" w:space="0" w:color="auto"/>
              <w:left w:val="nil" w:sz="6" w:space="0" w:color="auto"/>
              <w:bottom w:val="nil" w:sz="6" w:space="0" w:color="auto"/>
              <w:right w:val="nil" w:sz="6" w:space="0" w:color="auto"/>
            </w:tcBorders>
          </w:tcPr>
          <w:p>
            <w:pPr>
              <w:pStyle w:val="TableParagraph"/>
              <w:tabs>
                <w:tab w:pos="1273" w:val="left" w:leader="none"/>
                <w:tab w:pos="2359"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2,087,729</w:t>
            </w:r>
            <w:r>
              <w:rPr>
                <w:rFonts w:ascii="Arial"/>
                <w:sz w:val="22"/>
                <w:u w:val="single" w:color="000000"/>
              </w:rPr>
              <w:tab/>
            </w:r>
            <w:r>
              <w:rPr>
                <w:rFonts w:ascii="Arial"/>
                <w:sz w:val="22"/>
              </w:rPr>
            </w:r>
          </w:p>
        </w:tc>
        <w:tc>
          <w:tcPr>
            <w:tcW w:w="2386" w:type="dxa"/>
            <w:tcBorders>
              <w:top w:val="nil" w:sz="6" w:space="0" w:color="auto"/>
              <w:left w:val="nil" w:sz="6" w:space="0" w:color="auto"/>
              <w:bottom w:val="nil" w:sz="6" w:space="0" w:color="auto"/>
              <w:right w:val="nil" w:sz="6" w:space="0" w:color="auto"/>
            </w:tcBorders>
          </w:tcPr>
          <w:p>
            <w:pPr>
              <w:pStyle w:val="TableParagraph"/>
              <w:tabs>
                <w:tab w:pos="1219" w:val="left" w:leader="none"/>
                <w:tab w:pos="2301"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2,578,855</w:t>
            </w:r>
            <w:r>
              <w:rPr>
                <w:rFonts w:ascii="Arial"/>
                <w:sz w:val="22"/>
                <w:u w:val="single" w:color="000000"/>
              </w:rPr>
              <w:tab/>
            </w:r>
            <w:r>
              <w:rPr>
                <w:rFonts w:ascii="Arial"/>
                <w:sz w:val="22"/>
              </w:rPr>
            </w:r>
          </w:p>
        </w:tc>
      </w:tr>
      <w:tr>
        <w:trPr>
          <w:trHeight w:val="427"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360" w:type="dxa"/>
            <w:tcBorders>
              <w:top w:val="nil" w:sz="6" w:space="0" w:color="auto"/>
              <w:left w:val="nil" w:sz="6" w:space="0" w:color="auto"/>
              <w:bottom w:val="nil" w:sz="6" w:space="0" w:color="auto"/>
              <w:right w:val="nil" w:sz="6" w:space="0" w:color="auto"/>
            </w:tcBorders>
          </w:tcPr>
          <w:p>
            <w:pPr>
              <w:pStyle w:val="TableParagraph"/>
              <w:tabs>
                <w:tab w:pos="1029" w:val="left" w:leader="none"/>
                <w:tab w:pos="2359" w:val="left" w:leader="none"/>
              </w:tabs>
              <w:spacing w:line="240" w:lineRule="auto" w:before="25"/>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470,724,530</w:t>
            </w:r>
            <w:r>
              <w:rPr>
                <w:rFonts w:ascii="Arial"/>
                <w:sz w:val="22"/>
                <w:u w:val="single" w:color="000000"/>
              </w:rPr>
              <w:tab/>
            </w:r>
            <w:r>
              <w:rPr>
                <w:rFonts w:ascii="Arial"/>
                <w:sz w:val="22"/>
              </w:rPr>
            </w:r>
          </w:p>
        </w:tc>
        <w:tc>
          <w:tcPr>
            <w:tcW w:w="2386" w:type="dxa"/>
            <w:tcBorders>
              <w:top w:val="nil" w:sz="6" w:space="0" w:color="auto"/>
              <w:left w:val="nil" w:sz="6" w:space="0" w:color="auto"/>
              <w:bottom w:val="nil" w:sz="6" w:space="0" w:color="auto"/>
              <w:right w:val="nil" w:sz="6" w:space="0" w:color="auto"/>
            </w:tcBorders>
          </w:tcPr>
          <w:p>
            <w:pPr>
              <w:pStyle w:val="TableParagraph"/>
              <w:tabs>
                <w:tab w:pos="975" w:val="left" w:leader="none"/>
                <w:tab w:pos="2301" w:val="left" w:leader="none"/>
              </w:tabs>
              <w:spacing w:line="240" w:lineRule="auto" w:before="25"/>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172,437,172</w:t>
            </w:r>
            <w:r>
              <w:rPr>
                <w:rFonts w:ascii="Arial"/>
                <w:sz w:val="22"/>
                <w:u w:val="single" w:color="000000"/>
              </w:rPr>
              <w:tab/>
            </w:r>
            <w:r>
              <w:rPr>
                <w:rFonts w:ascii="Arial"/>
                <w:sz w:val="22"/>
              </w:rPr>
            </w:r>
          </w:p>
        </w:tc>
      </w:tr>
      <w:tr>
        <w:trPr>
          <w:trHeight w:val="419"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减：应付内退员工补偿费（流动部分）</w:t>
            </w: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32"/>
              <w:jc w:val="right"/>
              <w:rPr>
                <w:rFonts w:ascii="Arial" w:hAnsi="Arial" w:cs="Arial" w:eastAsia="Arial" w:hint="default"/>
                <w:sz w:val="22"/>
                <w:szCs w:val="22"/>
              </w:rPr>
            </w:pPr>
            <w:r>
              <w:rPr>
                <w:rFonts w:ascii="Arial"/>
                <w:w w:val="95"/>
                <w:sz w:val="22"/>
              </w:rPr>
              <w:t>(1,199,906)</w:t>
            </w:r>
            <w:r>
              <w:rPr>
                <w:rFonts w:ascii="Arial"/>
                <w:sz w:val="22"/>
              </w:rPr>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8"/>
              <w:jc w:val="right"/>
              <w:rPr>
                <w:rFonts w:ascii="Arial" w:hAnsi="Arial" w:cs="Arial" w:eastAsia="Arial" w:hint="default"/>
                <w:sz w:val="22"/>
                <w:szCs w:val="22"/>
              </w:rPr>
            </w:pPr>
            <w:r>
              <w:rPr>
                <w:rFonts w:ascii="Arial"/>
                <w:w w:val="95"/>
                <w:sz w:val="22"/>
              </w:rPr>
              <w:t>(1,383,595)</w:t>
            </w:r>
            <w:r>
              <w:rPr>
                <w:rFonts w:ascii="Arial"/>
                <w:sz w:val="22"/>
              </w:rPr>
            </w:r>
          </w:p>
        </w:tc>
      </w:tr>
      <w:tr>
        <w:trPr>
          <w:trHeight w:val="286"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39" w:lineRule="exact"/>
              <w:ind w:left="634" w:right="0"/>
              <w:jc w:val="left"/>
              <w:rPr>
                <w:rFonts w:ascii="宋体" w:hAnsi="宋体" w:cs="宋体" w:eastAsia="宋体" w:hint="default"/>
                <w:sz w:val="22"/>
                <w:szCs w:val="22"/>
              </w:rPr>
            </w:pPr>
            <w:r>
              <w:rPr>
                <w:rFonts w:ascii="宋体" w:hAnsi="宋体" w:cs="宋体" w:eastAsia="宋体" w:hint="default"/>
                <w:sz w:val="22"/>
                <w:szCs w:val="22"/>
              </w:rPr>
              <w:t>应付离退休后补充福利（流动部分）</w:t>
            </w: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1"/>
              <w:jc w:val="right"/>
              <w:rPr>
                <w:rFonts w:ascii="Arial" w:hAnsi="Arial" w:cs="Arial" w:eastAsia="Arial" w:hint="default"/>
                <w:sz w:val="22"/>
                <w:szCs w:val="22"/>
              </w:rPr>
            </w:pPr>
            <w:r>
              <w:rPr>
                <w:rFonts w:ascii="Arial"/>
                <w:w w:val="95"/>
                <w:sz w:val="22"/>
              </w:rPr>
              <w:t>(10,715,788)</w:t>
            </w:r>
            <w:r>
              <w:rPr>
                <w:rFonts w:ascii="Arial"/>
                <w:sz w:val="22"/>
              </w:rPr>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8"/>
              <w:jc w:val="right"/>
              <w:rPr>
                <w:rFonts w:ascii="Arial" w:hAnsi="Arial" w:cs="Arial" w:eastAsia="Arial" w:hint="default"/>
                <w:sz w:val="22"/>
                <w:szCs w:val="22"/>
              </w:rPr>
            </w:pPr>
            <w:r>
              <w:rPr>
                <w:rFonts w:ascii="Arial"/>
                <w:w w:val="95"/>
                <w:sz w:val="22"/>
              </w:rPr>
              <w:t>(4,441,950)</w:t>
            </w:r>
            <w:r>
              <w:rPr>
                <w:rFonts w:ascii="Arial"/>
                <w:sz w:val="22"/>
              </w:rPr>
            </w:r>
          </w:p>
        </w:tc>
      </w:tr>
      <w:tr>
        <w:trPr>
          <w:trHeight w:val="293"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39" w:lineRule="exact"/>
              <w:ind w:left="634" w:right="0"/>
              <w:jc w:val="left"/>
              <w:rPr>
                <w:rFonts w:ascii="宋体" w:hAnsi="宋体" w:cs="宋体" w:eastAsia="宋体" w:hint="default"/>
                <w:sz w:val="22"/>
                <w:szCs w:val="22"/>
              </w:rPr>
            </w:pPr>
            <w:r>
              <w:rPr>
                <w:rFonts w:ascii="宋体" w:hAnsi="宋体" w:cs="宋体" w:eastAsia="宋体" w:hint="default"/>
                <w:sz w:val="22"/>
                <w:szCs w:val="22"/>
              </w:rPr>
              <w:t>应付融资租赁款（流动部分）</w:t>
            </w:r>
          </w:p>
        </w:tc>
        <w:tc>
          <w:tcPr>
            <w:tcW w:w="2360" w:type="dxa"/>
            <w:tcBorders>
              <w:top w:val="nil" w:sz="6" w:space="0" w:color="auto"/>
              <w:left w:val="nil" w:sz="6" w:space="0" w:color="auto"/>
              <w:bottom w:val="nil" w:sz="6" w:space="0" w:color="auto"/>
              <w:right w:val="nil" w:sz="6" w:space="0" w:color="auto"/>
            </w:tcBorders>
          </w:tcPr>
          <w:p>
            <w:pPr>
              <w:pStyle w:val="TableParagraph"/>
              <w:tabs>
                <w:tab w:pos="955" w:val="left" w:leader="none"/>
              </w:tabs>
              <w:spacing w:line="240" w:lineRule="auto" w:before="17"/>
              <w:ind w:right="32"/>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(127,508,142)</w:t>
            </w:r>
            <w:r>
              <w:rPr>
                <w:rFonts w:ascii="Arial"/>
                <w:w w:val="95"/>
                <w:sz w:val="22"/>
              </w:rPr>
            </w:r>
            <w:r>
              <w:rPr>
                <w:rFonts w:ascii="Arial"/>
                <w:sz w:val="22"/>
              </w:rPr>
            </w:r>
          </w:p>
        </w:tc>
        <w:tc>
          <w:tcPr>
            <w:tcW w:w="2386" w:type="dxa"/>
            <w:tcBorders>
              <w:top w:val="nil" w:sz="6" w:space="0" w:color="auto"/>
              <w:left w:val="nil" w:sz="6" w:space="0" w:color="auto"/>
              <w:bottom w:val="nil" w:sz="6" w:space="0" w:color="auto"/>
              <w:right w:val="nil" w:sz="6" w:space="0" w:color="auto"/>
            </w:tcBorders>
          </w:tcPr>
          <w:p>
            <w:pPr>
              <w:pStyle w:val="TableParagraph"/>
              <w:tabs>
                <w:tab w:pos="1023" w:val="left" w:leader="none"/>
              </w:tabs>
              <w:spacing w:line="240" w:lineRule="auto" w:before="17"/>
              <w:ind w:right="28"/>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(78,150,630)</w:t>
            </w:r>
            <w:r>
              <w:rPr>
                <w:rFonts w:ascii="Arial"/>
                <w:w w:val="95"/>
                <w:sz w:val="22"/>
              </w:rPr>
            </w:r>
            <w:r>
              <w:rPr>
                <w:rFonts w:ascii="Arial"/>
                <w:sz w:val="22"/>
              </w:rPr>
            </w:r>
          </w:p>
        </w:tc>
      </w:tr>
      <w:tr>
        <w:trPr>
          <w:trHeight w:val="427"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360" w:type="dxa"/>
            <w:tcBorders>
              <w:top w:val="nil" w:sz="6" w:space="0" w:color="auto"/>
              <w:left w:val="nil" w:sz="6" w:space="0" w:color="auto"/>
              <w:bottom w:val="nil" w:sz="6" w:space="0" w:color="auto"/>
              <w:right w:val="nil" w:sz="6" w:space="0" w:color="auto"/>
            </w:tcBorders>
          </w:tcPr>
          <w:p>
            <w:pPr>
              <w:pStyle w:val="TableParagraph"/>
              <w:tabs>
                <w:tab w:pos="955" w:val="left" w:leader="none"/>
              </w:tabs>
              <w:spacing w:line="240" w:lineRule="auto" w:before="25"/>
              <w:ind w:right="31"/>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(139,423,836)</w:t>
            </w:r>
            <w:r>
              <w:rPr>
                <w:rFonts w:ascii="Arial"/>
                <w:w w:val="95"/>
                <w:sz w:val="22"/>
              </w:rPr>
            </w:r>
            <w:r>
              <w:rPr>
                <w:rFonts w:ascii="Arial"/>
                <w:sz w:val="22"/>
              </w:rPr>
            </w:r>
          </w:p>
        </w:tc>
        <w:tc>
          <w:tcPr>
            <w:tcW w:w="2386" w:type="dxa"/>
            <w:tcBorders>
              <w:top w:val="nil" w:sz="6" w:space="0" w:color="auto"/>
              <w:left w:val="nil" w:sz="6" w:space="0" w:color="auto"/>
              <w:bottom w:val="nil" w:sz="6" w:space="0" w:color="auto"/>
              <w:right w:val="nil" w:sz="6" w:space="0" w:color="auto"/>
            </w:tcBorders>
          </w:tcPr>
          <w:p>
            <w:pPr>
              <w:pStyle w:val="TableParagraph"/>
              <w:tabs>
                <w:tab w:pos="1023" w:val="left" w:leader="none"/>
              </w:tabs>
              <w:spacing w:line="240" w:lineRule="auto" w:before="25"/>
              <w:ind w:right="28"/>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(83,976,175)</w:t>
            </w:r>
            <w:r>
              <w:rPr>
                <w:rFonts w:ascii="Arial"/>
                <w:w w:val="95"/>
                <w:sz w:val="22"/>
              </w:rPr>
            </w:r>
            <w:r>
              <w:rPr>
                <w:rFonts w:ascii="Arial"/>
                <w:sz w:val="22"/>
              </w:rPr>
            </w:r>
          </w:p>
        </w:tc>
      </w:tr>
      <w:tr>
        <w:trPr>
          <w:trHeight w:val="431"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2"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60"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03"/>
              <w:jc w:val="right"/>
              <w:rPr>
                <w:rFonts w:ascii="Arial" w:hAnsi="Arial" w:cs="Arial" w:eastAsia="Arial" w:hint="default"/>
                <w:sz w:val="22"/>
                <w:szCs w:val="22"/>
              </w:rPr>
            </w:pPr>
            <w:r>
              <w:rPr>
                <w:rFonts w:ascii="Arial"/>
                <w:w w:val="95"/>
                <w:sz w:val="22"/>
              </w:rPr>
              <w:t>331,300,694</w:t>
            </w:r>
            <w:r>
              <w:rPr>
                <w:rFonts w:ascii="Arial"/>
                <w:sz w:val="22"/>
              </w:rPr>
            </w:r>
          </w:p>
        </w:tc>
        <w:tc>
          <w:tcPr>
            <w:tcW w:w="2386"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01"/>
              <w:jc w:val="right"/>
              <w:rPr>
                <w:rFonts w:ascii="Arial" w:hAnsi="Arial" w:cs="Arial" w:eastAsia="Arial" w:hint="default"/>
                <w:sz w:val="22"/>
                <w:szCs w:val="22"/>
              </w:rPr>
            </w:pPr>
            <w:r>
              <w:rPr>
                <w:rFonts w:ascii="Arial"/>
                <w:w w:val="95"/>
                <w:sz w:val="22"/>
              </w:rPr>
              <w:t>88,460,997</w:t>
            </w:r>
            <w:r>
              <w:rPr>
                <w:rFonts w:ascii="Arial"/>
                <w:sz w:val="22"/>
              </w:rPr>
            </w:r>
          </w:p>
        </w:tc>
      </w:tr>
    </w:tbl>
    <w:p>
      <w:pPr>
        <w:spacing w:line="240" w:lineRule="auto" w:before="8"/>
        <w:rPr>
          <w:rFonts w:ascii="宋体" w:hAnsi="宋体" w:cs="宋体" w:eastAsia="宋体" w:hint="default"/>
          <w:sz w:val="10"/>
          <w:szCs w:val="10"/>
        </w:rPr>
      </w:pPr>
    </w:p>
    <w:p>
      <w:pPr>
        <w:pStyle w:val="BodyText"/>
        <w:spacing w:line="240" w:lineRule="auto" w:before="31"/>
        <w:ind w:left="102" w:right="0"/>
        <w:jc w:val="left"/>
      </w:pPr>
      <w:r>
        <w:rPr>
          <w:rFonts w:ascii="Arial" w:hAnsi="Arial" w:cs="Arial" w:eastAsia="Arial" w:hint="default"/>
        </w:rPr>
        <w:t>(a) </w:t>
      </w:r>
      <w:r>
        <w:rPr>
          <w:rFonts w:ascii="Arial" w:hAnsi="Arial" w:cs="Arial" w:eastAsia="Arial" w:hint="default"/>
          <w:spacing w:val="21"/>
        </w:rPr>
        <w:t> </w:t>
      </w:r>
      <w:r>
        <w:rPr/>
        <w:t>长期应付款到期日分析如下：</w:t>
      </w:r>
    </w:p>
    <w:p>
      <w:pPr>
        <w:spacing w:line="240" w:lineRule="auto" w:before="9"/>
        <w:rPr>
          <w:rFonts w:ascii="宋体" w:hAnsi="宋体" w:cs="宋体" w:eastAsia="宋体" w:hint="default"/>
          <w:sz w:val="19"/>
          <w:szCs w:val="19"/>
        </w:rPr>
      </w:pPr>
    </w:p>
    <w:tbl>
      <w:tblPr>
        <w:tblW w:w="0" w:type="auto"/>
        <w:jc w:val="left"/>
        <w:tblInd w:w="334" w:type="dxa"/>
        <w:tblLayout w:type="fixed"/>
        <w:tblCellMar>
          <w:top w:w="0" w:type="dxa"/>
          <w:left w:w="0" w:type="dxa"/>
          <w:bottom w:w="0" w:type="dxa"/>
          <w:right w:w="0" w:type="dxa"/>
        </w:tblCellMar>
        <w:tblLook w:val="01E0"/>
      </w:tblPr>
      <w:tblGrid>
        <w:gridCol w:w="4472"/>
        <w:gridCol w:w="2380"/>
        <w:gridCol w:w="2390"/>
      </w:tblGrid>
      <w:tr>
        <w:trPr>
          <w:trHeight w:val="261" w:hRule="exact"/>
        </w:trPr>
        <w:tc>
          <w:tcPr>
            <w:tcW w:w="4472" w:type="dxa"/>
            <w:tcBorders>
              <w:top w:val="nil" w:sz="6" w:space="0" w:color="auto"/>
              <w:left w:val="nil" w:sz="6" w:space="0" w:color="auto"/>
              <w:bottom w:val="nil" w:sz="6" w:space="0" w:color="auto"/>
              <w:right w:val="nil" w:sz="6" w:space="0" w:color="auto"/>
            </w:tcBorders>
          </w:tcPr>
          <w:p>
            <w:pPr/>
          </w:p>
        </w:tc>
        <w:tc>
          <w:tcPr>
            <w:tcW w:w="2380" w:type="dxa"/>
            <w:tcBorders>
              <w:top w:val="nil" w:sz="6" w:space="0" w:color="auto"/>
              <w:left w:val="nil" w:sz="6" w:space="0" w:color="auto"/>
              <w:bottom w:val="single" w:sz="6" w:space="0" w:color="000000"/>
              <w:right w:val="nil" w:sz="6" w:space="0" w:color="auto"/>
            </w:tcBorders>
          </w:tcPr>
          <w:p>
            <w:pPr>
              <w:pStyle w:val="TableParagraph"/>
              <w:spacing w:line="235" w:lineRule="exact"/>
              <w:ind w:left="357" w:right="0"/>
              <w:jc w:val="lef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390" w:type="dxa"/>
            <w:tcBorders>
              <w:top w:val="nil" w:sz="6" w:space="0" w:color="auto"/>
              <w:left w:val="nil" w:sz="6" w:space="0" w:color="auto"/>
              <w:bottom w:val="single" w:sz="6" w:space="0" w:color="000000"/>
              <w:right w:val="nil" w:sz="6" w:space="0" w:color="auto"/>
            </w:tcBorders>
          </w:tcPr>
          <w:p>
            <w:pPr>
              <w:pStyle w:val="TableParagraph"/>
              <w:spacing w:line="235" w:lineRule="exact"/>
              <w:ind w:right="41"/>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8" w:hRule="exact"/>
        </w:trPr>
        <w:tc>
          <w:tcPr>
            <w:tcW w:w="447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7"/>
                <w:sz w:val="22"/>
                <w:szCs w:val="22"/>
              </w:rPr>
              <w:t> </w:t>
            </w:r>
            <w:r>
              <w:rPr>
                <w:rFonts w:ascii="宋体" w:hAnsi="宋体" w:cs="宋体" w:eastAsia="宋体" w:hint="default"/>
                <w:sz w:val="22"/>
                <w:szCs w:val="22"/>
              </w:rPr>
              <w:t>到</w:t>
            </w:r>
            <w:r>
              <w:rPr>
                <w:rFonts w:ascii="宋体" w:hAnsi="宋体" w:cs="宋体" w:eastAsia="宋体" w:hint="default"/>
                <w:spacing w:val="-56"/>
                <w:sz w:val="22"/>
                <w:szCs w:val="22"/>
              </w:rPr>
              <w:t> </w:t>
            </w:r>
            <w:r>
              <w:rPr>
                <w:rFonts w:ascii="Arial" w:hAnsi="Arial" w:cs="Arial" w:eastAsia="Arial" w:hint="default"/>
                <w:sz w:val="22"/>
                <w:szCs w:val="22"/>
              </w:rPr>
              <w:t>2</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38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66" w:right="0"/>
              <w:jc w:val="left"/>
              <w:rPr>
                <w:rFonts w:ascii="Arial" w:hAnsi="Arial" w:cs="Arial" w:eastAsia="Arial" w:hint="default"/>
                <w:sz w:val="22"/>
                <w:szCs w:val="22"/>
              </w:rPr>
            </w:pPr>
            <w:r>
              <w:rPr>
                <w:rFonts w:ascii="Arial"/>
                <w:sz w:val="22"/>
              </w:rPr>
              <w:t>134,758,142</w:t>
            </w:r>
          </w:p>
        </w:tc>
        <w:tc>
          <w:tcPr>
            <w:tcW w:w="239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4"/>
              <w:jc w:val="right"/>
              <w:rPr>
                <w:rFonts w:ascii="Arial" w:hAnsi="Arial" w:cs="Arial" w:eastAsia="Arial" w:hint="default"/>
                <w:sz w:val="22"/>
                <w:szCs w:val="22"/>
              </w:rPr>
            </w:pPr>
            <w:r>
              <w:rPr>
                <w:rFonts w:ascii="Arial"/>
                <w:w w:val="95"/>
                <w:sz w:val="22"/>
              </w:rPr>
              <w:t>5,829,999</w:t>
            </w:r>
            <w:r>
              <w:rPr>
                <w:rFonts w:ascii="Arial"/>
                <w:sz w:val="22"/>
              </w:rPr>
            </w:r>
          </w:p>
        </w:tc>
      </w:tr>
      <w:tr>
        <w:trPr>
          <w:trHeight w:val="285" w:hRule="exact"/>
        </w:trPr>
        <w:tc>
          <w:tcPr>
            <w:tcW w:w="4472"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2</w:t>
            </w:r>
            <w:r>
              <w:rPr>
                <w:rFonts w:ascii="Arial" w:hAnsi="Arial" w:cs="Arial" w:eastAsia="Arial" w:hint="default"/>
                <w:spacing w:val="-7"/>
                <w:sz w:val="22"/>
                <w:szCs w:val="22"/>
              </w:rPr>
              <w:t> </w:t>
            </w:r>
            <w:r>
              <w:rPr>
                <w:rFonts w:ascii="宋体" w:hAnsi="宋体" w:cs="宋体" w:eastAsia="宋体" w:hint="default"/>
                <w:sz w:val="22"/>
                <w:szCs w:val="22"/>
              </w:rPr>
              <w:t>到</w:t>
            </w:r>
            <w:r>
              <w:rPr>
                <w:rFonts w:ascii="宋体" w:hAnsi="宋体" w:cs="宋体" w:eastAsia="宋体" w:hint="default"/>
                <w:spacing w:val="-56"/>
                <w:sz w:val="22"/>
                <w:szCs w:val="22"/>
              </w:rPr>
              <w:t> </w:t>
            </w:r>
            <w:r>
              <w:rPr>
                <w:rFonts w:ascii="Arial" w:hAnsi="Arial" w:cs="Arial" w:eastAsia="Arial" w:hint="default"/>
                <w:sz w:val="22"/>
                <w:szCs w:val="22"/>
              </w:rPr>
              <w:t>5</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66" w:right="0"/>
              <w:jc w:val="left"/>
              <w:rPr>
                <w:rFonts w:ascii="Arial" w:hAnsi="Arial" w:cs="Arial" w:eastAsia="Arial" w:hint="default"/>
                <w:sz w:val="22"/>
                <w:szCs w:val="22"/>
              </w:rPr>
            </w:pPr>
            <w:r>
              <w:rPr>
                <w:rFonts w:ascii="Arial"/>
                <w:sz w:val="22"/>
              </w:rPr>
              <w:t>111,154,804</w:t>
            </w:r>
          </w:p>
        </w:tc>
        <w:tc>
          <w:tcPr>
            <w:tcW w:w="239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3"/>
              <w:jc w:val="right"/>
              <w:rPr>
                <w:rFonts w:ascii="Arial" w:hAnsi="Arial" w:cs="Arial" w:eastAsia="Arial" w:hint="default"/>
                <w:sz w:val="22"/>
                <w:szCs w:val="22"/>
              </w:rPr>
            </w:pPr>
            <w:r>
              <w:rPr>
                <w:rFonts w:ascii="Arial"/>
                <w:w w:val="95"/>
                <w:sz w:val="22"/>
              </w:rPr>
              <w:t>17,490,000</w:t>
            </w:r>
            <w:r>
              <w:rPr>
                <w:rFonts w:ascii="Arial"/>
                <w:sz w:val="22"/>
              </w:rPr>
            </w:r>
          </w:p>
        </w:tc>
      </w:tr>
      <w:tr>
        <w:trPr>
          <w:trHeight w:val="419" w:hRule="exact"/>
        </w:trPr>
        <w:tc>
          <w:tcPr>
            <w:tcW w:w="4472"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5</w:t>
            </w:r>
            <w:r>
              <w:rPr>
                <w:rFonts w:ascii="Arial" w:hAnsi="Arial" w:cs="Arial" w:eastAsia="Arial" w:hint="default"/>
                <w:spacing w:val="-8"/>
                <w:sz w:val="22"/>
                <w:szCs w:val="22"/>
              </w:rPr>
              <w:t> </w:t>
            </w:r>
            <w:r>
              <w:rPr>
                <w:rFonts w:ascii="宋体" w:hAnsi="宋体" w:cs="宋体" w:eastAsia="宋体" w:hint="default"/>
                <w:sz w:val="22"/>
                <w:szCs w:val="22"/>
              </w:rPr>
              <w:t>年以上</w:t>
            </w:r>
          </w:p>
        </w:tc>
        <w:tc>
          <w:tcPr>
            <w:tcW w:w="2380" w:type="dxa"/>
            <w:tcBorders>
              <w:top w:val="nil" w:sz="6" w:space="0" w:color="auto"/>
              <w:left w:val="nil" w:sz="6" w:space="0" w:color="auto"/>
              <w:bottom w:val="nil" w:sz="6" w:space="0" w:color="auto"/>
              <w:right w:val="nil" w:sz="6" w:space="0" w:color="auto"/>
            </w:tcBorders>
          </w:tcPr>
          <w:p>
            <w:pPr>
              <w:pStyle w:val="TableParagraph"/>
              <w:tabs>
                <w:tab w:pos="1187" w:val="left" w:leader="none"/>
                <w:tab w:pos="2379" w:val="left" w:leader="none"/>
              </w:tabs>
              <w:spacing w:line="240" w:lineRule="auto" w:before="17"/>
              <w:ind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85,387,748</w:t>
              <w:tab/>
            </w:r>
            <w:r>
              <w:rPr>
                <w:rFonts w:ascii="Arial"/>
                <w:sz w:val="22"/>
              </w:rPr>
            </w:r>
          </w:p>
        </w:tc>
        <w:tc>
          <w:tcPr>
            <w:tcW w:w="2390" w:type="dxa"/>
            <w:tcBorders>
              <w:top w:val="nil" w:sz="6" w:space="0" w:color="auto"/>
              <w:left w:val="nil" w:sz="6" w:space="0" w:color="auto"/>
              <w:bottom w:val="nil" w:sz="6" w:space="0" w:color="auto"/>
              <w:right w:val="nil" w:sz="6" w:space="0" w:color="auto"/>
            </w:tcBorders>
          </w:tcPr>
          <w:p>
            <w:pPr>
              <w:pStyle w:val="TableParagraph"/>
              <w:tabs>
                <w:tab w:pos="1108" w:val="left" w:leader="none"/>
                <w:tab w:pos="2306"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65,140,998</w:t>
            </w:r>
            <w:r>
              <w:rPr>
                <w:rFonts w:ascii="Arial"/>
                <w:sz w:val="22"/>
                <w:u w:val="single" w:color="000000"/>
              </w:rPr>
              <w:tab/>
            </w:r>
            <w:r>
              <w:rPr>
                <w:rFonts w:ascii="Arial"/>
                <w:sz w:val="22"/>
              </w:rPr>
            </w:r>
          </w:p>
        </w:tc>
      </w:tr>
      <w:tr>
        <w:trPr>
          <w:trHeight w:val="431" w:hRule="exact"/>
        </w:trPr>
        <w:tc>
          <w:tcPr>
            <w:tcW w:w="447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80"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1066" w:right="0"/>
              <w:jc w:val="left"/>
              <w:rPr>
                <w:rFonts w:ascii="Arial" w:hAnsi="Arial" w:cs="Arial" w:eastAsia="Arial" w:hint="default"/>
                <w:sz w:val="22"/>
                <w:szCs w:val="22"/>
              </w:rPr>
            </w:pPr>
            <w:r>
              <w:rPr>
                <w:rFonts w:ascii="Arial"/>
                <w:sz w:val="22"/>
              </w:rPr>
              <w:t>331,300,694</w:t>
            </w:r>
          </w:p>
        </w:tc>
        <w:tc>
          <w:tcPr>
            <w:tcW w:w="2390"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94"/>
              <w:jc w:val="right"/>
              <w:rPr>
                <w:rFonts w:ascii="Arial" w:hAnsi="Arial" w:cs="Arial" w:eastAsia="Arial" w:hint="default"/>
                <w:sz w:val="22"/>
                <w:szCs w:val="22"/>
              </w:rPr>
            </w:pPr>
            <w:r>
              <w:rPr>
                <w:rFonts w:ascii="Arial"/>
                <w:w w:val="95"/>
                <w:sz w:val="22"/>
              </w:rPr>
              <w:t>88,460,997</w:t>
            </w:r>
            <w:r>
              <w:rPr>
                <w:rFonts w:ascii="Arial"/>
                <w:sz w:val="22"/>
              </w:rPr>
            </w:r>
          </w:p>
        </w:tc>
      </w:tr>
    </w:tbl>
    <w:p>
      <w:pPr>
        <w:spacing w:line="240" w:lineRule="auto" w:before="8"/>
        <w:rPr>
          <w:rFonts w:ascii="宋体" w:hAnsi="宋体" w:cs="宋体" w:eastAsia="宋体" w:hint="default"/>
          <w:sz w:val="15"/>
          <w:szCs w:val="15"/>
        </w:rPr>
      </w:pPr>
    </w:p>
    <w:p>
      <w:pPr>
        <w:pStyle w:val="BodyText"/>
        <w:spacing w:line="240" w:lineRule="auto"/>
        <w:ind w:left="102" w:right="0"/>
        <w:jc w:val="left"/>
      </w:pPr>
      <w:r>
        <w:rPr>
          <w:rFonts w:ascii="Arial" w:hAnsi="Arial" w:cs="Arial" w:eastAsia="Arial" w:hint="default"/>
        </w:rPr>
        <w:t>(b) </w:t>
      </w:r>
      <w:r>
        <w:rPr>
          <w:rFonts w:ascii="Arial" w:hAnsi="Arial" w:cs="Arial" w:eastAsia="Arial" w:hint="default"/>
          <w:spacing w:val="22"/>
        </w:rPr>
        <w:t> </w:t>
      </w:r>
      <w:r>
        <w:rPr/>
        <w:t>应付融资租赁款明细</w:t>
      </w:r>
    </w:p>
    <w:p>
      <w:pPr>
        <w:spacing w:line="240" w:lineRule="auto" w:before="8"/>
        <w:rPr>
          <w:rFonts w:ascii="宋体" w:hAnsi="宋体" w:cs="宋体" w:eastAsia="宋体" w:hint="default"/>
          <w:sz w:val="19"/>
          <w:szCs w:val="19"/>
        </w:rPr>
      </w:pPr>
    </w:p>
    <w:tbl>
      <w:tblPr>
        <w:tblW w:w="0" w:type="auto"/>
        <w:jc w:val="left"/>
        <w:tblInd w:w="352" w:type="dxa"/>
        <w:tblLayout w:type="fixed"/>
        <w:tblCellMar>
          <w:top w:w="0" w:type="dxa"/>
          <w:left w:w="0" w:type="dxa"/>
          <w:bottom w:w="0" w:type="dxa"/>
          <w:right w:w="0" w:type="dxa"/>
        </w:tblCellMar>
        <w:tblLook w:val="01E0"/>
      </w:tblPr>
      <w:tblGrid>
        <w:gridCol w:w="1866"/>
        <w:gridCol w:w="1813"/>
        <w:gridCol w:w="68"/>
        <w:gridCol w:w="1558"/>
        <w:gridCol w:w="1926"/>
        <w:gridCol w:w="119"/>
        <w:gridCol w:w="1870"/>
      </w:tblGrid>
      <w:tr>
        <w:trPr>
          <w:trHeight w:val="261" w:hRule="exact"/>
        </w:trPr>
        <w:tc>
          <w:tcPr>
            <w:tcW w:w="5304" w:type="dxa"/>
            <w:gridSpan w:val="4"/>
            <w:tcBorders>
              <w:top w:val="nil" w:sz="6" w:space="0" w:color="auto"/>
              <w:left w:val="nil" w:sz="6" w:space="0" w:color="auto"/>
              <w:bottom w:val="nil" w:sz="6" w:space="0" w:color="auto"/>
              <w:right w:val="nil" w:sz="6" w:space="0" w:color="auto"/>
            </w:tcBorders>
          </w:tcPr>
          <w:p>
            <w:pPr>
              <w:pStyle w:val="TableParagraph"/>
              <w:spacing w:line="235" w:lineRule="exact"/>
              <w:ind w:left="2765" w:right="0"/>
              <w:jc w:val="left"/>
              <w:rPr>
                <w:rFonts w:ascii="宋体" w:hAnsi="宋体" w:cs="宋体" w:eastAsia="宋体" w:hint="default"/>
                <w:sz w:val="22"/>
                <w:szCs w:val="22"/>
              </w:rPr>
            </w:pPr>
            <w:r>
              <w:rPr>
                <w:rFonts w:ascii="Arial" w:hAnsi="Arial" w:cs="Arial" w:eastAsia="Arial" w:hint="default"/>
                <w:sz w:val="22"/>
                <w:szCs w:val="22"/>
              </w:rPr>
              <w:t>2012</w:t>
            </w:r>
            <w:r>
              <w:rPr>
                <w:rFonts w:ascii="宋体" w:hAnsi="宋体" w:cs="宋体" w:eastAsia="宋体" w:hint="default"/>
                <w:sz w:val="22"/>
                <w:szCs w:val="22"/>
              </w:rPr>
              <w:t>年</w:t>
            </w:r>
            <w:r>
              <w:rPr>
                <w:rFonts w:ascii="Arial" w:hAnsi="Arial" w:cs="Arial" w:eastAsia="Arial" w:hint="default"/>
                <w:sz w:val="22"/>
                <w:szCs w:val="22"/>
              </w:rPr>
              <w:t>12</w:t>
            </w:r>
            <w:r>
              <w:rPr>
                <w:rFonts w:ascii="宋体" w:hAnsi="宋体" w:cs="宋体" w:eastAsia="宋体" w:hint="default"/>
                <w:sz w:val="22"/>
                <w:szCs w:val="22"/>
              </w:rPr>
              <w:t>月</w:t>
            </w:r>
            <w:r>
              <w:rPr>
                <w:rFonts w:ascii="Arial" w:hAnsi="Arial" w:cs="Arial" w:eastAsia="Arial" w:hint="default"/>
                <w:sz w:val="22"/>
                <w:szCs w:val="22"/>
              </w:rPr>
              <w:t>31</w:t>
            </w:r>
            <w:r>
              <w:rPr>
                <w:rFonts w:ascii="宋体" w:hAnsi="宋体" w:cs="宋体" w:eastAsia="宋体" w:hint="default"/>
                <w:sz w:val="22"/>
                <w:szCs w:val="22"/>
              </w:rPr>
              <w:t>日</w:t>
            </w:r>
          </w:p>
        </w:tc>
        <w:tc>
          <w:tcPr>
            <w:tcW w:w="3914" w:type="dxa"/>
            <w:gridSpan w:val="3"/>
            <w:tcBorders>
              <w:top w:val="nil" w:sz="6" w:space="0" w:color="auto"/>
              <w:left w:val="nil" w:sz="6" w:space="0" w:color="auto"/>
              <w:bottom w:val="single" w:sz="6" w:space="0" w:color="000000"/>
              <w:right w:val="nil" w:sz="6" w:space="0" w:color="auto"/>
            </w:tcBorders>
          </w:tcPr>
          <w:p>
            <w:pPr>
              <w:pStyle w:val="TableParagraph"/>
              <w:spacing w:line="235" w:lineRule="exact"/>
              <w:ind w:left="1187" w:right="0"/>
              <w:jc w:val="left"/>
              <w:rPr>
                <w:rFonts w:ascii="宋体" w:hAnsi="宋体" w:cs="宋体" w:eastAsia="宋体" w:hint="default"/>
                <w:sz w:val="22"/>
                <w:szCs w:val="22"/>
              </w:rPr>
            </w:pPr>
            <w:r>
              <w:rPr>
                <w:rFonts w:ascii="Arial" w:hAnsi="Arial" w:cs="Arial" w:eastAsia="Arial" w:hint="default"/>
                <w:sz w:val="22"/>
                <w:szCs w:val="22"/>
              </w:rPr>
              <w:t>2011</w:t>
            </w:r>
            <w:r>
              <w:rPr>
                <w:rFonts w:ascii="宋体" w:hAnsi="宋体" w:cs="宋体" w:eastAsia="宋体" w:hint="default"/>
                <w:sz w:val="22"/>
                <w:szCs w:val="22"/>
              </w:rPr>
              <w:t>年</w:t>
            </w:r>
            <w:r>
              <w:rPr>
                <w:rFonts w:ascii="Arial" w:hAnsi="Arial" w:cs="Arial" w:eastAsia="Arial" w:hint="default"/>
                <w:sz w:val="22"/>
                <w:szCs w:val="22"/>
              </w:rPr>
              <w:t>12</w:t>
            </w:r>
            <w:r>
              <w:rPr>
                <w:rFonts w:ascii="宋体" w:hAnsi="宋体" w:cs="宋体" w:eastAsia="宋体" w:hint="default"/>
                <w:sz w:val="22"/>
                <w:szCs w:val="22"/>
              </w:rPr>
              <w:t>月</w:t>
            </w:r>
            <w:r>
              <w:rPr>
                <w:rFonts w:ascii="Arial" w:hAnsi="Arial" w:cs="Arial" w:eastAsia="Arial" w:hint="default"/>
                <w:sz w:val="22"/>
                <w:szCs w:val="22"/>
              </w:rPr>
              <w:t>31</w:t>
            </w:r>
            <w:r>
              <w:rPr>
                <w:rFonts w:ascii="宋体" w:hAnsi="宋体" w:cs="宋体" w:eastAsia="宋体" w:hint="default"/>
                <w:sz w:val="22"/>
                <w:szCs w:val="22"/>
              </w:rPr>
              <w:t>日</w:t>
            </w:r>
          </w:p>
        </w:tc>
      </w:tr>
      <w:tr>
        <w:trPr>
          <w:trHeight w:val="300" w:hRule="exact"/>
        </w:trPr>
        <w:tc>
          <w:tcPr>
            <w:tcW w:w="3746" w:type="dxa"/>
            <w:gridSpan w:val="3"/>
            <w:tcBorders>
              <w:top w:val="nil" w:sz="6" w:space="0" w:color="auto"/>
              <w:left w:val="nil" w:sz="6" w:space="0" w:color="auto"/>
              <w:bottom w:val="nil" w:sz="6" w:space="0" w:color="auto"/>
              <w:right w:val="nil" w:sz="6" w:space="0" w:color="auto"/>
            </w:tcBorders>
          </w:tcPr>
          <w:p>
            <w:pPr>
              <w:pStyle w:val="TableParagraph"/>
              <w:spacing w:line="259" w:lineRule="exact"/>
              <w:ind w:left="1920" w:right="0"/>
              <w:jc w:val="left"/>
              <w:rPr>
                <w:rFonts w:ascii="宋体" w:hAnsi="宋体" w:cs="宋体" w:eastAsia="宋体" w:hint="default"/>
                <w:sz w:val="22"/>
                <w:szCs w:val="22"/>
              </w:rPr>
            </w:pPr>
            <w:r>
              <w:rPr>
                <w:rFonts w:ascii="宋体" w:hAnsi="宋体" w:cs="宋体" w:eastAsia="宋体" w:hint="default"/>
                <w:sz w:val="22"/>
                <w:szCs w:val="22"/>
              </w:rPr>
              <w:t>外币金额（美元）</w:t>
            </w:r>
          </w:p>
        </w:tc>
        <w:tc>
          <w:tcPr>
            <w:tcW w:w="1558" w:type="dxa"/>
            <w:tcBorders>
              <w:top w:val="single" w:sz="6" w:space="0" w:color="000000"/>
              <w:left w:val="nil" w:sz="6" w:space="0" w:color="auto"/>
              <w:bottom w:val="single" w:sz="6" w:space="0" w:color="000000"/>
              <w:right w:val="nil" w:sz="6" w:space="0" w:color="auto"/>
            </w:tcBorders>
          </w:tcPr>
          <w:p>
            <w:pPr>
              <w:pStyle w:val="TableParagraph"/>
              <w:spacing w:line="252" w:lineRule="exact"/>
              <w:ind w:right="70"/>
              <w:jc w:val="right"/>
              <w:rPr>
                <w:rFonts w:ascii="宋体" w:hAnsi="宋体" w:cs="宋体" w:eastAsia="宋体" w:hint="default"/>
                <w:sz w:val="22"/>
                <w:szCs w:val="22"/>
              </w:rPr>
            </w:pPr>
            <w:r>
              <w:rPr>
                <w:rFonts w:ascii="宋体" w:hAnsi="宋体" w:cs="宋体" w:eastAsia="宋体" w:hint="default"/>
                <w:w w:val="95"/>
                <w:sz w:val="22"/>
                <w:szCs w:val="22"/>
              </w:rPr>
              <w:t>人民币金额</w:t>
            </w:r>
            <w:r>
              <w:rPr>
                <w:rFonts w:ascii="宋体" w:hAnsi="宋体" w:cs="宋体" w:eastAsia="宋体" w:hint="default"/>
                <w:sz w:val="22"/>
                <w:szCs w:val="22"/>
              </w:rPr>
            </w:r>
          </w:p>
        </w:tc>
        <w:tc>
          <w:tcPr>
            <w:tcW w:w="1926" w:type="dxa"/>
            <w:tcBorders>
              <w:top w:val="single" w:sz="6" w:space="0" w:color="000000"/>
              <w:left w:val="nil" w:sz="6" w:space="0" w:color="auto"/>
              <w:bottom w:val="single" w:sz="6" w:space="0" w:color="000000"/>
              <w:right w:val="nil" w:sz="6" w:space="0" w:color="auto"/>
            </w:tcBorders>
          </w:tcPr>
          <w:p>
            <w:pPr>
              <w:pStyle w:val="TableParagraph"/>
              <w:spacing w:line="252" w:lineRule="exact"/>
              <w:ind w:left="208" w:right="0"/>
              <w:jc w:val="left"/>
              <w:rPr>
                <w:rFonts w:ascii="宋体" w:hAnsi="宋体" w:cs="宋体" w:eastAsia="宋体" w:hint="default"/>
                <w:sz w:val="22"/>
                <w:szCs w:val="22"/>
              </w:rPr>
            </w:pPr>
            <w:r>
              <w:rPr>
                <w:rFonts w:ascii="宋体" w:hAnsi="宋体" w:cs="宋体" w:eastAsia="宋体" w:hint="default"/>
                <w:spacing w:val="-6"/>
                <w:sz w:val="22"/>
                <w:szCs w:val="22"/>
              </w:rPr>
              <w:t>外币金额（美元）</w:t>
            </w:r>
          </w:p>
        </w:tc>
        <w:tc>
          <w:tcPr>
            <w:tcW w:w="119" w:type="dxa"/>
            <w:tcBorders>
              <w:top w:val="single" w:sz="6" w:space="0" w:color="000000"/>
              <w:left w:val="nil" w:sz="6" w:space="0" w:color="auto"/>
              <w:bottom w:val="nil" w:sz="6" w:space="0" w:color="auto"/>
              <w:right w:val="nil" w:sz="6" w:space="0" w:color="auto"/>
            </w:tcBorders>
          </w:tcPr>
          <w:p>
            <w:pPr/>
          </w:p>
        </w:tc>
        <w:tc>
          <w:tcPr>
            <w:tcW w:w="1870" w:type="dxa"/>
            <w:tcBorders>
              <w:top w:val="single" w:sz="6" w:space="0" w:color="000000"/>
              <w:left w:val="nil" w:sz="6" w:space="0" w:color="auto"/>
              <w:bottom w:val="single" w:sz="6" w:space="0" w:color="000000"/>
              <w:right w:val="nil" w:sz="6" w:space="0" w:color="auto"/>
            </w:tcBorders>
          </w:tcPr>
          <w:p>
            <w:pPr>
              <w:pStyle w:val="TableParagraph"/>
              <w:spacing w:line="252" w:lineRule="exact"/>
              <w:ind w:right="69"/>
              <w:jc w:val="right"/>
              <w:rPr>
                <w:rFonts w:ascii="宋体" w:hAnsi="宋体" w:cs="宋体" w:eastAsia="宋体" w:hint="default"/>
                <w:sz w:val="22"/>
                <w:szCs w:val="22"/>
              </w:rPr>
            </w:pPr>
            <w:r>
              <w:rPr>
                <w:rFonts w:ascii="宋体" w:hAnsi="宋体" w:cs="宋体" w:eastAsia="宋体" w:hint="default"/>
                <w:w w:val="95"/>
                <w:sz w:val="22"/>
                <w:szCs w:val="22"/>
              </w:rPr>
              <w:t>人民币金额</w:t>
            </w:r>
            <w:r>
              <w:rPr>
                <w:rFonts w:ascii="宋体" w:hAnsi="宋体" w:cs="宋体" w:eastAsia="宋体" w:hint="default"/>
                <w:sz w:val="22"/>
                <w:szCs w:val="22"/>
              </w:rPr>
            </w:r>
          </w:p>
        </w:tc>
      </w:tr>
      <w:tr>
        <w:trPr>
          <w:trHeight w:val="570" w:hRule="exact"/>
        </w:trPr>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应付融资租赁款</w:t>
            </w:r>
          </w:p>
        </w:tc>
        <w:tc>
          <w:tcPr>
            <w:tcW w:w="1813"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52" w:right="0"/>
              <w:jc w:val="left"/>
              <w:rPr>
                <w:rFonts w:ascii="Arial" w:hAnsi="Arial" w:cs="Arial" w:eastAsia="Arial" w:hint="default"/>
                <w:sz w:val="22"/>
                <w:szCs w:val="22"/>
              </w:rPr>
            </w:pPr>
            <w:r>
              <w:rPr>
                <w:rFonts w:ascii="Arial"/>
                <w:sz w:val="22"/>
              </w:rPr>
              <w:t>54,796,132</w:t>
            </w:r>
          </w:p>
        </w:tc>
        <w:tc>
          <w:tcPr>
            <w:tcW w:w="68" w:type="dxa"/>
            <w:tcBorders>
              <w:top w:val="nil" w:sz="6" w:space="0" w:color="auto"/>
              <w:left w:val="nil" w:sz="6" w:space="0" w:color="auto"/>
              <w:bottom w:val="nil" w:sz="6" w:space="0" w:color="auto"/>
              <w:right w:val="nil" w:sz="6" w:space="0" w:color="auto"/>
            </w:tcBorders>
          </w:tcPr>
          <w:p>
            <w:pPr/>
          </w:p>
        </w:tc>
        <w:tc>
          <w:tcPr>
            <w:tcW w:w="1558"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60"/>
              <w:jc w:val="right"/>
              <w:rPr>
                <w:rFonts w:ascii="Arial" w:hAnsi="Arial" w:cs="Arial" w:eastAsia="Arial" w:hint="default"/>
                <w:sz w:val="22"/>
                <w:szCs w:val="22"/>
              </w:rPr>
            </w:pPr>
            <w:r>
              <w:rPr>
                <w:rFonts w:ascii="Arial"/>
                <w:w w:val="95"/>
                <w:sz w:val="22"/>
              </w:rPr>
              <w:t>344,421,088</w:t>
            </w:r>
            <w:r>
              <w:rPr>
                <w:rFonts w:ascii="Arial"/>
                <w:sz w:val="22"/>
              </w:rPr>
            </w:r>
          </w:p>
        </w:tc>
        <w:tc>
          <w:tcPr>
            <w:tcW w:w="1926"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99" w:right="0"/>
              <w:jc w:val="left"/>
              <w:rPr>
                <w:rFonts w:ascii="Arial" w:hAnsi="Arial" w:cs="Arial" w:eastAsia="Arial" w:hint="default"/>
                <w:sz w:val="22"/>
                <w:szCs w:val="22"/>
              </w:rPr>
            </w:pPr>
            <w:r>
              <w:rPr>
                <w:rFonts w:ascii="Arial"/>
                <w:sz w:val="22"/>
              </w:rPr>
              <w:t>12,403,090</w:t>
            </w:r>
          </w:p>
        </w:tc>
        <w:tc>
          <w:tcPr>
            <w:tcW w:w="119" w:type="dxa"/>
            <w:tcBorders>
              <w:top w:val="nil" w:sz="6" w:space="0" w:color="auto"/>
              <w:left w:val="nil" w:sz="6" w:space="0" w:color="auto"/>
              <w:bottom w:val="nil" w:sz="6" w:space="0" w:color="auto"/>
              <w:right w:val="nil" w:sz="6" w:space="0" w:color="auto"/>
            </w:tcBorders>
          </w:tcPr>
          <w:p>
            <w:pPr/>
          </w:p>
        </w:tc>
        <w:tc>
          <w:tcPr>
            <w:tcW w:w="1870"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8"/>
              <w:jc w:val="right"/>
              <w:rPr>
                <w:rFonts w:ascii="Arial" w:hAnsi="Arial" w:cs="Arial" w:eastAsia="Arial" w:hint="default"/>
                <w:sz w:val="22"/>
                <w:szCs w:val="22"/>
              </w:rPr>
            </w:pPr>
            <w:r>
              <w:rPr>
                <w:rFonts w:ascii="Arial"/>
                <w:w w:val="95"/>
                <w:sz w:val="22"/>
              </w:rPr>
              <w:t>78,150,630</w:t>
            </w:r>
            <w:r>
              <w:rPr>
                <w:rFonts w:ascii="Arial"/>
                <w:sz w:val="22"/>
              </w:rPr>
            </w:r>
          </w:p>
        </w:tc>
      </w:tr>
    </w:tbl>
    <w:p>
      <w:pPr>
        <w:spacing w:after="0" w:line="240" w:lineRule="auto"/>
        <w:jc w:val="right"/>
        <w:rPr>
          <w:rFonts w:ascii="Arial" w:hAnsi="Arial" w:cs="Arial" w:eastAsia="Arial" w:hint="default"/>
          <w:sz w:val="22"/>
          <w:szCs w:val="22"/>
        </w:rPr>
        <w:sectPr>
          <w:headerReference w:type="default" r:id="rId111"/>
          <w:pgSz w:w="11910" w:h="16840"/>
          <w:pgMar w:header="1184" w:footer="457" w:top="3560" w:bottom="640" w:left="1280" w:right="920"/>
        </w:sectPr>
      </w:pPr>
    </w:p>
    <w:p>
      <w:pPr>
        <w:spacing w:line="240" w:lineRule="auto" w:before="12"/>
        <w:rPr>
          <w:rFonts w:ascii="宋体" w:hAnsi="宋体" w:cs="宋体" w:eastAsia="宋体" w:hint="default"/>
          <w:sz w:val="14"/>
          <w:szCs w:val="14"/>
        </w:rPr>
      </w:pPr>
    </w:p>
    <w:p>
      <w:pPr>
        <w:pStyle w:val="BodyText"/>
        <w:spacing w:line="240" w:lineRule="auto" w:before="31"/>
        <w:ind w:left="102" w:right="110"/>
        <w:jc w:val="left"/>
      </w:pPr>
      <w:r>
        <w:rPr>
          <w:rFonts w:ascii="Arial" w:hAnsi="Arial" w:cs="Arial" w:eastAsia="Arial" w:hint="default"/>
        </w:rPr>
        <w:t>29</w:t>
      </w:r>
      <w:r>
        <w:rPr/>
        <w:t>、长期应付款（续）</w:t>
      </w:r>
    </w:p>
    <w:p>
      <w:pPr>
        <w:spacing w:line="240" w:lineRule="auto" w:before="13"/>
        <w:rPr>
          <w:rFonts w:ascii="宋体" w:hAnsi="宋体" w:cs="宋体" w:eastAsia="宋体" w:hint="default"/>
          <w:sz w:val="16"/>
          <w:szCs w:val="16"/>
        </w:rPr>
      </w:pPr>
    </w:p>
    <w:p>
      <w:pPr>
        <w:pStyle w:val="BodyText"/>
        <w:spacing w:line="240" w:lineRule="auto"/>
        <w:ind w:left="102" w:right="110"/>
        <w:jc w:val="left"/>
      </w:pPr>
      <w:r>
        <w:rPr>
          <w:rFonts w:ascii="Arial" w:hAnsi="Arial" w:cs="Arial" w:eastAsia="Arial" w:hint="default"/>
        </w:rPr>
        <w:t>(b) </w:t>
      </w:r>
      <w:r>
        <w:rPr>
          <w:rFonts w:ascii="Arial" w:hAnsi="Arial" w:cs="Arial" w:eastAsia="Arial" w:hint="default"/>
          <w:spacing w:val="23"/>
        </w:rPr>
        <w:t> </w:t>
      </w:r>
      <w:r>
        <w:rPr/>
        <w:t>应付融资租赁款明细（续）</w:t>
      </w:r>
    </w:p>
    <w:p>
      <w:pPr>
        <w:spacing w:line="240" w:lineRule="auto" w:before="13"/>
        <w:rPr>
          <w:rFonts w:ascii="宋体" w:hAnsi="宋体" w:cs="宋体" w:eastAsia="宋体" w:hint="default"/>
          <w:sz w:val="16"/>
          <w:szCs w:val="16"/>
        </w:rPr>
      </w:pPr>
    </w:p>
    <w:p>
      <w:pPr>
        <w:pStyle w:val="BodyText"/>
        <w:spacing w:line="286" w:lineRule="exact"/>
        <w:ind w:left="522" w:right="110"/>
        <w:jc w:val="left"/>
      </w:pPr>
      <w:r>
        <w:rPr>
          <w:spacing w:val="7"/>
        </w:rPr>
        <w:t>应付融资租赁款为本集团融资租入固定资产的最低租赁付款额扣除未确认融资费用后的余额</w:t>
      </w:r>
    </w:p>
    <w:p>
      <w:pPr>
        <w:pStyle w:val="BodyText"/>
        <w:spacing w:line="286" w:lineRule="exact"/>
        <w:ind w:left="522" w:right="110"/>
        <w:jc w:val="left"/>
      </w:pPr>
      <w:r>
        <w:rPr/>
        <w:t>（附注十二）。</w:t>
      </w:r>
    </w:p>
    <w:p>
      <w:pPr>
        <w:spacing w:line="240" w:lineRule="auto" w:before="2"/>
        <w:rPr>
          <w:rFonts w:ascii="宋体" w:hAnsi="宋体" w:cs="宋体" w:eastAsia="宋体" w:hint="default"/>
          <w:sz w:val="19"/>
          <w:szCs w:val="19"/>
        </w:rPr>
      </w:pPr>
    </w:p>
    <w:p>
      <w:pPr>
        <w:pStyle w:val="BodyText"/>
        <w:spacing w:line="240" w:lineRule="auto"/>
        <w:ind w:left="102" w:right="110"/>
        <w:jc w:val="left"/>
      </w:pPr>
      <w:r>
        <w:rPr>
          <w:rFonts w:ascii="Arial" w:hAnsi="Arial" w:cs="Arial" w:eastAsia="Arial" w:hint="default"/>
        </w:rPr>
        <w:t>30</w:t>
      </w:r>
      <w:r>
        <w:rPr/>
        <w:t>、递延收益</w:t>
      </w:r>
    </w:p>
    <w:p>
      <w:pPr>
        <w:spacing w:line="240" w:lineRule="auto" w:before="2"/>
        <w:rPr>
          <w:rFonts w:ascii="宋体" w:hAnsi="宋体" w:cs="宋体" w:eastAsia="宋体" w:hint="default"/>
          <w:sz w:val="23"/>
          <w:szCs w:val="23"/>
        </w:rPr>
      </w:pPr>
    </w:p>
    <w:tbl>
      <w:tblPr>
        <w:tblW w:w="0" w:type="auto"/>
        <w:jc w:val="left"/>
        <w:tblInd w:w="351" w:type="dxa"/>
        <w:tblLayout w:type="fixed"/>
        <w:tblCellMar>
          <w:top w:w="0" w:type="dxa"/>
          <w:left w:w="0" w:type="dxa"/>
          <w:bottom w:w="0" w:type="dxa"/>
          <w:right w:w="0" w:type="dxa"/>
        </w:tblCellMar>
        <w:tblLook w:val="01E0"/>
      </w:tblPr>
      <w:tblGrid>
        <w:gridCol w:w="4619"/>
        <w:gridCol w:w="2230"/>
        <w:gridCol w:w="2366"/>
      </w:tblGrid>
      <w:tr>
        <w:trPr>
          <w:trHeight w:val="260" w:hRule="exact"/>
        </w:trPr>
        <w:tc>
          <w:tcPr>
            <w:tcW w:w="4619" w:type="dxa"/>
            <w:tcBorders>
              <w:top w:val="nil" w:sz="6" w:space="0" w:color="auto"/>
              <w:left w:val="nil" w:sz="6" w:space="0" w:color="auto"/>
              <w:bottom w:val="nil" w:sz="6" w:space="0" w:color="auto"/>
              <w:right w:val="nil" w:sz="6" w:space="0" w:color="auto"/>
            </w:tcBorders>
          </w:tcPr>
          <w:p>
            <w:pPr/>
          </w:p>
        </w:tc>
        <w:tc>
          <w:tcPr>
            <w:tcW w:w="2230" w:type="dxa"/>
            <w:tcBorders>
              <w:top w:val="nil" w:sz="6" w:space="0" w:color="auto"/>
              <w:left w:val="nil" w:sz="6" w:space="0" w:color="auto"/>
              <w:bottom w:val="single" w:sz="6" w:space="0" w:color="000000"/>
              <w:right w:val="nil" w:sz="6" w:space="0" w:color="auto"/>
            </w:tcBorders>
          </w:tcPr>
          <w:p>
            <w:pPr>
              <w:pStyle w:val="TableParagraph"/>
              <w:spacing w:line="235" w:lineRule="exact"/>
              <w:ind w:left="212" w:right="0"/>
              <w:jc w:val="lef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366" w:type="dxa"/>
            <w:tcBorders>
              <w:top w:val="nil" w:sz="6" w:space="0" w:color="auto"/>
              <w:left w:val="nil" w:sz="6" w:space="0" w:color="auto"/>
              <w:bottom w:val="single" w:sz="6" w:space="0" w:color="000000"/>
              <w:right w:val="nil" w:sz="6" w:space="0" w:color="auto"/>
            </w:tcBorders>
          </w:tcPr>
          <w:p>
            <w:pPr>
              <w:pStyle w:val="TableParagraph"/>
              <w:spacing w:line="235" w:lineRule="exact"/>
              <w:ind w:right="55"/>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9" w:hRule="exact"/>
        </w:trPr>
        <w:tc>
          <w:tcPr>
            <w:tcW w:w="461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递延的装移机收入</w:t>
            </w:r>
          </w:p>
        </w:tc>
        <w:tc>
          <w:tcPr>
            <w:tcW w:w="2230"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19"/>
              <w:jc w:val="right"/>
              <w:rPr>
                <w:rFonts w:ascii="Arial" w:hAnsi="Arial" w:cs="Arial" w:eastAsia="Arial" w:hint="default"/>
                <w:sz w:val="22"/>
                <w:szCs w:val="22"/>
              </w:rPr>
            </w:pPr>
            <w:r>
              <w:rPr>
                <w:rFonts w:ascii="Arial"/>
                <w:spacing w:val="-1"/>
                <w:sz w:val="22"/>
              </w:rPr>
              <w:t>1,315,019,558</w:t>
            </w:r>
          </w:p>
        </w:tc>
        <w:tc>
          <w:tcPr>
            <w:tcW w:w="2366"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82"/>
              <w:jc w:val="right"/>
              <w:rPr>
                <w:rFonts w:ascii="Arial" w:hAnsi="Arial" w:cs="Arial" w:eastAsia="Arial" w:hint="default"/>
                <w:sz w:val="22"/>
                <w:szCs w:val="22"/>
              </w:rPr>
            </w:pPr>
            <w:r>
              <w:rPr>
                <w:rFonts w:ascii="Arial"/>
                <w:spacing w:val="-1"/>
                <w:sz w:val="22"/>
              </w:rPr>
              <w:t>1,727,555,962</w:t>
            </w:r>
          </w:p>
        </w:tc>
      </w:tr>
      <w:tr>
        <w:trPr>
          <w:trHeight w:val="285" w:hRule="exact"/>
        </w:trPr>
        <w:tc>
          <w:tcPr>
            <w:tcW w:w="4619"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递延的一次性不退还收入</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7"/>
              <w:jc w:val="right"/>
              <w:rPr>
                <w:rFonts w:ascii="Arial" w:hAnsi="Arial" w:cs="Arial" w:eastAsia="Arial" w:hint="default"/>
                <w:sz w:val="22"/>
                <w:szCs w:val="22"/>
              </w:rPr>
            </w:pPr>
            <w:r>
              <w:rPr>
                <w:rFonts w:ascii="Arial"/>
                <w:w w:val="95"/>
                <w:sz w:val="22"/>
              </w:rPr>
              <w:t>212,189,105</w:t>
            </w:r>
            <w:r>
              <w:rPr>
                <w:rFonts w:ascii="Arial"/>
                <w:sz w:val="22"/>
              </w:rPr>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0"/>
              <w:jc w:val="right"/>
              <w:rPr>
                <w:rFonts w:ascii="Arial" w:hAnsi="Arial" w:cs="Arial" w:eastAsia="Arial" w:hint="default"/>
                <w:sz w:val="22"/>
                <w:szCs w:val="22"/>
              </w:rPr>
            </w:pPr>
            <w:r>
              <w:rPr>
                <w:rFonts w:ascii="Arial"/>
                <w:w w:val="95"/>
                <w:sz w:val="22"/>
              </w:rPr>
              <w:t>390,577,053</w:t>
            </w:r>
            <w:r>
              <w:rPr>
                <w:rFonts w:ascii="Arial"/>
                <w:sz w:val="22"/>
              </w:rPr>
            </w:r>
          </w:p>
        </w:tc>
      </w:tr>
      <w:tr>
        <w:trPr>
          <w:trHeight w:val="286" w:hRule="exact"/>
        </w:trPr>
        <w:tc>
          <w:tcPr>
            <w:tcW w:w="4619"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z w:val="22"/>
                <w:szCs w:val="22"/>
              </w:rPr>
              <w:t>递延的与</w:t>
            </w:r>
            <w:r>
              <w:rPr>
                <w:rFonts w:ascii="宋体" w:hAnsi="宋体" w:cs="宋体" w:eastAsia="宋体" w:hint="default"/>
                <w:spacing w:val="-57"/>
                <w:sz w:val="22"/>
                <w:szCs w:val="22"/>
              </w:rPr>
              <w:t> </w:t>
            </w:r>
            <w:r>
              <w:rPr>
                <w:rFonts w:ascii="Arial" w:hAnsi="Arial" w:cs="Arial" w:eastAsia="Arial" w:hint="default"/>
                <w:sz w:val="22"/>
                <w:szCs w:val="22"/>
              </w:rPr>
              <w:t>CDMA</w:t>
            </w:r>
            <w:r>
              <w:rPr>
                <w:rFonts w:ascii="Arial" w:hAnsi="Arial" w:cs="Arial" w:eastAsia="Arial" w:hint="default"/>
                <w:spacing w:val="-8"/>
                <w:sz w:val="22"/>
                <w:szCs w:val="22"/>
              </w:rPr>
              <w:t> </w:t>
            </w:r>
            <w:r>
              <w:rPr>
                <w:rFonts w:ascii="宋体" w:hAnsi="宋体" w:cs="宋体" w:eastAsia="宋体" w:hint="default"/>
                <w:sz w:val="22"/>
                <w:szCs w:val="22"/>
              </w:rPr>
              <w:t>出售相关的服务（注</w:t>
            </w:r>
            <w:r>
              <w:rPr>
                <w:rFonts w:ascii="宋体" w:hAnsi="宋体" w:cs="宋体" w:eastAsia="宋体" w:hint="default"/>
                <w:spacing w:val="-57"/>
                <w:sz w:val="22"/>
                <w:szCs w:val="22"/>
              </w:rPr>
              <w:t> </w:t>
            </w:r>
            <w:r>
              <w:rPr>
                <w:rFonts w:ascii="Arial" w:hAnsi="Arial" w:cs="Arial" w:eastAsia="Arial" w:hint="default"/>
                <w:sz w:val="22"/>
                <w:szCs w:val="22"/>
              </w:rPr>
              <w:t>1</w:t>
            </w:r>
            <w:r>
              <w:rPr>
                <w:rFonts w:ascii="宋体" w:hAnsi="宋体" w:cs="宋体" w:eastAsia="宋体" w:hint="default"/>
                <w:sz w:val="22"/>
                <w:szCs w:val="22"/>
              </w:rPr>
              <w:t>）</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8"/>
              <w:jc w:val="right"/>
              <w:rPr>
                <w:rFonts w:ascii="Arial" w:hAnsi="Arial" w:cs="Arial" w:eastAsia="Arial" w:hint="default"/>
                <w:sz w:val="22"/>
                <w:szCs w:val="22"/>
              </w:rPr>
            </w:pPr>
            <w:r>
              <w:rPr>
                <w:rFonts w:ascii="Arial"/>
                <w:w w:val="95"/>
                <w:sz w:val="22"/>
              </w:rPr>
              <w:t>80,488,506</w:t>
            </w:r>
            <w:r>
              <w:rPr>
                <w:rFonts w:ascii="Arial"/>
                <w:sz w:val="22"/>
              </w:rPr>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2"/>
              <w:jc w:val="right"/>
              <w:rPr>
                <w:rFonts w:ascii="Arial" w:hAnsi="Arial" w:cs="Arial" w:eastAsia="Arial" w:hint="default"/>
                <w:sz w:val="22"/>
                <w:szCs w:val="22"/>
              </w:rPr>
            </w:pPr>
            <w:r>
              <w:rPr>
                <w:rFonts w:ascii="Arial"/>
                <w:w w:val="95"/>
                <w:sz w:val="22"/>
              </w:rPr>
              <w:t>95,763,283</w:t>
            </w:r>
            <w:r>
              <w:rPr>
                <w:rFonts w:ascii="Arial"/>
                <w:sz w:val="22"/>
              </w:rPr>
            </w:r>
          </w:p>
        </w:tc>
      </w:tr>
      <w:tr>
        <w:trPr>
          <w:trHeight w:val="286" w:hRule="exact"/>
        </w:trPr>
        <w:tc>
          <w:tcPr>
            <w:tcW w:w="4619"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递延的用户积分奖励公允价值</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7"/>
              <w:jc w:val="right"/>
              <w:rPr>
                <w:rFonts w:ascii="Arial" w:hAnsi="Arial" w:cs="Arial" w:eastAsia="Arial" w:hint="default"/>
                <w:sz w:val="22"/>
                <w:szCs w:val="22"/>
              </w:rPr>
            </w:pPr>
            <w:r>
              <w:rPr>
                <w:rFonts w:ascii="Arial"/>
                <w:w w:val="95"/>
                <w:sz w:val="22"/>
              </w:rPr>
              <w:t>412,598,759</w:t>
            </w:r>
            <w:r>
              <w:rPr>
                <w:rFonts w:ascii="Arial"/>
                <w:sz w:val="22"/>
              </w:rPr>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0"/>
              <w:jc w:val="right"/>
              <w:rPr>
                <w:rFonts w:ascii="Arial" w:hAnsi="Arial" w:cs="Arial" w:eastAsia="Arial" w:hint="default"/>
                <w:sz w:val="22"/>
                <w:szCs w:val="22"/>
              </w:rPr>
            </w:pPr>
            <w:r>
              <w:rPr>
                <w:rFonts w:ascii="Arial"/>
                <w:w w:val="95"/>
                <w:sz w:val="22"/>
              </w:rPr>
              <w:t>319,355,681</w:t>
            </w:r>
            <w:r>
              <w:rPr>
                <w:rFonts w:ascii="Arial"/>
                <w:sz w:val="22"/>
              </w:rPr>
            </w:r>
          </w:p>
        </w:tc>
      </w:tr>
      <w:tr>
        <w:trPr>
          <w:trHeight w:val="293" w:hRule="exact"/>
        </w:trPr>
        <w:tc>
          <w:tcPr>
            <w:tcW w:w="4619"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230" w:type="dxa"/>
            <w:tcBorders>
              <w:top w:val="nil" w:sz="6" w:space="0" w:color="auto"/>
              <w:left w:val="nil" w:sz="6" w:space="0" w:color="auto"/>
              <w:bottom w:val="nil" w:sz="6" w:space="0" w:color="auto"/>
              <w:right w:val="nil" w:sz="6" w:space="0" w:color="auto"/>
            </w:tcBorders>
          </w:tcPr>
          <w:p>
            <w:pPr>
              <w:pStyle w:val="TableParagraph"/>
              <w:tabs>
                <w:tab w:pos="885" w:val="left" w:leader="none"/>
                <w:tab w:pos="2229"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120,283,202</w:t>
            </w:r>
            <w:r>
              <w:rPr>
                <w:rFonts w:ascii="Arial"/>
                <w:sz w:val="22"/>
                <w:u w:val="single" w:color="000000"/>
              </w:rPr>
              <w:tab/>
            </w:r>
            <w:r>
              <w:rPr>
                <w:rFonts w:ascii="Arial"/>
                <w:sz w:val="22"/>
              </w:rPr>
            </w:r>
          </w:p>
        </w:tc>
        <w:tc>
          <w:tcPr>
            <w:tcW w:w="2366" w:type="dxa"/>
            <w:tcBorders>
              <w:top w:val="nil" w:sz="6" w:space="0" w:color="auto"/>
              <w:left w:val="nil" w:sz="6" w:space="0" w:color="auto"/>
              <w:bottom w:val="nil" w:sz="6" w:space="0" w:color="auto"/>
              <w:right w:val="nil" w:sz="6" w:space="0" w:color="auto"/>
            </w:tcBorders>
          </w:tcPr>
          <w:p>
            <w:pPr>
              <w:pStyle w:val="TableParagraph"/>
              <w:tabs>
                <w:tab w:pos="975" w:val="left" w:leader="none"/>
                <w:tab w:pos="2282"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149,730,799</w:t>
            </w:r>
            <w:r>
              <w:rPr>
                <w:rFonts w:ascii="Arial"/>
                <w:sz w:val="22"/>
                <w:u w:val="single" w:color="000000"/>
              </w:rPr>
              <w:tab/>
            </w:r>
            <w:r>
              <w:rPr>
                <w:rFonts w:ascii="Arial"/>
                <w:sz w:val="22"/>
              </w:rPr>
            </w:r>
          </w:p>
        </w:tc>
      </w:tr>
      <w:tr>
        <w:trPr>
          <w:trHeight w:val="419" w:hRule="exact"/>
        </w:trPr>
        <w:tc>
          <w:tcPr>
            <w:tcW w:w="4619"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19"/>
              <w:jc w:val="right"/>
              <w:rPr>
                <w:rFonts w:ascii="Arial" w:hAnsi="Arial" w:cs="Arial" w:eastAsia="Arial" w:hint="default"/>
                <w:sz w:val="22"/>
                <w:szCs w:val="22"/>
              </w:rPr>
            </w:pPr>
            <w:r>
              <w:rPr>
                <w:rFonts w:ascii="Arial"/>
                <w:spacing w:val="-1"/>
                <w:sz w:val="22"/>
              </w:rPr>
              <w:t>2,140,579,130</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2"/>
              <w:jc w:val="right"/>
              <w:rPr>
                <w:rFonts w:ascii="Arial" w:hAnsi="Arial" w:cs="Arial" w:eastAsia="Arial" w:hint="default"/>
                <w:sz w:val="22"/>
                <w:szCs w:val="22"/>
              </w:rPr>
            </w:pPr>
            <w:r>
              <w:rPr>
                <w:rFonts w:ascii="Arial"/>
                <w:spacing w:val="-1"/>
                <w:sz w:val="22"/>
              </w:rPr>
              <w:t>2,682,982,778</w:t>
            </w:r>
          </w:p>
        </w:tc>
      </w:tr>
      <w:tr>
        <w:trPr>
          <w:trHeight w:val="546" w:hRule="exact"/>
        </w:trPr>
        <w:tc>
          <w:tcPr>
            <w:tcW w:w="461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00" w:right="0"/>
              <w:jc w:val="left"/>
              <w:rPr>
                <w:rFonts w:ascii="宋体" w:hAnsi="宋体" w:cs="宋体" w:eastAsia="宋体" w:hint="default"/>
                <w:sz w:val="22"/>
                <w:szCs w:val="22"/>
              </w:rPr>
            </w:pPr>
            <w:r>
              <w:rPr>
                <w:rFonts w:ascii="宋体" w:hAnsi="宋体" w:cs="宋体" w:eastAsia="宋体" w:hint="default"/>
                <w:sz w:val="22"/>
                <w:szCs w:val="22"/>
              </w:rPr>
              <w:t>减：上述递延收益的流动部分（注</w:t>
            </w:r>
            <w:r>
              <w:rPr>
                <w:rFonts w:ascii="宋体" w:hAnsi="宋体" w:cs="宋体" w:eastAsia="宋体" w:hint="default"/>
                <w:spacing w:val="-59"/>
                <w:sz w:val="22"/>
                <w:szCs w:val="22"/>
              </w:rPr>
              <w:t> </w:t>
            </w:r>
            <w:r>
              <w:rPr>
                <w:rFonts w:ascii="Arial" w:hAnsi="Arial" w:cs="Arial" w:eastAsia="Arial" w:hint="default"/>
                <w:sz w:val="22"/>
                <w:szCs w:val="22"/>
              </w:rPr>
              <w:t>2</w:t>
            </w:r>
            <w:r>
              <w:rPr>
                <w:rFonts w:ascii="宋体" w:hAnsi="宋体" w:cs="宋体" w:eastAsia="宋体" w:hint="default"/>
                <w:sz w:val="22"/>
                <w:szCs w:val="22"/>
              </w:rPr>
              <w:t>）</w:t>
            </w:r>
          </w:p>
        </w:tc>
        <w:tc>
          <w:tcPr>
            <w:tcW w:w="2230" w:type="dxa"/>
            <w:tcBorders>
              <w:top w:val="nil" w:sz="6" w:space="0" w:color="auto"/>
              <w:left w:val="nil" w:sz="6" w:space="0" w:color="auto"/>
              <w:bottom w:val="nil" w:sz="6" w:space="0" w:color="auto"/>
              <w:right w:val="nil" w:sz="6" w:space="0" w:color="auto"/>
            </w:tcBorders>
          </w:tcPr>
          <w:p>
            <w:pPr>
              <w:pStyle w:val="TableParagraph"/>
              <w:tabs>
                <w:tab w:pos="811" w:val="left" w:leader="none"/>
              </w:tabs>
              <w:spacing w:line="240" w:lineRule="auto" w:before="143"/>
              <w:ind w:right="46"/>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(728,637,450)</w:t>
            </w:r>
            <w:r>
              <w:rPr>
                <w:rFonts w:ascii="Arial"/>
                <w:w w:val="95"/>
                <w:sz w:val="22"/>
              </w:rPr>
            </w:r>
            <w:r>
              <w:rPr>
                <w:rFonts w:ascii="Arial"/>
                <w:sz w:val="22"/>
              </w:rPr>
            </w:r>
          </w:p>
        </w:tc>
        <w:tc>
          <w:tcPr>
            <w:tcW w:w="2366" w:type="dxa"/>
            <w:tcBorders>
              <w:top w:val="nil" w:sz="6" w:space="0" w:color="auto"/>
              <w:left w:val="nil" w:sz="6" w:space="0" w:color="auto"/>
              <w:bottom w:val="nil" w:sz="6" w:space="0" w:color="auto"/>
              <w:right w:val="nil" w:sz="6" w:space="0" w:color="auto"/>
            </w:tcBorders>
          </w:tcPr>
          <w:p>
            <w:pPr>
              <w:pStyle w:val="TableParagraph"/>
              <w:tabs>
                <w:tab w:pos="901" w:val="left" w:leader="none"/>
              </w:tabs>
              <w:spacing w:line="240" w:lineRule="auto" w:before="143"/>
              <w:ind w:right="8"/>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(881,652,188)</w:t>
            </w:r>
            <w:r>
              <w:rPr>
                <w:rFonts w:ascii="Arial"/>
                <w:w w:val="95"/>
                <w:sz w:val="22"/>
              </w:rPr>
            </w:r>
            <w:r>
              <w:rPr>
                <w:rFonts w:ascii="Arial"/>
                <w:sz w:val="22"/>
              </w:rPr>
            </w:r>
          </w:p>
        </w:tc>
      </w:tr>
      <w:tr>
        <w:trPr>
          <w:trHeight w:val="431" w:hRule="exact"/>
        </w:trPr>
        <w:tc>
          <w:tcPr>
            <w:tcW w:w="461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30"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19"/>
              <w:jc w:val="right"/>
              <w:rPr>
                <w:rFonts w:ascii="Arial" w:hAnsi="Arial" w:cs="Arial" w:eastAsia="Arial" w:hint="default"/>
                <w:sz w:val="22"/>
                <w:szCs w:val="22"/>
              </w:rPr>
            </w:pPr>
            <w:r>
              <w:rPr>
                <w:rFonts w:ascii="Arial"/>
                <w:spacing w:val="-1"/>
                <w:sz w:val="22"/>
              </w:rPr>
              <w:t>1,411,941,680</w:t>
            </w:r>
          </w:p>
        </w:tc>
        <w:tc>
          <w:tcPr>
            <w:tcW w:w="2366"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82"/>
              <w:jc w:val="right"/>
              <w:rPr>
                <w:rFonts w:ascii="Arial" w:hAnsi="Arial" w:cs="Arial" w:eastAsia="Arial" w:hint="default"/>
                <w:sz w:val="22"/>
                <w:szCs w:val="22"/>
              </w:rPr>
            </w:pPr>
            <w:r>
              <w:rPr>
                <w:rFonts w:ascii="Arial"/>
                <w:spacing w:val="-1"/>
                <w:sz w:val="22"/>
              </w:rPr>
              <w:t>1,801,330,590</w:t>
            </w:r>
          </w:p>
        </w:tc>
      </w:tr>
    </w:tbl>
    <w:p>
      <w:pPr>
        <w:spacing w:line="240" w:lineRule="auto" w:before="2"/>
        <w:rPr>
          <w:rFonts w:ascii="宋体" w:hAnsi="宋体" w:cs="宋体" w:eastAsia="宋体" w:hint="default"/>
          <w:sz w:val="14"/>
          <w:szCs w:val="14"/>
        </w:rPr>
      </w:pPr>
    </w:p>
    <w:p>
      <w:pPr>
        <w:pStyle w:val="BodyText"/>
        <w:spacing w:line="228" w:lineRule="auto" w:before="44"/>
        <w:ind w:left="1191" w:right="110" w:hanging="642"/>
        <w:jc w:val="left"/>
      </w:pPr>
      <w:r>
        <w:rPr/>
        <w:t>注</w:t>
      </w:r>
      <w:r>
        <w:rPr>
          <w:spacing w:val="-59"/>
        </w:rPr>
        <w:t> </w:t>
      </w:r>
      <w:r>
        <w:rPr>
          <w:rFonts w:ascii="Arial" w:hAnsi="Arial" w:cs="Arial" w:eastAsia="Arial" w:hint="default"/>
          <w:spacing w:val="-9"/>
        </w:rPr>
        <w:t>1</w:t>
      </w:r>
      <w:r>
        <w:rPr>
          <w:spacing w:val="-9"/>
        </w:rPr>
        <w:t>：于</w:t>
      </w:r>
      <w:r>
        <w:rPr>
          <w:spacing w:val="-59"/>
        </w:rPr>
        <w:t> </w:t>
      </w:r>
      <w:r>
        <w:rPr>
          <w:rFonts w:ascii="Arial" w:hAnsi="Arial" w:cs="Arial" w:eastAsia="Arial" w:hint="default"/>
        </w:rPr>
        <w:t>2008</w:t>
      </w:r>
      <w:r>
        <w:rPr>
          <w:rFonts w:ascii="Arial" w:hAnsi="Arial" w:cs="Arial" w:eastAsia="Arial" w:hint="default"/>
          <w:spacing w:val="-10"/>
        </w:rPr>
        <w:t> </w:t>
      </w:r>
      <w:r>
        <w:rPr/>
        <w:t>年度，联通红筹公司向中国电信出售</w:t>
      </w:r>
      <w:r>
        <w:rPr>
          <w:spacing w:val="-58"/>
        </w:rPr>
        <w:t> </w:t>
      </w:r>
      <w:r>
        <w:rPr>
          <w:rFonts w:ascii="Arial" w:hAnsi="Arial" w:cs="Arial" w:eastAsia="Arial" w:hint="default"/>
        </w:rPr>
        <w:t>CDMA</w:t>
      </w:r>
      <w:r>
        <w:rPr>
          <w:rFonts w:ascii="Arial" w:hAnsi="Arial" w:cs="Arial" w:eastAsia="Arial" w:hint="default"/>
          <w:spacing w:val="-9"/>
        </w:rPr>
        <w:t> </w:t>
      </w:r>
      <w:r>
        <w:rPr>
          <w:spacing w:val="-5"/>
        </w:rPr>
        <w:t>业务。根据</w:t>
      </w:r>
      <w:r>
        <w:rPr>
          <w:spacing w:val="-58"/>
        </w:rPr>
        <w:t> </w:t>
      </w:r>
      <w:r>
        <w:rPr>
          <w:rFonts w:ascii="Arial" w:hAnsi="Arial" w:cs="Arial" w:eastAsia="Arial" w:hint="default"/>
        </w:rPr>
        <w:t>CDMA</w:t>
      </w:r>
      <w:r>
        <w:rPr>
          <w:rFonts w:ascii="Arial" w:hAnsi="Arial" w:cs="Arial" w:eastAsia="Arial" w:hint="default"/>
          <w:spacing w:val="-10"/>
        </w:rPr>
        <w:t> </w:t>
      </w:r>
      <w:r>
        <w:rPr>
          <w:spacing w:val="-4"/>
        </w:rPr>
        <w:t>出售协议，于过</w:t>
      </w:r>
      <w:r>
        <w:rPr>
          <w:w w:val="99"/>
        </w:rPr>
        <w:t> </w:t>
      </w:r>
      <w:r>
        <w:rPr/>
        <w:t>渡期内本集团需向中国电信提供若干支持服务以保证过渡期内</w:t>
      </w:r>
      <w:r>
        <w:rPr>
          <w:spacing w:val="-59"/>
        </w:rPr>
        <w:t> </w:t>
      </w:r>
      <w:r>
        <w:rPr>
          <w:rFonts w:ascii="Arial" w:hAnsi="Arial" w:cs="Arial" w:eastAsia="Arial" w:hint="default"/>
        </w:rPr>
        <w:t>CDMA</w:t>
      </w:r>
      <w:r>
        <w:rPr>
          <w:rFonts w:ascii="Arial" w:hAnsi="Arial" w:cs="Arial" w:eastAsia="Arial" w:hint="default"/>
          <w:spacing w:val="-13"/>
        </w:rPr>
        <w:t> </w:t>
      </w:r>
      <w:r>
        <w:rPr/>
        <w:t>业务的正常运行，</w:t>
      </w:r>
      <w:r>
        <w:rPr>
          <w:w w:val="99"/>
        </w:rPr>
        <w:t> </w:t>
      </w:r>
      <w:r>
        <w:rPr/>
        <w:t>该服务包括使用若干区域的若干通讯设备、物业及信息技术服务。本集团基于相关设备</w:t>
      </w:r>
      <w:r>
        <w:rPr>
          <w:spacing w:val="2"/>
          <w:w w:val="99"/>
        </w:rPr>
        <w:t> </w:t>
      </w:r>
      <w:r>
        <w:rPr>
          <w:spacing w:val="-3"/>
        </w:rPr>
        <w:t>或物业的成本加利润率估计该项服务的价值。该服务估计价值即一部分</w:t>
      </w:r>
      <w:r>
        <w:rPr>
          <w:spacing w:val="-53"/>
        </w:rPr>
        <w:t> </w:t>
      </w:r>
      <w:r>
        <w:rPr>
          <w:rFonts w:ascii="Arial" w:hAnsi="Arial" w:cs="Arial" w:eastAsia="Arial" w:hint="default"/>
        </w:rPr>
        <w:t>CDMA</w:t>
      </w:r>
      <w:r>
        <w:rPr>
          <w:rFonts w:ascii="Arial" w:hAnsi="Arial" w:cs="Arial" w:eastAsia="Arial" w:hint="default"/>
          <w:spacing w:val="-9"/>
        </w:rPr>
        <w:t> </w:t>
      </w:r>
      <w:r>
        <w:rPr/>
        <w:t>业务处置</w:t>
      </w:r>
      <w:r>
        <w:rPr>
          <w:w w:val="99"/>
        </w:rPr>
        <w:t> </w:t>
      </w:r>
      <w:r>
        <w:rPr/>
        <w:t>代价，已经予以递延并在预期服务期限内确认。</w:t>
      </w:r>
    </w:p>
    <w:p>
      <w:pPr>
        <w:spacing w:line="240" w:lineRule="auto" w:before="3"/>
        <w:rPr>
          <w:rFonts w:ascii="宋体" w:hAnsi="宋体" w:cs="宋体" w:eastAsia="宋体" w:hint="default"/>
          <w:sz w:val="19"/>
          <w:szCs w:val="19"/>
        </w:rPr>
      </w:pPr>
    </w:p>
    <w:p>
      <w:pPr>
        <w:pStyle w:val="BodyText"/>
        <w:spacing w:line="424" w:lineRule="auto"/>
        <w:ind w:left="102" w:right="4410" w:firstLine="447"/>
        <w:jc w:val="left"/>
      </w:pPr>
      <w:r>
        <w:rPr/>
        <w:t>注</w:t>
      </w:r>
      <w:r>
        <w:rPr>
          <w:spacing w:val="-63"/>
        </w:rPr>
        <w:t> </w:t>
      </w:r>
      <w:r>
        <w:rPr>
          <w:rFonts w:ascii="Arial" w:hAnsi="Arial" w:cs="Arial" w:eastAsia="Arial" w:hint="default"/>
        </w:rPr>
        <w:t>2</w:t>
      </w:r>
      <w:r>
        <w:rPr/>
        <w:t>：上述递延收益的流动部分已转入预收款项。</w:t>
      </w:r>
      <w:r>
        <w:rPr>
          <w:w w:val="99"/>
        </w:rPr>
        <w:t> </w:t>
      </w:r>
      <w:r>
        <w:rPr>
          <w:rFonts w:ascii="Arial" w:hAnsi="Arial" w:cs="Arial" w:eastAsia="Arial" w:hint="default"/>
        </w:rPr>
        <w:t>31</w:t>
      </w:r>
      <w:r>
        <w:rPr/>
        <w:t>、股本</w:t>
      </w:r>
    </w:p>
    <w:p>
      <w:pPr>
        <w:pStyle w:val="BodyText"/>
        <w:spacing w:line="240" w:lineRule="auto" w:before="44"/>
        <w:ind w:left="550" w:right="110"/>
        <w:jc w:val="left"/>
      </w:pPr>
      <w:r>
        <w:rPr/>
        <w:t>于</w:t>
      </w:r>
      <w:r>
        <w:rPr>
          <w:spacing w:val="-60"/>
        </w:rPr>
        <w:t> </w:t>
      </w:r>
      <w:r>
        <w:rPr>
          <w:rFonts w:ascii="Arial" w:hAnsi="Arial" w:cs="Arial" w:eastAsia="Arial" w:hint="default"/>
        </w:rPr>
        <w:t>2012</w:t>
      </w:r>
      <w:r>
        <w:rPr>
          <w:rFonts w:ascii="Arial" w:hAnsi="Arial" w:cs="Arial" w:eastAsia="Arial" w:hint="default"/>
          <w:spacing w:val="-11"/>
        </w:rPr>
        <w:t> </w:t>
      </w:r>
      <w:r>
        <w:rPr/>
        <w:t>年度，本公司股本变化情况列示如下：</w:t>
      </w:r>
    </w:p>
    <w:p>
      <w:pPr>
        <w:spacing w:line="240" w:lineRule="auto" w:before="13"/>
        <w:rPr>
          <w:rFonts w:ascii="宋体" w:hAnsi="宋体" w:cs="宋体" w:eastAsia="宋体" w:hint="default"/>
          <w:sz w:val="22"/>
          <w:szCs w:val="22"/>
        </w:rPr>
      </w:pPr>
    </w:p>
    <w:tbl>
      <w:tblPr>
        <w:tblW w:w="0" w:type="auto"/>
        <w:jc w:val="left"/>
        <w:tblInd w:w="380" w:type="dxa"/>
        <w:tblLayout w:type="fixed"/>
        <w:tblCellMar>
          <w:top w:w="0" w:type="dxa"/>
          <w:left w:w="0" w:type="dxa"/>
          <w:bottom w:w="0" w:type="dxa"/>
          <w:right w:w="0" w:type="dxa"/>
        </w:tblCellMar>
        <w:tblLook w:val="01E0"/>
      </w:tblPr>
      <w:tblGrid>
        <w:gridCol w:w="3107"/>
        <w:gridCol w:w="1530"/>
        <w:gridCol w:w="1413"/>
        <w:gridCol w:w="1538"/>
        <w:gridCol w:w="1638"/>
      </w:tblGrid>
      <w:tr>
        <w:trPr>
          <w:trHeight w:val="496" w:hRule="exact"/>
        </w:trPr>
        <w:tc>
          <w:tcPr>
            <w:tcW w:w="3107"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single" w:sz="6" w:space="0" w:color="000000"/>
              <w:right w:val="nil" w:sz="6" w:space="0" w:color="auto"/>
            </w:tcBorders>
          </w:tcPr>
          <w:p>
            <w:pPr>
              <w:pStyle w:val="TableParagraph"/>
              <w:spacing w:line="206" w:lineRule="exact"/>
              <w:ind w:left="804"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p>
          <w:p>
            <w:pPr>
              <w:pStyle w:val="TableParagraph"/>
              <w:spacing w:line="268" w:lineRule="exact"/>
              <w:ind w:left="504"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1413" w:type="dxa"/>
            <w:tcBorders>
              <w:top w:val="nil" w:sz="6" w:space="0" w:color="auto"/>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7"/>
              <w:jc w:val="right"/>
              <w:rPr>
                <w:rFonts w:ascii="宋体" w:hAnsi="宋体" w:cs="宋体" w:eastAsia="宋体" w:hint="default"/>
                <w:sz w:val="20"/>
                <w:szCs w:val="20"/>
              </w:rPr>
            </w:pPr>
            <w:r>
              <w:rPr>
                <w:rFonts w:ascii="宋体" w:hAnsi="宋体" w:cs="宋体" w:eastAsia="宋体" w:hint="default"/>
                <w:sz w:val="20"/>
                <w:szCs w:val="20"/>
              </w:rPr>
              <w:t>本年增加</w:t>
            </w:r>
          </w:p>
        </w:tc>
        <w:tc>
          <w:tcPr>
            <w:tcW w:w="1538" w:type="dxa"/>
            <w:tcBorders>
              <w:top w:val="nil" w:sz="6" w:space="0" w:color="auto"/>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20"/>
                <w:szCs w:val="20"/>
              </w:rPr>
            </w:pPr>
            <w:r>
              <w:rPr>
                <w:rFonts w:ascii="宋体" w:hAnsi="宋体" w:cs="宋体" w:eastAsia="宋体" w:hint="default"/>
                <w:sz w:val="20"/>
                <w:szCs w:val="20"/>
              </w:rPr>
              <w:t>本年减少</w:t>
            </w:r>
          </w:p>
        </w:tc>
        <w:tc>
          <w:tcPr>
            <w:tcW w:w="1638" w:type="dxa"/>
            <w:tcBorders>
              <w:top w:val="nil" w:sz="6" w:space="0" w:color="auto"/>
              <w:left w:val="nil" w:sz="6" w:space="0" w:color="auto"/>
              <w:bottom w:val="single" w:sz="6" w:space="0" w:color="000000"/>
              <w:right w:val="nil" w:sz="6" w:space="0" w:color="auto"/>
            </w:tcBorders>
          </w:tcPr>
          <w:p>
            <w:pPr>
              <w:pStyle w:val="TableParagraph"/>
              <w:spacing w:line="206" w:lineRule="exact"/>
              <w:ind w:left="912"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p>
          <w:p>
            <w:pPr>
              <w:pStyle w:val="TableParagraph"/>
              <w:spacing w:line="268" w:lineRule="exact"/>
              <w:ind w:left="612"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r>
      <w:tr>
        <w:trPr>
          <w:trHeight w:val="653" w:hRule="exact"/>
        </w:trPr>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20"/>
                <w:szCs w:val="20"/>
              </w:rPr>
            </w:pPr>
            <w:r>
              <w:rPr>
                <w:rFonts w:ascii="宋体" w:hAnsi="宋体" w:cs="宋体" w:eastAsia="宋体" w:hint="default"/>
                <w:sz w:val="20"/>
                <w:szCs w:val="20"/>
              </w:rPr>
              <w:t>一、已流通公众股份</w:t>
            </w:r>
          </w:p>
        </w:tc>
        <w:tc>
          <w:tcPr>
            <w:tcW w:w="1530" w:type="dxa"/>
            <w:tcBorders>
              <w:top w:val="single" w:sz="6"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53"/>
              <w:jc w:val="right"/>
              <w:rPr>
                <w:rFonts w:ascii="Arial" w:hAnsi="Arial" w:cs="Arial" w:eastAsia="Arial" w:hint="default"/>
                <w:sz w:val="20"/>
                <w:szCs w:val="20"/>
              </w:rPr>
            </w:pPr>
            <w:r>
              <w:rPr>
                <w:rFonts w:ascii="Arial"/>
                <w:spacing w:val="-1"/>
                <w:sz w:val="20"/>
              </w:rPr>
              <w:t>8,255,711,233</w:t>
            </w:r>
            <w:r>
              <w:rPr>
                <w:rFonts w:ascii="Arial"/>
                <w:sz w:val="20"/>
              </w:rPr>
            </w:r>
          </w:p>
        </w:tc>
        <w:tc>
          <w:tcPr>
            <w:tcW w:w="1413" w:type="dxa"/>
            <w:tcBorders>
              <w:top w:val="single" w:sz="6"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13"/>
              <w:jc w:val="right"/>
              <w:rPr>
                <w:rFonts w:ascii="Arial" w:hAnsi="Arial" w:cs="Arial" w:eastAsia="Arial" w:hint="default"/>
                <w:sz w:val="20"/>
                <w:szCs w:val="20"/>
              </w:rPr>
            </w:pPr>
            <w:r>
              <w:rPr>
                <w:rFonts w:ascii="Arial"/>
                <w:w w:val="100"/>
                <w:sz w:val="20"/>
              </w:rPr>
              <w:t>-</w:t>
            </w:r>
          </w:p>
        </w:tc>
        <w:tc>
          <w:tcPr>
            <w:tcW w:w="1538" w:type="dxa"/>
            <w:tcBorders>
              <w:top w:val="single" w:sz="6"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55"/>
              <w:jc w:val="right"/>
              <w:rPr>
                <w:rFonts w:ascii="Arial" w:hAnsi="Arial" w:cs="Arial" w:eastAsia="Arial" w:hint="default"/>
                <w:sz w:val="20"/>
                <w:szCs w:val="20"/>
              </w:rPr>
            </w:pPr>
            <w:r>
              <w:rPr>
                <w:rFonts w:ascii="Arial"/>
                <w:spacing w:val="-1"/>
                <w:sz w:val="20"/>
              </w:rPr>
              <w:t>(241,190,869)</w:t>
            </w:r>
            <w:r>
              <w:rPr>
                <w:rFonts w:ascii="Arial"/>
                <w:sz w:val="20"/>
              </w:rPr>
            </w:r>
          </w:p>
        </w:tc>
        <w:tc>
          <w:tcPr>
            <w:tcW w:w="1638" w:type="dxa"/>
            <w:tcBorders>
              <w:top w:val="single" w:sz="6"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88" w:right="0"/>
              <w:jc w:val="left"/>
              <w:rPr>
                <w:rFonts w:ascii="Arial" w:hAnsi="Arial" w:cs="Arial" w:eastAsia="Arial" w:hint="default"/>
                <w:sz w:val="20"/>
                <w:szCs w:val="20"/>
              </w:rPr>
            </w:pPr>
            <w:r>
              <w:rPr>
                <w:rFonts w:ascii="Arial"/>
                <w:sz w:val="20"/>
              </w:rPr>
              <w:t>8,014,520,364</w:t>
            </w:r>
          </w:p>
        </w:tc>
      </w:tr>
      <w:tr>
        <w:trPr>
          <w:trHeight w:val="756" w:hRule="exact"/>
        </w:trPr>
        <w:tc>
          <w:tcPr>
            <w:tcW w:w="3107" w:type="dxa"/>
            <w:tcBorders>
              <w:top w:val="nil" w:sz="6" w:space="0" w:color="auto"/>
              <w:left w:val="nil" w:sz="6" w:space="0" w:color="auto"/>
              <w:bottom w:val="nil" w:sz="6" w:space="0" w:color="auto"/>
              <w:right w:val="nil" w:sz="6" w:space="0" w:color="auto"/>
            </w:tcBorders>
          </w:tcPr>
          <w:p>
            <w:pPr>
              <w:pStyle w:val="TableParagraph"/>
              <w:spacing w:line="260" w:lineRule="exact" w:before="97"/>
              <w:ind w:left="794" w:right="104" w:hanging="595"/>
              <w:jc w:val="left"/>
              <w:rPr>
                <w:rFonts w:ascii="宋体" w:hAnsi="宋体" w:cs="宋体" w:eastAsia="宋体" w:hint="default"/>
                <w:sz w:val="20"/>
                <w:szCs w:val="20"/>
              </w:rPr>
            </w:pPr>
            <w:r>
              <w:rPr>
                <w:rFonts w:ascii="宋体" w:hAnsi="宋体" w:cs="宋体" w:eastAsia="宋体" w:hint="default"/>
                <w:spacing w:val="-1"/>
                <w:sz w:val="20"/>
                <w:szCs w:val="20"/>
              </w:rPr>
              <w:t>二、无限售条件的可流通股份发</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起人之法人股（注）</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5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24"/>
                <w:sz w:val="20"/>
                <w:u w:val="single" w:color="000000"/>
              </w:rPr>
              <w:t> </w:t>
            </w:r>
            <w:r>
              <w:rPr>
                <w:rFonts w:ascii="Arial"/>
                <w:spacing w:val="-1"/>
                <w:sz w:val="20"/>
                <w:u w:val="single" w:color="000000"/>
              </w:rPr>
              <w:t>12,940,885,162</w:t>
            </w:r>
            <w:r>
              <w:rPr>
                <w:rFonts w:ascii="Arial"/>
                <w:spacing w:val="-1"/>
                <w:sz w:val="20"/>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9"/>
                <w:szCs w:val="29"/>
              </w:rPr>
            </w:pPr>
          </w:p>
          <w:p>
            <w:pPr>
              <w:pStyle w:val="TableParagraph"/>
              <w:tabs>
                <w:tab w:pos="1331" w:val="left" w:leader="none"/>
              </w:tabs>
              <w:spacing w:line="240" w:lineRule="auto"/>
              <w:ind w:right="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0"/>
                <w:sz w:val="20"/>
                <w:u w:val="single" w:color="000000"/>
              </w:rPr>
              <w:t> </w:t>
            </w:r>
            <w:r>
              <w:rPr>
                <w:rFonts w:ascii="Arial"/>
                <w:spacing w:val="-1"/>
                <w:sz w:val="20"/>
                <w:u w:val="single" w:color="000000"/>
              </w:rPr>
              <w:t>241,190,869</w:t>
              <w:tab/>
            </w:r>
            <w:r>
              <w:rPr>
                <w:rFonts w:ascii="Arial"/>
                <w:spacing w:val="-1"/>
                <w:sz w:val="20"/>
              </w:rPr>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9"/>
                <w:szCs w:val="29"/>
              </w:rPr>
            </w:pPr>
          </w:p>
          <w:p>
            <w:pPr>
              <w:pStyle w:val="TableParagraph"/>
              <w:tabs>
                <w:tab w:pos="1268" w:val="left" w:leader="none"/>
                <w:tab w:pos="1457" w:val="left" w:leader="none"/>
              </w:tabs>
              <w:spacing w:line="240" w:lineRule="auto"/>
              <w:ind w:right="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tab/>
            </w:r>
            <w:r>
              <w:rPr>
                <w:rFonts w:ascii="Arial"/>
                <w:sz w:val="20"/>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9"/>
                <w:szCs w:val="29"/>
              </w:rPr>
            </w:pPr>
          </w:p>
          <w:p>
            <w:pPr>
              <w:pStyle w:val="TableParagraph"/>
              <w:tabs>
                <w:tab w:pos="1637" w:val="left" w:leader="none"/>
              </w:tabs>
              <w:spacing w:line="240" w:lineRule="auto"/>
              <w:ind w:left="81"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pacing w:val="-16"/>
                <w:sz w:val="20"/>
                <w:u w:val="single" w:color="000000"/>
              </w:rPr>
              <w:t> </w:t>
            </w:r>
            <w:r>
              <w:rPr>
                <w:rFonts w:ascii="Arial"/>
                <w:sz w:val="20"/>
                <w:u w:val="single" w:color="000000"/>
              </w:rPr>
              <w:t>13,182,076,031</w:t>
              <w:tab/>
            </w:r>
            <w:r>
              <w:rPr>
                <w:rFonts w:ascii="Arial"/>
                <w:sz w:val="20"/>
              </w:rPr>
            </w:r>
          </w:p>
        </w:tc>
      </w:tr>
      <w:tr>
        <w:trPr>
          <w:trHeight w:val="394" w:hRule="exact"/>
        </w:trPr>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00" w:right="0"/>
              <w:jc w:val="left"/>
              <w:rPr>
                <w:rFonts w:ascii="宋体" w:hAnsi="宋体" w:cs="宋体" w:eastAsia="宋体" w:hint="default"/>
                <w:sz w:val="20"/>
                <w:szCs w:val="20"/>
              </w:rPr>
            </w:pPr>
            <w:r>
              <w:rPr>
                <w:rFonts w:ascii="宋体" w:hAnsi="宋体" w:cs="宋体" w:eastAsia="宋体" w:hint="default"/>
                <w:sz w:val="20"/>
                <w:szCs w:val="20"/>
              </w:rPr>
              <w:t>股本合计</w:t>
            </w:r>
          </w:p>
        </w:tc>
        <w:tc>
          <w:tcPr>
            <w:tcW w:w="1530" w:type="dxa"/>
            <w:tcBorders>
              <w:top w:val="nil" w:sz="6" w:space="0" w:color="auto"/>
              <w:left w:val="nil" w:sz="6" w:space="0" w:color="auto"/>
              <w:bottom w:val="single" w:sz="17" w:space="0" w:color="000000"/>
              <w:right w:val="nil" w:sz="6" w:space="0" w:color="auto"/>
            </w:tcBorders>
          </w:tcPr>
          <w:p>
            <w:pPr>
              <w:pStyle w:val="TableParagraph"/>
              <w:spacing w:line="240" w:lineRule="auto" w:before="138"/>
              <w:ind w:right="50"/>
              <w:jc w:val="right"/>
              <w:rPr>
                <w:rFonts w:ascii="Arial" w:hAnsi="Arial" w:cs="Arial" w:eastAsia="Arial" w:hint="default"/>
                <w:sz w:val="20"/>
                <w:szCs w:val="20"/>
              </w:rPr>
            </w:pPr>
            <w:r>
              <w:rPr>
                <w:rFonts w:ascii="Arial"/>
                <w:spacing w:val="-1"/>
                <w:sz w:val="20"/>
              </w:rPr>
              <w:t>21,196,596,395</w:t>
            </w:r>
          </w:p>
        </w:tc>
        <w:tc>
          <w:tcPr>
            <w:tcW w:w="1413" w:type="dxa"/>
            <w:tcBorders>
              <w:top w:val="nil" w:sz="6" w:space="0" w:color="auto"/>
              <w:left w:val="nil" w:sz="6" w:space="0" w:color="auto"/>
              <w:bottom w:val="single" w:sz="17" w:space="0" w:color="000000"/>
              <w:right w:val="nil" w:sz="6" w:space="0" w:color="auto"/>
            </w:tcBorders>
          </w:tcPr>
          <w:p>
            <w:pPr>
              <w:pStyle w:val="TableParagraph"/>
              <w:spacing w:line="240" w:lineRule="auto" w:before="138"/>
              <w:ind w:left="183" w:right="0"/>
              <w:jc w:val="left"/>
              <w:rPr>
                <w:rFonts w:ascii="Arial" w:hAnsi="Arial" w:cs="Arial" w:eastAsia="Arial" w:hint="default"/>
                <w:sz w:val="20"/>
                <w:szCs w:val="20"/>
              </w:rPr>
            </w:pPr>
            <w:r>
              <w:rPr>
                <w:rFonts w:ascii="Arial"/>
                <w:sz w:val="20"/>
              </w:rPr>
              <w:t>241,190,869</w:t>
            </w:r>
          </w:p>
        </w:tc>
        <w:tc>
          <w:tcPr>
            <w:tcW w:w="1538" w:type="dxa"/>
            <w:tcBorders>
              <w:top w:val="nil" w:sz="6" w:space="0" w:color="auto"/>
              <w:left w:val="nil" w:sz="6" w:space="0" w:color="auto"/>
              <w:bottom w:val="single" w:sz="17" w:space="0" w:color="000000"/>
              <w:right w:val="nil" w:sz="6" w:space="0" w:color="auto"/>
            </w:tcBorders>
          </w:tcPr>
          <w:p>
            <w:pPr>
              <w:pStyle w:val="TableParagraph"/>
              <w:spacing w:line="240" w:lineRule="auto" w:before="138"/>
              <w:ind w:right="55"/>
              <w:jc w:val="right"/>
              <w:rPr>
                <w:rFonts w:ascii="Arial" w:hAnsi="Arial" w:cs="Arial" w:eastAsia="Arial" w:hint="default"/>
                <w:sz w:val="20"/>
                <w:szCs w:val="20"/>
              </w:rPr>
            </w:pPr>
            <w:r>
              <w:rPr>
                <w:rFonts w:ascii="Arial"/>
                <w:spacing w:val="-1"/>
                <w:sz w:val="20"/>
              </w:rPr>
              <w:t>(241,190,869)</w:t>
            </w:r>
          </w:p>
        </w:tc>
        <w:tc>
          <w:tcPr>
            <w:tcW w:w="1638" w:type="dxa"/>
            <w:tcBorders>
              <w:top w:val="nil" w:sz="6" w:space="0" w:color="auto"/>
              <w:left w:val="nil" w:sz="6" w:space="0" w:color="auto"/>
              <w:bottom w:val="single" w:sz="17" w:space="0" w:color="000000"/>
              <w:right w:val="nil" w:sz="6" w:space="0" w:color="auto"/>
            </w:tcBorders>
          </w:tcPr>
          <w:p>
            <w:pPr>
              <w:pStyle w:val="TableParagraph"/>
              <w:spacing w:line="240" w:lineRule="auto" w:before="138"/>
              <w:ind w:left="177" w:right="0"/>
              <w:jc w:val="left"/>
              <w:rPr>
                <w:rFonts w:ascii="Arial" w:hAnsi="Arial" w:cs="Arial" w:eastAsia="Arial" w:hint="default"/>
                <w:sz w:val="20"/>
                <w:szCs w:val="20"/>
              </w:rPr>
            </w:pPr>
            <w:r>
              <w:rPr>
                <w:rFonts w:ascii="Arial"/>
                <w:sz w:val="20"/>
              </w:rPr>
              <w:t>21,196,596,395</w:t>
            </w:r>
          </w:p>
        </w:tc>
      </w:tr>
    </w:tbl>
    <w:p>
      <w:pPr>
        <w:spacing w:after="0" w:line="240" w:lineRule="auto"/>
        <w:jc w:val="left"/>
        <w:rPr>
          <w:rFonts w:ascii="Arial" w:hAnsi="Arial" w:cs="Arial" w:eastAsia="Arial" w:hint="default"/>
          <w:sz w:val="20"/>
          <w:szCs w:val="20"/>
        </w:rPr>
        <w:sectPr>
          <w:headerReference w:type="default" r:id="rId112"/>
          <w:pgSz w:w="11910" w:h="16840"/>
          <w:pgMar w:header="1184" w:footer="457" w:top="3040" w:bottom="640" w:left="1280" w:right="860"/>
        </w:sectPr>
      </w:pPr>
    </w:p>
    <w:p>
      <w:pPr>
        <w:spacing w:line="240" w:lineRule="auto" w:before="12"/>
        <w:rPr>
          <w:rFonts w:ascii="宋体" w:hAnsi="宋体" w:cs="宋体" w:eastAsia="宋体" w:hint="default"/>
          <w:sz w:val="14"/>
          <w:szCs w:val="14"/>
        </w:rPr>
      </w:pPr>
    </w:p>
    <w:p>
      <w:pPr>
        <w:pStyle w:val="BodyText"/>
        <w:spacing w:line="240" w:lineRule="auto" w:before="31"/>
        <w:ind w:left="102" w:right="122"/>
        <w:jc w:val="left"/>
      </w:pPr>
      <w:r>
        <w:rPr>
          <w:rFonts w:ascii="Arial" w:hAnsi="Arial" w:cs="Arial" w:eastAsia="Arial" w:hint="default"/>
        </w:rPr>
        <w:t>31</w:t>
      </w:r>
      <w:r>
        <w:rPr/>
        <w:t>、股本（续）</w:t>
      </w:r>
    </w:p>
    <w:p>
      <w:pPr>
        <w:pStyle w:val="BodyText"/>
        <w:spacing w:line="295" w:lineRule="exact" w:before="189"/>
        <w:ind w:left="552" w:right="122"/>
        <w:jc w:val="left"/>
      </w:pPr>
      <w:r>
        <w:rPr/>
        <w:t>注：根据本公司</w:t>
      </w:r>
      <w:r>
        <w:rPr>
          <w:spacing w:val="-54"/>
        </w:rPr>
        <w:t> </w:t>
      </w:r>
      <w:r>
        <w:rPr>
          <w:rFonts w:ascii="Arial" w:hAnsi="Arial" w:cs="Arial" w:eastAsia="Arial" w:hint="default"/>
        </w:rPr>
        <w:t>2012</w:t>
      </w:r>
      <w:r>
        <w:rPr>
          <w:rFonts w:ascii="Arial" w:hAnsi="Arial" w:cs="Arial" w:eastAsia="Arial" w:hint="default"/>
          <w:spacing w:val="-5"/>
        </w:rPr>
        <w:t> </w:t>
      </w:r>
      <w:r>
        <w:rPr/>
        <w:t>年</w:t>
      </w:r>
      <w:r>
        <w:rPr>
          <w:spacing w:val="-55"/>
        </w:rPr>
        <w:t> </w:t>
      </w:r>
      <w:r>
        <w:rPr>
          <w:rFonts w:ascii="Arial" w:hAnsi="Arial" w:cs="Arial" w:eastAsia="Arial" w:hint="default"/>
        </w:rPr>
        <w:t>1</w:t>
      </w:r>
      <w:r>
        <w:rPr>
          <w:rFonts w:ascii="Arial" w:hAnsi="Arial" w:cs="Arial" w:eastAsia="Arial" w:hint="default"/>
          <w:spacing w:val="-6"/>
        </w:rPr>
        <w:t> </w:t>
      </w:r>
      <w:r>
        <w:rPr/>
        <w:t>月</w:t>
      </w:r>
      <w:r>
        <w:rPr>
          <w:spacing w:val="-55"/>
        </w:rPr>
        <w:t> </w:t>
      </w:r>
      <w:r>
        <w:rPr>
          <w:rFonts w:ascii="Arial" w:hAnsi="Arial" w:cs="Arial" w:eastAsia="Arial" w:hint="default"/>
        </w:rPr>
        <w:t>10</w:t>
      </w:r>
      <w:r>
        <w:rPr>
          <w:rFonts w:ascii="Arial" w:hAnsi="Arial" w:cs="Arial" w:eastAsia="Arial" w:hint="default"/>
          <w:spacing w:val="-7"/>
        </w:rPr>
        <w:t> </w:t>
      </w:r>
      <w:r>
        <w:rPr/>
        <w:t>日发布的《关于控股股东增持本公司股份的公告》，本公</w:t>
      </w:r>
    </w:p>
    <w:p>
      <w:pPr>
        <w:pStyle w:val="BodyText"/>
        <w:spacing w:line="225" w:lineRule="auto" w:before="6"/>
        <w:ind w:left="1002" w:right="508"/>
        <w:jc w:val="both"/>
      </w:pPr>
      <w:r>
        <w:rPr/>
        <w:t>司的母公司联通集团拟在自</w:t>
      </w:r>
      <w:r>
        <w:rPr>
          <w:spacing w:val="-57"/>
        </w:rPr>
        <w:t> </w:t>
      </w:r>
      <w:r>
        <w:rPr>
          <w:rFonts w:ascii="Arial" w:hAnsi="Arial" w:cs="Arial" w:eastAsia="Arial" w:hint="default"/>
        </w:rPr>
        <w:t>2012</w:t>
      </w:r>
      <w:r>
        <w:rPr>
          <w:rFonts w:ascii="Arial" w:hAnsi="Arial" w:cs="Arial" w:eastAsia="Arial" w:hint="default"/>
          <w:spacing w:val="-9"/>
        </w:rPr>
        <w:t> </w:t>
      </w:r>
      <w:r>
        <w:rPr/>
        <w:t>年</w:t>
      </w:r>
      <w:r>
        <w:rPr>
          <w:spacing w:val="-58"/>
        </w:rPr>
        <w:t> </w:t>
      </w:r>
      <w:r>
        <w:rPr>
          <w:rFonts w:ascii="Arial" w:hAnsi="Arial" w:cs="Arial" w:eastAsia="Arial" w:hint="default"/>
        </w:rPr>
        <w:t>1</w:t>
      </w:r>
      <w:r>
        <w:rPr>
          <w:rFonts w:ascii="Arial" w:hAnsi="Arial" w:cs="Arial" w:eastAsia="Arial" w:hint="default"/>
          <w:spacing w:val="-9"/>
        </w:rPr>
        <w:t> </w:t>
      </w:r>
      <w:r>
        <w:rPr/>
        <w:t>月</w:t>
      </w:r>
      <w:r>
        <w:rPr>
          <w:spacing w:val="-58"/>
        </w:rPr>
        <w:t> </w:t>
      </w:r>
      <w:r>
        <w:rPr>
          <w:rFonts w:ascii="Arial" w:hAnsi="Arial" w:cs="Arial" w:eastAsia="Arial" w:hint="default"/>
        </w:rPr>
        <w:t>9</w:t>
      </w:r>
      <w:r>
        <w:rPr>
          <w:rFonts w:ascii="Arial" w:hAnsi="Arial" w:cs="Arial" w:eastAsia="Arial" w:hint="default"/>
          <w:spacing w:val="-9"/>
        </w:rPr>
        <w:t> </w:t>
      </w:r>
      <w:r>
        <w:rPr/>
        <w:t>日起</w:t>
      </w:r>
      <w:r>
        <w:rPr>
          <w:spacing w:val="-58"/>
        </w:rPr>
        <w:t> </w:t>
      </w:r>
      <w:r>
        <w:rPr>
          <w:rFonts w:ascii="Arial" w:hAnsi="Arial" w:cs="Arial" w:eastAsia="Arial" w:hint="default"/>
        </w:rPr>
        <w:t>12</w:t>
      </w:r>
      <w:r>
        <w:rPr>
          <w:rFonts w:ascii="Arial" w:hAnsi="Arial" w:cs="Arial" w:eastAsia="Arial" w:hint="default"/>
          <w:spacing w:val="-9"/>
        </w:rPr>
        <w:t> </w:t>
      </w:r>
      <w:r>
        <w:rPr/>
        <w:t>个月内通过上海证券交易所交易系</w:t>
      </w:r>
      <w:r>
        <w:rPr>
          <w:w w:val="99"/>
        </w:rPr>
        <w:t> </w:t>
      </w:r>
      <w:r>
        <w:rPr/>
        <w:t>统增持本公司股份，累计增持比例不超过本公司已发行总股本的</w:t>
      </w:r>
      <w:r>
        <w:rPr>
          <w:spacing w:val="-56"/>
        </w:rPr>
        <w:t> </w:t>
      </w:r>
      <w:r>
        <w:rPr>
          <w:rFonts w:ascii="Arial" w:hAnsi="Arial" w:cs="Arial" w:eastAsia="Arial" w:hint="default"/>
        </w:rPr>
        <w:t>2%</w:t>
      </w:r>
      <w:r>
        <w:rPr/>
        <w:t>。于</w:t>
      </w:r>
      <w:r>
        <w:rPr>
          <w:spacing w:val="-59"/>
        </w:rPr>
        <w:t> </w:t>
      </w:r>
      <w:r>
        <w:rPr>
          <w:rFonts w:ascii="Arial" w:hAnsi="Arial" w:cs="Arial" w:eastAsia="Arial" w:hint="default"/>
        </w:rPr>
        <w:t>2012</w:t>
      </w:r>
      <w:r>
        <w:rPr>
          <w:rFonts w:ascii="Arial" w:hAnsi="Arial" w:cs="Arial" w:eastAsia="Arial" w:hint="default"/>
          <w:spacing w:val="-10"/>
        </w:rPr>
        <w:t> </w:t>
      </w:r>
      <w:r>
        <w:rPr/>
        <w:t>年度，</w:t>
      </w:r>
      <w:r>
        <w:rPr>
          <w:w w:val="99"/>
        </w:rPr>
        <w:t> </w:t>
      </w:r>
      <w:r>
        <w:rPr/>
        <w:t>联通集团增持本公司股份 </w:t>
      </w:r>
      <w:r>
        <w:rPr>
          <w:rFonts w:ascii="Arial" w:hAnsi="Arial" w:cs="Arial" w:eastAsia="Arial" w:hint="default"/>
        </w:rPr>
        <w:t>241,190,869 </w:t>
      </w:r>
      <w:r>
        <w:rPr/>
        <w:t>股，占本公司已发行总股本的</w:t>
      </w:r>
      <w:r>
        <w:rPr>
          <w:spacing w:val="-63"/>
        </w:rPr>
        <w:t> </w:t>
      </w:r>
      <w:r>
        <w:rPr>
          <w:rFonts w:ascii="Arial" w:hAnsi="Arial" w:cs="Arial" w:eastAsia="Arial" w:hint="default"/>
        </w:rPr>
        <w:t>1.14%</w:t>
      </w:r>
      <w:r>
        <w:rPr/>
        <w:t>，增持后</w:t>
      </w:r>
      <w:r>
        <w:rPr>
          <w:w w:val="99"/>
        </w:rPr>
        <w:t> </w:t>
      </w:r>
      <w:r>
        <w:rPr/>
        <w:t>累计持有本公司股份</w:t>
      </w:r>
      <w:r>
        <w:rPr>
          <w:spacing w:val="-58"/>
        </w:rPr>
        <w:t> </w:t>
      </w:r>
      <w:r>
        <w:rPr>
          <w:rFonts w:ascii="Arial" w:hAnsi="Arial" w:cs="Arial" w:eastAsia="Arial" w:hint="default"/>
        </w:rPr>
        <w:t>13,180,937,021</w:t>
      </w:r>
      <w:r>
        <w:rPr>
          <w:rFonts w:ascii="Arial" w:hAnsi="Arial" w:cs="Arial" w:eastAsia="Arial" w:hint="default"/>
          <w:spacing w:val="-9"/>
        </w:rPr>
        <w:t> </w:t>
      </w:r>
      <w:r>
        <w:rPr/>
        <w:t>股，占总股本的比例为</w:t>
      </w:r>
      <w:r>
        <w:rPr>
          <w:spacing w:val="-58"/>
        </w:rPr>
        <w:t> </w:t>
      </w:r>
      <w:r>
        <w:rPr>
          <w:rFonts w:ascii="Arial" w:hAnsi="Arial" w:cs="Arial" w:eastAsia="Arial" w:hint="default"/>
        </w:rPr>
        <w:t>62.18%</w:t>
      </w:r>
      <w:r>
        <w:rPr/>
        <w:t>。</w:t>
      </w:r>
    </w:p>
    <w:p>
      <w:pPr>
        <w:spacing w:line="240" w:lineRule="auto" w:before="2"/>
        <w:rPr>
          <w:rFonts w:ascii="宋体" w:hAnsi="宋体" w:cs="宋体" w:eastAsia="宋体" w:hint="default"/>
          <w:sz w:val="18"/>
          <w:szCs w:val="18"/>
        </w:rPr>
      </w:pPr>
    </w:p>
    <w:p>
      <w:pPr>
        <w:pStyle w:val="BodyText"/>
        <w:spacing w:line="240" w:lineRule="auto"/>
        <w:ind w:left="552" w:right="122"/>
        <w:jc w:val="left"/>
      </w:pPr>
      <w:r>
        <w:rPr/>
        <w:t>于</w:t>
      </w:r>
      <w:r>
        <w:rPr>
          <w:spacing w:val="-57"/>
        </w:rPr>
        <w:t> </w:t>
      </w:r>
      <w:r>
        <w:rPr>
          <w:rFonts w:ascii="Arial" w:hAnsi="Arial" w:cs="Arial" w:eastAsia="Arial" w:hint="default"/>
        </w:rPr>
        <w:t>2012</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日，本公司股东投入的股本及比例列示如下：</w:t>
      </w:r>
    </w:p>
    <w:p>
      <w:pPr>
        <w:spacing w:line="240" w:lineRule="auto" w:before="2"/>
        <w:rPr>
          <w:rFonts w:ascii="宋体" w:hAnsi="宋体" w:cs="宋体" w:eastAsia="宋体" w:hint="default"/>
          <w:sz w:val="23"/>
          <w:szCs w:val="23"/>
        </w:rPr>
      </w:pPr>
    </w:p>
    <w:tbl>
      <w:tblPr>
        <w:tblW w:w="0" w:type="auto"/>
        <w:jc w:val="left"/>
        <w:tblInd w:w="552" w:type="dxa"/>
        <w:tblLayout w:type="fixed"/>
        <w:tblCellMar>
          <w:top w:w="0" w:type="dxa"/>
          <w:left w:w="0" w:type="dxa"/>
          <w:bottom w:w="0" w:type="dxa"/>
          <w:right w:w="0" w:type="dxa"/>
        </w:tblCellMar>
        <w:tblLook w:val="01E0"/>
      </w:tblPr>
      <w:tblGrid>
        <w:gridCol w:w="2710"/>
        <w:gridCol w:w="110"/>
        <w:gridCol w:w="864"/>
        <w:gridCol w:w="131"/>
        <w:gridCol w:w="1924"/>
        <w:gridCol w:w="110"/>
        <w:gridCol w:w="1507"/>
        <w:gridCol w:w="1700"/>
      </w:tblGrid>
      <w:tr>
        <w:trPr>
          <w:trHeight w:val="260" w:hRule="exact"/>
        </w:trPr>
        <w:tc>
          <w:tcPr>
            <w:tcW w:w="2710" w:type="dxa"/>
            <w:tcBorders>
              <w:top w:val="nil" w:sz="6" w:space="0" w:color="auto"/>
              <w:left w:val="nil" w:sz="6" w:space="0" w:color="auto"/>
              <w:bottom w:val="single" w:sz="6" w:space="0" w:color="000000"/>
              <w:right w:val="nil" w:sz="6" w:space="0" w:color="auto"/>
            </w:tcBorders>
          </w:tcPr>
          <w:p>
            <w:pPr>
              <w:pStyle w:val="TableParagraph"/>
              <w:spacing w:line="220" w:lineRule="exact"/>
              <w:ind w:right="1"/>
              <w:jc w:val="center"/>
              <w:rPr>
                <w:rFonts w:ascii="宋体" w:hAnsi="宋体" w:cs="宋体" w:eastAsia="宋体" w:hint="default"/>
                <w:sz w:val="22"/>
                <w:szCs w:val="22"/>
              </w:rPr>
            </w:pPr>
            <w:r>
              <w:rPr>
                <w:rFonts w:ascii="宋体" w:hAnsi="宋体" w:cs="宋体" w:eastAsia="宋体" w:hint="default"/>
                <w:sz w:val="22"/>
                <w:szCs w:val="22"/>
              </w:rPr>
              <w:t>投资方</w:t>
            </w:r>
          </w:p>
        </w:tc>
        <w:tc>
          <w:tcPr>
            <w:tcW w:w="110"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single" w:sz="6" w:space="0" w:color="000000"/>
              <w:right w:val="nil" w:sz="6" w:space="0" w:color="auto"/>
            </w:tcBorders>
          </w:tcPr>
          <w:p>
            <w:pPr>
              <w:pStyle w:val="TableParagraph"/>
              <w:spacing w:line="220" w:lineRule="exact"/>
              <w:ind w:right="83"/>
              <w:jc w:val="center"/>
              <w:rPr>
                <w:rFonts w:ascii="宋体" w:hAnsi="宋体" w:cs="宋体" w:eastAsia="宋体" w:hint="default"/>
                <w:sz w:val="22"/>
                <w:szCs w:val="22"/>
              </w:rPr>
            </w:pPr>
            <w:r>
              <w:rPr>
                <w:rFonts w:ascii="宋体" w:hAnsi="宋体" w:cs="宋体" w:eastAsia="宋体" w:hint="default"/>
                <w:sz w:val="22"/>
                <w:szCs w:val="22"/>
              </w:rPr>
              <w:t>注册地</w:t>
            </w:r>
          </w:p>
        </w:tc>
        <w:tc>
          <w:tcPr>
            <w:tcW w:w="131"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single" w:sz="6" w:space="0" w:color="000000"/>
              <w:right w:val="nil" w:sz="6" w:space="0" w:color="auto"/>
            </w:tcBorders>
          </w:tcPr>
          <w:p>
            <w:pPr>
              <w:pStyle w:val="TableParagraph"/>
              <w:spacing w:line="220" w:lineRule="exact"/>
              <w:ind w:left="524" w:right="0"/>
              <w:jc w:val="left"/>
              <w:rPr>
                <w:rFonts w:ascii="宋体" w:hAnsi="宋体" w:cs="宋体" w:eastAsia="宋体" w:hint="default"/>
                <w:sz w:val="22"/>
                <w:szCs w:val="22"/>
              </w:rPr>
            </w:pPr>
            <w:r>
              <w:rPr>
                <w:rFonts w:ascii="宋体" w:hAnsi="宋体" w:cs="宋体" w:eastAsia="宋体" w:hint="default"/>
                <w:sz w:val="22"/>
                <w:szCs w:val="22"/>
              </w:rPr>
              <w:t>实缴股本</w:t>
            </w:r>
          </w:p>
        </w:tc>
        <w:tc>
          <w:tcPr>
            <w:tcW w:w="110"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single" w:sz="6" w:space="0" w:color="000000"/>
              <w:right w:val="nil" w:sz="6" w:space="0" w:color="auto"/>
            </w:tcBorders>
          </w:tcPr>
          <w:p>
            <w:pPr>
              <w:pStyle w:val="TableParagraph"/>
              <w:spacing w:line="220" w:lineRule="exact"/>
              <w:ind w:left="311" w:right="0"/>
              <w:jc w:val="left"/>
              <w:rPr>
                <w:rFonts w:ascii="宋体" w:hAnsi="宋体" w:cs="宋体" w:eastAsia="宋体" w:hint="default"/>
                <w:sz w:val="22"/>
                <w:szCs w:val="22"/>
              </w:rPr>
            </w:pPr>
            <w:r>
              <w:rPr>
                <w:rFonts w:ascii="宋体" w:hAnsi="宋体" w:cs="宋体" w:eastAsia="宋体" w:hint="default"/>
                <w:sz w:val="22"/>
                <w:szCs w:val="22"/>
              </w:rPr>
              <w:t>出资方式</w:t>
            </w:r>
          </w:p>
        </w:tc>
        <w:tc>
          <w:tcPr>
            <w:tcW w:w="1700" w:type="dxa"/>
            <w:tcBorders>
              <w:top w:val="nil" w:sz="6" w:space="0" w:color="auto"/>
              <w:left w:val="nil" w:sz="6" w:space="0" w:color="auto"/>
              <w:bottom w:val="single" w:sz="6" w:space="0" w:color="000000"/>
              <w:right w:val="nil" w:sz="6" w:space="0" w:color="auto"/>
            </w:tcBorders>
          </w:tcPr>
          <w:p>
            <w:pPr>
              <w:pStyle w:val="TableParagraph"/>
              <w:spacing w:line="235" w:lineRule="exact"/>
              <w:ind w:left="281" w:right="0"/>
              <w:jc w:val="left"/>
              <w:rPr>
                <w:rFonts w:ascii="Arial" w:hAnsi="Arial" w:cs="Arial" w:eastAsia="Arial" w:hint="default"/>
                <w:sz w:val="22"/>
                <w:szCs w:val="22"/>
              </w:rPr>
            </w:pPr>
            <w:r>
              <w:rPr>
                <w:rFonts w:ascii="宋体" w:hAnsi="宋体" w:cs="宋体" w:eastAsia="宋体" w:hint="default"/>
                <w:sz w:val="22"/>
                <w:szCs w:val="22"/>
              </w:rPr>
              <w:t>权益比例</w:t>
            </w:r>
            <w:r>
              <w:rPr>
                <w:rFonts w:ascii="Arial" w:hAnsi="Arial" w:cs="Arial" w:eastAsia="Arial" w:hint="default"/>
                <w:sz w:val="22"/>
                <w:szCs w:val="22"/>
              </w:rPr>
              <w:t>(%)</w:t>
            </w:r>
          </w:p>
        </w:tc>
      </w:tr>
      <w:tr>
        <w:trPr>
          <w:trHeight w:val="559" w:hRule="exact"/>
        </w:trPr>
        <w:tc>
          <w:tcPr>
            <w:tcW w:w="2710"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110" w:type="dxa"/>
            <w:tcBorders>
              <w:top w:val="nil" w:sz="6" w:space="0" w:color="auto"/>
              <w:left w:val="nil" w:sz="6" w:space="0" w:color="auto"/>
              <w:bottom w:val="nil" w:sz="6" w:space="0" w:color="auto"/>
              <w:right w:val="nil" w:sz="6" w:space="0" w:color="auto"/>
            </w:tcBorders>
          </w:tcPr>
          <w:p>
            <w:pPr/>
          </w:p>
        </w:tc>
        <w:tc>
          <w:tcPr>
            <w:tcW w:w="864"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北京</w:t>
            </w:r>
          </w:p>
        </w:tc>
        <w:tc>
          <w:tcPr>
            <w:tcW w:w="131" w:type="dxa"/>
            <w:tcBorders>
              <w:top w:val="nil" w:sz="6" w:space="0" w:color="auto"/>
              <w:left w:val="nil" w:sz="6" w:space="0" w:color="auto"/>
              <w:bottom w:val="nil" w:sz="6" w:space="0" w:color="auto"/>
              <w:right w:val="nil" w:sz="6" w:space="0" w:color="auto"/>
            </w:tcBorders>
          </w:tcPr>
          <w:p>
            <w:pPr/>
          </w:p>
        </w:tc>
        <w:tc>
          <w:tcPr>
            <w:tcW w:w="1924"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22" w:right="0"/>
              <w:jc w:val="left"/>
              <w:rPr>
                <w:rFonts w:ascii="Arial" w:hAnsi="Arial" w:cs="Arial" w:eastAsia="Arial" w:hint="default"/>
                <w:sz w:val="22"/>
                <w:szCs w:val="22"/>
              </w:rPr>
            </w:pPr>
            <w:r>
              <w:rPr>
                <w:rFonts w:ascii="Arial"/>
                <w:sz w:val="22"/>
              </w:rPr>
              <w:t>13,180,937,021</w:t>
            </w:r>
          </w:p>
        </w:tc>
        <w:tc>
          <w:tcPr>
            <w:tcW w:w="110" w:type="dxa"/>
            <w:tcBorders>
              <w:top w:val="nil" w:sz="6" w:space="0" w:color="auto"/>
              <w:left w:val="nil" w:sz="6" w:space="0" w:color="auto"/>
              <w:bottom w:val="nil" w:sz="6" w:space="0" w:color="auto"/>
              <w:right w:val="nil" w:sz="6" w:space="0" w:color="auto"/>
            </w:tcBorders>
          </w:tcPr>
          <w:p>
            <w:pPr/>
          </w:p>
        </w:tc>
        <w:tc>
          <w:tcPr>
            <w:tcW w:w="1507"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13"/>
              <w:jc w:val="right"/>
              <w:rPr>
                <w:rFonts w:ascii="宋体" w:hAnsi="宋体" w:cs="宋体" w:eastAsia="宋体" w:hint="default"/>
                <w:sz w:val="22"/>
                <w:szCs w:val="22"/>
              </w:rPr>
            </w:pPr>
            <w:r>
              <w:rPr>
                <w:rFonts w:ascii="宋体" w:hAnsi="宋体" w:cs="宋体" w:eastAsia="宋体" w:hint="default"/>
                <w:w w:val="95"/>
                <w:sz w:val="22"/>
                <w:szCs w:val="22"/>
              </w:rPr>
              <w:t>股权及现金</w:t>
            </w:r>
            <w:r>
              <w:rPr>
                <w:rFonts w:ascii="宋体" w:hAnsi="宋体" w:cs="宋体" w:eastAsia="宋体" w:hint="default"/>
                <w:sz w:val="22"/>
                <w:szCs w:val="22"/>
              </w:rPr>
            </w:r>
          </w:p>
        </w:tc>
        <w:tc>
          <w:tcPr>
            <w:tcW w:w="1700"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4"/>
              <w:jc w:val="right"/>
              <w:rPr>
                <w:rFonts w:ascii="Arial" w:hAnsi="Arial" w:cs="Arial" w:eastAsia="Arial" w:hint="default"/>
                <w:sz w:val="22"/>
                <w:szCs w:val="22"/>
              </w:rPr>
            </w:pPr>
            <w:r>
              <w:rPr>
                <w:rFonts w:ascii="Arial"/>
                <w:w w:val="95"/>
                <w:sz w:val="22"/>
              </w:rPr>
              <w:t>62.1842</w:t>
            </w:r>
            <w:r>
              <w:rPr>
                <w:rFonts w:ascii="Arial"/>
                <w:sz w:val="22"/>
              </w:rPr>
            </w:r>
          </w:p>
        </w:tc>
      </w:tr>
      <w:tr>
        <w:trPr>
          <w:trHeight w:val="285"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239" w:lineRule="exact"/>
              <w:ind w:left="21" w:right="0"/>
              <w:jc w:val="left"/>
              <w:rPr>
                <w:rFonts w:ascii="宋体" w:hAnsi="宋体" w:cs="宋体" w:eastAsia="宋体" w:hint="default"/>
                <w:sz w:val="22"/>
                <w:szCs w:val="22"/>
              </w:rPr>
            </w:pPr>
            <w:r>
              <w:rPr>
                <w:rFonts w:ascii="宋体" w:hAnsi="宋体" w:cs="宋体" w:eastAsia="宋体" w:hint="default"/>
                <w:sz w:val="22"/>
                <w:szCs w:val="22"/>
              </w:rPr>
              <w:t>北京联通兴业科贸有限公司</w:t>
            </w:r>
          </w:p>
        </w:tc>
        <w:tc>
          <w:tcPr>
            <w:tcW w:w="110"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Style w:val="TableParagraph"/>
              <w:spacing w:line="239" w:lineRule="exact"/>
              <w:ind w:right="0"/>
              <w:jc w:val="center"/>
              <w:rPr>
                <w:rFonts w:ascii="宋体" w:hAnsi="宋体" w:cs="宋体" w:eastAsia="宋体" w:hint="default"/>
                <w:sz w:val="22"/>
                <w:szCs w:val="22"/>
              </w:rPr>
            </w:pPr>
            <w:r>
              <w:rPr>
                <w:rFonts w:ascii="宋体" w:hAnsi="宋体" w:cs="宋体" w:eastAsia="宋体" w:hint="default"/>
                <w:sz w:val="22"/>
                <w:szCs w:val="22"/>
              </w:rPr>
              <w:t>北京</w:t>
            </w:r>
          </w:p>
        </w:tc>
        <w:tc>
          <w:tcPr>
            <w:tcW w:w="131"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0"/>
              <w:jc w:val="right"/>
              <w:rPr>
                <w:rFonts w:ascii="Arial" w:hAnsi="Arial" w:cs="Arial" w:eastAsia="Arial" w:hint="default"/>
                <w:sz w:val="22"/>
                <w:szCs w:val="22"/>
              </w:rPr>
            </w:pPr>
            <w:r>
              <w:rPr>
                <w:rFonts w:ascii="Arial"/>
                <w:w w:val="95"/>
                <w:sz w:val="22"/>
              </w:rPr>
              <w:t>569,505</w:t>
            </w:r>
            <w:r>
              <w:rPr>
                <w:rFonts w:ascii="Arial"/>
                <w:sz w:val="22"/>
              </w:rPr>
            </w:r>
          </w:p>
        </w:tc>
        <w:tc>
          <w:tcPr>
            <w:tcW w:w="110"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39" w:lineRule="exact"/>
              <w:ind w:right="113"/>
              <w:jc w:val="right"/>
              <w:rPr>
                <w:rFonts w:ascii="宋体" w:hAnsi="宋体" w:cs="宋体" w:eastAsia="宋体" w:hint="default"/>
                <w:sz w:val="22"/>
                <w:szCs w:val="22"/>
              </w:rPr>
            </w:pPr>
            <w:r>
              <w:rPr>
                <w:rFonts w:ascii="宋体" w:hAnsi="宋体" w:cs="宋体" w:eastAsia="宋体" w:hint="default"/>
                <w:w w:val="95"/>
                <w:sz w:val="22"/>
                <w:szCs w:val="22"/>
              </w:rPr>
              <w:t>现金</w:t>
            </w:r>
            <w:r>
              <w:rPr>
                <w:rFonts w:ascii="宋体" w:hAnsi="宋体" w:cs="宋体" w:eastAsia="宋体" w:hint="default"/>
                <w:sz w:val="22"/>
                <w:szCs w:val="22"/>
              </w:rPr>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3"/>
              <w:jc w:val="right"/>
              <w:rPr>
                <w:rFonts w:ascii="Arial" w:hAnsi="Arial" w:cs="Arial" w:eastAsia="Arial" w:hint="default"/>
                <w:sz w:val="22"/>
                <w:szCs w:val="22"/>
              </w:rPr>
            </w:pPr>
            <w:r>
              <w:rPr>
                <w:rFonts w:ascii="Arial"/>
                <w:w w:val="95"/>
                <w:sz w:val="22"/>
              </w:rPr>
              <w:t>0.0027</w:t>
            </w:r>
            <w:r>
              <w:rPr>
                <w:rFonts w:ascii="Arial"/>
                <w:sz w:val="22"/>
              </w:rPr>
            </w:r>
          </w:p>
        </w:tc>
      </w:tr>
      <w:tr>
        <w:trPr>
          <w:trHeight w:val="286"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239" w:lineRule="exact"/>
              <w:ind w:left="21" w:right="0"/>
              <w:jc w:val="left"/>
              <w:rPr>
                <w:rFonts w:ascii="宋体" w:hAnsi="宋体" w:cs="宋体" w:eastAsia="宋体" w:hint="default"/>
                <w:sz w:val="22"/>
                <w:szCs w:val="22"/>
              </w:rPr>
            </w:pPr>
            <w:r>
              <w:rPr>
                <w:rFonts w:ascii="宋体" w:hAnsi="宋体" w:cs="宋体" w:eastAsia="宋体" w:hint="default"/>
                <w:sz w:val="22"/>
                <w:szCs w:val="22"/>
              </w:rPr>
              <w:t>联通进出口</w:t>
            </w:r>
          </w:p>
        </w:tc>
        <w:tc>
          <w:tcPr>
            <w:tcW w:w="110"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Style w:val="TableParagraph"/>
              <w:spacing w:line="239" w:lineRule="exact"/>
              <w:ind w:right="0"/>
              <w:jc w:val="center"/>
              <w:rPr>
                <w:rFonts w:ascii="宋体" w:hAnsi="宋体" w:cs="宋体" w:eastAsia="宋体" w:hint="default"/>
                <w:sz w:val="22"/>
                <w:szCs w:val="22"/>
              </w:rPr>
            </w:pPr>
            <w:r>
              <w:rPr>
                <w:rFonts w:ascii="宋体" w:hAnsi="宋体" w:cs="宋体" w:eastAsia="宋体" w:hint="default"/>
                <w:sz w:val="22"/>
                <w:szCs w:val="22"/>
              </w:rPr>
              <w:t>北京</w:t>
            </w:r>
          </w:p>
        </w:tc>
        <w:tc>
          <w:tcPr>
            <w:tcW w:w="131"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0"/>
              <w:jc w:val="right"/>
              <w:rPr>
                <w:rFonts w:ascii="Arial" w:hAnsi="Arial" w:cs="Arial" w:eastAsia="Arial" w:hint="default"/>
                <w:sz w:val="22"/>
                <w:szCs w:val="22"/>
              </w:rPr>
            </w:pPr>
            <w:r>
              <w:rPr>
                <w:rFonts w:ascii="Arial"/>
                <w:w w:val="95"/>
                <w:sz w:val="22"/>
              </w:rPr>
              <w:t>569,505</w:t>
            </w:r>
            <w:r>
              <w:rPr>
                <w:rFonts w:ascii="Arial"/>
                <w:sz w:val="22"/>
              </w:rPr>
            </w:r>
          </w:p>
        </w:tc>
        <w:tc>
          <w:tcPr>
            <w:tcW w:w="110"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39" w:lineRule="exact"/>
              <w:ind w:right="113"/>
              <w:jc w:val="right"/>
              <w:rPr>
                <w:rFonts w:ascii="宋体" w:hAnsi="宋体" w:cs="宋体" w:eastAsia="宋体" w:hint="default"/>
                <w:sz w:val="22"/>
                <w:szCs w:val="22"/>
              </w:rPr>
            </w:pPr>
            <w:r>
              <w:rPr>
                <w:rFonts w:ascii="宋体" w:hAnsi="宋体" w:cs="宋体" w:eastAsia="宋体" w:hint="default"/>
                <w:w w:val="95"/>
                <w:sz w:val="22"/>
                <w:szCs w:val="22"/>
              </w:rPr>
              <w:t>现金</w:t>
            </w:r>
            <w:r>
              <w:rPr>
                <w:rFonts w:ascii="宋体" w:hAnsi="宋体" w:cs="宋体" w:eastAsia="宋体" w:hint="default"/>
                <w:sz w:val="22"/>
                <w:szCs w:val="22"/>
              </w:rPr>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3"/>
              <w:jc w:val="right"/>
              <w:rPr>
                <w:rFonts w:ascii="Arial" w:hAnsi="Arial" w:cs="Arial" w:eastAsia="Arial" w:hint="default"/>
                <w:sz w:val="22"/>
                <w:szCs w:val="22"/>
              </w:rPr>
            </w:pPr>
            <w:r>
              <w:rPr>
                <w:rFonts w:ascii="Arial"/>
                <w:w w:val="95"/>
                <w:sz w:val="22"/>
              </w:rPr>
              <w:t>0.0027</w:t>
            </w:r>
            <w:r>
              <w:rPr>
                <w:rFonts w:ascii="Arial"/>
                <w:sz w:val="22"/>
              </w:rPr>
            </w:r>
          </w:p>
        </w:tc>
      </w:tr>
      <w:tr>
        <w:trPr>
          <w:trHeight w:val="419"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239" w:lineRule="exact"/>
              <w:ind w:left="21" w:right="0"/>
              <w:jc w:val="left"/>
              <w:rPr>
                <w:rFonts w:ascii="宋体" w:hAnsi="宋体" w:cs="宋体" w:eastAsia="宋体" w:hint="default"/>
                <w:sz w:val="22"/>
                <w:szCs w:val="22"/>
              </w:rPr>
            </w:pPr>
            <w:r>
              <w:rPr>
                <w:rFonts w:ascii="宋体" w:hAnsi="宋体" w:cs="宋体" w:eastAsia="宋体" w:hint="default"/>
                <w:sz w:val="22"/>
                <w:szCs w:val="22"/>
              </w:rPr>
              <w:t>普通股－公众股</w:t>
            </w:r>
          </w:p>
        </w:tc>
        <w:tc>
          <w:tcPr>
            <w:tcW w:w="110"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
              <w:jc w:val="center"/>
              <w:rPr>
                <w:rFonts w:ascii="Arial" w:hAnsi="Arial" w:cs="Arial" w:eastAsia="Arial" w:hint="default"/>
                <w:sz w:val="22"/>
                <w:szCs w:val="22"/>
              </w:rPr>
            </w:pPr>
            <w:r>
              <w:rPr>
                <w:rFonts w:ascii="Arial"/>
                <w:w w:val="99"/>
                <w:sz w:val="22"/>
              </w:rPr>
              <w:t>-</w:t>
            </w:r>
            <w:r>
              <w:rPr>
                <w:rFonts w:ascii="Arial"/>
                <w:sz w:val="22"/>
              </w:rPr>
            </w:r>
          </w:p>
        </w:tc>
        <w:tc>
          <w:tcPr>
            <w:tcW w:w="131"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tabs>
                <w:tab w:pos="437" w:val="left" w:leader="none"/>
                <w:tab w:pos="1916"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8,014,520,364</w:t>
              <w:tab/>
            </w:r>
            <w:r>
              <w:rPr>
                <w:rFonts w:ascii="Arial"/>
                <w:spacing w:val="-1"/>
                <w:sz w:val="22"/>
              </w:rPr>
            </w:r>
          </w:p>
        </w:tc>
        <w:tc>
          <w:tcPr>
            <w:tcW w:w="110"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39" w:lineRule="exact"/>
              <w:ind w:right="113"/>
              <w:jc w:val="right"/>
              <w:rPr>
                <w:rFonts w:ascii="宋体" w:hAnsi="宋体" w:cs="宋体" w:eastAsia="宋体" w:hint="default"/>
                <w:sz w:val="22"/>
                <w:szCs w:val="22"/>
              </w:rPr>
            </w:pPr>
            <w:r>
              <w:rPr>
                <w:rFonts w:ascii="宋体" w:hAnsi="宋体" w:cs="宋体" w:eastAsia="宋体" w:hint="default"/>
                <w:w w:val="95"/>
                <w:sz w:val="22"/>
                <w:szCs w:val="22"/>
              </w:rPr>
              <w:t>现金</w:t>
            </w:r>
            <w:r>
              <w:rPr>
                <w:rFonts w:ascii="宋体" w:hAnsi="宋体" w:cs="宋体" w:eastAsia="宋体" w:hint="default"/>
                <w:sz w:val="22"/>
                <w:szCs w:val="22"/>
              </w:rPr>
            </w:r>
          </w:p>
        </w:tc>
        <w:tc>
          <w:tcPr>
            <w:tcW w:w="1700" w:type="dxa"/>
            <w:tcBorders>
              <w:top w:val="nil" w:sz="6" w:space="0" w:color="auto"/>
              <w:left w:val="nil" w:sz="6" w:space="0" w:color="auto"/>
              <w:bottom w:val="nil" w:sz="6" w:space="0" w:color="auto"/>
              <w:right w:val="nil" w:sz="6" w:space="0" w:color="auto"/>
            </w:tcBorders>
          </w:tcPr>
          <w:p>
            <w:pPr>
              <w:pStyle w:val="TableParagraph"/>
              <w:tabs>
                <w:tab w:pos="728" w:val="left" w:leader="none"/>
                <w:tab w:pos="1619"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37.8104</w:t>
            </w:r>
            <w:r>
              <w:rPr>
                <w:rFonts w:ascii="Arial"/>
                <w:sz w:val="22"/>
                <w:u w:val="single" w:color="000000"/>
              </w:rPr>
              <w:tab/>
            </w:r>
            <w:r>
              <w:rPr>
                <w:rFonts w:ascii="Arial"/>
                <w:sz w:val="22"/>
              </w:rPr>
            </w:r>
          </w:p>
        </w:tc>
      </w:tr>
      <w:tr>
        <w:trPr>
          <w:trHeight w:val="430" w:hRule="exact"/>
        </w:trPr>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1"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10"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131"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322" w:right="0"/>
              <w:jc w:val="left"/>
              <w:rPr>
                <w:rFonts w:ascii="Arial" w:hAnsi="Arial" w:cs="Arial" w:eastAsia="Arial" w:hint="default"/>
                <w:sz w:val="22"/>
                <w:szCs w:val="22"/>
              </w:rPr>
            </w:pPr>
            <w:r>
              <w:rPr>
                <w:rFonts w:ascii="Arial"/>
                <w:sz w:val="22"/>
              </w:rPr>
              <w:t>21,196,596,395</w:t>
            </w:r>
          </w:p>
        </w:tc>
        <w:tc>
          <w:tcPr>
            <w:tcW w:w="110"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94"/>
              <w:jc w:val="right"/>
              <w:rPr>
                <w:rFonts w:ascii="Arial" w:hAnsi="Arial" w:cs="Arial" w:eastAsia="Arial" w:hint="default"/>
                <w:sz w:val="22"/>
                <w:szCs w:val="22"/>
              </w:rPr>
            </w:pPr>
            <w:r>
              <w:rPr>
                <w:rFonts w:ascii="Arial"/>
                <w:w w:val="95"/>
                <w:sz w:val="22"/>
              </w:rPr>
              <w:t>100.0000</w:t>
            </w:r>
            <w:r>
              <w:rPr>
                <w:rFonts w:ascii="Arial"/>
                <w:sz w:val="22"/>
              </w:rPr>
            </w:r>
          </w:p>
        </w:tc>
      </w:tr>
    </w:tbl>
    <w:p>
      <w:pPr>
        <w:spacing w:line="240" w:lineRule="auto" w:before="2"/>
        <w:rPr>
          <w:rFonts w:ascii="宋体" w:hAnsi="宋体" w:cs="宋体" w:eastAsia="宋体" w:hint="default"/>
          <w:sz w:val="14"/>
          <w:szCs w:val="14"/>
        </w:rPr>
      </w:pPr>
    </w:p>
    <w:p>
      <w:pPr>
        <w:pStyle w:val="BodyText"/>
        <w:spacing w:line="240" w:lineRule="auto" w:before="31"/>
        <w:ind w:left="102" w:right="122"/>
        <w:jc w:val="left"/>
      </w:pPr>
      <w:r>
        <w:rPr>
          <w:rFonts w:ascii="Arial" w:hAnsi="Arial" w:cs="Arial" w:eastAsia="Arial" w:hint="default"/>
        </w:rPr>
        <w:t>32</w:t>
      </w:r>
      <w:r>
        <w:rPr/>
        <w:t>、资本公积</w:t>
      </w:r>
    </w:p>
    <w:p>
      <w:pPr>
        <w:spacing w:line="240" w:lineRule="auto" w:before="11"/>
        <w:rPr>
          <w:rFonts w:ascii="宋体" w:hAnsi="宋体" w:cs="宋体" w:eastAsia="宋体" w:hint="default"/>
          <w:sz w:val="18"/>
          <w:szCs w:val="18"/>
        </w:rPr>
      </w:pPr>
    </w:p>
    <w:tbl>
      <w:tblPr>
        <w:tblW w:w="0" w:type="auto"/>
        <w:jc w:val="left"/>
        <w:tblInd w:w="580" w:type="dxa"/>
        <w:tblLayout w:type="fixed"/>
        <w:tblCellMar>
          <w:top w:w="0" w:type="dxa"/>
          <w:left w:w="0" w:type="dxa"/>
          <w:bottom w:w="0" w:type="dxa"/>
          <w:right w:w="0" w:type="dxa"/>
        </w:tblCellMar>
        <w:tblLook w:val="01E0"/>
      </w:tblPr>
      <w:tblGrid>
        <w:gridCol w:w="3474"/>
        <w:gridCol w:w="419"/>
        <w:gridCol w:w="1475"/>
        <w:gridCol w:w="1070"/>
        <w:gridCol w:w="1287"/>
        <w:gridCol w:w="1337"/>
      </w:tblGrid>
      <w:tr>
        <w:trPr>
          <w:trHeight w:val="400" w:hRule="exact"/>
        </w:trPr>
        <w:tc>
          <w:tcPr>
            <w:tcW w:w="3474"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28"/>
              <w:jc w:val="center"/>
              <w:rPr>
                <w:rFonts w:ascii="宋体" w:hAnsi="宋体" w:cs="宋体" w:eastAsia="宋体" w:hint="default"/>
                <w:sz w:val="16"/>
                <w:szCs w:val="16"/>
              </w:rPr>
            </w:pPr>
            <w:r>
              <w:rPr>
                <w:rFonts w:ascii="宋体" w:hAnsi="宋体" w:cs="宋体" w:eastAsia="宋体" w:hint="default"/>
                <w:sz w:val="16"/>
                <w:szCs w:val="16"/>
              </w:rPr>
              <w:t>项目</w:t>
            </w:r>
          </w:p>
        </w:tc>
        <w:tc>
          <w:tcPr>
            <w:tcW w:w="419"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4"/>
              <w:jc w:val="center"/>
              <w:rPr>
                <w:rFonts w:ascii="宋体" w:hAnsi="宋体" w:cs="宋体" w:eastAsia="宋体" w:hint="default"/>
                <w:sz w:val="16"/>
                <w:szCs w:val="16"/>
              </w:rPr>
            </w:pPr>
            <w:r>
              <w:rPr>
                <w:rFonts w:ascii="宋体" w:hAnsi="宋体" w:cs="宋体" w:eastAsia="宋体" w:hint="default"/>
                <w:sz w:val="16"/>
                <w:szCs w:val="16"/>
              </w:rPr>
              <w:t>注释</w:t>
            </w:r>
          </w:p>
        </w:tc>
        <w:tc>
          <w:tcPr>
            <w:tcW w:w="1475" w:type="dxa"/>
            <w:tcBorders>
              <w:top w:val="nil" w:sz="6" w:space="0" w:color="auto"/>
              <w:left w:val="nil" w:sz="6" w:space="0" w:color="auto"/>
              <w:bottom w:val="single" w:sz="6" w:space="0" w:color="000000"/>
              <w:right w:val="nil" w:sz="6" w:space="0" w:color="auto"/>
            </w:tcBorders>
          </w:tcPr>
          <w:p>
            <w:pPr>
              <w:pStyle w:val="TableParagraph"/>
              <w:spacing w:line="164" w:lineRule="exact"/>
              <w:ind w:left="701" w:right="0"/>
              <w:jc w:val="left"/>
              <w:rPr>
                <w:rFonts w:ascii="宋体" w:hAnsi="宋体" w:cs="宋体" w:eastAsia="宋体" w:hint="default"/>
                <w:sz w:val="16"/>
                <w:szCs w:val="16"/>
              </w:rPr>
            </w:pPr>
            <w:r>
              <w:rPr>
                <w:rFonts w:ascii="Arial" w:hAnsi="Arial" w:cs="Arial" w:eastAsia="Arial" w:hint="default"/>
                <w:sz w:val="16"/>
                <w:szCs w:val="16"/>
              </w:rPr>
              <w:t>2011</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left="461"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1070"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274" w:right="0"/>
              <w:jc w:val="left"/>
              <w:rPr>
                <w:rFonts w:ascii="宋体" w:hAnsi="宋体" w:cs="宋体" w:eastAsia="宋体" w:hint="default"/>
                <w:sz w:val="16"/>
                <w:szCs w:val="16"/>
              </w:rPr>
            </w:pPr>
            <w:r>
              <w:rPr>
                <w:rFonts w:ascii="宋体" w:hAnsi="宋体" w:cs="宋体" w:eastAsia="宋体" w:hint="default"/>
                <w:sz w:val="16"/>
                <w:szCs w:val="16"/>
              </w:rPr>
              <w:t>本年增加</w:t>
            </w:r>
          </w:p>
        </w:tc>
        <w:tc>
          <w:tcPr>
            <w:tcW w:w="1287"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454" w:right="0"/>
              <w:jc w:val="left"/>
              <w:rPr>
                <w:rFonts w:ascii="宋体" w:hAnsi="宋体" w:cs="宋体" w:eastAsia="宋体" w:hint="default"/>
                <w:sz w:val="16"/>
                <w:szCs w:val="16"/>
              </w:rPr>
            </w:pPr>
            <w:r>
              <w:rPr>
                <w:rFonts w:ascii="宋体" w:hAnsi="宋体" w:cs="宋体" w:eastAsia="宋体" w:hint="default"/>
                <w:sz w:val="16"/>
                <w:szCs w:val="16"/>
              </w:rPr>
              <w:t>本年减少</w:t>
            </w:r>
          </w:p>
        </w:tc>
        <w:tc>
          <w:tcPr>
            <w:tcW w:w="1337" w:type="dxa"/>
            <w:tcBorders>
              <w:top w:val="nil" w:sz="6" w:space="0" w:color="auto"/>
              <w:left w:val="nil" w:sz="6" w:space="0" w:color="auto"/>
              <w:bottom w:val="single" w:sz="6" w:space="0" w:color="000000"/>
              <w:right w:val="nil" w:sz="6" w:space="0" w:color="auto"/>
            </w:tcBorders>
          </w:tcPr>
          <w:p>
            <w:pPr>
              <w:pStyle w:val="TableParagraph"/>
              <w:spacing w:line="164" w:lineRule="exact"/>
              <w:ind w:left="708" w:right="0"/>
              <w:jc w:val="left"/>
              <w:rPr>
                <w:rFonts w:ascii="宋体" w:hAnsi="宋体" w:cs="宋体" w:eastAsia="宋体" w:hint="default"/>
                <w:sz w:val="16"/>
                <w:szCs w:val="16"/>
              </w:rPr>
            </w:pPr>
            <w:r>
              <w:rPr>
                <w:rFonts w:ascii="Arial" w:hAnsi="Arial" w:cs="Arial" w:eastAsia="Arial" w:hint="default"/>
                <w:sz w:val="16"/>
                <w:szCs w:val="16"/>
              </w:rPr>
              <w:t>2012</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left="468"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r>
      <w:tr>
        <w:trPr>
          <w:trHeight w:val="408" w:hRule="exact"/>
        </w:trPr>
        <w:tc>
          <w:tcPr>
            <w:tcW w:w="3474" w:type="dxa"/>
            <w:tcBorders>
              <w:top w:val="single" w:sz="6"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6"/>
                <w:szCs w:val="16"/>
              </w:rPr>
            </w:pPr>
            <w:r>
              <w:rPr>
                <w:rFonts w:ascii="宋体" w:hAnsi="宋体" w:cs="宋体" w:eastAsia="宋体" w:hint="default"/>
                <w:sz w:val="16"/>
                <w:szCs w:val="16"/>
              </w:rPr>
              <w:t>发起人出资溢价</w:t>
            </w:r>
          </w:p>
        </w:tc>
        <w:tc>
          <w:tcPr>
            <w:tcW w:w="419"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5"/>
              <w:jc w:val="center"/>
              <w:rPr>
                <w:rFonts w:ascii="Arial" w:hAnsi="Arial" w:cs="Arial" w:eastAsia="Arial" w:hint="default"/>
                <w:sz w:val="16"/>
                <w:szCs w:val="16"/>
              </w:rPr>
            </w:pPr>
            <w:r>
              <w:rPr>
                <w:rFonts w:ascii="Arial"/>
                <w:w w:val="99"/>
                <w:sz w:val="16"/>
              </w:rPr>
              <w:t>a</w:t>
            </w:r>
            <w:r>
              <w:rPr>
                <w:rFonts w:ascii="Arial"/>
                <w:sz w:val="16"/>
              </w:rPr>
            </w:r>
          </w:p>
        </w:tc>
        <w:tc>
          <w:tcPr>
            <w:tcW w:w="1475"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3" w:right="0"/>
              <w:jc w:val="left"/>
              <w:rPr>
                <w:rFonts w:ascii="Arial" w:hAnsi="Arial" w:cs="Arial" w:eastAsia="Arial" w:hint="default"/>
                <w:sz w:val="16"/>
                <w:szCs w:val="16"/>
              </w:rPr>
            </w:pPr>
            <w:r>
              <w:rPr>
                <w:rFonts w:ascii="Arial"/>
                <w:sz w:val="16"/>
              </w:rPr>
              <w:t>7,913,551,905</w:t>
            </w:r>
          </w:p>
        </w:tc>
        <w:tc>
          <w:tcPr>
            <w:tcW w:w="1070"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2"/>
              <w:jc w:val="right"/>
              <w:rPr>
                <w:rFonts w:ascii="Arial" w:hAnsi="Arial" w:cs="Arial" w:eastAsia="Arial" w:hint="default"/>
                <w:sz w:val="16"/>
                <w:szCs w:val="16"/>
              </w:rPr>
            </w:pPr>
            <w:r>
              <w:rPr>
                <w:rFonts w:ascii="Arial"/>
                <w:w w:val="99"/>
                <w:sz w:val="16"/>
              </w:rPr>
              <w:t>-</w:t>
            </w:r>
            <w:r>
              <w:rPr>
                <w:rFonts w:ascii="Arial"/>
                <w:sz w:val="16"/>
              </w:rPr>
            </w:r>
          </w:p>
        </w:tc>
        <w:tc>
          <w:tcPr>
            <w:tcW w:w="1287"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9"/>
              <w:jc w:val="right"/>
              <w:rPr>
                <w:rFonts w:ascii="Arial" w:hAnsi="Arial" w:cs="Arial" w:eastAsia="Arial" w:hint="default"/>
                <w:sz w:val="16"/>
                <w:szCs w:val="16"/>
              </w:rPr>
            </w:pPr>
            <w:r>
              <w:rPr>
                <w:rFonts w:ascii="Arial"/>
                <w:w w:val="99"/>
                <w:sz w:val="16"/>
              </w:rPr>
              <w:t>-</w:t>
            </w:r>
            <w:r>
              <w:rPr>
                <w:rFonts w:ascii="Arial"/>
                <w:sz w:val="16"/>
              </w:rPr>
            </w:r>
          </w:p>
        </w:tc>
        <w:tc>
          <w:tcPr>
            <w:tcW w:w="1337"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3" w:right="0"/>
              <w:jc w:val="left"/>
              <w:rPr>
                <w:rFonts w:ascii="Arial" w:hAnsi="Arial" w:cs="Arial" w:eastAsia="Arial" w:hint="default"/>
                <w:sz w:val="16"/>
                <w:szCs w:val="16"/>
              </w:rPr>
            </w:pPr>
            <w:r>
              <w:rPr>
                <w:rFonts w:ascii="Arial"/>
                <w:sz w:val="16"/>
              </w:rPr>
              <w:t>7,913,551,905</w:t>
            </w:r>
          </w:p>
        </w:tc>
      </w:tr>
      <w:tr>
        <w:trPr>
          <w:trHeight w:val="207"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174" w:lineRule="exact"/>
              <w:ind w:left="14" w:right="0"/>
              <w:jc w:val="left"/>
              <w:rPr>
                <w:rFonts w:ascii="宋体" w:hAnsi="宋体" w:cs="宋体" w:eastAsia="宋体" w:hint="default"/>
                <w:sz w:val="16"/>
                <w:szCs w:val="16"/>
              </w:rPr>
            </w:pPr>
            <w:r>
              <w:rPr>
                <w:rFonts w:ascii="宋体" w:hAnsi="宋体" w:cs="宋体" w:eastAsia="宋体" w:hint="default"/>
                <w:sz w:val="16"/>
                <w:szCs w:val="16"/>
              </w:rPr>
              <w:t>人民币普通股发行溢价</w:t>
            </w:r>
          </w:p>
        </w:tc>
        <w:tc>
          <w:tcPr>
            <w:tcW w:w="4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
              <w:jc w:val="center"/>
              <w:rPr>
                <w:rFonts w:ascii="Arial" w:hAnsi="Arial" w:cs="Arial" w:eastAsia="Arial" w:hint="default"/>
                <w:sz w:val="16"/>
                <w:szCs w:val="16"/>
              </w:rPr>
            </w:pPr>
            <w:r>
              <w:rPr>
                <w:rFonts w:ascii="Arial"/>
                <w:w w:val="99"/>
                <w:sz w:val="16"/>
              </w:rPr>
              <w:t>a</w:t>
            </w:r>
            <w:r>
              <w:rPr>
                <w:rFonts w:ascii="Arial"/>
                <w:sz w:val="16"/>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03" w:right="0"/>
              <w:jc w:val="left"/>
              <w:rPr>
                <w:rFonts w:ascii="Arial" w:hAnsi="Arial" w:cs="Arial" w:eastAsia="Arial" w:hint="default"/>
                <w:sz w:val="16"/>
                <w:szCs w:val="16"/>
              </w:rPr>
            </w:pPr>
            <w:r>
              <w:rPr>
                <w:rFonts w:ascii="Arial"/>
                <w:sz w:val="16"/>
              </w:rPr>
              <w:t>9,197,551,203</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62"/>
              <w:jc w:val="right"/>
              <w:rPr>
                <w:rFonts w:ascii="Arial" w:hAnsi="Arial" w:cs="Arial" w:eastAsia="Arial" w:hint="default"/>
                <w:sz w:val="16"/>
                <w:szCs w:val="16"/>
              </w:rPr>
            </w:pPr>
            <w:r>
              <w:rPr>
                <w:rFonts w:ascii="Arial"/>
                <w:w w:val="99"/>
                <w:sz w:val="16"/>
              </w:rPr>
              <w:t>-</w:t>
            </w:r>
            <w:r>
              <w:rPr>
                <w:rFonts w:ascii="Arial"/>
                <w:sz w:val="16"/>
              </w:rPr>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Arial" w:hAnsi="Arial" w:cs="Arial" w:eastAsia="Arial" w:hint="default"/>
                <w:sz w:val="16"/>
                <w:szCs w:val="16"/>
              </w:rPr>
            </w:pPr>
            <w:r>
              <w:rPr>
                <w:rFonts w:ascii="Arial"/>
                <w:w w:val="99"/>
                <w:sz w:val="16"/>
              </w:rPr>
              <w:t>-</w:t>
            </w:r>
            <w:r>
              <w:rPr>
                <w:rFonts w:ascii="Arial"/>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23" w:right="0"/>
              <w:jc w:val="left"/>
              <w:rPr>
                <w:rFonts w:ascii="Arial" w:hAnsi="Arial" w:cs="Arial" w:eastAsia="Arial" w:hint="default"/>
                <w:sz w:val="16"/>
                <w:szCs w:val="16"/>
              </w:rPr>
            </w:pPr>
            <w:r>
              <w:rPr>
                <w:rFonts w:ascii="Arial"/>
                <w:sz w:val="16"/>
              </w:rPr>
              <w:t>9,197,551,203</w:t>
            </w:r>
          </w:p>
        </w:tc>
      </w:tr>
      <w:tr>
        <w:trPr>
          <w:trHeight w:val="415"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173" w:lineRule="exact"/>
              <w:ind w:right="26"/>
              <w:jc w:val="center"/>
              <w:rPr>
                <w:rFonts w:ascii="宋体" w:hAnsi="宋体" w:cs="宋体" w:eastAsia="宋体" w:hint="default"/>
                <w:sz w:val="16"/>
                <w:szCs w:val="16"/>
              </w:rPr>
            </w:pPr>
            <w:r>
              <w:rPr>
                <w:rFonts w:ascii="宋体" w:hAnsi="宋体" w:cs="宋体" w:eastAsia="宋体" w:hint="default"/>
                <w:spacing w:val="2"/>
                <w:sz w:val="16"/>
                <w:szCs w:val="16"/>
              </w:rPr>
              <w:t>联通运营公司同一控制下收购相关电信业务的影</w:t>
            </w:r>
          </w:p>
          <w:p>
            <w:pPr>
              <w:pStyle w:val="TableParagraph"/>
              <w:spacing w:line="208" w:lineRule="exact"/>
              <w:ind w:left="67" w:right="0"/>
              <w:jc w:val="center"/>
              <w:rPr>
                <w:rFonts w:ascii="宋体" w:hAnsi="宋体" w:cs="宋体" w:eastAsia="宋体" w:hint="default"/>
                <w:sz w:val="16"/>
                <w:szCs w:val="16"/>
              </w:rPr>
            </w:pPr>
            <w:r>
              <w:rPr>
                <w:rFonts w:ascii="宋体" w:hAnsi="宋体" w:cs="宋体" w:eastAsia="宋体" w:hint="default"/>
                <w:sz w:val="16"/>
                <w:szCs w:val="16"/>
              </w:rPr>
              <w:t>响（除可供出售金融资产公允价值变动影响）</w:t>
            </w:r>
          </w:p>
        </w:tc>
        <w:tc>
          <w:tcPr>
            <w:tcW w:w="41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5"/>
              <w:jc w:val="center"/>
              <w:rPr>
                <w:rFonts w:ascii="Arial" w:hAnsi="Arial" w:cs="Arial" w:eastAsia="Arial" w:hint="default"/>
                <w:sz w:val="16"/>
                <w:szCs w:val="16"/>
              </w:rPr>
            </w:pPr>
            <w:r>
              <w:rPr>
                <w:rFonts w:ascii="Arial"/>
                <w:w w:val="99"/>
                <w:sz w:val="16"/>
              </w:rPr>
              <w:t>b</w:t>
            </w:r>
            <w:r>
              <w:rPr>
                <w:rFonts w:ascii="Arial"/>
                <w:sz w:val="16"/>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38" w:right="0"/>
              <w:jc w:val="left"/>
              <w:rPr>
                <w:rFonts w:ascii="Arial" w:hAnsi="Arial" w:cs="Arial" w:eastAsia="Arial" w:hint="default"/>
                <w:sz w:val="16"/>
                <w:szCs w:val="16"/>
              </w:rPr>
            </w:pPr>
            <w:r>
              <w:rPr>
                <w:rFonts w:ascii="Arial"/>
                <w:sz w:val="16"/>
              </w:rPr>
              <w:t>554,184,732</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62"/>
              <w:jc w:val="right"/>
              <w:rPr>
                <w:rFonts w:ascii="Arial" w:hAnsi="Arial" w:cs="Arial" w:eastAsia="Arial" w:hint="default"/>
                <w:sz w:val="16"/>
                <w:szCs w:val="16"/>
              </w:rPr>
            </w:pPr>
            <w:r>
              <w:rPr>
                <w:rFonts w:ascii="Arial"/>
                <w:w w:val="99"/>
                <w:sz w:val="16"/>
              </w:rPr>
              <w:t>-</w:t>
            </w:r>
            <w:r>
              <w:rPr>
                <w:rFonts w:ascii="Arial"/>
                <w:sz w:val="16"/>
              </w:rPr>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79"/>
              <w:jc w:val="right"/>
              <w:rPr>
                <w:rFonts w:ascii="Arial" w:hAnsi="Arial" w:cs="Arial" w:eastAsia="Arial" w:hint="default"/>
                <w:sz w:val="16"/>
                <w:szCs w:val="16"/>
              </w:rPr>
            </w:pPr>
            <w:r>
              <w:rPr>
                <w:rFonts w:ascii="Arial"/>
                <w:w w:val="99"/>
                <w:sz w:val="16"/>
              </w:rPr>
              <w:t>-</w:t>
            </w:r>
            <w:r>
              <w:rPr>
                <w:rFonts w:ascii="Arial"/>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58" w:right="0"/>
              <w:jc w:val="left"/>
              <w:rPr>
                <w:rFonts w:ascii="Arial" w:hAnsi="Arial" w:cs="Arial" w:eastAsia="Arial" w:hint="default"/>
                <w:sz w:val="16"/>
                <w:szCs w:val="16"/>
              </w:rPr>
            </w:pPr>
            <w:r>
              <w:rPr>
                <w:rFonts w:ascii="Arial"/>
                <w:sz w:val="16"/>
              </w:rPr>
              <w:t>554,184,732</w:t>
            </w:r>
          </w:p>
        </w:tc>
      </w:tr>
      <w:tr>
        <w:trPr>
          <w:trHeight w:val="415"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174" w:lineRule="exact"/>
              <w:ind w:left="14" w:right="0"/>
              <w:jc w:val="left"/>
              <w:rPr>
                <w:rFonts w:ascii="宋体" w:hAnsi="宋体" w:cs="宋体" w:eastAsia="宋体" w:hint="default"/>
                <w:sz w:val="16"/>
                <w:szCs w:val="16"/>
              </w:rPr>
            </w:pPr>
            <w:r>
              <w:rPr>
                <w:rFonts w:ascii="宋体" w:hAnsi="宋体" w:cs="宋体" w:eastAsia="宋体" w:hint="default"/>
                <w:spacing w:val="2"/>
                <w:sz w:val="16"/>
                <w:szCs w:val="16"/>
              </w:rPr>
              <w:t>确认子公司持有可供出售金融资产公允价值变动</w:t>
            </w:r>
          </w:p>
          <w:p>
            <w:pPr>
              <w:pStyle w:val="TableParagraph"/>
              <w:spacing w:line="209" w:lineRule="exact"/>
              <w:ind w:left="180" w:right="0"/>
              <w:jc w:val="left"/>
              <w:rPr>
                <w:rFonts w:ascii="宋体" w:hAnsi="宋体" w:cs="宋体" w:eastAsia="宋体" w:hint="default"/>
                <w:sz w:val="16"/>
                <w:szCs w:val="16"/>
              </w:rPr>
            </w:pPr>
            <w:r>
              <w:rPr>
                <w:rFonts w:ascii="宋体" w:hAnsi="宋体" w:cs="宋体" w:eastAsia="宋体" w:hint="default"/>
                <w:sz w:val="16"/>
                <w:szCs w:val="16"/>
              </w:rPr>
              <w:t>的影响</w:t>
            </w:r>
          </w:p>
        </w:tc>
        <w:tc>
          <w:tcPr>
            <w:tcW w:w="41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4"/>
              <w:jc w:val="center"/>
              <w:rPr>
                <w:rFonts w:ascii="Arial" w:hAnsi="Arial" w:cs="Arial" w:eastAsia="Arial" w:hint="default"/>
                <w:sz w:val="16"/>
                <w:szCs w:val="16"/>
              </w:rPr>
            </w:pPr>
            <w:r>
              <w:rPr>
                <w:rFonts w:ascii="Arial"/>
                <w:w w:val="99"/>
                <w:sz w:val="16"/>
              </w:rPr>
              <w:t>c</w:t>
            </w:r>
            <w:r>
              <w:rPr>
                <w:rFonts w:ascii="Arial"/>
                <w:sz w:val="16"/>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52" w:right="0"/>
              <w:jc w:val="left"/>
              <w:rPr>
                <w:rFonts w:ascii="Arial" w:hAnsi="Arial" w:cs="Arial" w:eastAsia="Arial" w:hint="default"/>
                <w:sz w:val="16"/>
                <w:szCs w:val="16"/>
              </w:rPr>
            </w:pPr>
            <w:r>
              <w:rPr>
                <w:rFonts w:ascii="Arial"/>
                <w:sz w:val="16"/>
              </w:rPr>
              <w:t>(1,120,738,167)</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94" w:right="0"/>
              <w:jc w:val="left"/>
              <w:rPr>
                <w:rFonts w:ascii="Arial" w:hAnsi="Arial" w:cs="Arial" w:eastAsia="Arial" w:hint="default"/>
                <w:sz w:val="16"/>
                <w:szCs w:val="16"/>
              </w:rPr>
            </w:pPr>
            <w:r>
              <w:rPr>
                <w:rFonts w:ascii="Arial"/>
                <w:sz w:val="16"/>
              </w:rPr>
              <w:t>3,362,692</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57" w:right="0"/>
              <w:jc w:val="left"/>
              <w:rPr>
                <w:rFonts w:ascii="Arial" w:hAnsi="Arial" w:cs="Arial" w:eastAsia="Arial" w:hint="default"/>
                <w:sz w:val="16"/>
                <w:szCs w:val="16"/>
              </w:rPr>
            </w:pPr>
            <w:r>
              <w:rPr>
                <w:rFonts w:ascii="Arial"/>
                <w:sz w:val="16"/>
              </w:rPr>
              <w:t>(391,871,186)</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5"/>
              <w:jc w:val="right"/>
              <w:rPr>
                <w:rFonts w:ascii="Arial" w:hAnsi="Arial" w:cs="Arial" w:eastAsia="Arial" w:hint="default"/>
                <w:sz w:val="16"/>
                <w:szCs w:val="16"/>
              </w:rPr>
            </w:pPr>
            <w:r>
              <w:rPr>
                <w:rFonts w:ascii="Arial"/>
                <w:w w:val="95"/>
                <w:sz w:val="16"/>
              </w:rPr>
              <w:t>(1,509,246,661)</w:t>
            </w:r>
            <w:r>
              <w:rPr>
                <w:rFonts w:ascii="Arial"/>
                <w:sz w:val="16"/>
              </w:rPr>
            </w:r>
          </w:p>
        </w:tc>
      </w:tr>
      <w:tr>
        <w:trPr>
          <w:trHeight w:val="208"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174" w:lineRule="exact"/>
              <w:ind w:left="14" w:right="0"/>
              <w:jc w:val="left"/>
              <w:rPr>
                <w:rFonts w:ascii="宋体" w:hAnsi="宋体" w:cs="宋体" w:eastAsia="宋体" w:hint="default"/>
                <w:sz w:val="16"/>
                <w:szCs w:val="16"/>
              </w:rPr>
            </w:pPr>
            <w:r>
              <w:rPr>
                <w:rFonts w:ascii="宋体" w:hAnsi="宋体" w:cs="宋体" w:eastAsia="宋体" w:hint="default"/>
                <w:sz w:val="16"/>
                <w:szCs w:val="16"/>
              </w:rPr>
              <w:t>子公司企业改制评估增值的影响</w:t>
            </w:r>
          </w:p>
        </w:tc>
        <w:tc>
          <w:tcPr>
            <w:tcW w:w="41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5"/>
              <w:jc w:val="center"/>
              <w:rPr>
                <w:rFonts w:ascii="Arial" w:hAnsi="Arial" w:cs="Arial" w:eastAsia="Arial" w:hint="default"/>
                <w:sz w:val="16"/>
                <w:szCs w:val="16"/>
              </w:rPr>
            </w:pPr>
            <w:r>
              <w:rPr>
                <w:rFonts w:ascii="Arial"/>
                <w:w w:val="99"/>
                <w:sz w:val="16"/>
              </w:rPr>
              <w:t>d</w:t>
            </w:r>
            <w:r>
              <w:rPr>
                <w:rFonts w:ascii="Arial"/>
                <w:sz w:val="16"/>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27" w:right="0"/>
              <w:jc w:val="left"/>
              <w:rPr>
                <w:rFonts w:ascii="Arial" w:hAnsi="Arial" w:cs="Arial" w:eastAsia="Arial" w:hint="default"/>
                <w:sz w:val="16"/>
                <w:szCs w:val="16"/>
              </w:rPr>
            </w:pPr>
            <w:r>
              <w:rPr>
                <w:rFonts w:ascii="Arial"/>
                <w:sz w:val="16"/>
              </w:rPr>
              <w:t>29,996,252</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2"/>
              <w:jc w:val="right"/>
              <w:rPr>
                <w:rFonts w:ascii="Arial" w:hAnsi="Arial" w:cs="Arial" w:eastAsia="Arial" w:hint="default"/>
                <w:sz w:val="16"/>
                <w:szCs w:val="16"/>
              </w:rPr>
            </w:pPr>
            <w:r>
              <w:rPr>
                <w:rFonts w:ascii="Arial"/>
                <w:w w:val="99"/>
                <w:sz w:val="16"/>
              </w:rPr>
              <w:t>-</w:t>
            </w:r>
            <w:r>
              <w:rPr>
                <w:rFonts w:ascii="Arial"/>
                <w:sz w:val="16"/>
              </w:rPr>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9"/>
              <w:jc w:val="right"/>
              <w:rPr>
                <w:rFonts w:ascii="Arial" w:hAnsi="Arial" w:cs="Arial" w:eastAsia="Arial" w:hint="default"/>
                <w:sz w:val="16"/>
                <w:szCs w:val="16"/>
              </w:rPr>
            </w:pPr>
            <w:r>
              <w:rPr>
                <w:rFonts w:ascii="Arial"/>
                <w:w w:val="99"/>
                <w:sz w:val="16"/>
              </w:rPr>
              <w:t>-</w:t>
            </w:r>
            <w:r>
              <w:rPr>
                <w:rFonts w:ascii="Arial"/>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46" w:right="0"/>
              <w:jc w:val="left"/>
              <w:rPr>
                <w:rFonts w:ascii="Arial" w:hAnsi="Arial" w:cs="Arial" w:eastAsia="Arial" w:hint="default"/>
                <w:sz w:val="16"/>
                <w:szCs w:val="16"/>
              </w:rPr>
            </w:pPr>
            <w:r>
              <w:rPr>
                <w:rFonts w:ascii="Arial"/>
                <w:sz w:val="16"/>
              </w:rPr>
              <w:t>29,996,252</w:t>
            </w:r>
          </w:p>
        </w:tc>
      </w:tr>
      <w:tr>
        <w:trPr>
          <w:trHeight w:val="208"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174" w:lineRule="exact"/>
              <w:ind w:left="14" w:right="0"/>
              <w:jc w:val="left"/>
              <w:rPr>
                <w:rFonts w:ascii="宋体" w:hAnsi="宋体" w:cs="宋体" w:eastAsia="宋体" w:hint="default"/>
                <w:sz w:val="16"/>
                <w:szCs w:val="16"/>
              </w:rPr>
            </w:pPr>
            <w:r>
              <w:rPr>
                <w:rFonts w:ascii="宋体" w:hAnsi="宋体" w:cs="宋体" w:eastAsia="宋体" w:hint="default"/>
                <w:sz w:val="16"/>
                <w:szCs w:val="16"/>
              </w:rPr>
              <w:t>与股份期权相关的员工薪酬所确认金额的影响</w:t>
            </w:r>
          </w:p>
        </w:tc>
        <w:tc>
          <w:tcPr>
            <w:tcW w:w="41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5"/>
              <w:jc w:val="center"/>
              <w:rPr>
                <w:rFonts w:ascii="Arial" w:hAnsi="Arial" w:cs="Arial" w:eastAsia="Arial" w:hint="default"/>
                <w:sz w:val="16"/>
                <w:szCs w:val="16"/>
              </w:rPr>
            </w:pPr>
            <w:r>
              <w:rPr>
                <w:rFonts w:ascii="Arial"/>
                <w:w w:val="99"/>
                <w:sz w:val="16"/>
              </w:rPr>
              <w:t>e</w:t>
            </w:r>
            <w:r>
              <w:rPr>
                <w:rFonts w:ascii="Arial"/>
                <w:sz w:val="16"/>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38" w:right="0"/>
              <w:jc w:val="left"/>
              <w:rPr>
                <w:rFonts w:ascii="Arial" w:hAnsi="Arial" w:cs="Arial" w:eastAsia="Arial" w:hint="default"/>
                <w:sz w:val="16"/>
                <w:szCs w:val="16"/>
              </w:rPr>
            </w:pPr>
            <w:r>
              <w:rPr>
                <w:rFonts w:ascii="Arial"/>
                <w:sz w:val="16"/>
              </w:rPr>
              <w:t>279,242,165</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94" w:right="0"/>
              <w:jc w:val="left"/>
              <w:rPr>
                <w:rFonts w:ascii="Arial" w:hAnsi="Arial" w:cs="Arial" w:eastAsia="Arial" w:hint="default"/>
                <w:sz w:val="16"/>
                <w:szCs w:val="16"/>
              </w:rPr>
            </w:pPr>
            <w:r>
              <w:rPr>
                <w:rFonts w:ascii="Arial"/>
                <w:sz w:val="16"/>
              </w:rPr>
              <w:t>4,851,484</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9"/>
              <w:jc w:val="right"/>
              <w:rPr>
                <w:rFonts w:ascii="Arial" w:hAnsi="Arial" w:cs="Arial" w:eastAsia="Arial" w:hint="default"/>
                <w:sz w:val="16"/>
                <w:szCs w:val="16"/>
              </w:rPr>
            </w:pPr>
            <w:r>
              <w:rPr>
                <w:rFonts w:ascii="Arial"/>
                <w:w w:val="99"/>
                <w:sz w:val="16"/>
              </w:rPr>
              <w:t>-</w:t>
            </w:r>
            <w:r>
              <w:rPr>
                <w:rFonts w:ascii="Arial"/>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8" w:right="0"/>
              <w:jc w:val="left"/>
              <w:rPr>
                <w:rFonts w:ascii="Arial" w:hAnsi="Arial" w:cs="Arial" w:eastAsia="Arial" w:hint="default"/>
                <w:sz w:val="16"/>
                <w:szCs w:val="16"/>
              </w:rPr>
            </w:pPr>
            <w:r>
              <w:rPr>
                <w:rFonts w:ascii="Arial"/>
                <w:sz w:val="16"/>
              </w:rPr>
              <w:t>284,093,649</w:t>
            </w:r>
          </w:p>
        </w:tc>
      </w:tr>
      <w:tr>
        <w:trPr>
          <w:trHeight w:val="208"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174" w:lineRule="exact"/>
              <w:ind w:left="22" w:right="0"/>
              <w:jc w:val="left"/>
              <w:rPr>
                <w:rFonts w:ascii="宋体" w:hAnsi="宋体" w:cs="宋体" w:eastAsia="宋体" w:hint="default"/>
                <w:sz w:val="16"/>
                <w:szCs w:val="16"/>
              </w:rPr>
            </w:pPr>
            <w:r>
              <w:rPr>
                <w:rFonts w:ascii="宋体" w:hAnsi="宋体" w:cs="宋体" w:eastAsia="宋体" w:hint="default"/>
                <w:sz w:val="16"/>
                <w:szCs w:val="16"/>
              </w:rPr>
              <w:t>联通红筹公司为投资西班牙电信而增发的股份</w:t>
            </w:r>
          </w:p>
        </w:tc>
        <w:tc>
          <w:tcPr>
            <w:tcW w:w="41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
              <w:jc w:val="center"/>
              <w:rPr>
                <w:rFonts w:ascii="Arial" w:hAnsi="Arial" w:cs="Arial" w:eastAsia="Arial" w:hint="default"/>
                <w:sz w:val="16"/>
                <w:szCs w:val="16"/>
              </w:rPr>
            </w:pPr>
            <w:r>
              <w:rPr>
                <w:rFonts w:ascii="Arial"/>
                <w:w w:val="99"/>
                <w:sz w:val="16"/>
              </w:rPr>
              <w:t>f</w:t>
            </w:r>
            <w:r>
              <w:rPr>
                <w:rFonts w:ascii="Arial"/>
                <w:sz w:val="16"/>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03" w:right="0"/>
              <w:jc w:val="left"/>
              <w:rPr>
                <w:rFonts w:ascii="Arial" w:hAnsi="Arial" w:cs="Arial" w:eastAsia="Arial" w:hint="default"/>
                <w:sz w:val="16"/>
                <w:szCs w:val="16"/>
              </w:rPr>
            </w:pPr>
            <w:r>
              <w:rPr>
                <w:rFonts w:ascii="Arial"/>
                <w:sz w:val="16"/>
              </w:rPr>
              <w:t>2,274,479,484</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2"/>
              <w:jc w:val="right"/>
              <w:rPr>
                <w:rFonts w:ascii="Arial" w:hAnsi="Arial" w:cs="Arial" w:eastAsia="Arial" w:hint="default"/>
                <w:sz w:val="16"/>
                <w:szCs w:val="16"/>
              </w:rPr>
            </w:pPr>
            <w:r>
              <w:rPr>
                <w:rFonts w:ascii="Arial"/>
                <w:w w:val="99"/>
                <w:sz w:val="16"/>
              </w:rPr>
              <w:t>-</w:t>
            </w:r>
            <w:r>
              <w:rPr>
                <w:rFonts w:ascii="Arial"/>
                <w:sz w:val="16"/>
              </w:rPr>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9"/>
              <w:jc w:val="right"/>
              <w:rPr>
                <w:rFonts w:ascii="Arial" w:hAnsi="Arial" w:cs="Arial" w:eastAsia="Arial" w:hint="default"/>
                <w:sz w:val="16"/>
                <w:szCs w:val="16"/>
              </w:rPr>
            </w:pPr>
            <w:r>
              <w:rPr>
                <w:rFonts w:ascii="Arial"/>
                <w:w w:val="99"/>
                <w:sz w:val="16"/>
              </w:rPr>
              <w:t>-</w:t>
            </w:r>
            <w:r>
              <w:rPr>
                <w:rFonts w:ascii="Arial"/>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23" w:right="0"/>
              <w:jc w:val="left"/>
              <w:rPr>
                <w:rFonts w:ascii="Arial" w:hAnsi="Arial" w:cs="Arial" w:eastAsia="Arial" w:hint="default"/>
                <w:sz w:val="16"/>
                <w:szCs w:val="16"/>
              </w:rPr>
            </w:pPr>
            <w:r>
              <w:rPr>
                <w:rFonts w:ascii="Arial"/>
                <w:sz w:val="16"/>
              </w:rPr>
              <w:t>2,274,479,484</w:t>
            </w:r>
          </w:p>
        </w:tc>
      </w:tr>
      <w:tr>
        <w:trPr>
          <w:trHeight w:val="415"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173" w:lineRule="exact"/>
              <w:ind w:left="14" w:right="0"/>
              <w:jc w:val="left"/>
              <w:rPr>
                <w:rFonts w:ascii="宋体" w:hAnsi="宋体" w:cs="宋体" w:eastAsia="宋体" w:hint="default"/>
                <w:sz w:val="16"/>
                <w:szCs w:val="16"/>
              </w:rPr>
            </w:pPr>
            <w:r>
              <w:rPr>
                <w:rFonts w:ascii="宋体" w:hAnsi="宋体" w:cs="宋体" w:eastAsia="宋体" w:hint="default"/>
                <w:spacing w:val="2"/>
                <w:sz w:val="16"/>
                <w:szCs w:val="16"/>
              </w:rPr>
              <w:t>确认子公司员工行使股份期权所增加的子公司权</w:t>
            </w:r>
          </w:p>
          <w:p>
            <w:pPr>
              <w:pStyle w:val="TableParagraph"/>
              <w:spacing w:line="208" w:lineRule="exact"/>
              <w:ind w:left="180" w:right="0"/>
              <w:jc w:val="left"/>
              <w:rPr>
                <w:rFonts w:ascii="宋体" w:hAnsi="宋体" w:cs="宋体" w:eastAsia="宋体" w:hint="default"/>
                <w:sz w:val="16"/>
                <w:szCs w:val="16"/>
              </w:rPr>
            </w:pPr>
            <w:r>
              <w:rPr>
                <w:rFonts w:ascii="宋体" w:hAnsi="宋体" w:cs="宋体" w:eastAsia="宋体" w:hint="default"/>
                <w:sz w:val="16"/>
                <w:szCs w:val="16"/>
              </w:rPr>
              <w:t>益的影响</w:t>
            </w:r>
          </w:p>
        </w:tc>
        <w:tc>
          <w:tcPr>
            <w:tcW w:w="41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5"/>
              <w:jc w:val="center"/>
              <w:rPr>
                <w:rFonts w:ascii="Arial" w:hAnsi="Arial" w:cs="Arial" w:eastAsia="Arial" w:hint="default"/>
                <w:sz w:val="16"/>
                <w:szCs w:val="16"/>
              </w:rPr>
            </w:pPr>
            <w:r>
              <w:rPr>
                <w:rFonts w:ascii="Arial"/>
                <w:w w:val="99"/>
                <w:sz w:val="16"/>
              </w:rPr>
              <w:t>g</w:t>
            </w:r>
            <w:r>
              <w:rPr>
                <w:rFonts w:ascii="Arial"/>
                <w:sz w:val="16"/>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27" w:right="0"/>
              <w:jc w:val="left"/>
              <w:rPr>
                <w:rFonts w:ascii="Arial" w:hAnsi="Arial" w:cs="Arial" w:eastAsia="Arial" w:hint="default"/>
                <w:sz w:val="16"/>
                <w:szCs w:val="16"/>
              </w:rPr>
            </w:pPr>
            <w:r>
              <w:rPr>
                <w:rFonts w:ascii="Arial"/>
                <w:sz w:val="16"/>
              </w:rPr>
              <w:t>25,374,084</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27" w:right="0"/>
              <w:jc w:val="left"/>
              <w:rPr>
                <w:rFonts w:ascii="Arial" w:hAnsi="Arial" w:cs="Arial" w:eastAsia="Arial" w:hint="default"/>
                <w:sz w:val="16"/>
                <w:szCs w:val="16"/>
              </w:rPr>
            </w:pPr>
            <w:r>
              <w:rPr>
                <w:rFonts w:ascii="Arial"/>
                <w:sz w:val="16"/>
              </w:rPr>
              <w:t>262,329</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79"/>
              <w:jc w:val="right"/>
              <w:rPr>
                <w:rFonts w:ascii="Arial" w:hAnsi="Arial" w:cs="Arial" w:eastAsia="Arial" w:hint="default"/>
                <w:sz w:val="16"/>
                <w:szCs w:val="16"/>
              </w:rPr>
            </w:pPr>
            <w:r>
              <w:rPr>
                <w:rFonts w:ascii="Arial"/>
                <w:w w:val="99"/>
                <w:sz w:val="16"/>
              </w:rPr>
              <w:t>-</w:t>
            </w:r>
            <w:r>
              <w:rPr>
                <w:rFonts w:ascii="Arial"/>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46" w:right="0"/>
              <w:jc w:val="left"/>
              <w:rPr>
                <w:rFonts w:ascii="Arial" w:hAnsi="Arial" w:cs="Arial" w:eastAsia="Arial" w:hint="default"/>
                <w:sz w:val="16"/>
                <w:szCs w:val="16"/>
              </w:rPr>
            </w:pPr>
            <w:r>
              <w:rPr>
                <w:rFonts w:ascii="Arial"/>
                <w:sz w:val="16"/>
              </w:rPr>
              <w:t>25,636,413</w:t>
            </w:r>
          </w:p>
        </w:tc>
      </w:tr>
      <w:tr>
        <w:trPr>
          <w:trHeight w:val="208"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174" w:lineRule="exact"/>
              <w:ind w:left="14" w:right="0"/>
              <w:jc w:val="left"/>
              <w:rPr>
                <w:rFonts w:ascii="宋体" w:hAnsi="宋体" w:cs="宋体" w:eastAsia="宋体" w:hint="default"/>
                <w:sz w:val="16"/>
                <w:szCs w:val="16"/>
              </w:rPr>
            </w:pPr>
            <w:r>
              <w:rPr>
                <w:rFonts w:ascii="宋体" w:hAnsi="宋体" w:cs="宋体" w:eastAsia="宋体" w:hint="default"/>
                <w:sz w:val="16"/>
                <w:szCs w:val="16"/>
              </w:rPr>
              <w:t>子公司未分配利润转增资本的影响</w:t>
            </w:r>
          </w:p>
        </w:tc>
        <w:tc>
          <w:tcPr>
            <w:tcW w:w="41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5"/>
              <w:jc w:val="center"/>
              <w:rPr>
                <w:rFonts w:ascii="Arial" w:hAnsi="Arial" w:cs="Arial" w:eastAsia="Arial" w:hint="default"/>
                <w:sz w:val="16"/>
                <w:szCs w:val="16"/>
              </w:rPr>
            </w:pPr>
            <w:r>
              <w:rPr>
                <w:rFonts w:ascii="Arial"/>
                <w:w w:val="99"/>
                <w:sz w:val="16"/>
              </w:rPr>
              <w:t>h</w:t>
            </w:r>
            <w:r>
              <w:rPr>
                <w:rFonts w:ascii="Arial"/>
                <w:sz w:val="16"/>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15" w:right="0"/>
              <w:jc w:val="left"/>
              <w:rPr>
                <w:rFonts w:ascii="Arial" w:hAnsi="Arial" w:cs="Arial" w:eastAsia="Arial" w:hint="default"/>
                <w:sz w:val="16"/>
                <w:szCs w:val="16"/>
              </w:rPr>
            </w:pPr>
            <w:r>
              <w:rPr>
                <w:rFonts w:ascii="Arial"/>
                <w:sz w:val="16"/>
              </w:rPr>
              <w:t>10,414,323,266</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2"/>
              <w:jc w:val="right"/>
              <w:rPr>
                <w:rFonts w:ascii="Arial" w:hAnsi="Arial" w:cs="Arial" w:eastAsia="Arial" w:hint="default"/>
                <w:sz w:val="16"/>
                <w:szCs w:val="16"/>
              </w:rPr>
            </w:pPr>
            <w:r>
              <w:rPr>
                <w:rFonts w:ascii="Arial"/>
                <w:w w:val="99"/>
                <w:sz w:val="16"/>
              </w:rPr>
              <w:t>-</w:t>
            </w:r>
            <w:r>
              <w:rPr>
                <w:rFonts w:ascii="Arial"/>
                <w:sz w:val="16"/>
              </w:rPr>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9"/>
              <w:jc w:val="right"/>
              <w:rPr>
                <w:rFonts w:ascii="Arial" w:hAnsi="Arial" w:cs="Arial" w:eastAsia="Arial" w:hint="default"/>
                <w:sz w:val="16"/>
                <w:szCs w:val="16"/>
              </w:rPr>
            </w:pPr>
            <w:r>
              <w:rPr>
                <w:rFonts w:ascii="Arial"/>
                <w:w w:val="99"/>
                <w:sz w:val="16"/>
              </w:rPr>
              <w:t>-</w:t>
            </w:r>
            <w:r>
              <w:rPr>
                <w:rFonts w:ascii="Arial"/>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34" w:right="0"/>
              <w:jc w:val="left"/>
              <w:rPr>
                <w:rFonts w:ascii="Arial" w:hAnsi="Arial" w:cs="Arial" w:eastAsia="Arial" w:hint="default"/>
                <w:sz w:val="16"/>
                <w:szCs w:val="16"/>
              </w:rPr>
            </w:pPr>
            <w:r>
              <w:rPr>
                <w:rFonts w:ascii="Arial"/>
                <w:sz w:val="16"/>
              </w:rPr>
              <w:t>10,414,323,266</w:t>
            </w:r>
          </w:p>
        </w:tc>
      </w:tr>
      <w:tr>
        <w:trPr>
          <w:trHeight w:val="208"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174" w:lineRule="exact"/>
              <w:ind w:left="14" w:right="0"/>
              <w:jc w:val="left"/>
              <w:rPr>
                <w:rFonts w:ascii="宋体" w:hAnsi="宋体" w:cs="宋体" w:eastAsia="宋体" w:hint="default"/>
                <w:sz w:val="16"/>
                <w:szCs w:val="16"/>
              </w:rPr>
            </w:pPr>
            <w:r>
              <w:rPr>
                <w:rFonts w:ascii="宋体" w:hAnsi="宋体" w:cs="宋体" w:eastAsia="宋体" w:hint="default"/>
                <w:sz w:val="16"/>
                <w:szCs w:val="16"/>
              </w:rPr>
              <w:t>因所持子公司股份变化对资本公积的影响</w:t>
            </w:r>
          </w:p>
        </w:tc>
        <w:tc>
          <w:tcPr>
            <w:tcW w:w="41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5"/>
              <w:jc w:val="center"/>
              <w:rPr>
                <w:rFonts w:ascii="Arial" w:hAnsi="Arial" w:cs="Arial" w:eastAsia="Arial" w:hint="default"/>
                <w:sz w:val="16"/>
                <w:szCs w:val="16"/>
              </w:rPr>
            </w:pPr>
            <w:r>
              <w:rPr>
                <w:rFonts w:ascii="Arial"/>
                <w:w w:val="99"/>
                <w:sz w:val="16"/>
              </w:rPr>
              <w:t>i</w:t>
            </w:r>
            <w:r>
              <w:rPr>
                <w:rFonts w:ascii="Arial"/>
                <w:sz w:val="16"/>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52" w:right="0"/>
              <w:jc w:val="left"/>
              <w:rPr>
                <w:rFonts w:ascii="Arial" w:hAnsi="Arial" w:cs="Arial" w:eastAsia="Arial" w:hint="default"/>
                <w:sz w:val="16"/>
                <w:szCs w:val="16"/>
              </w:rPr>
            </w:pPr>
            <w:r>
              <w:rPr>
                <w:rFonts w:ascii="Arial"/>
                <w:sz w:val="16"/>
              </w:rPr>
              <w:t>(5,504,511,660)</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2"/>
              <w:jc w:val="right"/>
              <w:rPr>
                <w:rFonts w:ascii="Arial" w:hAnsi="Arial" w:cs="Arial" w:eastAsia="Arial" w:hint="default"/>
                <w:sz w:val="16"/>
                <w:szCs w:val="16"/>
              </w:rPr>
            </w:pPr>
            <w:r>
              <w:rPr>
                <w:rFonts w:ascii="Arial"/>
                <w:w w:val="99"/>
                <w:sz w:val="16"/>
              </w:rPr>
              <w:t>-</w:t>
            </w:r>
            <w:r>
              <w:rPr>
                <w:rFonts w:ascii="Arial"/>
                <w:sz w:val="16"/>
              </w:rPr>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67" w:right="0"/>
              <w:jc w:val="left"/>
              <w:rPr>
                <w:rFonts w:ascii="Arial" w:hAnsi="Arial" w:cs="Arial" w:eastAsia="Arial" w:hint="default"/>
                <w:sz w:val="16"/>
                <w:szCs w:val="16"/>
              </w:rPr>
            </w:pPr>
            <w:r>
              <w:rPr>
                <w:rFonts w:ascii="Arial"/>
                <w:sz w:val="16"/>
              </w:rPr>
              <w:t>(458,866)</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5"/>
              <w:jc w:val="right"/>
              <w:rPr>
                <w:rFonts w:ascii="Arial" w:hAnsi="Arial" w:cs="Arial" w:eastAsia="Arial" w:hint="default"/>
                <w:sz w:val="16"/>
                <w:szCs w:val="16"/>
              </w:rPr>
            </w:pPr>
            <w:r>
              <w:rPr>
                <w:rFonts w:ascii="Arial"/>
                <w:w w:val="95"/>
                <w:sz w:val="16"/>
              </w:rPr>
              <w:t>(5,504,970,526)</w:t>
            </w:r>
            <w:r>
              <w:rPr>
                <w:rFonts w:ascii="Arial"/>
                <w:sz w:val="16"/>
              </w:rPr>
            </w:r>
          </w:p>
        </w:tc>
      </w:tr>
      <w:tr>
        <w:trPr>
          <w:trHeight w:val="207"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174" w:lineRule="exact"/>
              <w:ind w:left="14" w:right="0"/>
              <w:jc w:val="left"/>
              <w:rPr>
                <w:rFonts w:ascii="宋体" w:hAnsi="宋体" w:cs="宋体" w:eastAsia="宋体" w:hint="default"/>
                <w:sz w:val="16"/>
                <w:szCs w:val="16"/>
              </w:rPr>
            </w:pPr>
            <w:r>
              <w:rPr>
                <w:rFonts w:ascii="宋体" w:hAnsi="宋体" w:cs="宋体" w:eastAsia="宋体" w:hint="default"/>
                <w:sz w:val="16"/>
                <w:szCs w:val="16"/>
              </w:rPr>
              <w:t>子公司发行可转换债券的影响</w:t>
            </w:r>
          </w:p>
        </w:tc>
        <w:tc>
          <w:tcPr>
            <w:tcW w:w="4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
              <w:jc w:val="center"/>
              <w:rPr>
                <w:rFonts w:ascii="Arial" w:hAnsi="Arial" w:cs="Arial" w:eastAsia="Arial" w:hint="default"/>
                <w:sz w:val="16"/>
                <w:szCs w:val="16"/>
              </w:rPr>
            </w:pPr>
            <w:r>
              <w:rPr>
                <w:rFonts w:ascii="Arial"/>
                <w:w w:val="99"/>
                <w:sz w:val="16"/>
              </w:rPr>
              <w:t>j</w:t>
            </w:r>
            <w:r>
              <w:rPr>
                <w:rFonts w:ascii="Arial"/>
                <w:sz w:val="16"/>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03" w:right="0"/>
              <w:jc w:val="left"/>
              <w:rPr>
                <w:rFonts w:ascii="Arial" w:hAnsi="Arial" w:cs="Arial" w:eastAsia="Arial" w:hint="default"/>
                <w:sz w:val="16"/>
                <w:szCs w:val="16"/>
              </w:rPr>
            </w:pPr>
            <w:r>
              <w:rPr>
                <w:rFonts w:ascii="Arial"/>
                <w:sz w:val="16"/>
              </w:rPr>
              <w:t>3,310,271,931</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62"/>
              <w:jc w:val="right"/>
              <w:rPr>
                <w:rFonts w:ascii="Arial" w:hAnsi="Arial" w:cs="Arial" w:eastAsia="Arial" w:hint="default"/>
                <w:sz w:val="16"/>
                <w:szCs w:val="16"/>
              </w:rPr>
            </w:pPr>
            <w:r>
              <w:rPr>
                <w:rFonts w:ascii="Arial"/>
                <w:w w:val="99"/>
                <w:sz w:val="16"/>
              </w:rPr>
              <w:t>-</w:t>
            </w:r>
            <w:r>
              <w:rPr>
                <w:rFonts w:ascii="Arial"/>
                <w:sz w:val="16"/>
              </w:rPr>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Arial" w:hAnsi="Arial" w:cs="Arial" w:eastAsia="Arial" w:hint="default"/>
                <w:sz w:val="16"/>
                <w:szCs w:val="16"/>
              </w:rPr>
            </w:pPr>
            <w:r>
              <w:rPr>
                <w:rFonts w:ascii="Arial"/>
                <w:w w:val="99"/>
                <w:sz w:val="16"/>
              </w:rPr>
              <w:t>-</w:t>
            </w:r>
            <w:r>
              <w:rPr>
                <w:rFonts w:ascii="Arial"/>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23" w:right="0"/>
              <w:jc w:val="left"/>
              <w:rPr>
                <w:rFonts w:ascii="Arial" w:hAnsi="Arial" w:cs="Arial" w:eastAsia="Arial" w:hint="default"/>
                <w:sz w:val="16"/>
                <w:szCs w:val="16"/>
              </w:rPr>
            </w:pPr>
            <w:r>
              <w:rPr>
                <w:rFonts w:ascii="Arial"/>
                <w:sz w:val="16"/>
              </w:rPr>
              <w:t>3,310,271,931</w:t>
            </w:r>
          </w:p>
        </w:tc>
      </w:tr>
      <w:tr>
        <w:trPr>
          <w:trHeight w:val="208"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174" w:lineRule="exact"/>
              <w:ind w:left="14" w:right="0"/>
              <w:jc w:val="left"/>
              <w:rPr>
                <w:rFonts w:ascii="宋体" w:hAnsi="宋体" w:cs="宋体" w:eastAsia="宋体" w:hint="default"/>
                <w:sz w:val="16"/>
                <w:szCs w:val="16"/>
              </w:rPr>
            </w:pPr>
            <w:r>
              <w:rPr>
                <w:rFonts w:ascii="宋体" w:hAnsi="宋体" w:cs="宋体" w:eastAsia="宋体" w:hint="default"/>
                <w:sz w:val="16"/>
                <w:szCs w:val="16"/>
              </w:rPr>
              <w:t>同一控制下收购贵州业务的影响</w:t>
            </w:r>
          </w:p>
        </w:tc>
        <w:tc>
          <w:tcPr>
            <w:tcW w:w="4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
              <w:jc w:val="center"/>
              <w:rPr>
                <w:rFonts w:ascii="Arial" w:hAnsi="Arial" w:cs="Arial" w:eastAsia="Arial" w:hint="default"/>
                <w:sz w:val="16"/>
                <w:szCs w:val="16"/>
              </w:rPr>
            </w:pPr>
            <w:r>
              <w:rPr>
                <w:rFonts w:ascii="Arial"/>
                <w:w w:val="99"/>
                <w:sz w:val="16"/>
              </w:rPr>
              <w:t>k</w:t>
            </w:r>
            <w:r>
              <w:rPr>
                <w:rFonts w:ascii="Arial"/>
                <w:sz w:val="16"/>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5" w:right="0"/>
              <w:jc w:val="left"/>
              <w:rPr>
                <w:rFonts w:ascii="Arial" w:hAnsi="Arial" w:cs="Arial" w:eastAsia="Arial" w:hint="default"/>
                <w:sz w:val="16"/>
                <w:szCs w:val="16"/>
              </w:rPr>
            </w:pPr>
            <w:r>
              <w:rPr>
                <w:rFonts w:ascii="Arial"/>
                <w:sz w:val="16"/>
              </w:rPr>
              <w:t>(248,154,771)</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62"/>
              <w:jc w:val="right"/>
              <w:rPr>
                <w:rFonts w:ascii="Arial" w:hAnsi="Arial" w:cs="Arial" w:eastAsia="Arial" w:hint="default"/>
                <w:sz w:val="16"/>
                <w:szCs w:val="16"/>
              </w:rPr>
            </w:pPr>
            <w:r>
              <w:rPr>
                <w:rFonts w:ascii="Arial"/>
                <w:w w:val="99"/>
                <w:sz w:val="16"/>
              </w:rPr>
              <w:t>-</w:t>
            </w:r>
            <w:r>
              <w:rPr>
                <w:rFonts w:ascii="Arial"/>
                <w:sz w:val="16"/>
              </w:rPr>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Arial" w:hAnsi="Arial" w:cs="Arial" w:eastAsia="Arial" w:hint="default"/>
                <w:sz w:val="16"/>
                <w:szCs w:val="16"/>
              </w:rPr>
            </w:pPr>
            <w:r>
              <w:rPr>
                <w:rFonts w:ascii="Arial"/>
                <w:w w:val="99"/>
                <w:sz w:val="16"/>
              </w:rPr>
              <w:t>-</w:t>
            </w:r>
            <w:r>
              <w:rPr>
                <w:rFonts w:ascii="Arial"/>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5"/>
              <w:jc w:val="right"/>
              <w:rPr>
                <w:rFonts w:ascii="Arial" w:hAnsi="Arial" w:cs="Arial" w:eastAsia="Arial" w:hint="default"/>
                <w:sz w:val="16"/>
                <w:szCs w:val="16"/>
              </w:rPr>
            </w:pPr>
            <w:r>
              <w:rPr>
                <w:rFonts w:ascii="Arial"/>
                <w:w w:val="95"/>
                <w:sz w:val="16"/>
              </w:rPr>
              <w:t>(248,154,771)</w:t>
            </w:r>
            <w:r>
              <w:rPr>
                <w:rFonts w:ascii="Arial"/>
                <w:sz w:val="16"/>
              </w:rPr>
            </w:r>
          </w:p>
        </w:tc>
      </w:tr>
      <w:tr>
        <w:trPr>
          <w:trHeight w:val="307"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174" w:lineRule="exact"/>
              <w:ind w:left="14"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419"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tabs>
                <w:tab w:pos="427" w:val="left" w:leader="none"/>
                <w:tab w:pos="2328" w:val="left" w:leader="none"/>
              </w:tabs>
              <w:spacing w:line="240" w:lineRule="auto" w:before="12"/>
              <w:ind w:left="14" w:right="-854"/>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33,873,261 </w:t>
            </w:r>
            <w:r>
              <w:rPr>
                <w:rFonts w:ascii="Arial"/>
                <w:spacing w:val="-1"/>
                <w:sz w:val="16"/>
                <w:u w:val="single" w:color="000000"/>
              </w:rPr>
              <w:t> </w:t>
            </w:r>
            <w:r>
              <w:rPr>
                <w:rFonts w:ascii="Arial"/>
                <w:spacing w:val="-1"/>
                <w:sz w:val="16"/>
              </w:rPr>
            </w:r>
            <w:r>
              <w:rPr>
                <w:rFonts w:ascii="Arial"/>
                <w:spacing w:val="9"/>
                <w:sz w:val="16"/>
              </w:rPr>
              <w:t> </w:t>
            </w:r>
            <w:r>
              <w:rPr>
                <w:rFonts w:ascii="Arial"/>
                <w:spacing w:val="9"/>
                <w:w w:val="99"/>
                <w:sz w:val="16"/>
              </w:rPr>
            </w:r>
            <w:r>
              <w:rPr>
                <w:rFonts w:ascii="Arial"/>
                <w:w w:val="99"/>
                <w:sz w:val="16"/>
                <w:u w:val="single" w:color="000000"/>
              </w:rPr>
              <w:t> </w:t>
            </w:r>
            <w:r>
              <w:rPr>
                <w:rFonts w:ascii="Arial"/>
                <w:sz w:val="16"/>
                <w:u w:val="single" w:color="000000"/>
              </w:rPr>
              <w:tab/>
            </w:r>
            <w:r>
              <w:rPr>
                <w:rFonts w:ascii="Arial"/>
                <w:sz w:val="16"/>
              </w:rPr>
            </w:r>
          </w:p>
        </w:tc>
        <w:tc>
          <w:tcPr>
            <w:tcW w:w="1070" w:type="dxa"/>
            <w:tcBorders>
              <w:top w:val="nil" w:sz="6" w:space="0" w:color="auto"/>
              <w:left w:val="nil" w:sz="6" w:space="0" w:color="auto"/>
              <w:bottom w:val="nil" w:sz="6" w:space="0" w:color="auto"/>
              <w:right w:val="nil" w:sz="6" w:space="0" w:color="auto"/>
            </w:tcBorders>
          </w:tcPr>
          <w:p>
            <w:pPr>
              <w:pStyle w:val="TableParagraph"/>
              <w:tabs>
                <w:tab w:pos="141" w:val="left" w:leader="none"/>
              </w:tabs>
              <w:spacing w:line="240" w:lineRule="auto" w:before="12"/>
              <w:ind w:right="73"/>
              <w:jc w:val="right"/>
              <w:rPr>
                <w:rFonts w:ascii="Arial" w:hAnsi="Arial" w:cs="Arial" w:eastAsia="Arial" w:hint="default"/>
                <w:sz w:val="16"/>
                <w:szCs w:val="16"/>
              </w:rPr>
            </w:pPr>
            <w:r>
              <w:rPr>
                <w:rFonts w:ascii="Arial"/>
                <w:w w:val="99"/>
                <w:sz w:val="16"/>
              </w:rPr>
            </w:r>
            <w:r>
              <w:rPr>
                <w:rFonts w:ascii="Arial"/>
                <w:w w:val="95"/>
                <w:sz w:val="16"/>
                <w:u w:val="single" w:color="000000"/>
              </w:rPr>
              <w:t>-</w:t>
            </w:r>
            <w:r>
              <w:rPr>
                <w:rFonts w:ascii="Arial"/>
                <w:sz w:val="16"/>
                <w:u w:val="single" w:color="000000"/>
              </w:rPr>
              <w:tab/>
            </w:r>
            <w:r>
              <w:rPr>
                <w:rFonts w:ascii="Arial"/>
                <w:sz w:val="16"/>
              </w:rPr>
            </w:r>
          </w:p>
        </w:tc>
        <w:tc>
          <w:tcPr>
            <w:tcW w:w="1287" w:type="dxa"/>
            <w:tcBorders>
              <w:top w:val="nil" w:sz="6" w:space="0" w:color="auto"/>
              <w:left w:val="nil" w:sz="6" w:space="0" w:color="auto"/>
              <w:bottom w:val="nil" w:sz="6" w:space="0" w:color="auto"/>
              <w:right w:val="nil" w:sz="6" w:space="0" w:color="auto"/>
            </w:tcBorders>
          </w:tcPr>
          <w:p>
            <w:pPr>
              <w:pStyle w:val="TableParagraph"/>
              <w:tabs>
                <w:tab w:pos="1052" w:val="left" w:leader="none"/>
                <w:tab w:pos="1733" w:val="left" w:leader="none"/>
              </w:tabs>
              <w:spacing w:line="240" w:lineRule="auto" w:before="12"/>
              <w:ind w:left="-22" w:right="-447"/>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w:t>
            </w:r>
            <w:r>
              <w:rPr>
                <w:rFonts w:ascii="Arial"/>
                <w:spacing w:val="16"/>
                <w:sz w:val="16"/>
                <w:u w:val="single" w:color="000000"/>
              </w:rPr>
              <w:t> </w:t>
            </w:r>
            <w:r>
              <w:rPr>
                <w:rFonts w:ascii="Arial"/>
                <w:spacing w:val="16"/>
                <w:sz w:val="16"/>
              </w:rPr>
            </w:r>
            <w:r>
              <w:rPr>
                <w:rFonts w:ascii="Arial"/>
                <w:spacing w:val="3"/>
                <w:sz w:val="16"/>
              </w:rPr>
              <w:t> </w:t>
            </w:r>
            <w:r>
              <w:rPr>
                <w:rFonts w:ascii="Arial"/>
                <w:spacing w:val="3"/>
                <w:w w:val="99"/>
                <w:sz w:val="16"/>
              </w:rPr>
            </w:r>
            <w:r>
              <w:rPr>
                <w:rFonts w:ascii="Arial"/>
                <w:w w:val="99"/>
                <w:sz w:val="16"/>
                <w:u w:val="single" w:color="000000"/>
              </w:rPr>
              <w:t> </w:t>
            </w:r>
            <w:r>
              <w:rPr>
                <w:rFonts w:ascii="Arial"/>
                <w:sz w:val="16"/>
                <w:u w:val="single" w:color="000000"/>
              </w:rPr>
              <w:tab/>
            </w:r>
            <w:r>
              <w:rPr>
                <w:rFonts w:ascii="Arial"/>
                <w:sz w:val="16"/>
              </w:rPr>
            </w:r>
          </w:p>
        </w:tc>
        <w:tc>
          <w:tcPr>
            <w:tcW w:w="1337" w:type="dxa"/>
            <w:tcBorders>
              <w:top w:val="nil" w:sz="6" w:space="0" w:color="auto"/>
              <w:left w:val="nil" w:sz="6" w:space="0" w:color="auto"/>
              <w:bottom w:val="nil" w:sz="6" w:space="0" w:color="auto"/>
              <w:right w:val="nil" w:sz="6" w:space="0" w:color="auto"/>
            </w:tcBorders>
          </w:tcPr>
          <w:p>
            <w:pPr>
              <w:pStyle w:val="TableParagraph"/>
              <w:tabs>
                <w:tab w:pos="890" w:val="left" w:leader="none"/>
              </w:tabs>
              <w:spacing w:line="240" w:lineRule="auto" w:before="12"/>
              <w:ind w:right="0"/>
              <w:jc w:val="right"/>
              <w:rPr>
                <w:rFonts w:ascii="Arial" w:hAnsi="Arial" w:cs="Arial" w:eastAsia="Arial" w:hint="default"/>
                <w:sz w:val="16"/>
                <w:szCs w:val="16"/>
              </w:rPr>
            </w:pPr>
            <w:r>
              <w:rPr>
                <w:rFonts w:ascii="Arial"/>
                <w:w w:val="99"/>
                <w:sz w:val="16"/>
              </w:rPr>
            </w:r>
            <w:r>
              <w:rPr>
                <w:rFonts w:ascii="Arial"/>
                <w:w w:val="95"/>
                <w:sz w:val="16"/>
                <w:u w:val="single" w:color="000000"/>
              </w:rPr>
              <w:t>33,873,261</w:t>
            </w:r>
            <w:r>
              <w:rPr>
                <w:rFonts w:ascii="Arial"/>
                <w:sz w:val="16"/>
                <w:u w:val="single" w:color="000000"/>
              </w:rPr>
              <w:tab/>
            </w:r>
            <w:r>
              <w:rPr>
                <w:rFonts w:ascii="Arial"/>
                <w:sz w:val="16"/>
              </w:rPr>
            </w:r>
          </w:p>
        </w:tc>
      </w:tr>
      <w:tr>
        <w:trPr>
          <w:trHeight w:val="323"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4"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419"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left="115" w:right="0"/>
              <w:jc w:val="left"/>
              <w:rPr>
                <w:rFonts w:ascii="Arial" w:hAnsi="Arial" w:cs="Arial" w:eastAsia="Arial" w:hint="default"/>
                <w:sz w:val="16"/>
                <w:szCs w:val="16"/>
              </w:rPr>
            </w:pPr>
            <w:r>
              <w:rPr>
                <w:rFonts w:ascii="Arial"/>
                <w:sz w:val="16"/>
              </w:rPr>
              <w:t>27,159,443,685</w:t>
            </w:r>
          </w:p>
        </w:tc>
        <w:tc>
          <w:tcPr>
            <w:tcW w:w="1070"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left="194" w:right="0"/>
              <w:jc w:val="left"/>
              <w:rPr>
                <w:rFonts w:ascii="Arial" w:hAnsi="Arial" w:cs="Arial" w:eastAsia="Arial" w:hint="default"/>
                <w:sz w:val="16"/>
                <w:szCs w:val="16"/>
              </w:rPr>
            </w:pPr>
            <w:r>
              <w:rPr>
                <w:rFonts w:ascii="Arial"/>
                <w:sz w:val="16"/>
              </w:rPr>
              <w:t>8,476,505</w:t>
            </w:r>
          </w:p>
        </w:tc>
        <w:tc>
          <w:tcPr>
            <w:tcW w:w="1287"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left="157" w:right="0"/>
              <w:jc w:val="left"/>
              <w:rPr>
                <w:rFonts w:ascii="Arial" w:hAnsi="Arial" w:cs="Arial" w:eastAsia="Arial" w:hint="default"/>
                <w:sz w:val="16"/>
                <w:szCs w:val="16"/>
              </w:rPr>
            </w:pPr>
            <w:r>
              <w:rPr>
                <w:rFonts w:ascii="Arial"/>
                <w:sz w:val="16"/>
              </w:rPr>
              <w:t>(392,330,052)</w:t>
            </w:r>
          </w:p>
        </w:tc>
        <w:tc>
          <w:tcPr>
            <w:tcW w:w="1337"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left="134" w:right="0"/>
              <w:jc w:val="left"/>
              <w:rPr>
                <w:rFonts w:ascii="Arial" w:hAnsi="Arial" w:cs="Arial" w:eastAsia="Arial" w:hint="default"/>
                <w:sz w:val="16"/>
                <w:szCs w:val="16"/>
              </w:rPr>
            </w:pPr>
            <w:r>
              <w:rPr>
                <w:rFonts w:ascii="Arial"/>
                <w:sz w:val="16"/>
              </w:rPr>
              <w:t>26,775,590,138</w:t>
            </w:r>
          </w:p>
        </w:tc>
      </w:tr>
    </w:tbl>
    <w:p>
      <w:pPr>
        <w:spacing w:after="0" w:line="240" w:lineRule="auto"/>
        <w:jc w:val="left"/>
        <w:rPr>
          <w:rFonts w:ascii="Arial" w:hAnsi="Arial" w:cs="Arial" w:eastAsia="Arial" w:hint="default"/>
          <w:sz w:val="16"/>
          <w:szCs w:val="16"/>
        </w:rPr>
        <w:sectPr>
          <w:headerReference w:type="default" r:id="rId113"/>
          <w:pgSz w:w="11910" w:h="16840"/>
          <w:pgMar w:header="1184" w:footer="457" w:top="3040" w:bottom="640" w:left="1280" w:right="880"/>
        </w:sectPr>
      </w:pPr>
    </w:p>
    <w:p>
      <w:pPr>
        <w:spacing w:line="240" w:lineRule="auto" w:before="11"/>
        <w:rPr>
          <w:rFonts w:ascii="宋体" w:hAnsi="宋体" w:cs="宋体" w:eastAsia="宋体" w:hint="default"/>
          <w:sz w:val="22"/>
          <w:szCs w:val="22"/>
        </w:rPr>
      </w:pPr>
    </w:p>
    <w:tbl>
      <w:tblPr>
        <w:tblW w:w="0" w:type="auto"/>
        <w:jc w:val="left"/>
        <w:tblInd w:w="580" w:type="dxa"/>
        <w:tblLayout w:type="fixed"/>
        <w:tblCellMar>
          <w:top w:w="0" w:type="dxa"/>
          <w:left w:w="0" w:type="dxa"/>
          <w:bottom w:w="0" w:type="dxa"/>
          <w:right w:w="0" w:type="dxa"/>
        </w:tblCellMar>
        <w:tblLook w:val="01E0"/>
      </w:tblPr>
      <w:tblGrid>
        <w:gridCol w:w="3479"/>
        <w:gridCol w:w="428"/>
        <w:gridCol w:w="1463"/>
        <w:gridCol w:w="1144"/>
        <w:gridCol w:w="1219"/>
        <w:gridCol w:w="1294"/>
      </w:tblGrid>
      <w:tr>
        <w:trPr>
          <w:trHeight w:val="399" w:hRule="exact"/>
        </w:trPr>
        <w:tc>
          <w:tcPr>
            <w:tcW w:w="3479"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97"/>
              <w:jc w:val="center"/>
              <w:rPr>
                <w:rFonts w:ascii="宋体" w:hAnsi="宋体" w:cs="宋体" w:eastAsia="宋体" w:hint="default"/>
                <w:sz w:val="16"/>
                <w:szCs w:val="16"/>
              </w:rPr>
            </w:pPr>
            <w:r>
              <w:rPr>
                <w:rFonts w:ascii="宋体" w:hAnsi="宋体" w:cs="宋体" w:eastAsia="宋体" w:hint="default"/>
                <w:sz w:val="16"/>
                <w:szCs w:val="16"/>
              </w:rPr>
              <w:t>项目</w:t>
            </w:r>
          </w:p>
        </w:tc>
        <w:tc>
          <w:tcPr>
            <w:tcW w:w="428"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42"/>
              <w:jc w:val="center"/>
              <w:rPr>
                <w:rFonts w:ascii="宋体" w:hAnsi="宋体" w:cs="宋体" w:eastAsia="宋体" w:hint="default"/>
                <w:sz w:val="16"/>
                <w:szCs w:val="16"/>
              </w:rPr>
            </w:pPr>
            <w:r>
              <w:rPr>
                <w:rFonts w:ascii="宋体" w:hAnsi="宋体" w:cs="宋体" w:eastAsia="宋体" w:hint="default"/>
                <w:sz w:val="16"/>
                <w:szCs w:val="16"/>
              </w:rPr>
              <w:t>注释</w:t>
            </w:r>
          </w:p>
        </w:tc>
        <w:tc>
          <w:tcPr>
            <w:tcW w:w="1463" w:type="dxa"/>
            <w:tcBorders>
              <w:top w:val="nil" w:sz="6" w:space="0" w:color="auto"/>
              <w:left w:val="nil" w:sz="6" w:space="0" w:color="auto"/>
              <w:bottom w:val="single" w:sz="6" w:space="0" w:color="000000"/>
              <w:right w:val="nil" w:sz="6" w:space="0" w:color="auto"/>
            </w:tcBorders>
          </w:tcPr>
          <w:p>
            <w:pPr>
              <w:pStyle w:val="TableParagraph"/>
              <w:spacing w:line="164" w:lineRule="exact"/>
              <w:ind w:left="687" w:right="0"/>
              <w:jc w:val="left"/>
              <w:rPr>
                <w:rFonts w:ascii="宋体" w:hAnsi="宋体" w:cs="宋体" w:eastAsia="宋体" w:hint="default"/>
                <w:sz w:val="16"/>
                <w:szCs w:val="16"/>
              </w:rPr>
            </w:pPr>
            <w:r>
              <w:rPr>
                <w:rFonts w:ascii="Arial" w:hAnsi="Arial" w:cs="Arial" w:eastAsia="Arial" w:hint="default"/>
                <w:sz w:val="16"/>
                <w:szCs w:val="16"/>
              </w:rPr>
              <w:t>2010</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left="447"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1144"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353" w:right="0"/>
              <w:jc w:val="left"/>
              <w:rPr>
                <w:rFonts w:ascii="宋体" w:hAnsi="宋体" w:cs="宋体" w:eastAsia="宋体" w:hint="default"/>
                <w:sz w:val="16"/>
                <w:szCs w:val="16"/>
              </w:rPr>
            </w:pPr>
            <w:r>
              <w:rPr>
                <w:rFonts w:ascii="宋体" w:hAnsi="宋体" w:cs="宋体" w:eastAsia="宋体" w:hint="default"/>
                <w:sz w:val="16"/>
                <w:szCs w:val="16"/>
              </w:rPr>
              <w:t>本年增加</w:t>
            </w:r>
          </w:p>
        </w:tc>
        <w:tc>
          <w:tcPr>
            <w:tcW w:w="1219"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459" w:right="0"/>
              <w:jc w:val="left"/>
              <w:rPr>
                <w:rFonts w:ascii="宋体" w:hAnsi="宋体" w:cs="宋体" w:eastAsia="宋体" w:hint="default"/>
                <w:sz w:val="16"/>
                <w:szCs w:val="16"/>
              </w:rPr>
            </w:pPr>
            <w:r>
              <w:rPr>
                <w:rFonts w:ascii="宋体" w:hAnsi="宋体" w:cs="宋体" w:eastAsia="宋体" w:hint="default"/>
                <w:sz w:val="16"/>
                <w:szCs w:val="16"/>
              </w:rPr>
              <w:t>本年减少</w:t>
            </w:r>
          </w:p>
        </w:tc>
        <w:tc>
          <w:tcPr>
            <w:tcW w:w="1294" w:type="dxa"/>
            <w:tcBorders>
              <w:top w:val="nil" w:sz="6" w:space="0" w:color="auto"/>
              <w:left w:val="nil" w:sz="6" w:space="0" w:color="auto"/>
              <w:bottom w:val="single" w:sz="6" w:space="0" w:color="000000"/>
              <w:right w:val="nil" w:sz="6" w:space="0" w:color="auto"/>
            </w:tcBorders>
          </w:tcPr>
          <w:p>
            <w:pPr>
              <w:pStyle w:val="TableParagraph"/>
              <w:spacing w:line="164" w:lineRule="exact"/>
              <w:ind w:left="664" w:right="0"/>
              <w:jc w:val="left"/>
              <w:rPr>
                <w:rFonts w:ascii="宋体" w:hAnsi="宋体" w:cs="宋体" w:eastAsia="宋体" w:hint="default"/>
                <w:sz w:val="16"/>
                <w:szCs w:val="16"/>
              </w:rPr>
            </w:pPr>
            <w:r>
              <w:rPr>
                <w:rFonts w:ascii="Arial" w:hAnsi="Arial" w:cs="Arial" w:eastAsia="Arial" w:hint="default"/>
                <w:sz w:val="16"/>
                <w:szCs w:val="16"/>
              </w:rPr>
              <w:t>2011</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left="424"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r>
      <w:tr>
        <w:trPr>
          <w:trHeight w:val="414" w:hRule="exact"/>
        </w:trPr>
        <w:tc>
          <w:tcPr>
            <w:tcW w:w="3479"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6"/>
                <w:szCs w:val="16"/>
              </w:rPr>
            </w:pPr>
            <w:r>
              <w:rPr>
                <w:rFonts w:ascii="宋体" w:hAnsi="宋体" w:cs="宋体" w:eastAsia="宋体" w:hint="default"/>
                <w:sz w:val="16"/>
                <w:szCs w:val="16"/>
              </w:rPr>
              <w:t>发起人出资溢价</w:t>
            </w:r>
          </w:p>
        </w:tc>
        <w:tc>
          <w:tcPr>
            <w:tcW w:w="428"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2"/>
              <w:jc w:val="center"/>
              <w:rPr>
                <w:rFonts w:ascii="Arial" w:hAnsi="Arial" w:cs="Arial" w:eastAsia="Arial" w:hint="default"/>
                <w:sz w:val="16"/>
                <w:szCs w:val="16"/>
              </w:rPr>
            </w:pPr>
            <w:r>
              <w:rPr>
                <w:rFonts w:ascii="Arial"/>
                <w:w w:val="99"/>
                <w:sz w:val="16"/>
              </w:rPr>
              <w:t>a</w:t>
            </w:r>
            <w:r>
              <w:rPr>
                <w:rFonts w:ascii="Arial"/>
                <w:sz w:val="16"/>
              </w:rPr>
            </w:r>
          </w:p>
        </w:tc>
        <w:tc>
          <w:tcPr>
            <w:tcW w:w="1463"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4" w:right="0"/>
              <w:jc w:val="left"/>
              <w:rPr>
                <w:rFonts w:ascii="Arial" w:hAnsi="Arial" w:cs="Arial" w:eastAsia="Arial" w:hint="default"/>
                <w:sz w:val="16"/>
                <w:szCs w:val="16"/>
              </w:rPr>
            </w:pPr>
            <w:r>
              <w:rPr>
                <w:rFonts w:ascii="Arial"/>
                <w:sz w:val="16"/>
              </w:rPr>
              <w:t>7,913,551,905</w:t>
            </w:r>
          </w:p>
        </w:tc>
        <w:tc>
          <w:tcPr>
            <w:tcW w:w="1144"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49"/>
              <w:jc w:val="right"/>
              <w:rPr>
                <w:rFonts w:ascii="Arial" w:hAnsi="Arial" w:cs="Arial" w:eastAsia="Arial" w:hint="default"/>
                <w:sz w:val="16"/>
                <w:szCs w:val="16"/>
              </w:rPr>
            </w:pPr>
            <w:r>
              <w:rPr>
                <w:rFonts w:ascii="Arial"/>
                <w:w w:val="99"/>
                <w:sz w:val="16"/>
              </w:rPr>
              <w:t>-</w:t>
            </w:r>
            <w:r>
              <w:rPr>
                <w:rFonts w:ascii="Arial"/>
                <w:sz w:val="16"/>
              </w:rPr>
            </w:r>
          </w:p>
        </w:tc>
        <w:tc>
          <w:tcPr>
            <w:tcW w:w="1219"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0"/>
              <w:jc w:val="right"/>
              <w:rPr>
                <w:rFonts w:ascii="Arial" w:hAnsi="Arial" w:cs="Arial" w:eastAsia="Arial" w:hint="default"/>
                <w:sz w:val="16"/>
                <w:szCs w:val="16"/>
              </w:rPr>
            </w:pPr>
            <w:r>
              <w:rPr>
                <w:rFonts w:ascii="Arial"/>
                <w:w w:val="99"/>
                <w:sz w:val="16"/>
              </w:rPr>
              <w:t>-</w:t>
            </w:r>
            <w:r>
              <w:rPr>
                <w:rFonts w:ascii="Arial"/>
                <w:sz w:val="16"/>
              </w:rPr>
            </w:r>
          </w:p>
        </w:tc>
        <w:tc>
          <w:tcPr>
            <w:tcW w:w="1294"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5"/>
              <w:jc w:val="right"/>
              <w:rPr>
                <w:rFonts w:ascii="Arial" w:hAnsi="Arial" w:cs="Arial" w:eastAsia="Arial" w:hint="default"/>
                <w:sz w:val="16"/>
                <w:szCs w:val="16"/>
              </w:rPr>
            </w:pPr>
            <w:r>
              <w:rPr>
                <w:rFonts w:ascii="Arial"/>
                <w:w w:val="95"/>
                <w:sz w:val="16"/>
              </w:rPr>
              <w:t>7,913,551,905</w:t>
            </w:r>
            <w:r>
              <w:rPr>
                <w:rFonts w:ascii="Arial"/>
                <w:sz w:val="16"/>
              </w:rPr>
            </w:r>
          </w:p>
        </w:tc>
      </w:tr>
      <w:tr>
        <w:trPr>
          <w:trHeight w:val="208"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174" w:lineRule="exact"/>
              <w:ind w:left="14" w:right="0"/>
              <w:jc w:val="left"/>
              <w:rPr>
                <w:rFonts w:ascii="宋体" w:hAnsi="宋体" w:cs="宋体" w:eastAsia="宋体" w:hint="default"/>
                <w:sz w:val="16"/>
                <w:szCs w:val="16"/>
              </w:rPr>
            </w:pPr>
            <w:r>
              <w:rPr>
                <w:rFonts w:ascii="宋体" w:hAnsi="宋体" w:cs="宋体" w:eastAsia="宋体" w:hint="default"/>
                <w:sz w:val="16"/>
                <w:szCs w:val="16"/>
              </w:rPr>
              <w:t>人民币普通股发行溢价</w:t>
            </w:r>
          </w:p>
        </w:tc>
        <w:tc>
          <w:tcPr>
            <w:tcW w:w="42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2"/>
              <w:jc w:val="center"/>
              <w:rPr>
                <w:rFonts w:ascii="Arial" w:hAnsi="Arial" w:cs="Arial" w:eastAsia="Arial" w:hint="default"/>
                <w:sz w:val="16"/>
                <w:szCs w:val="16"/>
              </w:rPr>
            </w:pPr>
            <w:r>
              <w:rPr>
                <w:rFonts w:ascii="Arial"/>
                <w:w w:val="99"/>
                <w:sz w:val="16"/>
              </w:rPr>
              <w:t>a</w:t>
            </w:r>
            <w:r>
              <w:rPr>
                <w:rFonts w:ascii="Arial"/>
                <w:sz w:val="16"/>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94" w:right="0"/>
              <w:jc w:val="left"/>
              <w:rPr>
                <w:rFonts w:ascii="Arial" w:hAnsi="Arial" w:cs="Arial" w:eastAsia="Arial" w:hint="default"/>
                <w:sz w:val="16"/>
                <w:szCs w:val="16"/>
              </w:rPr>
            </w:pPr>
            <w:r>
              <w:rPr>
                <w:rFonts w:ascii="Arial"/>
                <w:sz w:val="16"/>
              </w:rPr>
              <w:t>9,197,551,203</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9"/>
              <w:jc w:val="right"/>
              <w:rPr>
                <w:rFonts w:ascii="Arial" w:hAnsi="Arial" w:cs="Arial" w:eastAsia="Arial" w:hint="default"/>
                <w:sz w:val="16"/>
                <w:szCs w:val="16"/>
              </w:rPr>
            </w:pPr>
            <w:r>
              <w:rPr>
                <w:rFonts w:ascii="Arial"/>
                <w:w w:val="99"/>
                <w:sz w:val="16"/>
              </w:rPr>
              <w:t>-</w:t>
            </w:r>
            <w:r>
              <w:rPr>
                <w:rFonts w:ascii="Arial"/>
                <w:sz w:val="16"/>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0"/>
              <w:jc w:val="right"/>
              <w:rPr>
                <w:rFonts w:ascii="Arial" w:hAnsi="Arial" w:cs="Arial" w:eastAsia="Arial" w:hint="default"/>
                <w:sz w:val="16"/>
                <w:szCs w:val="16"/>
              </w:rPr>
            </w:pPr>
            <w:r>
              <w:rPr>
                <w:rFonts w:ascii="Arial"/>
                <w:w w:val="99"/>
                <w:sz w:val="16"/>
              </w:rPr>
              <w:t>-</w:t>
            </w:r>
            <w:r>
              <w:rPr>
                <w:rFonts w:ascii="Arial"/>
                <w:sz w:val="16"/>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Arial" w:hAnsi="Arial" w:cs="Arial" w:eastAsia="Arial" w:hint="default"/>
                <w:sz w:val="16"/>
                <w:szCs w:val="16"/>
              </w:rPr>
            </w:pPr>
            <w:r>
              <w:rPr>
                <w:rFonts w:ascii="Arial"/>
                <w:w w:val="95"/>
                <w:sz w:val="16"/>
              </w:rPr>
              <w:t>9,197,551,203</w:t>
            </w:r>
            <w:r>
              <w:rPr>
                <w:rFonts w:ascii="Arial"/>
                <w:sz w:val="16"/>
              </w:rPr>
            </w:r>
          </w:p>
        </w:tc>
      </w:tr>
      <w:tr>
        <w:trPr>
          <w:trHeight w:val="415"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173" w:lineRule="exact"/>
              <w:ind w:left="14" w:right="0"/>
              <w:jc w:val="left"/>
              <w:rPr>
                <w:rFonts w:ascii="宋体" w:hAnsi="宋体" w:cs="宋体" w:eastAsia="宋体" w:hint="default"/>
                <w:sz w:val="16"/>
                <w:szCs w:val="16"/>
              </w:rPr>
            </w:pPr>
            <w:r>
              <w:rPr>
                <w:rFonts w:ascii="宋体" w:hAnsi="宋体" w:cs="宋体" w:eastAsia="宋体" w:hint="default"/>
                <w:spacing w:val="8"/>
                <w:sz w:val="16"/>
                <w:szCs w:val="16"/>
              </w:rPr>
              <w:t>联通运营公司同一控制下收购相关电信业务的</w:t>
            </w:r>
            <w:r>
              <w:rPr>
                <w:rFonts w:ascii="宋体" w:hAnsi="宋体" w:cs="宋体" w:eastAsia="宋体" w:hint="default"/>
                <w:sz w:val="16"/>
                <w:szCs w:val="16"/>
              </w:rPr>
            </w:r>
          </w:p>
          <w:p>
            <w:pPr>
              <w:pStyle w:val="TableParagraph"/>
              <w:spacing w:line="208" w:lineRule="exact"/>
              <w:ind w:left="153" w:right="0"/>
              <w:jc w:val="left"/>
              <w:rPr>
                <w:rFonts w:ascii="宋体" w:hAnsi="宋体" w:cs="宋体" w:eastAsia="宋体" w:hint="default"/>
                <w:sz w:val="16"/>
                <w:szCs w:val="16"/>
              </w:rPr>
            </w:pPr>
            <w:r>
              <w:rPr>
                <w:rFonts w:ascii="宋体" w:hAnsi="宋体" w:cs="宋体" w:eastAsia="宋体" w:hint="default"/>
                <w:w w:val="99"/>
                <w:sz w:val="16"/>
                <w:szCs w:val="16"/>
              </w:rPr>
              <w:t>影</w:t>
            </w:r>
            <w:r>
              <w:rPr>
                <w:rFonts w:ascii="宋体" w:hAnsi="宋体" w:cs="宋体" w:eastAsia="宋体" w:hint="default"/>
                <w:spacing w:val="-66"/>
                <w:w w:val="99"/>
                <w:sz w:val="16"/>
                <w:szCs w:val="16"/>
              </w:rPr>
              <w:t>响</w:t>
            </w:r>
            <w:r>
              <w:rPr>
                <w:rFonts w:ascii="宋体" w:hAnsi="宋体" w:cs="宋体" w:eastAsia="宋体" w:hint="default"/>
                <w:w w:val="99"/>
                <w:sz w:val="16"/>
                <w:szCs w:val="16"/>
              </w:rPr>
              <w:t>（</w:t>
            </w:r>
            <w:r>
              <w:rPr>
                <w:rFonts w:ascii="宋体" w:hAnsi="宋体" w:cs="宋体" w:eastAsia="宋体" w:hint="default"/>
                <w:spacing w:val="1"/>
                <w:w w:val="99"/>
                <w:sz w:val="16"/>
                <w:szCs w:val="16"/>
              </w:rPr>
              <w:t>除</w:t>
            </w:r>
            <w:r>
              <w:rPr>
                <w:rFonts w:ascii="宋体" w:hAnsi="宋体" w:cs="宋体" w:eastAsia="宋体" w:hint="default"/>
                <w:w w:val="99"/>
                <w:sz w:val="16"/>
                <w:szCs w:val="16"/>
              </w:rPr>
              <w:t>可供</w:t>
            </w:r>
            <w:r>
              <w:rPr>
                <w:rFonts w:ascii="宋体" w:hAnsi="宋体" w:cs="宋体" w:eastAsia="宋体" w:hint="default"/>
                <w:spacing w:val="1"/>
                <w:w w:val="99"/>
                <w:sz w:val="16"/>
                <w:szCs w:val="16"/>
              </w:rPr>
              <w:t>出售</w:t>
            </w:r>
            <w:r>
              <w:rPr>
                <w:rFonts w:ascii="宋体" w:hAnsi="宋体" w:cs="宋体" w:eastAsia="宋体" w:hint="default"/>
                <w:w w:val="99"/>
                <w:sz w:val="16"/>
                <w:szCs w:val="16"/>
              </w:rPr>
              <w:t>金融资</w:t>
            </w:r>
            <w:r>
              <w:rPr>
                <w:rFonts w:ascii="宋体" w:hAnsi="宋体" w:cs="宋体" w:eastAsia="宋体" w:hint="default"/>
                <w:spacing w:val="1"/>
                <w:w w:val="99"/>
                <w:sz w:val="16"/>
                <w:szCs w:val="16"/>
              </w:rPr>
              <w:t>产</w:t>
            </w:r>
            <w:r>
              <w:rPr>
                <w:rFonts w:ascii="宋体" w:hAnsi="宋体" w:cs="宋体" w:eastAsia="宋体" w:hint="default"/>
                <w:w w:val="99"/>
                <w:sz w:val="16"/>
                <w:szCs w:val="16"/>
              </w:rPr>
              <w:t>公允</w:t>
            </w:r>
            <w:r>
              <w:rPr>
                <w:rFonts w:ascii="宋体" w:hAnsi="宋体" w:cs="宋体" w:eastAsia="宋体" w:hint="default"/>
                <w:spacing w:val="1"/>
                <w:w w:val="99"/>
                <w:sz w:val="16"/>
                <w:szCs w:val="16"/>
              </w:rPr>
              <w:t>价</w:t>
            </w:r>
            <w:r>
              <w:rPr>
                <w:rFonts w:ascii="宋体" w:hAnsi="宋体" w:cs="宋体" w:eastAsia="宋体" w:hint="default"/>
                <w:w w:val="99"/>
                <w:sz w:val="16"/>
                <w:szCs w:val="16"/>
              </w:rPr>
              <w:t>值变动</w:t>
            </w:r>
            <w:r>
              <w:rPr>
                <w:rFonts w:ascii="宋体" w:hAnsi="宋体" w:cs="宋体" w:eastAsia="宋体" w:hint="default"/>
                <w:spacing w:val="1"/>
                <w:w w:val="99"/>
                <w:sz w:val="16"/>
                <w:szCs w:val="16"/>
              </w:rPr>
              <w:t>影</w:t>
            </w:r>
            <w:r>
              <w:rPr>
                <w:rFonts w:ascii="宋体" w:hAnsi="宋体" w:cs="宋体" w:eastAsia="宋体" w:hint="default"/>
                <w:w w:val="99"/>
                <w:sz w:val="16"/>
                <w:szCs w:val="16"/>
              </w:rPr>
              <w:t>响）</w:t>
            </w:r>
            <w:r>
              <w:rPr>
                <w:rFonts w:ascii="宋体" w:hAnsi="宋体" w:cs="宋体" w:eastAsia="宋体" w:hint="default"/>
                <w:sz w:val="16"/>
                <w:szCs w:val="16"/>
              </w:rPr>
            </w:r>
          </w:p>
        </w:tc>
        <w:tc>
          <w:tcPr>
            <w:tcW w:w="4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2"/>
              <w:jc w:val="center"/>
              <w:rPr>
                <w:rFonts w:ascii="Arial" w:hAnsi="Arial" w:cs="Arial" w:eastAsia="Arial" w:hint="default"/>
                <w:sz w:val="16"/>
                <w:szCs w:val="16"/>
              </w:rPr>
            </w:pPr>
            <w:r>
              <w:rPr>
                <w:rFonts w:ascii="Arial"/>
                <w:w w:val="99"/>
                <w:sz w:val="16"/>
              </w:rPr>
              <w:t>b</w:t>
            </w:r>
            <w:r>
              <w:rPr>
                <w:rFonts w:ascii="Arial"/>
                <w:sz w:val="16"/>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28" w:right="0"/>
              <w:jc w:val="left"/>
              <w:rPr>
                <w:rFonts w:ascii="Arial" w:hAnsi="Arial" w:cs="Arial" w:eastAsia="Arial" w:hint="default"/>
                <w:sz w:val="16"/>
                <w:szCs w:val="16"/>
              </w:rPr>
            </w:pPr>
            <w:r>
              <w:rPr>
                <w:rFonts w:ascii="Arial"/>
                <w:sz w:val="16"/>
              </w:rPr>
              <w:t>554,184,732</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49"/>
              <w:jc w:val="right"/>
              <w:rPr>
                <w:rFonts w:ascii="Arial" w:hAnsi="Arial" w:cs="Arial" w:eastAsia="Arial" w:hint="default"/>
                <w:sz w:val="16"/>
                <w:szCs w:val="16"/>
              </w:rPr>
            </w:pPr>
            <w:r>
              <w:rPr>
                <w:rFonts w:ascii="Arial"/>
                <w:w w:val="99"/>
                <w:sz w:val="16"/>
              </w:rPr>
              <w:t>-</w:t>
            </w:r>
            <w:r>
              <w:rPr>
                <w:rFonts w:ascii="Arial"/>
                <w:sz w:val="16"/>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0"/>
              <w:jc w:val="right"/>
              <w:rPr>
                <w:rFonts w:ascii="Arial" w:hAnsi="Arial" w:cs="Arial" w:eastAsia="Arial" w:hint="default"/>
                <w:sz w:val="16"/>
                <w:szCs w:val="16"/>
              </w:rPr>
            </w:pPr>
            <w:r>
              <w:rPr>
                <w:rFonts w:ascii="Arial"/>
                <w:w w:val="99"/>
                <w:sz w:val="16"/>
              </w:rPr>
              <w:t>-</w:t>
            </w:r>
            <w:r>
              <w:rPr>
                <w:rFonts w:ascii="Arial"/>
                <w:sz w:val="16"/>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4"/>
              <w:jc w:val="right"/>
              <w:rPr>
                <w:rFonts w:ascii="Arial" w:hAnsi="Arial" w:cs="Arial" w:eastAsia="Arial" w:hint="default"/>
                <w:sz w:val="16"/>
                <w:szCs w:val="16"/>
              </w:rPr>
            </w:pPr>
            <w:r>
              <w:rPr>
                <w:rFonts w:ascii="Arial"/>
                <w:w w:val="95"/>
                <w:sz w:val="16"/>
              </w:rPr>
              <w:t>554,184,732</w:t>
            </w:r>
            <w:r>
              <w:rPr>
                <w:rFonts w:ascii="Arial"/>
                <w:sz w:val="16"/>
              </w:rPr>
            </w:r>
          </w:p>
        </w:tc>
      </w:tr>
      <w:tr>
        <w:trPr>
          <w:trHeight w:val="415"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173" w:lineRule="exact"/>
              <w:ind w:left="14" w:right="0"/>
              <w:jc w:val="left"/>
              <w:rPr>
                <w:rFonts w:ascii="宋体" w:hAnsi="宋体" w:cs="宋体" w:eastAsia="宋体" w:hint="default"/>
                <w:sz w:val="16"/>
                <w:szCs w:val="16"/>
              </w:rPr>
            </w:pPr>
            <w:r>
              <w:rPr>
                <w:rFonts w:ascii="宋体" w:hAnsi="宋体" w:cs="宋体" w:eastAsia="宋体" w:hint="default"/>
                <w:spacing w:val="8"/>
                <w:sz w:val="16"/>
                <w:szCs w:val="16"/>
              </w:rPr>
              <w:t>确认子公司持有可供出售金融资产公允价值变</w:t>
            </w:r>
            <w:r>
              <w:rPr>
                <w:rFonts w:ascii="宋体" w:hAnsi="宋体" w:cs="宋体" w:eastAsia="宋体" w:hint="default"/>
                <w:sz w:val="16"/>
                <w:szCs w:val="16"/>
              </w:rPr>
            </w:r>
          </w:p>
          <w:p>
            <w:pPr>
              <w:pStyle w:val="TableParagraph"/>
              <w:spacing w:line="208" w:lineRule="exact"/>
              <w:ind w:left="180" w:right="0"/>
              <w:jc w:val="left"/>
              <w:rPr>
                <w:rFonts w:ascii="宋体" w:hAnsi="宋体" w:cs="宋体" w:eastAsia="宋体" w:hint="default"/>
                <w:sz w:val="16"/>
                <w:szCs w:val="16"/>
              </w:rPr>
            </w:pPr>
            <w:r>
              <w:rPr>
                <w:rFonts w:ascii="宋体" w:hAnsi="宋体" w:cs="宋体" w:eastAsia="宋体" w:hint="default"/>
                <w:sz w:val="16"/>
                <w:szCs w:val="16"/>
              </w:rPr>
              <w:t>动的影响</w:t>
            </w:r>
          </w:p>
        </w:tc>
        <w:tc>
          <w:tcPr>
            <w:tcW w:w="4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4"/>
              <w:jc w:val="center"/>
              <w:rPr>
                <w:rFonts w:ascii="Arial" w:hAnsi="Arial" w:cs="Arial" w:eastAsia="Arial" w:hint="default"/>
                <w:sz w:val="16"/>
                <w:szCs w:val="16"/>
              </w:rPr>
            </w:pPr>
            <w:r>
              <w:rPr>
                <w:rFonts w:ascii="Arial"/>
                <w:w w:val="99"/>
                <w:sz w:val="16"/>
              </w:rPr>
              <w:t>c</w:t>
            </w:r>
            <w:r>
              <w:rPr>
                <w:rFonts w:ascii="Arial"/>
                <w:sz w:val="16"/>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76" w:right="0"/>
              <w:jc w:val="left"/>
              <w:rPr>
                <w:rFonts w:ascii="Arial" w:hAnsi="Arial" w:cs="Arial" w:eastAsia="Arial" w:hint="default"/>
                <w:sz w:val="16"/>
                <w:szCs w:val="16"/>
              </w:rPr>
            </w:pPr>
            <w:r>
              <w:rPr>
                <w:rFonts w:ascii="Arial"/>
                <w:sz w:val="16"/>
              </w:rPr>
              <w:t>(452,189,469)</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49"/>
              <w:jc w:val="right"/>
              <w:rPr>
                <w:rFonts w:ascii="Arial" w:hAnsi="Arial" w:cs="Arial" w:eastAsia="Arial" w:hint="default"/>
                <w:sz w:val="16"/>
                <w:szCs w:val="16"/>
              </w:rPr>
            </w:pPr>
            <w:r>
              <w:rPr>
                <w:rFonts w:ascii="Arial"/>
                <w:w w:val="99"/>
                <w:sz w:val="16"/>
              </w:rPr>
              <w:t>-</w:t>
            </w:r>
            <w:r>
              <w:rPr>
                <w:rFonts w:ascii="Arial"/>
                <w:sz w:val="16"/>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71"/>
              <w:jc w:val="right"/>
              <w:rPr>
                <w:rFonts w:ascii="Arial" w:hAnsi="Arial" w:cs="Arial" w:eastAsia="Arial" w:hint="default"/>
                <w:sz w:val="16"/>
                <w:szCs w:val="16"/>
              </w:rPr>
            </w:pPr>
            <w:r>
              <w:rPr>
                <w:rFonts w:ascii="Arial"/>
                <w:w w:val="95"/>
                <w:sz w:val="16"/>
              </w:rPr>
              <w:t>(668,548,698)</w:t>
            </w:r>
            <w:r>
              <w:rPr>
                <w:rFonts w:ascii="Arial"/>
                <w:sz w:val="16"/>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0"/>
              <w:jc w:val="right"/>
              <w:rPr>
                <w:rFonts w:ascii="Arial" w:hAnsi="Arial" w:cs="Arial" w:eastAsia="Arial" w:hint="default"/>
                <w:sz w:val="16"/>
                <w:szCs w:val="16"/>
              </w:rPr>
            </w:pPr>
            <w:r>
              <w:rPr>
                <w:rFonts w:ascii="Arial"/>
                <w:w w:val="95"/>
                <w:sz w:val="16"/>
              </w:rPr>
              <w:t>(1,120,738,167)</w:t>
            </w:r>
            <w:r>
              <w:rPr>
                <w:rFonts w:ascii="Arial"/>
                <w:sz w:val="16"/>
              </w:rPr>
            </w:r>
          </w:p>
        </w:tc>
      </w:tr>
      <w:tr>
        <w:trPr>
          <w:trHeight w:val="207"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174" w:lineRule="exact"/>
              <w:ind w:left="14" w:right="0"/>
              <w:jc w:val="left"/>
              <w:rPr>
                <w:rFonts w:ascii="宋体" w:hAnsi="宋体" w:cs="宋体" w:eastAsia="宋体" w:hint="default"/>
                <w:sz w:val="16"/>
                <w:szCs w:val="16"/>
              </w:rPr>
            </w:pPr>
            <w:r>
              <w:rPr>
                <w:rFonts w:ascii="宋体" w:hAnsi="宋体" w:cs="宋体" w:eastAsia="宋体" w:hint="default"/>
                <w:sz w:val="16"/>
                <w:szCs w:val="16"/>
              </w:rPr>
              <w:t>子公司企业改制评估增值的影响</w:t>
            </w:r>
          </w:p>
        </w:tc>
        <w:tc>
          <w:tcPr>
            <w:tcW w:w="4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2"/>
              <w:jc w:val="center"/>
              <w:rPr>
                <w:rFonts w:ascii="Arial" w:hAnsi="Arial" w:cs="Arial" w:eastAsia="Arial" w:hint="default"/>
                <w:sz w:val="16"/>
                <w:szCs w:val="16"/>
              </w:rPr>
            </w:pPr>
            <w:r>
              <w:rPr>
                <w:rFonts w:ascii="Arial"/>
                <w:w w:val="99"/>
                <w:sz w:val="16"/>
              </w:rPr>
              <w:t>d</w:t>
            </w:r>
            <w:r>
              <w:rPr>
                <w:rFonts w:ascii="Arial"/>
                <w:sz w:val="16"/>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17" w:right="0"/>
              <w:jc w:val="left"/>
              <w:rPr>
                <w:rFonts w:ascii="Arial" w:hAnsi="Arial" w:cs="Arial" w:eastAsia="Arial" w:hint="default"/>
                <w:sz w:val="16"/>
                <w:szCs w:val="16"/>
              </w:rPr>
            </w:pPr>
            <w:r>
              <w:rPr>
                <w:rFonts w:ascii="Arial"/>
                <w:sz w:val="16"/>
              </w:rPr>
              <w:t>29,996,252</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9"/>
              <w:jc w:val="right"/>
              <w:rPr>
                <w:rFonts w:ascii="Arial" w:hAnsi="Arial" w:cs="Arial" w:eastAsia="Arial" w:hint="default"/>
                <w:sz w:val="16"/>
                <w:szCs w:val="16"/>
              </w:rPr>
            </w:pPr>
            <w:r>
              <w:rPr>
                <w:rFonts w:ascii="Arial"/>
                <w:w w:val="99"/>
                <w:sz w:val="16"/>
              </w:rPr>
              <w:t>-</w:t>
            </w:r>
            <w:r>
              <w:rPr>
                <w:rFonts w:ascii="Arial"/>
                <w:sz w:val="16"/>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0"/>
              <w:jc w:val="right"/>
              <w:rPr>
                <w:rFonts w:ascii="Arial" w:hAnsi="Arial" w:cs="Arial" w:eastAsia="Arial" w:hint="default"/>
                <w:sz w:val="16"/>
                <w:szCs w:val="16"/>
              </w:rPr>
            </w:pPr>
            <w:r>
              <w:rPr>
                <w:rFonts w:ascii="Arial"/>
                <w:w w:val="99"/>
                <w:sz w:val="16"/>
              </w:rPr>
              <w:t>-</w:t>
            </w:r>
            <w:r>
              <w:rPr>
                <w:rFonts w:ascii="Arial"/>
                <w:sz w:val="16"/>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Arial" w:hAnsi="Arial" w:cs="Arial" w:eastAsia="Arial" w:hint="default"/>
                <w:sz w:val="16"/>
                <w:szCs w:val="16"/>
              </w:rPr>
            </w:pPr>
            <w:r>
              <w:rPr>
                <w:rFonts w:ascii="Arial"/>
                <w:w w:val="95"/>
                <w:sz w:val="16"/>
              </w:rPr>
              <w:t>29,996,252</w:t>
            </w:r>
            <w:r>
              <w:rPr>
                <w:rFonts w:ascii="Arial"/>
                <w:sz w:val="16"/>
              </w:rPr>
            </w:r>
          </w:p>
        </w:tc>
      </w:tr>
      <w:tr>
        <w:trPr>
          <w:trHeight w:val="249"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174" w:lineRule="exact"/>
              <w:ind w:left="14" w:right="0"/>
              <w:jc w:val="left"/>
              <w:rPr>
                <w:rFonts w:ascii="宋体" w:hAnsi="宋体" w:cs="宋体" w:eastAsia="宋体" w:hint="default"/>
                <w:sz w:val="16"/>
                <w:szCs w:val="16"/>
              </w:rPr>
            </w:pPr>
            <w:r>
              <w:rPr>
                <w:rFonts w:ascii="宋体" w:hAnsi="宋体" w:cs="宋体" w:eastAsia="宋体" w:hint="default"/>
                <w:sz w:val="16"/>
                <w:szCs w:val="16"/>
              </w:rPr>
              <w:t>与股份期权相关的员工薪酬所确认金额的影响</w:t>
            </w:r>
          </w:p>
        </w:tc>
        <w:tc>
          <w:tcPr>
            <w:tcW w:w="4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2"/>
              <w:jc w:val="center"/>
              <w:rPr>
                <w:rFonts w:ascii="Arial" w:hAnsi="Arial" w:cs="Arial" w:eastAsia="Arial" w:hint="default"/>
                <w:sz w:val="16"/>
                <w:szCs w:val="16"/>
              </w:rPr>
            </w:pPr>
            <w:r>
              <w:rPr>
                <w:rFonts w:ascii="Arial"/>
                <w:w w:val="99"/>
                <w:sz w:val="16"/>
              </w:rPr>
              <w:t>e</w:t>
            </w:r>
            <w:r>
              <w:rPr>
                <w:rFonts w:ascii="Arial"/>
                <w:sz w:val="16"/>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8" w:right="0"/>
              <w:jc w:val="left"/>
              <w:rPr>
                <w:rFonts w:ascii="Arial" w:hAnsi="Arial" w:cs="Arial" w:eastAsia="Arial" w:hint="default"/>
                <w:sz w:val="16"/>
                <w:szCs w:val="16"/>
              </w:rPr>
            </w:pPr>
            <w:r>
              <w:rPr>
                <w:rFonts w:ascii="Arial"/>
                <w:sz w:val="16"/>
              </w:rPr>
              <w:t>273,361,147</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1" w:right="0"/>
              <w:jc w:val="left"/>
              <w:rPr>
                <w:rFonts w:ascii="Arial" w:hAnsi="Arial" w:cs="Arial" w:eastAsia="Arial" w:hint="default"/>
                <w:sz w:val="16"/>
                <w:szCs w:val="16"/>
              </w:rPr>
            </w:pPr>
            <w:r>
              <w:rPr>
                <w:rFonts w:ascii="Arial"/>
                <w:sz w:val="16"/>
              </w:rPr>
              <w:t>5,881,018</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0"/>
              <w:jc w:val="right"/>
              <w:rPr>
                <w:rFonts w:ascii="Arial" w:hAnsi="Arial" w:cs="Arial" w:eastAsia="Arial" w:hint="default"/>
                <w:sz w:val="16"/>
                <w:szCs w:val="16"/>
              </w:rPr>
            </w:pPr>
            <w:r>
              <w:rPr>
                <w:rFonts w:ascii="Arial"/>
                <w:w w:val="99"/>
                <w:sz w:val="16"/>
              </w:rPr>
              <w:t>-</w:t>
            </w:r>
            <w:r>
              <w:rPr>
                <w:rFonts w:ascii="Arial"/>
                <w:sz w:val="16"/>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Arial" w:hAnsi="Arial" w:cs="Arial" w:eastAsia="Arial" w:hint="default"/>
                <w:sz w:val="16"/>
                <w:szCs w:val="16"/>
              </w:rPr>
            </w:pPr>
            <w:r>
              <w:rPr>
                <w:rFonts w:ascii="Arial"/>
                <w:w w:val="95"/>
                <w:sz w:val="16"/>
              </w:rPr>
              <w:t>279,242,165</w:t>
            </w:r>
            <w:r>
              <w:rPr>
                <w:rFonts w:ascii="Arial"/>
                <w:sz w:val="16"/>
              </w:rPr>
            </w:r>
          </w:p>
        </w:tc>
      </w:tr>
      <w:tr>
        <w:trPr>
          <w:trHeight w:val="266"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6"/>
              <w:ind w:left="22" w:right="0"/>
              <w:jc w:val="left"/>
              <w:rPr>
                <w:rFonts w:ascii="宋体" w:hAnsi="宋体" w:cs="宋体" w:eastAsia="宋体" w:hint="default"/>
                <w:sz w:val="16"/>
                <w:szCs w:val="16"/>
              </w:rPr>
            </w:pPr>
            <w:r>
              <w:rPr>
                <w:rFonts w:ascii="宋体" w:hAnsi="宋体" w:cs="宋体" w:eastAsia="宋体" w:hint="default"/>
                <w:sz w:val="16"/>
                <w:szCs w:val="16"/>
              </w:rPr>
              <w:t>联通红筹公司为投资西班牙电信而增发的股份</w:t>
            </w:r>
          </w:p>
        </w:tc>
        <w:tc>
          <w:tcPr>
            <w:tcW w:w="4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center"/>
              <w:rPr>
                <w:rFonts w:ascii="Arial" w:hAnsi="Arial" w:cs="Arial" w:eastAsia="Arial" w:hint="default"/>
                <w:sz w:val="16"/>
                <w:szCs w:val="16"/>
              </w:rPr>
            </w:pPr>
            <w:r>
              <w:rPr>
                <w:rFonts w:ascii="Arial"/>
                <w:w w:val="99"/>
                <w:sz w:val="16"/>
              </w:rPr>
              <w:t>f</w:t>
            </w:r>
            <w:r>
              <w:rPr>
                <w:rFonts w:ascii="Arial"/>
                <w:sz w:val="16"/>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94" w:right="0"/>
              <w:jc w:val="left"/>
              <w:rPr>
                <w:rFonts w:ascii="Arial" w:hAnsi="Arial" w:cs="Arial" w:eastAsia="Arial" w:hint="default"/>
                <w:sz w:val="16"/>
                <w:szCs w:val="16"/>
              </w:rPr>
            </w:pPr>
            <w:r>
              <w:rPr>
                <w:rFonts w:ascii="Arial"/>
                <w:sz w:val="16"/>
              </w:rPr>
              <w:t>2,274,479,484</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9"/>
              <w:jc w:val="right"/>
              <w:rPr>
                <w:rFonts w:ascii="Arial" w:hAnsi="Arial" w:cs="Arial" w:eastAsia="Arial" w:hint="default"/>
                <w:sz w:val="16"/>
                <w:szCs w:val="16"/>
              </w:rPr>
            </w:pPr>
            <w:r>
              <w:rPr>
                <w:rFonts w:ascii="Arial"/>
                <w:w w:val="99"/>
                <w:sz w:val="16"/>
              </w:rPr>
              <w:t>-</w:t>
            </w:r>
            <w:r>
              <w:rPr>
                <w:rFonts w:ascii="Arial"/>
                <w:sz w:val="16"/>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0"/>
              <w:jc w:val="right"/>
              <w:rPr>
                <w:rFonts w:ascii="Arial" w:hAnsi="Arial" w:cs="Arial" w:eastAsia="Arial" w:hint="default"/>
                <w:sz w:val="16"/>
                <w:szCs w:val="16"/>
              </w:rPr>
            </w:pPr>
            <w:r>
              <w:rPr>
                <w:rFonts w:ascii="Arial"/>
                <w:w w:val="99"/>
                <w:sz w:val="16"/>
              </w:rPr>
              <w:t>-</w:t>
            </w:r>
            <w:r>
              <w:rPr>
                <w:rFonts w:ascii="Arial"/>
                <w:sz w:val="16"/>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Arial" w:hAnsi="Arial" w:cs="Arial" w:eastAsia="Arial" w:hint="default"/>
                <w:sz w:val="16"/>
                <w:szCs w:val="16"/>
              </w:rPr>
            </w:pPr>
            <w:r>
              <w:rPr>
                <w:rFonts w:ascii="Arial"/>
                <w:w w:val="95"/>
                <w:sz w:val="16"/>
              </w:rPr>
              <w:t>2,274,479,484</w:t>
            </w:r>
            <w:r>
              <w:rPr>
                <w:rFonts w:ascii="Arial"/>
                <w:sz w:val="16"/>
              </w:rPr>
            </w:r>
          </w:p>
        </w:tc>
      </w:tr>
      <w:tr>
        <w:trPr>
          <w:trHeight w:val="433"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208" w:lineRule="exact" w:before="3"/>
              <w:ind w:left="180" w:right="102" w:hanging="166"/>
              <w:jc w:val="left"/>
              <w:rPr>
                <w:rFonts w:ascii="宋体" w:hAnsi="宋体" w:cs="宋体" w:eastAsia="宋体" w:hint="default"/>
                <w:sz w:val="16"/>
                <w:szCs w:val="16"/>
              </w:rPr>
            </w:pPr>
            <w:r>
              <w:rPr>
                <w:rFonts w:ascii="宋体" w:hAnsi="宋体" w:cs="宋体" w:eastAsia="宋体" w:hint="default"/>
                <w:spacing w:val="8"/>
                <w:w w:val="95"/>
                <w:sz w:val="16"/>
                <w:szCs w:val="16"/>
              </w:rPr>
              <w:t>确认子公司员工行使股份期权所增加的子公司</w:t>
            </w:r>
            <w:r>
              <w:rPr>
                <w:rFonts w:ascii="宋体" w:hAnsi="宋体" w:cs="宋体" w:eastAsia="宋体" w:hint="default"/>
                <w:spacing w:val="75"/>
                <w:w w:val="95"/>
                <w:sz w:val="16"/>
                <w:szCs w:val="16"/>
              </w:rPr>
              <w:t> </w:t>
            </w:r>
            <w:r>
              <w:rPr>
                <w:rFonts w:ascii="宋体" w:hAnsi="宋体" w:cs="宋体" w:eastAsia="宋体" w:hint="default"/>
                <w:sz w:val="16"/>
                <w:szCs w:val="16"/>
              </w:rPr>
              <w:t>权益的影响</w:t>
            </w:r>
          </w:p>
        </w:tc>
        <w:tc>
          <w:tcPr>
            <w:tcW w:w="42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center"/>
              <w:rPr>
                <w:rFonts w:ascii="Arial" w:hAnsi="Arial" w:cs="Arial" w:eastAsia="Arial" w:hint="default"/>
                <w:sz w:val="16"/>
                <w:szCs w:val="16"/>
              </w:rPr>
            </w:pPr>
            <w:r>
              <w:rPr>
                <w:rFonts w:ascii="Arial"/>
                <w:w w:val="99"/>
                <w:sz w:val="16"/>
              </w:rPr>
              <w:t>g</w:t>
            </w:r>
            <w:r>
              <w:rPr>
                <w:rFonts w:ascii="Arial"/>
                <w:sz w:val="16"/>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17" w:right="0"/>
              <w:jc w:val="left"/>
              <w:rPr>
                <w:rFonts w:ascii="Arial" w:hAnsi="Arial" w:cs="Arial" w:eastAsia="Arial" w:hint="default"/>
                <w:sz w:val="16"/>
                <w:szCs w:val="16"/>
              </w:rPr>
            </w:pPr>
            <w:r>
              <w:rPr>
                <w:rFonts w:ascii="Arial"/>
                <w:sz w:val="16"/>
              </w:rPr>
              <w:t>14,049,174</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2" w:right="0"/>
              <w:jc w:val="left"/>
              <w:rPr>
                <w:rFonts w:ascii="Arial" w:hAnsi="Arial" w:cs="Arial" w:eastAsia="Arial" w:hint="default"/>
                <w:sz w:val="16"/>
                <w:szCs w:val="16"/>
              </w:rPr>
            </w:pPr>
            <w:r>
              <w:rPr>
                <w:rFonts w:ascii="Arial"/>
                <w:sz w:val="16"/>
              </w:rPr>
              <w:t>11,324,910</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0"/>
              <w:jc w:val="right"/>
              <w:rPr>
                <w:rFonts w:ascii="Arial" w:hAnsi="Arial" w:cs="Arial" w:eastAsia="Arial" w:hint="default"/>
                <w:sz w:val="16"/>
                <w:szCs w:val="16"/>
              </w:rPr>
            </w:pPr>
            <w:r>
              <w:rPr>
                <w:rFonts w:ascii="Arial"/>
                <w:w w:val="99"/>
                <w:sz w:val="16"/>
              </w:rPr>
              <w:t>-</w:t>
            </w:r>
            <w:r>
              <w:rPr>
                <w:rFonts w:ascii="Arial"/>
                <w:sz w:val="16"/>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4"/>
              <w:jc w:val="right"/>
              <w:rPr>
                <w:rFonts w:ascii="Arial" w:hAnsi="Arial" w:cs="Arial" w:eastAsia="Arial" w:hint="default"/>
                <w:sz w:val="16"/>
                <w:szCs w:val="16"/>
              </w:rPr>
            </w:pPr>
            <w:r>
              <w:rPr>
                <w:rFonts w:ascii="Arial"/>
                <w:w w:val="95"/>
                <w:sz w:val="16"/>
              </w:rPr>
              <w:t>25,374,084</w:t>
            </w:r>
            <w:r>
              <w:rPr>
                <w:rFonts w:ascii="Arial"/>
                <w:sz w:val="16"/>
              </w:rPr>
            </w:r>
          </w:p>
        </w:tc>
      </w:tr>
      <w:tr>
        <w:trPr>
          <w:trHeight w:val="208"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174" w:lineRule="exact"/>
              <w:ind w:left="14" w:right="0"/>
              <w:jc w:val="left"/>
              <w:rPr>
                <w:rFonts w:ascii="宋体" w:hAnsi="宋体" w:cs="宋体" w:eastAsia="宋体" w:hint="default"/>
                <w:sz w:val="16"/>
                <w:szCs w:val="16"/>
              </w:rPr>
            </w:pPr>
            <w:r>
              <w:rPr>
                <w:rFonts w:ascii="宋体" w:hAnsi="宋体" w:cs="宋体" w:eastAsia="宋体" w:hint="default"/>
                <w:sz w:val="16"/>
                <w:szCs w:val="16"/>
              </w:rPr>
              <w:t>子公司未分配利润转增资本的影响</w:t>
            </w:r>
          </w:p>
        </w:tc>
        <w:tc>
          <w:tcPr>
            <w:tcW w:w="42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2"/>
              <w:jc w:val="center"/>
              <w:rPr>
                <w:rFonts w:ascii="Arial" w:hAnsi="Arial" w:cs="Arial" w:eastAsia="Arial" w:hint="default"/>
                <w:sz w:val="16"/>
                <w:szCs w:val="16"/>
              </w:rPr>
            </w:pPr>
            <w:r>
              <w:rPr>
                <w:rFonts w:ascii="Arial"/>
                <w:w w:val="99"/>
                <w:sz w:val="16"/>
              </w:rPr>
              <w:t>h</w:t>
            </w:r>
            <w:r>
              <w:rPr>
                <w:rFonts w:ascii="Arial"/>
                <w:sz w:val="16"/>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5" w:right="0"/>
              <w:jc w:val="left"/>
              <w:rPr>
                <w:rFonts w:ascii="Arial" w:hAnsi="Arial" w:cs="Arial" w:eastAsia="Arial" w:hint="default"/>
                <w:sz w:val="16"/>
                <w:szCs w:val="16"/>
              </w:rPr>
            </w:pPr>
            <w:r>
              <w:rPr>
                <w:rFonts w:ascii="Arial"/>
                <w:sz w:val="16"/>
              </w:rPr>
              <w:t>10,414,323,266</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9"/>
              <w:jc w:val="right"/>
              <w:rPr>
                <w:rFonts w:ascii="Arial" w:hAnsi="Arial" w:cs="Arial" w:eastAsia="Arial" w:hint="default"/>
                <w:sz w:val="16"/>
                <w:szCs w:val="16"/>
              </w:rPr>
            </w:pPr>
            <w:r>
              <w:rPr>
                <w:rFonts w:ascii="Arial"/>
                <w:w w:val="99"/>
                <w:sz w:val="16"/>
              </w:rPr>
              <w:t>-</w:t>
            </w:r>
            <w:r>
              <w:rPr>
                <w:rFonts w:ascii="Arial"/>
                <w:sz w:val="16"/>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0"/>
              <w:jc w:val="right"/>
              <w:rPr>
                <w:rFonts w:ascii="Arial" w:hAnsi="Arial" w:cs="Arial" w:eastAsia="Arial" w:hint="default"/>
                <w:sz w:val="16"/>
                <w:szCs w:val="16"/>
              </w:rPr>
            </w:pPr>
            <w:r>
              <w:rPr>
                <w:rFonts w:ascii="Arial"/>
                <w:w w:val="99"/>
                <w:sz w:val="16"/>
              </w:rPr>
              <w:t>-</w:t>
            </w:r>
            <w:r>
              <w:rPr>
                <w:rFonts w:ascii="Arial"/>
                <w:sz w:val="16"/>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4"/>
              <w:jc w:val="right"/>
              <w:rPr>
                <w:rFonts w:ascii="Arial" w:hAnsi="Arial" w:cs="Arial" w:eastAsia="Arial" w:hint="default"/>
                <w:sz w:val="16"/>
                <w:szCs w:val="16"/>
              </w:rPr>
            </w:pPr>
            <w:r>
              <w:rPr>
                <w:rFonts w:ascii="Arial"/>
                <w:w w:val="95"/>
                <w:sz w:val="16"/>
              </w:rPr>
              <w:t>10,414,323,266</w:t>
            </w:r>
            <w:r>
              <w:rPr>
                <w:rFonts w:ascii="Arial"/>
                <w:sz w:val="16"/>
              </w:rPr>
            </w:r>
          </w:p>
        </w:tc>
      </w:tr>
      <w:tr>
        <w:trPr>
          <w:trHeight w:val="208"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174" w:lineRule="exact"/>
              <w:ind w:left="14" w:right="0"/>
              <w:jc w:val="left"/>
              <w:rPr>
                <w:rFonts w:ascii="宋体" w:hAnsi="宋体" w:cs="宋体" w:eastAsia="宋体" w:hint="default"/>
                <w:sz w:val="16"/>
                <w:szCs w:val="16"/>
              </w:rPr>
            </w:pPr>
            <w:r>
              <w:rPr>
                <w:rFonts w:ascii="宋体" w:hAnsi="宋体" w:cs="宋体" w:eastAsia="宋体" w:hint="default"/>
                <w:sz w:val="16"/>
                <w:szCs w:val="16"/>
              </w:rPr>
              <w:t>因所持子公司股份变化对资本公积的影响</w:t>
            </w:r>
          </w:p>
        </w:tc>
        <w:tc>
          <w:tcPr>
            <w:tcW w:w="42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2"/>
              <w:jc w:val="center"/>
              <w:rPr>
                <w:rFonts w:ascii="Arial" w:hAnsi="Arial" w:cs="Arial" w:eastAsia="Arial" w:hint="default"/>
                <w:sz w:val="16"/>
                <w:szCs w:val="16"/>
              </w:rPr>
            </w:pPr>
            <w:r>
              <w:rPr>
                <w:rFonts w:ascii="Arial"/>
                <w:w w:val="99"/>
                <w:sz w:val="16"/>
              </w:rPr>
              <w:t>i</w:t>
            </w:r>
            <w:r>
              <w:rPr>
                <w:rFonts w:ascii="Arial"/>
                <w:sz w:val="16"/>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42" w:right="0"/>
              <w:jc w:val="left"/>
              <w:rPr>
                <w:rFonts w:ascii="Arial" w:hAnsi="Arial" w:cs="Arial" w:eastAsia="Arial" w:hint="default"/>
                <w:sz w:val="16"/>
                <w:szCs w:val="16"/>
              </w:rPr>
            </w:pPr>
            <w:r>
              <w:rPr>
                <w:rFonts w:ascii="Arial"/>
                <w:sz w:val="16"/>
              </w:rPr>
              <w:t>(5,496,357,343)</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9"/>
              <w:jc w:val="right"/>
              <w:rPr>
                <w:rFonts w:ascii="Arial" w:hAnsi="Arial" w:cs="Arial" w:eastAsia="Arial" w:hint="default"/>
                <w:sz w:val="16"/>
                <w:szCs w:val="16"/>
              </w:rPr>
            </w:pPr>
            <w:r>
              <w:rPr>
                <w:rFonts w:ascii="Arial"/>
                <w:w w:val="99"/>
                <w:sz w:val="16"/>
              </w:rPr>
              <w:t>-</w:t>
            </w:r>
            <w:r>
              <w:rPr>
                <w:rFonts w:ascii="Arial"/>
                <w:sz w:val="16"/>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0"/>
              <w:jc w:val="right"/>
              <w:rPr>
                <w:rFonts w:ascii="Arial" w:hAnsi="Arial" w:cs="Arial" w:eastAsia="Arial" w:hint="default"/>
                <w:sz w:val="16"/>
                <w:szCs w:val="16"/>
              </w:rPr>
            </w:pPr>
            <w:r>
              <w:rPr>
                <w:rFonts w:ascii="Arial"/>
                <w:w w:val="95"/>
                <w:sz w:val="16"/>
              </w:rPr>
              <w:t>(8,154,317)</w:t>
            </w:r>
            <w:r>
              <w:rPr>
                <w:rFonts w:ascii="Arial"/>
                <w:sz w:val="16"/>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0"/>
              <w:jc w:val="right"/>
              <w:rPr>
                <w:rFonts w:ascii="Arial" w:hAnsi="Arial" w:cs="Arial" w:eastAsia="Arial" w:hint="default"/>
                <w:sz w:val="16"/>
                <w:szCs w:val="16"/>
              </w:rPr>
            </w:pPr>
            <w:r>
              <w:rPr>
                <w:rFonts w:ascii="Arial"/>
                <w:w w:val="95"/>
                <w:sz w:val="16"/>
              </w:rPr>
              <w:t>(5,504,511,660)</w:t>
            </w:r>
            <w:r>
              <w:rPr>
                <w:rFonts w:ascii="Arial"/>
                <w:sz w:val="16"/>
              </w:rPr>
            </w:r>
          </w:p>
        </w:tc>
      </w:tr>
      <w:tr>
        <w:trPr>
          <w:trHeight w:val="208"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174" w:lineRule="exact"/>
              <w:ind w:left="14" w:right="0"/>
              <w:jc w:val="left"/>
              <w:rPr>
                <w:rFonts w:ascii="宋体" w:hAnsi="宋体" w:cs="宋体" w:eastAsia="宋体" w:hint="default"/>
                <w:sz w:val="16"/>
                <w:szCs w:val="16"/>
              </w:rPr>
            </w:pPr>
            <w:r>
              <w:rPr>
                <w:rFonts w:ascii="宋体" w:hAnsi="宋体" w:cs="宋体" w:eastAsia="宋体" w:hint="default"/>
                <w:sz w:val="16"/>
                <w:szCs w:val="16"/>
              </w:rPr>
              <w:t>子公司发行可转换债券的影响</w:t>
            </w:r>
          </w:p>
        </w:tc>
        <w:tc>
          <w:tcPr>
            <w:tcW w:w="42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2"/>
              <w:jc w:val="center"/>
              <w:rPr>
                <w:rFonts w:ascii="Arial" w:hAnsi="Arial" w:cs="Arial" w:eastAsia="Arial" w:hint="default"/>
                <w:sz w:val="16"/>
                <w:szCs w:val="16"/>
              </w:rPr>
            </w:pPr>
            <w:r>
              <w:rPr>
                <w:rFonts w:ascii="Arial"/>
                <w:w w:val="99"/>
                <w:sz w:val="16"/>
              </w:rPr>
              <w:t>j</w:t>
            </w:r>
            <w:r>
              <w:rPr>
                <w:rFonts w:ascii="Arial"/>
                <w:sz w:val="16"/>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94" w:right="0"/>
              <w:jc w:val="left"/>
              <w:rPr>
                <w:rFonts w:ascii="Arial" w:hAnsi="Arial" w:cs="Arial" w:eastAsia="Arial" w:hint="default"/>
                <w:sz w:val="16"/>
                <w:szCs w:val="16"/>
              </w:rPr>
            </w:pPr>
            <w:r>
              <w:rPr>
                <w:rFonts w:ascii="Arial"/>
                <w:sz w:val="16"/>
              </w:rPr>
              <w:t>3,310,271,931</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9"/>
              <w:jc w:val="right"/>
              <w:rPr>
                <w:rFonts w:ascii="Arial" w:hAnsi="Arial" w:cs="Arial" w:eastAsia="Arial" w:hint="default"/>
                <w:sz w:val="16"/>
                <w:szCs w:val="16"/>
              </w:rPr>
            </w:pPr>
            <w:r>
              <w:rPr>
                <w:rFonts w:ascii="Arial"/>
                <w:w w:val="99"/>
                <w:sz w:val="16"/>
              </w:rPr>
              <w:t>-</w:t>
            </w:r>
            <w:r>
              <w:rPr>
                <w:rFonts w:ascii="Arial"/>
                <w:sz w:val="16"/>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0"/>
              <w:jc w:val="right"/>
              <w:rPr>
                <w:rFonts w:ascii="Arial" w:hAnsi="Arial" w:cs="Arial" w:eastAsia="Arial" w:hint="default"/>
                <w:sz w:val="16"/>
                <w:szCs w:val="16"/>
              </w:rPr>
            </w:pPr>
            <w:r>
              <w:rPr>
                <w:rFonts w:ascii="Arial"/>
                <w:w w:val="99"/>
                <w:sz w:val="16"/>
              </w:rPr>
              <w:t>-</w:t>
            </w:r>
            <w:r>
              <w:rPr>
                <w:rFonts w:ascii="Arial"/>
                <w:sz w:val="16"/>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5"/>
              <w:jc w:val="right"/>
              <w:rPr>
                <w:rFonts w:ascii="Arial" w:hAnsi="Arial" w:cs="Arial" w:eastAsia="Arial" w:hint="default"/>
                <w:sz w:val="16"/>
                <w:szCs w:val="16"/>
              </w:rPr>
            </w:pPr>
            <w:r>
              <w:rPr>
                <w:rFonts w:ascii="Arial"/>
                <w:w w:val="95"/>
                <w:sz w:val="16"/>
              </w:rPr>
              <w:t>3,310,271,931</w:t>
            </w:r>
            <w:r>
              <w:rPr>
                <w:rFonts w:ascii="Arial"/>
                <w:sz w:val="16"/>
              </w:rPr>
            </w:r>
          </w:p>
        </w:tc>
      </w:tr>
      <w:tr>
        <w:trPr>
          <w:trHeight w:val="208"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174" w:lineRule="exact"/>
              <w:ind w:left="14" w:right="0"/>
              <w:jc w:val="left"/>
              <w:rPr>
                <w:rFonts w:ascii="宋体" w:hAnsi="宋体" w:cs="宋体" w:eastAsia="宋体" w:hint="default"/>
                <w:sz w:val="16"/>
                <w:szCs w:val="16"/>
              </w:rPr>
            </w:pPr>
            <w:r>
              <w:rPr>
                <w:rFonts w:ascii="宋体" w:hAnsi="宋体" w:cs="宋体" w:eastAsia="宋体" w:hint="default"/>
                <w:sz w:val="16"/>
                <w:szCs w:val="16"/>
              </w:rPr>
              <w:t>同一控制下收购贵州业务的影响</w:t>
            </w:r>
          </w:p>
        </w:tc>
        <w:tc>
          <w:tcPr>
            <w:tcW w:w="42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4"/>
              <w:jc w:val="center"/>
              <w:rPr>
                <w:rFonts w:ascii="Arial" w:hAnsi="Arial" w:cs="Arial" w:eastAsia="Arial" w:hint="default"/>
                <w:sz w:val="16"/>
                <w:szCs w:val="16"/>
              </w:rPr>
            </w:pPr>
            <w:r>
              <w:rPr>
                <w:rFonts w:ascii="Arial"/>
                <w:w w:val="99"/>
                <w:sz w:val="16"/>
              </w:rPr>
              <w:t>k</w:t>
            </w:r>
            <w:r>
              <w:rPr>
                <w:rFonts w:ascii="Arial"/>
                <w:sz w:val="16"/>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76" w:right="0"/>
              <w:jc w:val="left"/>
              <w:rPr>
                <w:rFonts w:ascii="Arial" w:hAnsi="Arial" w:cs="Arial" w:eastAsia="Arial" w:hint="default"/>
                <w:sz w:val="16"/>
                <w:szCs w:val="16"/>
              </w:rPr>
            </w:pPr>
            <w:r>
              <w:rPr>
                <w:rFonts w:ascii="Arial"/>
                <w:sz w:val="16"/>
              </w:rPr>
              <w:t>(248,154,771)</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9"/>
              <w:jc w:val="right"/>
              <w:rPr>
                <w:rFonts w:ascii="Arial" w:hAnsi="Arial" w:cs="Arial" w:eastAsia="Arial" w:hint="default"/>
                <w:sz w:val="16"/>
                <w:szCs w:val="16"/>
              </w:rPr>
            </w:pPr>
            <w:r>
              <w:rPr>
                <w:rFonts w:ascii="Arial"/>
                <w:w w:val="99"/>
                <w:sz w:val="16"/>
              </w:rPr>
              <w:t>-</w:t>
            </w:r>
            <w:r>
              <w:rPr>
                <w:rFonts w:ascii="Arial"/>
                <w:sz w:val="16"/>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0"/>
              <w:jc w:val="right"/>
              <w:rPr>
                <w:rFonts w:ascii="Arial" w:hAnsi="Arial" w:cs="Arial" w:eastAsia="Arial" w:hint="default"/>
                <w:sz w:val="16"/>
                <w:szCs w:val="16"/>
              </w:rPr>
            </w:pPr>
            <w:r>
              <w:rPr>
                <w:rFonts w:ascii="Arial"/>
                <w:w w:val="99"/>
                <w:sz w:val="16"/>
              </w:rPr>
              <w:t>-</w:t>
            </w:r>
            <w:r>
              <w:rPr>
                <w:rFonts w:ascii="Arial"/>
                <w:sz w:val="16"/>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0"/>
              <w:jc w:val="right"/>
              <w:rPr>
                <w:rFonts w:ascii="Arial" w:hAnsi="Arial" w:cs="Arial" w:eastAsia="Arial" w:hint="default"/>
                <w:sz w:val="16"/>
                <w:szCs w:val="16"/>
              </w:rPr>
            </w:pPr>
            <w:r>
              <w:rPr>
                <w:rFonts w:ascii="Arial"/>
                <w:w w:val="95"/>
                <w:sz w:val="16"/>
              </w:rPr>
              <w:t>(248,154,771)</w:t>
            </w:r>
            <w:r>
              <w:rPr>
                <w:rFonts w:ascii="Arial"/>
                <w:sz w:val="16"/>
              </w:rPr>
            </w:r>
          </w:p>
        </w:tc>
      </w:tr>
      <w:tr>
        <w:trPr>
          <w:trHeight w:val="207"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174" w:lineRule="exact"/>
              <w:ind w:left="14" w:right="0"/>
              <w:jc w:val="left"/>
              <w:rPr>
                <w:rFonts w:ascii="宋体" w:hAnsi="宋体" w:cs="宋体" w:eastAsia="宋体" w:hint="default"/>
                <w:sz w:val="16"/>
                <w:szCs w:val="16"/>
              </w:rPr>
            </w:pPr>
            <w:r>
              <w:rPr>
                <w:rFonts w:ascii="宋体" w:hAnsi="宋体" w:cs="宋体" w:eastAsia="宋体" w:hint="default"/>
                <w:sz w:val="16"/>
                <w:szCs w:val="16"/>
              </w:rPr>
              <w:t>同一控制下收购联通新时讯的影响</w:t>
            </w:r>
          </w:p>
        </w:tc>
        <w:tc>
          <w:tcPr>
            <w:tcW w:w="4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2"/>
              <w:jc w:val="center"/>
              <w:rPr>
                <w:rFonts w:ascii="Arial" w:hAnsi="Arial" w:cs="Arial" w:eastAsia="Arial" w:hint="default"/>
                <w:sz w:val="16"/>
                <w:szCs w:val="16"/>
              </w:rPr>
            </w:pPr>
            <w:r>
              <w:rPr>
                <w:rFonts w:ascii="Arial"/>
                <w:w w:val="99"/>
                <w:sz w:val="16"/>
              </w:rPr>
              <w:t>l</w:t>
            </w:r>
            <w:r>
              <w:rPr>
                <w:rFonts w:ascii="Arial"/>
                <w:sz w:val="16"/>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17" w:right="0"/>
              <w:jc w:val="left"/>
              <w:rPr>
                <w:rFonts w:ascii="Arial" w:hAnsi="Arial" w:cs="Arial" w:eastAsia="Arial" w:hint="default"/>
                <w:sz w:val="16"/>
                <w:szCs w:val="16"/>
              </w:rPr>
            </w:pPr>
            <w:r>
              <w:rPr>
                <w:rFonts w:ascii="Arial"/>
                <w:sz w:val="16"/>
              </w:rPr>
              <w:t>40,926,482</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9"/>
              <w:jc w:val="right"/>
              <w:rPr>
                <w:rFonts w:ascii="Arial" w:hAnsi="Arial" w:cs="Arial" w:eastAsia="Arial" w:hint="default"/>
                <w:sz w:val="16"/>
                <w:szCs w:val="16"/>
              </w:rPr>
            </w:pPr>
            <w:r>
              <w:rPr>
                <w:rFonts w:ascii="Arial"/>
                <w:w w:val="99"/>
                <w:sz w:val="16"/>
              </w:rPr>
              <w:t>-</w:t>
            </w:r>
            <w:r>
              <w:rPr>
                <w:rFonts w:ascii="Arial"/>
                <w:sz w:val="16"/>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Arial" w:hAnsi="Arial" w:cs="Arial" w:eastAsia="Arial" w:hint="default"/>
                <w:sz w:val="16"/>
                <w:szCs w:val="16"/>
              </w:rPr>
            </w:pPr>
            <w:r>
              <w:rPr>
                <w:rFonts w:ascii="Arial"/>
                <w:w w:val="95"/>
                <w:sz w:val="16"/>
              </w:rPr>
              <w:t>(40,926,482)</w:t>
            </w:r>
            <w:r>
              <w:rPr>
                <w:rFonts w:ascii="Arial"/>
                <w:sz w:val="16"/>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3"/>
              <w:jc w:val="right"/>
              <w:rPr>
                <w:rFonts w:ascii="Arial" w:hAnsi="Arial" w:cs="Arial" w:eastAsia="Arial" w:hint="default"/>
                <w:sz w:val="16"/>
                <w:szCs w:val="16"/>
              </w:rPr>
            </w:pPr>
            <w:r>
              <w:rPr>
                <w:rFonts w:ascii="Arial"/>
                <w:w w:val="99"/>
                <w:sz w:val="16"/>
              </w:rPr>
              <w:t>-</w:t>
            </w:r>
            <w:r>
              <w:rPr>
                <w:rFonts w:ascii="Arial"/>
                <w:sz w:val="16"/>
              </w:rPr>
            </w:r>
          </w:p>
        </w:tc>
      </w:tr>
      <w:tr>
        <w:trPr>
          <w:trHeight w:val="207"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174" w:lineRule="exact"/>
              <w:ind w:left="14"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428"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Style w:val="TableParagraph"/>
              <w:tabs>
                <w:tab w:pos="417" w:val="left" w:leader="none"/>
                <w:tab w:pos="2402" w:val="left" w:leader="none"/>
              </w:tabs>
              <w:spacing w:line="240" w:lineRule="auto" w:before="12"/>
              <w:ind w:right="-94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33,873,261 </w:t>
            </w:r>
            <w:r>
              <w:rPr>
                <w:rFonts w:ascii="Arial"/>
                <w:spacing w:val="-6"/>
                <w:sz w:val="16"/>
                <w:u w:val="single" w:color="000000"/>
              </w:rPr>
              <w:t> </w:t>
            </w:r>
            <w:r>
              <w:rPr>
                <w:rFonts w:ascii="Arial"/>
                <w:spacing w:val="-6"/>
                <w:sz w:val="16"/>
              </w:rPr>
            </w:r>
            <w:r>
              <w:rPr>
                <w:rFonts w:ascii="Arial"/>
                <w:spacing w:val="9"/>
                <w:sz w:val="16"/>
              </w:rPr>
              <w:t> </w:t>
            </w:r>
            <w:r>
              <w:rPr>
                <w:rFonts w:ascii="Arial"/>
                <w:spacing w:val="9"/>
                <w:w w:val="99"/>
                <w:sz w:val="16"/>
              </w:rPr>
            </w:r>
            <w:r>
              <w:rPr>
                <w:rFonts w:ascii="Arial"/>
                <w:w w:val="99"/>
                <w:sz w:val="16"/>
                <w:u w:val="single" w:color="000000"/>
              </w:rPr>
              <w:t> </w:t>
            </w:r>
            <w:r>
              <w:rPr>
                <w:rFonts w:ascii="Arial"/>
                <w:sz w:val="16"/>
                <w:u w:val="single" w:color="000000"/>
              </w:rPr>
              <w:tab/>
            </w:r>
            <w:r>
              <w:rPr>
                <w:rFonts w:ascii="Arial"/>
                <w:sz w:val="16"/>
              </w:rPr>
            </w:r>
          </w:p>
        </w:tc>
        <w:tc>
          <w:tcPr>
            <w:tcW w:w="1144" w:type="dxa"/>
            <w:tcBorders>
              <w:top w:val="nil" w:sz="6" w:space="0" w:color="auto"/>
              <w:left w:val="nil" w:sz="6" w:space="0" w:color="auto"/>
              <w:bottom w:val="nil" w:sz="6" w:space="0" w:color="auto"/>
              <w:right w:val="nil" w:sz="6" w:space="0" w:color="auto"/>
            </w:tcBorders>
          </w:tcPr>
          <w:p>
            <w:pPr>
              <w:pStyle w:val="TableParagraph"/>
              <w:tabs>
                <w:tab w:pos="133" w:val="left" w:leader="none"/>
              </w:tabs>
              <w:spacing w:line="240" w:lineRule="auto" w:before="12"/>
              <w:ind w:right="68"/>
              <w:jc w:val="right"/>
              <w:rPr>
                <w:rFonts w:ascii="Arial" w:hAnsi="Arial" w:cs="Arial" w:eastAsia="Arial" w:hint="default"/>
                <w:sz w:val="16"/>
                <w:szCs w:val="16"/>
              </w:rPr>
            </w:pPr>
            <w:r>
              <w:rPr>
                <w:rFonts w:ascii="Arial"/>
                <w:w w:val="99"/>
                <w:sz w:val="16"/>
              </w:rPr>
            </w:r>
            <w:r>
              <w:rPr>
                <w:rFonts w:ascii="Arial"/>
                <w:w w:val="95"/>
                <w:sz w:val="16"/>
                <w:u w:val="single" w:color="000000"/>
              </w:rPr>
              <w:t>-</w:t>
            </w:r>
            <w:r>
              <w:rPr>
                <w:rFonts w:ascii="Arial"/>
                <w:sz w:val="16"/>
                <w:u w:val="single" w:color="000000"/>
              </w:rPr>
              <w:tab/>
            </w:r>
            <w:r>
              <w:rPr>
                <w:rFonts w:ascii="Arial"/>
                <w:sz w:val="16"/>
              </w:rPr>
            </w:r>
          </w:p>
        </w:tc>
        <w:tc>
          <w:tcPr>
            <w:tcW w:w="1219" w:type="dxa"/>
            <w:tcBorders>
              <w:top w:val="nil" w:sz="6" w:space="0" w:color="auto"/>
              <w:left w:val="nil" w:sz="6" w:space="0" w:color="auto"/>
              <w:bottom w:val="nil" w:sz="6" w:space="0" w:color="auto"/>
              <w:right w:val="nil" w:sz="6" w:space="0" w:color="auto"/>
            </w:tcBorders>
          </w:tcPr>
          <w:p>
            <w:pPr>
              <w:pStyle w:val="TableParagraph"/>
              <w:tabs>
                <w:tab w:pos="1073" w:val="left" w:leader="none"/>
              </w:tabs>
              <w:spacing w:line="240" w:lineRule="auto" w:before="12"/>
              <w:ind w:left="-17" w:right="46"/>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sz w:val="16"/>
                <w:u w:val="single" w:color="000000"/>
              </w:rPr>
              <w:tab/>
            </w:r>
            <w:r>
              <w:rPr>
                <w:rFonts w:ascii="Arial"/>
                <w:sz w:val="16"/>
              </w:rPr>
            </w:r>
          </w:p>
        </w:tc>
        <w:tc>
          <w:tcPr>
            <w:tcW w:w="1294"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104"/>
              <w:jc w:val="right"/>
              <w:rPr>
                <w:rFonts w:ascii="Arial" w:hAnsi="Arial" w:cs="Arial" w:eastAsia="Arial" w:hint="default"/>
                <w:sz w:val="16"/>
                <w:szCs w:val="16"/>
              </w:rPr>
            </w:pPr>
            <w:r>
              <w:rPr>
                <w:rFonts w:ascii="Arial"/>
                <w:w w:val="95"/>
                <w:sz w:val="16"/>
              </w:rPr>
              <w:t>33,873,261</w:t>
            </w:r>
            <w:r>
              <w:rPr>
                <w:rFonts w:ascii="Arial"/>
                <w:sz w:val="16"/>
              </w:rPr>
            </w:r>
          </w:p>
        </w:tc>
      </w:tr>
      <w:tr>
        <w:trPr>
          <w:trHeight w:val="420" w:hRule="exact"/>
        </w:trPr>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428"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single" w:sz="17"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Arial" w:hAnsi="Arial" w:cs="Arial" w:eastAsia="Arial" w:hint="default"/>
                <w:sz w:val="16"/>
                <w:szCs w:val="16"/>
              </w:rPr>
            </w:pPr>
            <w:r>
              <w:rPr>
                <w:rFonts w:ascii="Arial"/>
                <w:sz w:val="16"/>
              </w:rPr>
              <w:t>27,859,867,254</w:t>
            </w:r>
          </w:p>
        </w:tc>
        <w:tc>
          <w:tcPr>
            <w:tcW w:w="1144" w:type="dxa"/>
            <w:tcBorders>
              <w:top w:val="nil" w:sz="6" w:space="0" w:color="auto"/>
              <w:left w:val="nil" w:sz="6" w:space="0" w:color="auto"/>
              <w:bottom w:val="single" w:sz="17"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2" w:right="0"/>
              <w:jc w:val="left"/>
              <w:rPr>
                <w:rFonts w:ascii="Arial" w:hAnsi="Arial" w:cs="Arial" w:eastAsia="Arial" w:hint="default"/>
                <w:sz w:val="16"/>
                <w:szCs w:val="16"/>
              </w:rPr>
            </w:pPr>
            <w:r>
              <w:rPr>
                <w:rFonts w:ascii="Arial"/>
                <w:sz w:val="16"/>
              </w:rPr>
              <w:t>17,205,928</w:t>
            </w:r>
          </w:p>
        </w:tc>
        <w:tc>
          <w:tcPr>
            <w:tcW w:w="1219" w:type="dxa"/>
            <w:tcBorders>
              <w:top w:val="nil" w:sz="6" w:space="0" w:color="auto"/>
              <w:left w:val="nil" w:sz="6" w:space="0" w:color="auto"/>
              <w:bottom w:val="single" w:sz="17"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70"/>
              <w:jc w:val="right"/>
              <w:rPr>
                <w:rFonts w:ascii="Arial" w:hAnsi="Arial" w:cs="Arial" w:eastAsia="Arial" w:hint="default"/>
                <w:sz w:val="16"/>
                <w:szCs w:val="16"/>
              </w:rPr>
            </w:pPr>
            <w:r>
              <w:rPr>
                <w:rFonts w:ascii="Arial"/>
                <w:w w:val="95"/>
                <w:sz w:val="16"/>
              </w:rPr>
              <w:t>(717,629,497)</w:t>
            </w:r>
            <w:r>
              <w:rPr>
                <w:rFonts w:ascii="Arial"/>
                <w:sz w:val="16"/>
              </w:rPr>
            </w:r>
          </w:p>
        </w:tc>
        <w:tc>
          <w:tcPr>
            <w:tcW w:w="1294" w:type="dxa"/>
            <w:tcBorders>
              <w:top w:val="single" w:sz="6"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6"/>
                <w:szCs w:val="16"/>
              </w:rPr>
            </w:pPr>
            <w:r>
              <w:rPr>
                <w:rFonts w:ascii="Arial"/>
                <w:w w:val="95"/>
                <w:sz w:val="16"/>
              </w:rPr>
              <w:t>27,159,443,685</w:t>
            </w:r>
            <w:r>
              <w:rPr>
                <w:rFonts w:ascii="Arial"/>
                <w:sz w:val="16"/>
              </w:rPr>
            </w:r>
          </w:p>
        </w:tc>
      </w:tr>
    </w:tbl>
    <w:p>
      <w:pPr>
        <w:spacing w:line="240" w:lineRule="auto" w:before="5"/>
        <w:rPr>
          <w:rFonts w:ascii="宋体" w:hAnsi="宋体" w:cs="宋体" w:eastAsia="宋体" w:hint="default"/>
          <w:sz w:val="28"/>
          <w:szCs w:val="28"/>
        </w:rPr>
      </w:pPr>
    </w:p>
    <w:p>
      <w:pPr>
        <w:pStyle w:val="BodyText"/>
        <w:spacing w:line="286" w:lineRule="exact" w:before="60"/>
        <w:ind w:left="1011" w:right="127" w:hanging="462"/>
        <w:jc w:val="both"/>
      </w:pPr>
      <w:r>
        <w:rPr>
          <w:rFonts w:ascii="Arial" w:hAnsi="Arial" w:cs="Arial" w:eastAsia="Arial" w:hint="default"/>
        </w:rPr>
        <w:t>(a) </w:t>
      </w:r>
      <w:r>
        <w:rPr>
          <w:spacing w:val="-3"/>
        </w:rPr>
        <w:t>本公司成立之初发起人各方实际出资额超过其按《公司章程》规定的</w:t>
      </w:r>
      <w:r>
        <w:rPr>
          <w:spacing w:val="-36"/>
        </w:rPr>
        <w:t> </w:t>
      </w:r>
      <w:r>
        <w:rPr>
          <w:rFonts w:ascii="Arial" w:hAnsi="Arial" w:cs="Arial" w:eastAsia="Arial" w:hint="default"/>
        </w:rPr>
        <w:t>65%</w:t>
      </w:r>
      <w:r>
        <w:rPr/>
        <w:t>折股比例计算之</w:t>
      </w:r>
      <w:r>
        <w:rPr>
          <w:w w:val="99"/>
        </w:rPr>
        <w:t> </w:t>
      </w:r>
      <w:r>
        <w:rPr/>
        <w:t>实缴注册资本的差额，以及于</w:t>
      </w:r>
      <w:r>
        <w:rPr>
          <w:spacing w:val="-42"/>
        </w:rPr>
        <w:t> </w:t>
      </w:r>
      <w:r>
        <w:rPr>
          <w:rFonts w:ascii="Arial" w:hAnsi="Arial" w:cs="Arial" w:eastAsia="Arial" w:hint="default"/>
        </w:rPr>
        <w:t>2002</w:t>
      </w:r>
      <w:r>
        <w:rPr>
          <w:rFonts w:ascii="Arial" w:hAnsi="Arial" w:cs="Arial" w:eastAsia="Arial" w:hint="default"/>
          <w:spacing w:val="8"/>
        </w:rPr>
        <w:t> </w:t>
      </w:r>
      <w:r>
        <w:rPr/>
        <w:t>年因发行境内上市的人民币普通股和于</w:t>
      </w:r>
      <w:r>
        <w:rPr>
          <w:spacing w:val="-40"/>
        </w:rPr>
        <w:t> </w:t>
      </w:r>
      <w:r>
        <w:rPr>
          <w:rFonts w:ascii="Arial" w:hAnsi="Arial" w:cs="Arial" w:eastAsia="Arial" w:hint="default"/>
        </w:rPr>
        <w:t>2004</w:t>
      </w:r>
      <w:r>
        <w:rPr>
          <w:rFonts w:ascii="Arial" w:hAnsi="Arial" w:cs="Arial" w:eastAsia="Arial" w:hint="default"/>
          <w:spacing w:val="8"/>
        </w:rPr>
        <w:t> </w:t>
      </w:r>
      <w:r>
        <w:rPr/>
        <w:t>年</w:t>
      </w:r>
      <w:r>
        <w:rPr>
          <w:spacing w:val="-42"/>
        </w:rPr>
        <w:t> </w:t>
      </w:r>
      <w:r>
        <w:rPr>
          <w:rFonts w:ascii="Arial" w:hAnsi="Arial" w:cs="Arial" w:eastAsia="Arial" w:hint="default"/>
        </w:rPr>
        <w:t>7</w:t>
      </w:r>
      <w:r>
        <w:rPr>
          <w:rFonts w:ascii="Arial" w:hAnsi="Arial" w:cs="Arial" w:eastAsia="Arial" w:hint="default"/>
          <w:spacing w:val="7"/>
        </w:rPr>
        <w:t> </w:t>
      </w:r>
      <w:r>
        <w:rPr/>
        <w:t>月</w:t>
      </w:r>
      <w:r>
        <w:rPr>
          <w:w w:val="99"/>
        </w:rPr>
        <w:t> </w:t>
      </w:r>
      <w:r>
        <w:rPr/>
        <w:t>配售人民币普通股的溢价被记录于资本公积。</w:t>
      </w:r>
    </w:p>
    <w:p>
      <w:pPr>
        <w:spacing w:line="240" w:lineRule="auto" w:before="9"/>
        <w:rPr>
          <w:rFonts w:ascii="宋体" w:hAnsi="宋体" w:cs="宋体" w:eastAsia="宋体" w:hint="default"/>
          <w:sz w:val="17"/>
          <w:szCs w:val="17"/>
        </w:rPr>
      </w:pPr>
    </w:p>
    <w:p>
      <w:pPr>
        <w:pStyle w:val="BodyText"/>
        <w:spacing w:line="232" w:lineRule="auto"/>
        <w:ind w:left="1011" w:right="127" w:hanging="462"/>
        <w:jc w:val="both"/>
      </w:pPr>
      <w:r>
        <w:rPr>
          <w:rFonts w:ascii="Arial" w:hAnsi="Arial" w:cs="Arial" w:eastAsia="Arial" w:hint="default"/>
        </w:rPr>
        <w:t>(b)</w:t>
      </w:r>
      <w:r>
        <w:rPr>
          <w:rFonts w:ascii="Arial" w:hAnsi="Arial" w:cs="Arial" w:eastAsia="Arial" w:hint="default"/>
          <w:spacing w:val="3"/>
        </w:rPr>
        <w:t> </w:t>
      </w:r>
      <w:r>
        <w:rPr/>
        <w:t>于</w:t>
      </w:r>
      <w:r>
        <w:rPr>
          <w:spacing w:val="-49"/>
        </w:rPr>
        <w:t> </w:t>
      </w:r>
      <w:r>
        <w:rPr>
          <w:rFonts w:ascii="Arial" w:hAnsi="Arial" w:cs="Arial" w:eastAsia="Arial" w:hint="default"/>
        </w:rPr>
        <w:t>2009</w:t>
      </w:r>
      <w:r>
        <w:rPr>
          <w:rFonts w:ascii="Arial" w:hAnsi="Arial" w:cs="Arial" w:eastAsia="Arial" w:hint="default"/>
          <w:spacing w:val="-1"/>
        </w:rPr>
        <w:t> </w:t>
      </w:r>
      <w:r>
        <w:rPr/>
        <w:t>年</w:t>
      </w:r>
      <w:r>
        <w:rPr>
          <w:spacing w:val="-49"/>
        </w:rPr>
        <w:t> </w:t>
      </w:r>
      <w:r>
        <w:rPr>
          <w:rFonts w:ascii="Arial" w:hAnsi="Arial" w:cs="Arial" w:eastAsia="Arial" w:hint="default"/>
        </w:rPr>
        <w:t>1</w:t>
      </w:r>
      <w:r>
        <w:rPr>
          <w:rFonts w:ascii="Arial" w:hAnsi="Arial" w:cs="Arial" w:eastAsia="Arial" w:hint="default"/>
          <w:spacing w:val="-1"/>
        </w:rPr>
        <w:t> </w:t>
      </w:r>
      <w:r>
        <w:rPr/>
        <w:t>月，联通运营公司根据转让协议完成了向联通集团和网通集团收购相关电信</w:t>
      </w:r>
      <w:r>
        <w:rPr>
          <w:w w:val="99"/>
        </w:rPr>
        <w:t> </w:t>
      </w:r>
      <w:r>
        <w:rPr>
          <w:w w:val="95"/>
        </w:rPr>
        <w:t>业务和资产的交易。本公司根据持股比例计算了在同一控制下该等收购对归属于本集团母</w:t>
      </w:r>
      <w:r>
        <w:rPr>
          <w:w w:val="99"/>
        </w:rPr>
        <w:t> </w:t>
      </w:r>
      <w:r>
        <w:rPr/>
        <w:t>公司普通股股东资本公积的影响。</w:t>
      </w:r>
    </w:p>
    <w:p>
      <w:pPr>
        <w:spacing w:line="240" w:lineRule="auto" w:before="4"/>
        <w:rPr>
          <w:rFonts w:ascii="宋体" w:hAnsi="宋体" w:cs="宋体" w:eastAsia="宋体" w:hint="default"/>
          <w:sz w:val="21"/>
          <w:szCs w:val="21"/>
        </w:rPr>
      </w:pPr>
    </w:p>
    <w:p>
      <w:pPr>
        <w:pStyle w:val="BodyText"/>
        <w:spacing w:line="286" w:lineRule="exact"/>
        <w:ind w:left="1011" w:right="127" w:hanging="462"/>
        <w:jc w:val="both"/>
      </w:pPr>
      <w:r>
        <w:rPr>
          <w:rFonts w:ascii="Arial" w:hAnsi="Arial" w:cs="Arial" w:eastAsia="Arial" w:hint="default"/>
        </w:rPr>
        <w:t>(c)</w:t>
      </w:r>
      <w:r>
        <w:rPr>
          <w:rFonts w:ascii="Arial" w:hAnsi="Arial" w:cs="Arial" w:eastAsia="Arial" w:hint="default"/>
          <w:spacing w:val="12"/>
        </w:rPr>
        <w:t> </w:t>
      </w:r>
      <w:r>
        <w:rPr/>
        <w:t>如附注五</w:t>
      </w:r>
      <w:r>
        <w:rPr>
          <w:rFonts w:ascii="Arial" w:hAnsi="Arial" w:cs="Arial" w:eastAsia="Arial" w:hint="default"/>
        </w:rPr>
        <w:t>(8)</w:t>
      </w:r>
      <w:r>
        <w:rPr/>
        <w:t>所述，本公司所属子公司持有的可供出售金融资产产生的公允价值变动被计入</w:t>
      </w:r>
      <w:r>
        <w:rPr>
          <w:w w:val="99"/>
        </w:rPr>
        <w:t> </w:t>
      </w:r>
      <w:r>
        <w:rPr/>
        <w:t>资本公积项下。根据本公司的持股比例，于 </w:t>
      </w:r>
      <w:r>
        <w:rPr>
          <w:rFonts w:ascii="Arial" w:hAnsi="Arial" w:cs="Arial" w:eastAsia="Arial" w:hint="default"/>
        </w:rPr>
        <w:t>2012</w:t>
      </w:r>
      <w:r>
        <w:rPr>
          <w:rFonts w:ascii="Arial" w:hAnsi="Arial" w:cs="Arial" w:eastAsia="Arial" w:hint="default"/>
          <w:spacing w:val="-25"/>
        </w:rPr>
        <w:t> </w:t>
      </w:r>
      <w:r>
        <w:rPr/>
        <w:t>年度，该可供出售金融资产公允价值变</w:t>
      </w:r>
      <w:r>
        <w:rPr>
          <w:w w:val="99"/>
        </w:rPr>
        <w:t> </w:t>
      </w:r>
      <w:r>
        <w:rPr/>
        <w:t>动减少归属于本集团母公司普通股股东资本公积约人民币</w:t>
      </w:r>
      <w:r>
        <w:rPr>
          <w:spacing w:val="-57"/>
        </w:rPr>
        <w:t> </w:t>
      </w:r>
      <w:r>
        <w:rPr>
          <w:rFonts w:ascii="Arial" w:hAnsi="Arial" w:cs="Arial" w:eastAsia="Arial" w:hint="default"/>
        </w:rPr>
        <w:t>3.89</w:t>
      </w:r>
      <w:r>
        <w:rPr>
          <w:rFonts w:ascii="Arial" w:hAnsi="Arial" w:cs="Arial" w:eastAsia="Arial" w:hint="default"/>
          <w:spacing w:val="-10"/>
        </w:rPr>
        <w:t> </w:t>
      </w:r>
      <w:r>
        <w:rPr/>
        <w:t>亿元（</w:t>
      </w:r>
      <w:r>
        <w:rPr>
          <w:rFonts w:ascii="Arial" w:hAnsi="Arial" w:cs="Arial" w:eastAsia="Arial" w:hint="default"/>
        </w:rPr>
        <w:t>2011</w:t>
      </w:r>
      <w:r>
        <w:rPr>
          <w:rFonts w:ascii="Arial" w:hAnsi="Arial" w:cs="Arial" w:eastAsia="Arial" w:hint="default"/>
          <w:spacing w:val="-10"/>
        </w:rPr>
        <w:t> </w:t>
      </w:r>
      <w:r>
        <w:rPr/>
        <w:t>年：约人民币</w:t>
      </w:r>
      <w:r>
        <w:rPr>
          <w:w w:val="99"/>
        </w:rPr>
        <w:t> </w:t>
      </w:r>
      <w:r>
        <w:rPr>
          <w:rFonts w:ascii="Arial" w:hAnsi="Arial" w:cs="Arial" w:eastAsia="Arial" w:hint="default"/>
        </w:rPr>
        <w:t>6.69</w:t>
      </w:r>
      <w:r>
        <w:rPr>
          <w:rFonts w:ascii="Arial" w:hAnsi="Arial" w:cs="Arial" w:eastAsia="Arial" w:hint="default"/>
          <w:spacing w:val="-8"/>
        </w:rPr>
        <w:t> </w:t>
      </w:r>
      <w:r>
        <w:rPr/>
        <w:t>亿元）。</w:t>
      </w:r>
    </w:p>
    <w:p>
      <w:pPr>
        <w:spacing w:line="240" w:lineRule="auto" w:before="9"/>
        <w:rPr>
          <w:rFonts w:ascii="宋体" w:hAnsi="宋体" w:cs="宋体" w:eastAsia="宋体" w:hint="default"/>
          <w:sz w:val="17"/>
          <w:szCs w:val="17"/>
        </w:rPr>
      </w:pPr>
    </w:p>
    <w:p>
      <w:pPr>
        <w:pStyle w:val="BodyText"/>
        <w:spacing w:line="232" w:lineRule="auto"/>
        <w:ind w:left="1011" w:right="128" w:hanging="462"/>
        <w:jc w:val="both"/>
      </w:pPr>
      <w:r>
        <w:rPr>
          <w:rFonts w:ascii="Arial" w:hAnsi="Arial" w:cs="Arial" w:eastAsia="Arial" w:hint="default"/>
          <w:w w:val="99"/>
        </w:rPr>
        <w:t>(d)</w:t>
      </w:r>
      <w:r>
        <w:rPr>
          <w:rFonts w:ascii="Arial" w:hAnsi="Arial" w:cs="Arial" w:eastAsia="Arial" w:hint="default"/>
          <w:spacing w:val="15"/>
          <w:w w:val="99"/>
        </w:rPr>
        <w:t> </w:t>
      </w:r>
      <w:r>
        <w:rPr>
          <w:w w:val="99"/>
        </w:rPr>
        <w:t>本集团的子公司中讯设计院是一家于</w:t>
      </w:r>
      <w:r>
        <w:rPr>
          <w:spacing w:val="-53"/>
          <w:w w:val="99"/>
        </w:rPr>
        <w:t> </w:t>
      </w:r>
      <w:r>
        <w:rPr>
          <w:rFonts w:ascii="Arial" w:hAnsi="Arial" w:cs="Arial" w:eastAsia="Arial" w:hint="default"/>
          <w:w w:val="99"/>
        </w:rPr>
        <w:t>2008</w:t>
      </w:r>
      <w:r>
        <w:rPr>
          <w:rFonts w:ascii="Arial" w:hAnsi="Arial" w:cs="Arial" w:eastAsia="Arial" w:hint="default"/>
          <w:spacing w:val="-5"/>
          <w:w w:val="99"/>
        </w:rPr>
        <w:t> </w:t>
      </w:r>
      <w:r>
        <w:rPr>
          <w:w w:val="99"/>
        </w:rPr>
        <w:t>年</w:t>
      </w:r>
      <w:r>
        <w:rPr>
          <w:spacing w:val="-54"/>
          <w:w w:val="99"/>
        </w:rPr>
        <w:t> </w:t>
      </w:r>
      <w:r>
        <w:rPr>
          <w:rFonts w:ascii="Arial" w:hAnsi="Arial" w:cs="Arial" w:eastAsia="Arial" w:hint="default"/>
          <w:w w:val="99"/>
        </w:rPr>
        <w:t>9</w:t>
      </w:r>
      <w:r>
        <w:rPr>
          <w:rFonts w:ascii="Arial" w:hAnsi="Arial" w:cs="Arial" w:eastAsia="Arial" w:hint="default"/>
          <w:spacing w:val="-5"/>
          <w:w w:val="99"/>
        </w:rPr>
        <w:t> </w:t>
      </w:r>
      <w:r>
        <w:rPr>
          <w:w w:val="99"/>
        </w:rPr>
        <w:t>月</w:t>
      </w:r>
      <w:r>
        <w:rPr>
          <w:spacing w:val="-54"/>
          <w:w w:val="99"/>
        </w:rPr>
        <w:t> </w:t>
      </w:r>
      <w:r>
        <w:rPr>
          <w:rFonts w:ascii="Arial" w:hAnsi="Arial" w:cs="Arial" w:eastAsia="Arial" w:hint="default"/>
          <w:w w:val="99"/>
        </w:rPr>
        <w:t>27</w:t>
      </w:r>
      <w:r>
        <w:rPr>
          <w:rFonts w:ascii="Arial" w:hAnsi="Arial" w:cs="Arial" w:eastAsia="Arial" w:hint="default"/>
          <w:spacing w:val="-5"/>
          <w:w w:val="99"/>
        </w:rPr>
        <w:t> </w:t>
      </w:r>
      <w:r>
        <w:rPr>
          <w:spacing w:val="-7"/>
          <w:w w:val="99"/>
        </w:rPr>
        <w:t>日完成公司制改制后设立的企业，根</w:t>
      </w:r>
      <w:r>
        <w:rPr>
          <w:w w:val="99"/>
        </w:rPr>
        <w:t> </w:t>
      </w:r>
      <w:r>
        <w:rPr>
          <w:spacing w:val="-1"/>
        </w:rPr>
        <w:t>据企业改制的相关规定，中讯设计院在改制过程中的资产评估增值被计入其改制后公司的</w:t>
      </w:r>
      <w:r>
        <w:rPr>
          <w:w w:val="99"/>
        </w:rPr>
        <w:t> </w:t>
      </w:r>
      <w:r>
        <w:rPr>
          <w:w w:val="95"/>
        </w:rPr>
        <w:t>所有者权益。本公司根据持股比例计算了该资产评估增值对归属于本集团母公司普通股股</w:t>
      </w:r>
      <w:r>
        <w:rPr>
          <w:w w:val="99"/>
        </w:rPr>
        <w:t> </w:t>
      </w:r>
      <w:r>
        <w:rPr/>
        <w:t>东资本公积的影响。</w:t>
      </w:r>
    </w:p>
    <w:p>
      <w:pPr>
        <w:spacing w:line="240" w:lineRule="auto" w:before="3"/>
        <w:rPr>
          <w:rFonts w:ascii="宋体" w:hAnsi="宋体" w:cs="宋体" w:eastAsia="宋体" w:hint="default"/>
          <w:sz w:val="19"/>
          <w:szCs w:val="19"/>
        </w:rPr>
      </w:pPr>
    </w:p>
    <w:p>
      <w:pPr>
        <w:pStyle w:val="BodyText"/>
        <w:spacing w:line="295" w:lineRule="exact"/>
        <w:ind w:left="550" w:right="0"/>
        <w:jc w:val="left"/>
      </w:pPr>
      <w:r>
        <w:rPr>
          <w:rFonts w:ascii="Arial" w:hAnsi="Arial" w:cs="Arial" w:eastAsia="Arial" w:hint="default"/>
        </w:rPr>
        <w:t>(e)  </w:t>
      </w:r>
      <w:r>
        <w:rPr>
          <w:rFonts w:ascii="Arial" w:hAnsi="Arial" w:cs="Arial" w:eastAsia="Arial" w:hint="default"/>
          <w:spacing w:val="4"/>
        </w:rPr>
        <w:t> </w:t>
      </w:r>
      <w:r>
        <w:rPr/>
        <w:t>联通红筹公司及其子公司网通红筹公司授予员工的可行权日在</w:t>
      </w:r>
      <w:r>
        <w:rPr>
          <w:spacing w:val="-50"/>
        </w:rPr>
        <w:t> </w:t>
      </w:r>
      <w:r>
        <w:rPr>
          <w:rFonts w:ascii="Arial" w:hAnsi="Arial" w:cs="Arial" w:eastAsia="Arial" w:hint="default"/>
        </w:rPr>
        <w:t>2007</w:t>
      </w:r>
      <w:r>
        <w:rPr>
          <w:rFonts w:ascii="Arial" w:hAnsi="Arial" w:cs="Arial" w:eastAsia="Arial" w:hint="default"/>
          <w:spacing w:val="-4"/>
        </w:rPr>
        <w:t> </w:t>
      </w:r>
      <w:r>
        <w:rPr/>
        <w:t>年</w:t>
      </w:r>
      <w:r>
        <w:rPr>
          <w:spacing w:val="-54"/>
        </w:rPr>
        <w:t> </w:t>
      </w:r>
      <w:r>
        <w:rPr>
          <w:rFonts w:ascii="Arial" w:hAnsi="Arial" w:cs="Arial" w:eastAsia="Arial" w:hint="default"/>
        </w:rPr>
        <w:t>1</w:t>
      </w:r>
      <w:r>
        <w:rPr>
          <w:rFonts w:ascii="Arial" w:hAnsi="Arial" w:cs="Arial" w:eastAsia="Arial" w:hint="default"/>
          <w:spacing w:val="-5"/>
        </w:rPr>
        <w:t> </w:t>
      </w:r>
      <w:r>
        <w:rPr/>
        <w:t>月</w:t>
      </w:r>
      <w:r>
        <w:rPr>
          <w:spacing w:val="-54"/>
        </w:rPr>
        <w:t> </w:t>
      </w:r>
      <w:r>
        <w:rPr>
          <w:rFonts w:ascii="Arial" w:hAnsi="Arial" w:cs="Arial" w:eastAsia="Arial" w:hint="default"/>
        </w:rPr>
        <w:t>1</w:t>
      </w:r>
      <w:r>
        <w:rPr>
          <w:rFonts w:ascii="Arial" w:hAnsi="Arial" w:cs="Arial" w:eastAsia="Arial" w:hint="default"/>
          <w:spacing w:val="-5"/>
        </w:rPr>
        <w:t> </w:t>
      </w:r>
      <w:r>
        <w:rPr/>
        <w:t>日后的股份</w:t>
      </w:r>
    </w:p>
    <w:p>
      <w:pPr>
        <w:pStyle w:val="BodyText"/>
        <w:spacing w:line="230" w:lineRule="auto" w:before="1"/>
        <w:ind w:left="1011" w:right="121"/>
        <w:jc w:val="both"/>
      </w:pPr>
      <w:r>
        <w:rPr/>
        <w:t>期权的公允价值于等待期内确认相应的费用。根据本公司的持股比例，于 </w:t>
      </w:r>
      <w:r>
        <w:rPr>
          <w:rFonts w:ascii="Arial" w:hAnsi="Arial" w:cs="Arial" w:eastAsia="Arial" w:hint="default"/>
        </w:rPr>
        <w:t>2012</w:t>
      </w:r>
      <w:r>
        <w:rPr>
          <w:rFonts w:ascii="Arial" w:hAnsi="Arial" w:cs="Arial" w:eastAsia="Arial" w:hint="default"/>
          <w:spacing w:val="-27"/>
        </w:rPr>
        <w:t> </w:t>
      </w:r>
      <w:r>
        <w:rPr/>
        <w:t>年度确认</w:t>
      </w:r>
      <w:r>
        <w:rPr>
          <w:spacing w:val="-2"/>
          <w:w w:val="99"/>
        </w:rPr>
        <w:t> </w:t>
      </w:r>
      <w:r>
        <w:rPr>
          <w:spacing w:val="6"/>
          <w:w w:val="95"/>
        </w:rPr>
        <w:t>的与股份期权相关的员工薪酬增加了归属于本集团母公司普通股股东资本公积约人民币  </w:t>
      </w:r>
      <w:r>
        <w:rPr>
          <w:spacing w:val="77"/>
          <w:w w:val="95"/>
        </w:rPr>
        <w:t> </w:t>
      </w:r>
      <w:r>
        <w:rPr>
          <w:spacing w:val="77"/>
          <w:w w:val="95"/>
        </w:rPr>
      </w:r>
      <w:r>
        <w:rPr>
          <w:rFonts w:ascii="Arial" w:hAnsi="Arial" w:cs="Arial" w:eastAsia="Arial" w:hint="default"/>
        </w:rPr>
        <w:t>485</w:t>
      </w:r>
      <w:r>
        <w:rPr>
          <w:rFonts w:ascii="Arial" w:hAnsi="Arial" w:cs="Arial" w:eastAsia="Arial" w:hint="default"/>
          <w:spacing w:val="-8"/>
        </w:rPr>
        <w:t> </w:t>
      </w:r>
      <w:r>
        <w:rPr/>
        <w:t>万元（</w:t>
      </w:r>
      <w:r>
        <w:rPr>
          <w:rFonts w:ascii="Arial" w:hAnsi="Arial" w:cs="Arial" w:eastAsia="Arial" w:hint="default"/>
        </w:rPr>
        <w:t>2011</w:t>
      </w:r>
      <w:r>
        <w:rPr>
          <w:rFonts w:ascii="Arial" w:hAnsi="Arial" w:cs="Arial" w:eastAsia="Arial" w:hint="default"/>
          <w:spacing w:val="-7"/>
        </w:rPr>
        <w:t> </w:t>
      </w:r>
      <w:r>
        <w:rPr/>
        <w:t>年：约人民币</w:t>
      </w:r>
      <w:r>
        <w:rPr>
          <w:spacing w:val="-57"/>
        </w:rPr>
        <w:t> </w:t>
      </w:r>
      <w:r>
        <w:rPr>
          <w:rFonts w:ascii="Arial" w:hAnsi="Arial" w:cs="Arial" w:eastAsia="Arial" w:hint="default"/>
        </w:rPr>
        <w:t>588</w:t>
      </w:r>
      <w:r>
        <w:rPr>
          <w:rFonts w:ascii="Arial" w:hAnsi="Arial" w:cs="Arial" w:eastAsia="Arial" w:hint="default"/>
          <w:spacing w:val="-7"/>
        </w:rPr>
        <w:t> </w:t>
      </w:r>
      <w:r>
        <w:rPr/>
        <w:t>万元）。</w:t>
      </w:r>
    </w:p>
    <w:p>
      <w:pPr>
        <w:spacing w:after="0" w:line="230" w:lineRule="auto"/>
        <w:jc w:val="both"/>
        <w:sectPr>
          <w:headerReference w:type="default" r:id="rId114"/>
          <w:pgSz w:w="11910" w:h="16840"/>
          <w:pgMar w:header="1184" w:footer="457" w:top="3560" w:bottom="640" w:left="1280" w:right="920"/>
        </w:sectPr>
      </w:pPr>
    </w:p>
    <w:p>
      <w:pPr>
        <w:spacing w:line="240" w:lineRule="auto" w:before="13"/>
        <w:rPr>
          <w:rFonts w:ascii="宋体" w:hAnsi="宋体" w:cs="宋体" w:eastAsia="宋体" w:hint="default"/>
          <w:sz w:val="15"/>
          <w:szCs w:val="15"/>
        </w:rPr>
      </w:pPr>
    </w:p>
    <w:p>
      <w:pPr>
        <w:pStyle w:val="BodyText"/>
        <w:tabs>
          <w:tab w:pos="1011" w:val="left" w:leader="none"/>
        </w:tabs>
        <w:spacing w:line="294" w:lineRule="exact" w:before="31"/>
        <w:ind w:left="550" w:right="115"/>
        <w:jc w:val="left"/>
      </w:pPr>
      <w:r>
        <w:rPr>
          <w:rFonts w:ascii="Arial" w:hAnsi="Arial" w:cs="Arial" w:eastAsia="Arial" w:hint="default"/>
          <w:w w:val="99"/>
        </w:rPr>
        <w:t>(f)</w:t>
      </w:r>
      <w:r>
        <w:rPr>
          <w:rFonts w:ascii="Arial" w:hAnsi="Arial" w:cs="Arial" w:eastAsia="Arial" w:hint="default"/>
        </w:rPr>
        <w:tab/>
      </w:r>
      <w:r>
        <w:rPr>
          <w:w w:val="99"/>
        </w:rPr>
        <w:t>于</w:t>
      </w:r>
      <w:r>
        <w:rPr>
          <w:spacing w:val="-55"/>
        </w:rPr>
        <w:t> </w:t>
      </w:r>
      <w:r>
        <w:rPr>
          <w:rFonts w:ascii="Arial" w:hAnsi="Arial" w:cs="Arial" w:eastAsia="Arial" w:hint="default"/>
          <w:w w:val="99"/>
        </w:rPr>
        <w:t>2009</w:t>
      </w:r>
      <w:r>
        <w:rPr>
          <w:rFonts w:ascii="Arial" w:hAnsi="Arial" w:cs="Arial" w:eastAsia="Arial" w:hint="default"/>
          <w:spacing w:val="-6"/>
        </w:rPr>
        <w:t> </w:t>
      </w:r>
      <w:r>
        <w:rPr>
          <w:w w:val="99"/>
        </w:rPr>
        <w:t>年</w:t>
      </w:r>
      <w:r>
        <w:rPr>
          <w:spacing w:val="-55"/>
        </w:rPr>
        <w:t> </w:t>
      </w:r>
      <w:r>
        <w:rPr>
          <w:rFonts w:ascii="Arial" w:hAnsi="Arial" w:cs="Arial" w:eastAsia="Arial" w:hint="default"/>
          <w:w w:val="99"/>
        </w:rPr>
        <w:t>10</w:t>
      </w:r>
      <w:r>
        <w:rPr>
          <w:rFonts w:ascii="Arial" w:hAnsi="Arial" w:cs="Arial" w:eastAsia="Arial" w:hint="default"/>
          <w:spacing w:val="-6"/>
        </w:rPr>
        <w:t> </w:t>
      </w:r>
      <w:r>
        <w:rPr>
          <w:w w:val="99"/>
        </w:rPr>
        <w:t>月</w:t>
      </w:r>
      <w:r>
        <w:rPr>
          <w:spacing w:val="-55"/>
        </w:rPr>
        <w:t> </w:t>
      </w:r>
      <w:r>
        <w:rPr>
          <w:rFonts w:ascii="Arial" w:hAnsi="Arial" w:cs="Arial" w:eastAsia="Arial" w:hint="default"/>
          <w:w w:val="99"/>
        </w:rPr>
        <w:t>21</w:t>
      </w:r>
      <w:r>
        <w:rPr>
          <w:rFonts w:ascii="Arial" w:hAnsi="Arial" w:cs="Arial" w:eastAsia="Arial" w:hint="default"/>
          <w:spacing w:val="-6"/>
        </w:rPr>
        <w:t> </w:t>
      </w:r>
      <w:r>
        <w:rPr>
          <w:w w:val="99"/>
        </w:rPr>
        <w:t>日</w:t>
      </w:r>
      <w:r>
        <w:rPr>
          <w:spacing w:val="-100"/>
          <w:w w:val="99"/>
        </w:rPr>
        <w:t>，</w:t>
      </w:r>
      <w:r>
        <w:rPr>
          <w:w w:val="99"/>
        </w:rPr>
        <w:t>本公司所属子公司联通红筹公司通过新发行约</w:t>
      </w:r>
      <w:r>
        <w:rPr>
          <w:spacing w:val="-52"/>
        </w:rPr>
        <w:t> </w:t>
      </w:r>
      <w:r>
        <w:rPr>
          <w:rFonts w:ascii="Arial" w:hAnsi="Arial" w:cs="Arial" w:eastAsia="Arial" w:hint="default"/>
          <w:w w:val="99"/>
        </w:rPr>
        <w:t>6.94</w:t>
      </w:r>
      <w:r>
        <w:rPr>
          <w:rFonts w:ascii="Arial" w:hAnsi="Arial" w:cs="Arial" w:eastAsia="Arial" w:hint="default"/>
          <w:spacing w:val="-6"/>
        </w:rPr>
        <w:t> </w:t>
      </w:r>
      <w:r>
        <w:rPr>
          <w:w w:val="99"/>
        </w:rPr>
        <w:t>亿股股份交换</w:t>
      </w:r>
      <w:r>
        <w:rPr/>
      </w:r>
    </w:p>
    <w:p>
      <w:pPr>
        <w:pStyle w:val="BodyText"/>
        <w:spacing w:line="285" w:lineRule="exact"/>
        <w:ind w:left="1011" w:right="0"/>
        <w:jc w:val="both"/>
      </w:pPr>
      <w:r>
        <w:rPr/>
        <w:t>了西班牙电信的约 </w:t>
      </w:r>
      <w:r>
        <w:rPr>
          <w:rFonts w:ascii="Arial" w:hAnsi="Arial" w:cs="Arial" w:eastAsia="Arial" w:hint="default"/>
        </w:rPr>
        <w:t>0.41</w:t>
      </w:r>
      <w:r>
        <w:rPr>
          <w:rFonts w:ascii="Arial" w:hAnsi="Arial" w:cs="Arial" w:eastAsia="Arial" w:hint="default"/>
          <w:spacing w:val="33"/>
        </w:rPr>
        <w:t> </w:t>
      </w:r>
      <w:r>
        <w:rPr/>
        <w:t>亿股股份完成了与西班牙电信的相互投资。为完成该交易联通红</w:t>
      </w:r>
    </w:p>
    <w:p>
      <w:pPr>
        <w:pStyle w:val="BodyText"/>
        <w:spacing w:line="286" w:lineRule="exact" w:before="19"/>
        <w:ind w:left="1011" w:right="147"/>
        <w:jc w:val="both"/>
      </w:pPr>
      <w:r>
        <w:rPr/>
        <w:t>筹公司所新发行股份的公允价值约人民币</w:t>
      </w:r>
      <w:r>
        <w:rPr>
          <w:spacing w:val="-67"/>
        </w:rPr>
        <w:t> </w:t>
      </w:r>
      <w:r>
        <w:rPr>
          <w:rFonts w:ascii="Arial" w:hAnsi="Arial" w:cs="Arial" w:eastAsia="Arial" w:hint="default"/>
        </w:rPr>
        <w:t>67.12</w:t>
      </w:r>
      <w:r>
        <w:rPr>
          <w:rFonts w:ascii="Arial" w:hAnsi="Arial" w:cs="Arial" w:eastAsia="Arial" w:hint="default"/>
          <w:spacing w:val="-18"/>
        </w:rPr>
        <w:t> </w:t>
      </w:r>
      <w:r>
        <w:rPr/>
        <w:t>亿元，分别增加了联通红筹公司的股本和</w:t>
      </w:r>
      <w:r>
        <w:rPr>
          <w:w w:val="99"/>
        </w:rPr>
        <w:t> </w:t>
      </w:r>
      <w:r>
        <w:rPr>
          <w:w w:val="95"/>
        </w:rPr>
        <w:t>资本溢价。本公司根据持股比例计算了该子公司发行股份对归属于本集团母公司普通股股</w:t>
      </w:r>
      <w:r>
        <w:rPr>
          <w:spacing w:val="88"/>
          <w:w w:val="95"/>
        </w:rPr>
        <w:t> </w:t>
      </w:r>
      <w:r>
        <w:rPr>
          <w:spacing w:val="88"/>
          <w:w w:val="95"/>
        </w:rPr>
      </w:r>
      <w:r>
        <w:rPr/>
        <w:t>东资本公积的影响。</w:t>
      </w:r>
    </w:p>
    <w:p>
      <w:pPr>
        <w:spacing w:line="240" w:lineRule="auto" w:before="3"/>
        <w:rPr>
          <w:rFonts w:ascii="宋体" w:hAnsi="宋体" w:cs="宋体" w:eastAsia="宋体" w:hint="default"/>
          <w:sz w:val="19"/>
          <w:szCs w:val="19"/>
        </w:rPr>
      </w:pPr>
    </w:p>
    <w:p>
      <w:pPr>
        <w:pStyle w:val="BodyText"/>
        <w:spacing w:line="286" w:lineRule="exact"/>
        <w:ind w:left="1011" w:right="147" w:hanging="462"/>
        <w:jc w:val="both"/>
      </w:pPr>
      <w:r>
        <w:rPr>
          <w:rFonts w:ascii="Arial" w:hAnsi="Arial" w:cs="Arial" w:eastAsia="Arial" w:hint="default"/>
        </w:rPr>
        <w:t>(g) </w:t>
      </w:r>
      <w:r>
        <w:rPr/>
        <w:t>于 </w:t>
      </w:r>
      <w:r>
        <w:rPr>
          <w:rFonts w:ascii="Arial" w:hAnsi="Arial" w:cs="Arial" w:eastAsia="Arial" w:hint="default"/>
        </w:rPr>
        <w:t>2012</w:t>
      </w:r>
      <w:r>
        <w:rPr>
          <w:rFonts w:ascii="Arial" w:hAnsi="Arial" w:cs="Arial" w:eastAsia="Arial" w:hint="default"/>
          <w:spacing w:val="-16"/>
        </w:rPr>
        <w:t> </w:t>
      </w:r>
      <w:r>
        <w:rPr/>
        <w:t>年度，联通红筹公司的部分被授予股份期权的员工行使股份期权而增加了联通红</w:t>
      </w:r>
      <w:r>
        <w:rPr>
          <w:w w:val="99"/>
        </w:rPr>
        <w:t> </w:t>
      </w:r>
      <w:r>
        <w:rPr>
          <w:w w:val="95"/>
        </w:rPr>
        <w:t>筹公司的股本及股本溢价，根据本公司对联通红筹公司的持股比例计算，增加归属于本集</w:t>
      </w:r>
      <w:r>
        <w:rPr>
          <w:w w:val="99"/>
        </w:rPr>
        <w:t> </w:t>
      </w:r>
      <w:r>
        <w:rPr/>
        <w:t>团母公司普通股股东资本公积约人民币</w:t>
      </w:r>
      <w:r>
        <w:rPr>
          <w:spacing w:val="-56"/>
        </w:rPr>
        <w:t> </w:t>
      </w:r>
      <w:r>
        <w:rPr>
          <w:rFonts w:ascii="Arial" w:hAnsi="Arial" w:cs="Arial" w:eastAsia="Arial" w:hint="default"/>
        </w:rPr>
        <w:t>26</w:t>
      </w:r>
      <w:r>
        <w:rPr>
          <w:rFonts w:ascii="Arial" w:hAnsi="Arial" w:cs="Arial" w:eastAsia="Arial" w:hint="default"/>
          <w:spacing w:val="-9"/>
        </w:rPr>
        <w:t> </w:t>
      </w:r>
      <w:r>
        <w:rPr/>
        <w:t>万元（</w:t>
      </w:r>
      <w:r>
        <w:rPr>
          <w:rFonts w:ascii="Arial" w:hAnsi="Arial" w:cs="Arial" w:eastAsia="Arial" w:hint="default"/>
        </w:rPr>
        <w:t>2011</w:t>
      </w:r>
      <w:r>
        <w:rPr>
          <w:rFonts w:ascii="Arial" w:hAnsi="Arial" w:cs="Arial" w:eastAsia="Arial" w:hint="default"/>
          <w:spacing w:val="-9"/>
        </w:rPr>
        <w:t> </w:t>
      </w:r>
      <w:r>
        <w:rPr/>
        <w:t>年度：约人民币</w:t>
      </w:r>
      <w:r>
        <w:rPr>
          <w:spacing w:val="-58"/>
        </w:rPr>
        <w:t> </w:t>
      </w:r>
      <w:r>
        <w:rPr>
          <w:rFonts w:ascii="Arial" w:hAnsi="Arial" w:cs="Arial" w:eastAsia="Arial" w:hint="default"/>
        </w:rPr>
        <w:t>1,132</w:t>
      </w:r>
      <w:r>
        <w:rPr>
          <w:rFonts w:ascii="Arial" w:hAnsi="Arial" w:cs="Arial" w:eastAsia="Arial" w:hint="default"/>
          <w:spacing w:val="-9"/>
        </w:rPr>
        <w:t> </w:t>
      </w:r>
      <w:r>
        <w:rPr/>
        <w:t>万元）。</w:t>
      </w:r>
    </w:p>
    <w:p>
      <w:pPr>
        <w:spacing w:line="240" w:lineRule="auto" w:before="1"/>
        <w:rPr>
          <w:rFonts w:ascii="宋体" w:hAnsi="宋体" w:cs="宋体" w:eastAsia="宋体" w:hint="default"/>
          <w:sz w:val="17"/>
          <w:szCs w:val="17"/>
        </w:rPr>
      </w:pPr>
    </w:p>
    <w:p>
      <w:pPr>
        <w:pStyle w:val="BodyText"/>
        <w:spacing w:line="295" w:lineRule="exact"/>
        <w:ind w:left="550" w:right="115"/>
        <w:jc w:val="left"/>
      </w:pPr>
      <w:r>
        <w:rPr>
          <w:rFonts w:ascii="Arial" w:hAnsi="Arial" w:cs="Arial" w:eastAsia="Arial" w:hint="default"/>
        </w:rPr>
        <w:t>(h)  </w:t>
      </w:r>
      <w:r>
        <w:rPr>
          <w:rFonts w:ascii="Arial" w:hAnsi="Arial" w:cs="Arial" w:eastAsia="Arial" w:hint="default"/>
          <w:spacing w:val="2"/>
        </w:rPr>
        <w:t> </w:t>
      </w:r>
      <w:r>
        <w:rPr/>
        <w:t>于</w:t>
      </w:r>
      <w:r>
        <w:rPr>
          <w:spacing w:val="-55"/>
        </w:rPr>
        <w:t> </w:t>
      </w:r>
      <w:r>
        <w:rPr>
          <w:rFonts w:ascii="Arial" w:hAnsi="Arial" w:cs="Arial" w:eastAsia="Arial" w:hint="default"/>
        </w:rPr>
        <w:t>2007</w:t>
      </w:r>
      <w:r>
        <w:rPr>
          <w:rFonts w:ascii="Arial" w:hAnsi="Arial" w:cs="Arial" w:eastAsia="Arial" w:hint="default"/>
          <w:spacing w:val="-7"/>
        </w:rPr>
        <w:t> </w:t>
      </w:r>
      <w:r>
        <w:rPr/>
        <w:t>年度，联通运营公司根据董事会决议，以其累计未分配利润中的约人民币</w:t>
      </w:r>
      <w:r>
        <w:rPr>
          <w:spacing w:val="-51"/>
        </w:rPr>
        <w:t> </w:t>
      </w:r>
      <w:r>
        <w:rPr>
          <w:rFonts w:ascii="Arial" w:hAnsi="Arial" w:cs="Arial" w:eastAsia="Arial" w:hint="default"/>
        </w:rPr>
        <w:t>173</w:t>
      </w:r>
      <w:r>
        <w:rPr>
          <w:rFonts w:ascii="Arial" w:hAnsi="Arial" w:cs="Arial" w:eastAsia="Arial" w:hint="default"/>
          <w:spacing w:val="-8"/>
        </w:rPr>
        <w:t> </w:t>
      </w:r>
      <w:r>
        <w:rPr/>
        <w:t>亿</w:t>
      </w:r>
    </w:p>
    <w:p>
      <w:pPr>
        <w:pStyle w:val="BodyText"/>
        <w:spacing w:line="232" w:lineRule="auto"/>
        <w:ind w:left="1011" w:right="146"/>
        <w:jc w:val="both"/>
      </w:pPr>
      <w:r>
        <w:rPr/>
        <w:t>元未分配利润转增注册资本。此外，本公司的子公司中讯设计院是一家于</w:t>
      </w:r>
      <w:r>
        <w:rPr>
          <w:spacing w:val="-65"/>
        </w:rPr>
        <w:t> </w:t>
      </w:r>
      <w:r>
        <w:rPr>
          <w:rFonts w:ascii="Arial" w:hAnsi="Arial" w:cs="Arial" w:eastAsia="Arial" w:hint="default"/>
        </w:rPr>
        <w:t>2008</w:t>
      </w:r>
      <w:r>
        <w:rPr>
          <w:rFonts w:ascii="Arial" w:hAnsi="Arial" w:cs="Arial" w:eastAsia="Arial" w:hint="default"/>
          <w:spacing w:val="-17"/>
        </w:rPr>
        <w:t> </w:t>
      </w:r>
      <w:r>
        <w:rPr/>
        <w:t>年</w:t>
      </w:r>
      <w:r>
        <w:rPr>
          <w:spacing w:val="-66"/>
        </w:rPr>
        <w:t> </w:t>
      </w:r>
      <w:r>
        <w:rPr>
          <w:rFonts w:ascii="Arial" w:hAnsi="Arial" w:cs="Arial" w:eastAsia="Arial" w:hint="default"/>
        </w:rPr>
        <w:t>9</w:t>
      </w:r>
      <w:r>
        <w:rPr>
          <w:rFonts w:ascii="Arial" w:hAnsi="Arial" w:cs="Arial" w:eastAsia="Arial" w:hint="default"/>
          <w:spacing w:val="-17"/>
        </w:rPr>
        <w:t> </w:t>
      </w:r>
      <w:r>
        <w:rPr/>
        <w:t>月</w:t>
      </w:r>
      <w:r>
        <w:rPr>
          <w:spacing w:val="-66"/>
        </w:rPr>
        <w:t> </w:t>
      </w:r>
      <w:r>
        <w:rPr>
          <w:rFonts w:ascii="Arial" w:hAnsi="Arial" w:cs="Arial" w:eastAsia="Arial" w:hint="default"/>
        </w:rPr>
        <w:t>27</w:t>
      </w:r>
      <w:r>
        <w:rPr>
          <w:rFonts w:ascii="Arial" w:hAnsi="Arial" w:cs="Arial" w:eastAsia="Arial" w:hint="default"/>
          <w:w w:val="99"/>
        </w:rPr>
        <w:t> </w:t>
      </w:r>
      <w:r>
        <w:rPr>
          <w:w w:val="95"/>
        </w:rPr>
        <w:t>日完成公司制改制后设立的企业，根据相关企业改制的规定，中讯设计院截至改制日止的</w:t>
      </w:r>
      <w:r>
        <w:rPr>
          <w:spacing w:val="90"/>
          <w:w w:val="95"/>
        </w:rPr>
        <w:t> </w:t>
      </w:r>
      <w:r>
        <w:rPr>
          <w:spacing w:val="90"/>
          <w:w w:val="95"/>
        </w:rPr>
      </w:r>
      <w:r>
        <w:rPr>
          <w:w w:val="95"/>
        </w:rPr>
        <w:t>未分配利润被全部转入资本公积项下。本公司根据持股比例计算了上述事项对归属于本集</w:t>
      </w:r>
      <w:r>
        <w:rPr>
          <w:spacing w:val="88"/>
          <w:w w:val="95"/>
        </w:rPr>
        <w:t> </w:t>
      </w:r>
      <w:r>
        <w:rPr>
          <w:spacing w:val="88"/>
          <w:w w:val="95"/>
        </w:rPr>
      </w:r>
      <w:r>
        <w:rPr/>
        <w:t>团母公司普通股股东资本公积的影响。</w:t>
      </w:r>
    </w:p>
    <w:p>
      <w:pPr>
        <w:spacing w:line="240" w:lineRule="auto" w:before="0"/>
        <w:rPr>
          <w:rFonts w:ascii="宋体" w:hAnsi="宋体" w:cs="宋体" w:eastAsia="宋体" w:hint="default"/>
          <w:sz w:val="20"/>
          <w:szCs w:val="20"/>
        </w:rPr>
      </w:pPr>
    </w:p>
    <w:p>
      <w:pPr>
        <w:pStyle w:val="BodyText"/>
        <w:spacing w:line="230" w:lineRule="auto"/>
        <w:ind w:left="1011" w:right="148" w:hanging="462"/>
        <w:jc w:val="both"/>
      </w:pPr>
      <w:r>
        <w:rPr>
          <w:rFonts w:ascii="Arial" w:hAnsi="Arial" w:cs="Arial" w:eastAsia="Arial" w:hint="default"/>
        </w:rPr>
        <w:t>(i)</w:t>
      </w:r>
      <w:r>
        <w:rPr>
          <w:rFonts w:ascii="Arial" w:hAnsi="Arial" w:cs="Arial" w:eastAsia="Arial" w:hint="default"/>
          <w:spacing w:val="28"/>
        </w:rPr>
        <w:t> </w:t>
      </w:r>
      <w:r>
        <w:rPr>
          <w:spacing w:val="-4"/>
        </w:rPr>
        <w:t>如附注二</w:t>
      </w:r>
      <w:r>
        <w:rPr>
          <w:rFonts w:ascii="Arial" w:hAnsi="Arial" w:cs="Arial" w:eastAsia="Arial" w:hint="default"/>
          <w:spacing w:val="-4"/>
        </w:rPr>
        <w:t>(1)(c)</w:t>
      </w:r>
      <w:r>
        <w:rPr>
          <w:spacing w:val="-4"/>
        </w:rPr>
        <w:t>所述，于</w:t>
      </w:r>
      <w:r>
        <w:rPr>
          <w:spacing w:val="-54"/>
        </w:rPr>
        <w:t> </w:t>
      </w:r>
      <w:r>
        <w:rPr>
          <w:rFonts w:ascii="Arial" w:hAnsi="Arial" w:cs="Arial" w:eastAsia="Arial" w:hint="default"/>
        </w:rPr>
        <w:t>2008</w:t>
      </w:r>
      <w:r>
        <w:rPr>
          <w:rFonts w:ascii="Arial" w:hAnsi="Arial" w:cs="Arial" w:eastAsia="Arial" w:hint="default"/>
          <w:spacing w:val="-5"/>
        </w:rPr>
        <w:t> </w:t>
      </w:r>
      <w:r>
        <w:rPr/>
        <w:t>年</w:t>
      </w:r>
      <w:r>
        <w:rPr>
          <w:spacing w:val="-54"/>
        </w:rPr>
        <w:t> </w:t>
      </w:r>
      <w:r>
        <w:rPr>
          <w:rFonts w:ascii="Arial" w:hAnsi="Arial" w:cs="Arial" w:eastAsia="Arial" w:hint="default"/>
        </w:rPr>
        <w:t>10</w:t>
      </w:r>
      <w:r>
        <w:rPr>
          <w:rFonts w:ascii="Arial" w:hAnsi="Arial" w:cs="Arial" w:eastAsia="Arial" w:hint="default"/>
          <w:spacing w:val="-5"/>
        </w:rPr>
        <w:t> </w:t>
      </w:r>
      <w:r>
        <w:rPr/>
        <w:t>月</w:t>
      </w:r>
      <w:r>
        <w:rPr>
          <w:spacing w:val="-54"/>
        </w:rPr>
        <w:t> </w:t>
      </w:r>
      <w:r>
        <w:rPr>
          <w:rFonts w:ascii="Arial" w:hAnsi="Arial" w:cs="Arial" w:eastAsia="Arial" w:hint="default"/>
        </w:rPr>
        <w:t>15</w:t>
      </w:r>
      <w:r>
        <w:rPr>
          <w:rFonts w:ascii="Arial" w:hAnsi="Arial" w:cs="Arial" w:eastAsia="Arial" w:hint="default"/>
          <w:spacing w:val="-5"/>
        </w:rPr>
        <w:t> </w:t>
      </w:r>
      <w:r>
        <w:rPr>
          <w:spacing w:val="-3"/>
        </w:rPr>
        <w:t>日，联通红筹公司与网通红筹公司通过换股方式</w:t>
      </w:r>
      <w:r>
        <w:rPr>
          <w:w w:val="99"/>
        </w:rPr>
        <w:t> </w:t>
      </w:r>
      <w:r>
        <w:rPr/>
        <w:t>完成了两家公司的合并，从而导致本公司通过联通</w:t>
      </w:r>
      <w:r>
        <w:rPr>
          <w:spacing w:val="-77"/>
        </w:rPr>
        <w:t> </w:t>
      </w:r>
      <w:r>
        <w:rPr>
          <w:rFonts w:ascii="Arial" w:hAnsi="Arial" w:cs="Arial" w:eastAsia="Arial" w:hint="default"/>
        </w:rPr>
        <w:t>BVI</w:t>
      </w:r>
      <w:r>
        <w:rPr>
          <w:rFonts w:ascii="Arial" w:hAnsi="Arial" w:cs="Arial" w:eastAsia="Arial" w:hint="default"/>
          <w:spacing w:val="-30"/>
        </w:rPr>
        <w:t> </w:t>
      </w:r>
      <w:r>
        <w:rPr/>
        <w:t>公司对联通红筹公司的持股比例下</w:t>
      </w:r>
      <w:r>
        <w:rPr>
          <w:w w:val="99"/>
        </w:rPr>
        <w:t> </w:t>
      </w:r>
      <w:r>
        <w:rPr>
          <w:spacing w:val="-1"/>
        </w:rPr>
        <w:t>降。该同一控制下企业合并增加的本集团资本公积与本公司对联通红筹公司持股比例下降</w:t>
      </w:r>
      <w:r>
        <w:rPr>
          <w:w w:val="99"/>
        </w:rPr>
        <w:t> </w:t>
      </w:r>
      <w:r>
        <w:rPr/>
        <w:t>的因素互抵后减少归属于本集团母公司普通股股东资本公积约人民币</w:t>
      </w:r>
      <w:r>
        <w:rPr>
          <w:spacing w:val="-58"/>
        </w:rPr>
        <w:t> </w:t>
      </w:r>
      <w:r>
        <w:rPr>
          <w:rFonts w:ascii="Arial" w:hAnsi="Arial" w:cs="Arial" w:eastAsia="Arial" w:hint="default"/>
        </w:rPr>
        <w:t>61.18</w:t>
      </w:r>
      <w:r>
        <w:rPr>
          <w:rFonts w:ascii="Arial" w:hAnsi="Arial" w:cs="Arial" w:eastAsia="Arial" w:hint="default"/>
          <w:spacing w:val="-13"/>
        </w:rPr>
        <w:t> </w:t>
      </w:r>
      <w:r>
        <w:rPr/>
        <w:t>亿元。</w:t>
      </w:r>
    </w:p>
    <w:p>
      <w:pPr>
        <w:spacing w:line="240" w:lineRule="auto" w:before="12"/>
        <w:rPr>
          <w:rFonts w:ascii="宋体" w:hAnsi="宋体" w:cs="宋体" w:eastAsia="宋体" w:hint="default"/>
          <w:sz w:val="18"/>
          <w:szCs w:val="18"/>
        </w:rPr>
      </w:pPr>
    </w:p>
    <w:p>
      <w:pPr>
        <w:pStyle w:val="BodyText"/>
        <w:spacing w:line="230" w:lineRule="auto"/>
        <w:ind w:left="998" w:right="147"/>
        <w:jc w:val="both"/>
      </w:pPr>
      <w:r>
        <w:rPr>
          <w:spacing w:val="-4"/>
        </w:rPr>
        <w:t>此外，由于本公司子公司联通红筹公司分别于</w:t>
      </w:r>
      <w:r>
        <w:rPr>
          <w:spacing w:val="-55"/>
        </w:rPr>
        <w:t> </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10</w:t>
      </w:r>
      <w:r>
        <w:rPr>
          <w:rFonts w:ascii="Arial" w:hAnsi="Arial" w:cs="Arial" w:eastAsia="Arial" w:hint="default"/>
          <w:spacing w:val="-7"/>
        </w:rPr>
        <w:t> </w:t>
      </w:r>
      <w:r>
        <w:rPr/>
        <w:t>月</w:t>
      </w:r>
      <w:r>
        <w:rPr>
          <w:spacing w:val="-56"/>
        </w:rPr>
        <w:t> </w:t>
      </w:r>
      <w:r>
        <w:rPr>
          <w:rFonts w:ascii="Arial" w:hAnsi="Arial" w:cs="Arial" w:eastAsia="Arial" w:hint="default"/>
        </w:rPr>
        <w:t>21</w:t>
      </w:r>
      <w:r>
        <w:rPr>
          <w:rFonts w:ascii="Arial" w:hAnsi="Arial" w:cs="Arial" w:eastAsia="Arial" w:hint="default"/>
          <w:spacing w:val="-7"/>
        </w:rPr>
        <w:t> </w:t>
      </w:r>
      <w:r>
        <w:rPr/>
        <w:t>日和</w:t>
      </w:r>
      <w:r>
        <w:rPr>
          <w:spacing w:val="-56"/>
        </w:rPr>
        <w:t> </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11</w:t>
      </w:r>
      <w:r>
        <w:rPr>
          <w:rFonts w:ascii="Arial" w:hAnsi="Arial" w:cs="Arial" w:eastAsia="Arial" w:hint="default"/>
          <w:spacing w:val="-7"/>
        </w:rPr>
        <w:t> </w:t>
      </w:r>
      <w:r>
        <w:rPr/>
        <w:t>月</w:t>
      </w:r>
      <w:r>
        <w:rPr>
          <w:spacing w:val="-56"/>
        </w:rPr>
        <w:t> </w:t>
      </w:r>
      <w:r>
        <w:rPr>
          <w:rFonts w:ascii="Arial" w:hAnsi="Arial" w:cs="Arial" w:eastAsia="Arial" w:hint="default"/>
        </w:rPr>
        <w:t>5</w:t>
      </w:r>
      <w:r>
        <w:rPr>
          <w:rFonts w:ascii="Arial" w:hAnsi="Arial" w:cs="Arial" w:eastAsia="Arial" w:hint="default"/>
          <w:spacing w:val="-7"/>
        </w:rPr>
        <w:t> </w:t>
      </w:r>
      <w:r>
        <w:rPr/>
        <w:t>日完</w:t>
      </w:r>
      <w:r>
        <w:rPr>
          <w:spacing w:val="-2"/>
          <w:w w:val="99"/>
        </w:rPr>
        <w:t> </w:t>
      </w:r>
      <w:r>
        <w:rPr/>
        <w:t>成了与西班牙电信相互投资和回购</w:t>
      </w:r>
      <w:r>
        <w:rPr>
          <w:spacing w:val="-33"/>
        </w:rPr>
        <w:t> </w:t>
      </w:r>
      <w:r>
        <w:rPr>
          <w:rFonts w:ascii="Arial" w:hAnsi="Arial" w:cs="Arial" w:eastAsia="Arial" w:hint="default"/>
        </w:rPr>
        <w:t>SKT</w:t>
      </w:r>
      <w:r>
        <w:rPr>
          <w:rFonts w:ascii="Arial" w:hAnsi="Arial" w:cs="Arial" w:eastAsia="Arial" w:hint="default"/>
          <w:spacing w:val="13"/>
        </w:rPr>
        <w:t> </w:t>
      </w:r>
      <w:r>
        <w:rPr/>
        <w:t>持有的联通红筹公司股份的交易导致联通</w:t>
      </w:r>
      <w:r>
        <w:rPr>
          <w:spacing w:val="-32"/>
        </w:rPr>
        <w:t> </w:t>
      </w:r>
      <w:r>
        <w:rPr>
          <w:rFonts w:ascii="Arial" w:hAnsi="Arial" w:cs="Arial" w:eastAsia="Arial" w:hint="default"/>
        </w:rPr>
        <w:t>BVI</w:t>
      </w:r>
      <w:r>
        <w:rPr>
          <w:rFonts w:ascii="Arial" w:hAnsi="Arial" w:cs="Arial" w:eastAsia="Arial" w:hint="default"/>
          <w:spacing w:val="12"/>
        </w:rPr>
        <w:t> </w:t>
      </w:r>
      <w:r>
        <w:rPr/>
        <w:t>公</w:t>
      </w:r>
      <w:r>
        <w:rPr>
          <w:w w:val="99"/>
        </w:rPr>
        <w:t> </w:t>
      </w:r>
      <w:r>
        <w:rPr>
          <w:w w:val="95"/>
        </w:rPr>
        <w:t>司对联通红筹公司的持股比例增加，使归属于本集团母公司普通股股东资本公积增加约人  </w:t>
      </w:r>
      <w:r>
        <w:rPr>
          <w:spacing w:val="101"/>
          <w:w w:val="95"/>
        </w:rPr>
        <w:t> </w:t>
      </w:r>
      <w:r>
        <w:rPr>
          <w:spacing w:val="101"/>
          <w:w w:val="95"/>
        </w:rPr>
      </w:r>
      <w:r>
        <w:rPr/>
        <w:t>民币</w:t>
      </w:r>
      <w:r>
        <w:rPr>
          <w:spacing w:val="-57"/>
        </w:rPr>
        <w:t> </w:t>
      </w:r>
      <w:r>
        <w:rPr>
          <w:rFonts w:ascii="Arial" w:hAnsi="Arial" w:cs="Arial" w:eastAsia="Arial" w:hint="default"/>
        </w:rPr>
        <w:t>6.22</w:t>
      </w:r>
      <w:r>
        <w:rPr>
          <w:rFonts w:ascii="Arial" w:hAnsi="Arial" w:cs="Arial" w:eastAsia="Arial" w:hint="default"/>
          <w:spacing w:val="-8"/>
        </w:rPr>
        <w:t> </w:t>
      </w:r>
      <w:r>
        <w:rPr/>
        <w:t>亿元。</w:t>
      </w:r>
    </w:p>
    <w:p>
      <w:pPr>
        <w:spacing w:line="240" w:lineRule="auto" w:before="2"/>
        <w:rPr>
          <w:rFonts w:ascii="宋体" w:hAnsi="宋体" w:cs="宋体" w:eastAsia="宋体" w:hint="default"/>
          <w:sz w:val="19"/>
          <w:szCs w:val="19"/>
        </w:rPr>
      </w:pPr>
    </w:p>
    <w:p>
      <w:pPr>
        <w:pStyle w:val="BodyText"/>
        <w:spacing w:line="228" w:lineRule="auto"/>
        <w:ind w:left="1011" w:right="141" w:hanging="2"/>
        <w:jc w:val="both"/>
      </w:pPr>
      <w:r>
        <w:rPr/>
        <w:t>于 </w:t>
      </w:r>
      <w:r>
        <w:rPr>
          <w:rFonts w:ascii="Arial" w:hAnsi="Arial" w:cs="Arial" w:eastAsia="Arial" w:hint="default"/>
        </w:rPr>
        <w:t>2012</w:t>
      </w:r>
      <w:r>
        <w:rPr>
          <w:rFonts w:ascii="Arial" w:hAnsi="Arial" w:cs="Arial" w:eastAsia="Arial" w:hint="default"/>
          <w:spacing w:val="-28"/>
        </w:rPr>
        <w:t> </w:t>
      </w:r>
      <w:r>
        <w:rPr/>
        <w:t>年度及以前年度，联通红筹公司的部分被授予股份期权的员工行使股份期权导致</w:t>
      </w:r>
      <w:r>
        <w:rPr>
          <w:w w:val="99"/>
        </w:rPr>
        <w:t> </w:t>
      </w:r>
      <w:r>
        <w:rPr/>
        <w:t>联通</w:t>
      </w:r>
      <w:r>
        <w:rPr>
          <w:spacing w:val="-53"/>
        </w:rPr>
        <w:t> </w:t>
      </w:r>
      <w:r>
        <w:rPr>
          <w:rFonts w:ascii="Arial" w:hAnsi="Arial" w:cs="Arial" w:eastAsia="Arial" w:hint="default"/>
        </w:rPr>
        <w:t>BVI</w:t>
      </w:r>
      <w:r>
        <w:rPr>
          <w:rFonts w:ascii="Arial" w:hAnsi="Arial" w:cs="Arial" w:eastAsia="Arial" w:hint="default"/>
          <w:spacing w:val="-4"/>
        </w:rPr>
        <w:t> </w:t>
      </w:r>
      <w:r>
        <w:rPr/>
        <w:t>公司对联通红筹公司持股比例下降。于</w:t>
      </w:r>
      <w:r>
        <w:rPr>
          <w:spacing w:val="-53"/>
        </w:rPr>
        <w:t> </w:t>
      </w:r>
      <w:r>
        <w:rPr>
          <w:rFonts w:ascii="Arial" w:hAnsi="Arial" w:cs="Arial" w:eastAsia="Arial" w:hint="default"/>
        </w:rPr>
        <w:t>2012</w:t>
      </w:r>
      <w:r>
        <w:rPr>
          <w:rFonts w:ascii="Arial" w:hAnsi="Arial" w:cs="Arial" w:eastAsia="Arial" w:hint="default"/>
          <w:spacing w:val="-4"/>
        </w:rPr>
        <w:t> </w:t>
      </w:r>
      <w:r>
        <w:rPr/>
        <w:t>年度，联通红筹公司的部分被授予</w:t>
      </w:r>
      <w:r>
        <w:rPr>
          <w:w w:val="99"/>
        </w:rPr>
        <w:t> 股份期权的员工行使股份期权而增加联通红筹公司公众股份约</w:t>
      </w:r>
      <w:r>
        <w:rPr>
          <w:spacing w:val="-52"/>
          <w:w w:val="99"/>
        </w:rPr>
        <w:t> </w:t>
      </w:r>
      <w:r>
        <w:rPr>
          <w:rFonts w:ascii="Arial" w:hAnsi="Arial" w:cs="Arial" w:eastAsia="Arial" w:hint="default"/>
          <w:w w:val="99"/>
        </w:rPr>
        <w:t>15</w:t>
      </w:r>
      <w:r>
        <w:rPr>
          <w:rFonts w:ascii="Arial" w:hAnsi="Arial" w:cs="Arial" w:eastAsia="Arial" w:hint="default"/>
          <w:spacing w:val="-8"/>
          <w:w w:val="99"/>
        </w:rPr>
        <w:t> </w:t>
      </w:r>
      <w:r>
        <w:rPr>
          <w:spacing w:val="-13"/>
          <w:w w:val="99"/>
        </w:rPr>
        <w:t>万股，因此导致联通</w:t>
      </w:r>
      <w:r>
        <w:rPr>
          <w:spacing w:val="-56"/>
          <w:w w:val="99"/>
        </w:rPr>
        <w:t> </w:t>
      </w:r>
      <w:r>
        <w:rPr>
          <w:rFonts w:ascii="Arial" w:hAnsi="Arial" w:cs="Arial" w:eastAsia="Arial" w:hint="default"/>
          <w:spacing w:val="-1"/>
          <w:w w:val="99"/>
        </w:rPr>
        <w:t>BVI </w:t>
      </w:r>
      <w:r>
        <w:rPr>
          <w:spacing w:val="6"/>
          <w:w w:val="95"/>
        </w:rPr>
        <w:t>公司对联通红筹公司持股比例下降而使归属于本集团母公司普通股股东的资本公积减少</w:t>
      </w:r>
      <w:r>
        <w:rPr>
          <w:spacing w:val="75"/>
          <w:w w:val="95"/>
        </w:rPr>
        <w:t> </w:t>
      </w:r>
      <w:r>
        <w:rPr/>
        <w:t>约人民币</w:t>
      </w:r>
      <w:r>
        <w:rPr>
          <w:spacing w:val="-57"/>
        </w:rPr>
        <w:t> </w:t>
      </w:r>
      <w:r>
        <w:rPr>
          <w:rFonts w:ascii="Arial" w:hAnsi="Arial" w:cs="Arial" w:eastAsia="Arial" w:hint="default"/>
        </w:rPr>
        <w:t>46</w:t>
      </w:r>
      <w:r>
        <w:rPr>
          <w:rFonts w:ascii="Arial" w:hAnsi="Arial" w:cs="Arial" w:eastAsia="Arial" w:hint="default"/>
          <w:spacing w:val="-8"/>
        </w:rPr>
        <w:t> </w:t>
      </w:r>
      <w:r>
        <w:rPr/>
        <w:t>万元（</w:t>
      </w:r>
      <w:r>
        <w:rPr>
          <w:rFonts w:ascii="Arial" w:hAnsi="Arial" w:cs="Arial" w:eastAsia="Arial" w:hint="default"/>
        </w:rPr>
        <w:t>2011</w:t>
      </w:r>
      <w:r>
        <w:rPr>
          <w:rFonts w:ascii="Arial" w:hAnsi="Arial" w:cs="Arial" w:eastAsia="Arial" w:hint="default"/>
          <w:spacing w:val="-8"/>
        </w:rPr>
        <w:t> </w:t>
      </w:r>
      <w:r>
        <w:rPr/>
        <w:t>年度：约人民币</w:t>
      </w:r>
      <w:r>
        <w:rPr>
          <w:spacing w:val="-57"/>
        </w:rPr>
        <w:t> </w:t>
      </w:r>
      <w:r>
        <w:rPr>
          <w:rFonts w:ascii="Arial" w:hAnsi="Arial" w:cs="Arial" w:eastAsia="Arial" w:hint="default"/>
        </w:rPr>
        <w:t>815</w:t>
      </w:r>
      <w:r>
        <w:rPr>
          <w:rFonts w:ascii="Arial" w:hAnsi="Arial" w:cs="Arial" w:eastAsia="Arial" w:hint="default"/>
          <w:spacing w:val="-7"/>
        </w:rPr>
        <w:t> </w:t>
      </w:r>
      <w:r>
        <w:rPr/>
        <w:t>万）。</w:t>
      </w:r>
    </w:p>
    <w:p>
      <w:pPr>
        <w:spacing w:line="240" w:lineRule="auto" w:before="3"/>
        <w:rPr>
          <w:rFonts w:ascii="宋体" w:hAnsi="宋体" w:cs="宋体" w:eastAsia="宋体" w:hint="default"/>
          <w:sz w:val="20"/>
          <w:szCs w:val="20"/>
        </w:rPr>
      </w:pPr>
    </w:p>
    <w:p>
      <w:pPr>
        <w:pStyle w:val="BodyText"/>
        <w:spacing w:line="286" w:lineRule="exact"/>
        <w:ind w:left="1011" w:right="100" w:hanging="462"/>
        <w:jc w:val="both"/>
      </w:pPr>
      <w:r>
        <w:rPr>
          <w:rFonts w:ascii="Arial" w:hAnsi="Arial" w:cs="Arial" w:eastAsia="Arial" w:hint="default"/>
        </w:rPr>
        <w:t>(j)</w:t>
      </w:r>
      <w:r>
        <w:rPr>
          <w:rFonts w:ascii="Arial" w:hAnsi="Arial" w:cs="Arial" w:eastAsia="Arial" w:hint="default"/>
          <w:spacing w:val="13"/>
        </w:rPr>
        <w:t> </w:t>
      </w:r>
      <w:r>
        <w:rPr/>
        <w:t>于</w:t>
      </w:r>
      <w:r>
        <w:rPr>
          <w:spacing w:val="-57"/>
        </w:rPr>
        <w:t> </w:t>
      </w:r>
      <w:r>
        <w:rPr>
          <w:rFonts w:ascii="Arial" w:hAnsi="Arial" w:cs="Arial" w:eastAsia="Arial" w:hint="default"/>
        </w:rPr>
        <w:t>2007</w:t>
      </w:r>
      <w:r>
        <w:rPr>
          <w:rFonts w:ascii="Arial" w:hAnsi="Arial" w:cs="Arial" w:eastAsia="Arial" w:hint="default"/>
          <w:spacing w:val="-8"/>
        </w:rPr>
        <w:t> </w:t>
      </w:r>
      <w:r>
        <w:rPr/>
        <w:t>年度，联通红筹公司向</w:t>
      </w:r>
      <w:r>
        <w:rPr>
          <w:spacing w:val="-57"/>
        </w:rPr>
        <w:t> </w:t>
      </w:r>
      <w:r>
        <w:rPr>
          <w:rFonts w:ascii="Arial" w:hAnsi="Arial" w:cs="Arial" w:eastAsia="Arial" w:hint="default"/>
        </w:rPr>
        <w:t>SKT</w:t>
      </w:r>
      <w:r>
        <w:rPr>
          <w:rFonts w:ascii="Arial" w:hAnsi="Arial" w:cs="Arial" w:eastAsia="Arial" w:hint="default"/>
          <w:spacing w:val="-8"/>
        </w:rPr>
        <w:t> </w:t>
      </w:r>
      <w:r>
        <w:rPr/>
        <w:t>发行的可转换债券已全部转换为联通红筹公司股份，</w:t>
      </w:r>
      <w:r>
        <w:rPr>
          <w:w w:val="99"/>
        </w:rPr>
        <w:t> </w:t>
      </w:r>
      <w:r>
        <w:rPr/>
        <w:t>根据换股后本公司对联通红筹公司的持股比例计算，增加归属于本集团母公司普通股股东</w:t>
      </w:r>
      <w:r>
        <w:rPr>
          <w:w w:val="99"/>
        </w:rPr>
        <w:t> </w:t>
      </w:r>
      <w:r>
        <w:rPr/>
        <w:t>资本公积约人民币</w:t>
      </w:r>
      <w:r>
        <w:rPr>
          <w:spacing w:val="-57"/>
        </w:rPr>
        <w:t> </w:t>
      </w:r>
      <w:r>
        <w:rPr>
          <w:rFonts w:ascii="Arial" w:hAnsi="Arial" w:cs="Arial" w:eastAsia="Arial" w:hint="default"/>
        </w:rPr>
        <w:t>31.17</w:t>
      </w:r>
      <w:r>
        <w:rPr>
          <w:rFonts w:ascii="Arial" w:hAnsi="Arial" w:cs="Arial" w:eastAsia="Arial" w:hint="default"/>
          <w:spacing w:val="-8"/>
        </w:rPr>
        <w:t> </w:t>
      </w:r>
      <w:r>
        <w:rPr/>
        <w:t>亿元。</w:t>
      </w:r>
    </w:p>
    <w:p>
      <w:pPr>
        <w:spacing w:line="240" w:lineRule="auto" w:before="1"/>
        <w:rPr>
          <w:rFonts w:ascii="宋体" w:hAnsi="宋体" w:cs="宋体" w:eastAsia="宋体" w:hint="default"/>
          <w:sz w:val="17"/>
          <w:szCs w:val="17"/>
        </w:rPr>
      </w:pPr>
    </w:p>
    <w:p>
      <w:pPr>
        <w:pStyle w:val="BodyText"/>
        <w:spacing w:line="295" w:lineRule="exact"/>
        <w:ind w:left="1011" w:right="0"/>
        <w:jc w:val="both"/>
      </w:pPr>
      <w:r>
        <w:rPr/>
        <w:t>另外，本公司所属子公司亿迅公司（发行人）于</w:t>
      </w:r>
      <w:r>
        <w:rPr>
          <w:spacing w:val="-57"/>
        </w:rPr>
        <w:t> </w:t>
      </w:r>
      <w:r>
        <w:rPr>
          <w:rFonts w:ascii="Arial" w:hAnsi="Arial" w:cs="Arial" w:eastAsia="Arial" w:hint="default"/>
        </w:rPr>
        <w:t>2010</w:t>
      </w:r>
      <w:r>
        <w:rPr>
          <w:rFonts w:ascii="Arial" w:hAnsi="Arial" w:cs="Arial" w:eastAsia="Arial" w:hint="default"/>
          <w:spacing w:val="-9"/>
        </w:rPr>
        <w:t> </w:t>
      </w:r>
      <w:r>
        <w:rPr/>
        <w:t>年</w:t>
      </w:r>
      <w:r>
        <w:rPr>
          <w:spacing w:val="-58"/>
        </w:rPr>
        <w:t> </w:t>
      </w:r>
      <w:r>
        <w:rPr>
          <w:rFonts w:ascii="Arial" w:hAnsi="Arial" w:cs="Arial" w:eastAsia="Arial" w:hint="default"/>
        </w:rPr>
        <w:t>10</w:t>
      </w:r>
      <w:r>
        <w:rPr>
          <w:rFonts w:ascii="Arial" w:hAnsi="Arial" w:cs="Arial" w:eastAsia="Arial" w:hint="default"/>
          <w:spacing w:val="-9"/>
        </w:rPr>
        <w:t> </w:t>
      </w:r>
      <w:r>
        <w:rPr/>
        <w:t>月</w:t>
      </w:r>
      <w:r>
        <w:rPr>
          <w:spacing w:val="-58"/>
        </w:rPr>
        <w:t> </w:t>
      </w:r>
      <w:r>
        <w:rPr>
          <w:rFonts w:ascii="Arial" w:hAnsi="Arial" w:cs="Arial" w:eastAsia="Arial" w:hint="default"/>
        </w:rPr>
        <w:t>18</w:t>
      </w:r>
      <w:r>
        <w:rPr>
          <w:rFonts w:ascii="Arial" w:hAnsi="Arial" w:cs="Arial" w:eastAsia="Arial" w:hint="default"/>
          <w:spacing w:val="-9"/>
        </w:rPr>
        <w:t> </w:t>
      </w:r>
      <w:r>
        <w:rPr/>
        <w:t>日完成了联通红筹公司</w:t>
      </w:r>
    </w:p>
    <w:p>
      <w:pPr>
        <w:pStyle w:val="BodyText"/>
        <w:spacing w:line="286" w:lineRule="exact"/>
        <w:ind w:left="1011" w:right="0"/>
        <w:jc w:val="both"/>
      </w:pPr>
      <w:r>
        <w:rPr/>
        <w:t>可转换债券的发行，该可转换债券权益部分约人民币 </w:t>
      </w:r>
      <w:r>
        <w:rPr>
          <w:rFonts w:ascii="Arial" w:hAnsi="Arial" w:cs="Arial" w:eastAsia="Arial" w:hint="default"/>
        </w:rPr>
        <w:t>5.72</w:t>
      </w:r>
      <w:r>
        <w:rPr>
          <w:rFonts w:ascii="Arial" w:hAnsi="Arial" w:cs="Arial" w:eastAsia="Arial" w:hint="default"/>
          <w:spacing w:val="35"/>
        </w:rPr>
        <w:t> </w:t>
      </w:r>
      <w:r>
        <w:rPr/>
        <w:t>亿元根据本公司的持股比例计</w:t>
      </w:r>
    </w:p>
    <w:p>
      <w:pPr>
        <w:pStyle w:val="BodyText"/>
        <w:spacing w:line="295" w:lineRule="exact"/>
        <w:ind w:left="1011" w:right="0"/>
        <w:jc w:val="both"/>
      </w:pPr>
      <w:r>
        <w:rPr/>
        <w:t>算约人民币</w:t>
      </w:r>
      <w:r>
        <w:rPr>
          <w:spacing w:val="-60"/>
        </w:rPr>
        <w:t> </w:t>
      </w:r>
      <w:r>
        <w:rPr>
          <w:rFonts w:ascii="Arial" w:hAnsi="Arial" w:cs="Arial" w:eastAsia="Arial" w:hint="default"/>
        </w:rPr>
        <w:t>1.94</w:t>
      </w:r>
      <w:r>
        <w:rPr>
          <w:rFonts w:ascii="Arial" w:hAnsi="Arial" w:cs="Arial" w:eastAsia="Arial" w:hint="default"/>
          <w:spacing w:val="-12"/>
        </w:rPr>
        <w:t> </w:t>
      </w:r>
      <w:r>
        <w:rPr/>
        <w:t>亿元被反映在归属于本集团母公司普通股股东资本公积项下。</w:t>
      </w:r>
    </w:p>
    <w:p>
      <w:pPr>
        <w:spacing w:line="240" w:lineRule="auto" w:before="10"/>
        <w:rPr>
          <w:rFonts w:ascii="宋体" w:hAnsi="宋体" w:cs="宋体" w:eastAsia="宋体" w:hint="default"/>
          <w:sz w:val="18"/>
          <w:szCs w:val="18"/>
        </w:rPr>
      </w:pPr>
    </w:p>
    <w:p>
      <w:pPr>
        <w:pStyle w:val="BodyText"/>
        <w:spacing w:line="230" w:lineRule="auto"/>
        <w:ind w:left="1011" w:right="141" w:hanging="462"/>
        <w:jc w:val="both"/>
      </w:pPr>
      <w:r>
        <w:rPr>
          <w:rFonts w:ascii="Arial" w:hAnsi="Arial" w:cs="Arial" w:eastAsia="Arial" w:hint="default"/>
        </w:rPr>
        <w:t>(k)</w:t>
      </w:r>
      <w:r>
        <w:rPr>
          <w:rFonts w:ascii="Arial" w:hAnsi="Arial" w:cs="Arial" w:eastAsia="Arial" w:hint="default"/>
          <w:spacing w:val="15"/>
        </w:rPr>
        <w:t> </w:t>
      </w:r>
      <w:r>
        <w:rPr/>
        <w:t>由于本公司所属联通运营公司于</w:t>
      </w:r>
      <w:r>
        <w:rPr>
          <w:spacing w:val="-56"/>
        </w:rPr>
        <w:t> </w:t>
      </w:r>
      <w:r>
        <w:rPr>
          <w:rFonts w:ascii="Arial" w:hAnsi="Arial" w:cs="Arial" w:eastAsia="Arial" w:hint="default"/>
        </w:rPr>
        <w:t>2007</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日完成了对贵州业务的收购，本公司根</w:t>
      </w:r>
      <w:r>
        <w:rPr>
          <w:w w:val="99"/>
        </w:rPr>
        <w:t> </w:t>
      </w:r>
      <w:r>
        <w:rPr>
          <w:spacing w:val="6"/>
          <w:w w:val="95"/>
        </w:rPr>
        <w:t>据持股比例计算了在同一控制下收购贵州业务对归属于本集团母公司普通股股东资本公</w:t>
      </w:r>
      <w:r>
        <w:rPr>
          <w:spacing w:val="6"/>
          <w:w w:val="99"/>
        </w:rPr>
        <w:t> </w:t>
      </w:r>
      <w:r>
        <w:rPr/>
        <w:t>积的影响。</w:t>
      </w:r>
    </w:p>
    <w:p>
      <w:pPr>
        <w:spacing w:after="0" w:line="230" w:lineRule="auto"/>
        <w:jc w:val="both"/>
        <w:sectPr>
          <w:pgSz w:w="11910" w:h="16840"/>
          <w:pgMar w:header="1184" w:footer="457" w:top="3560" w:bottom="640" w:left="1280" w:right="900"/>
        </w:sectPr>
      </w:pPr>
    </w:p>
    <w:p>
      <w:pPr>
        <w:spacing w:line="240" w:lineRule="auto" w:before="12"/>
        <w:rPr>
          <w:rFonts w:ascii="宋体" w:hAnsi="宋体" w:cs="宋体" w:eastAsia="宋体" w:hint="default"/>
          <w:sz w:val="14"/>
          <w:szCs w:val="14"/>
        </w:rPr>
      </w:pPr>
    </w:p>
    <w:p>
      <w:pPr>
        <w:pStyle w:val="BodyText"/>
        <w:spacing w:line="240" w:lineRule="auto" w:before="31"/>
        <w:ind w:left="102" w:right="0"/>
        <w:jc w:val="left"/>
      </w:pPr>
      <w:r>
        <w:rPr>
          <w:rFonts w:ascii="Arial" w:hAnsi="Arial" w:cs="Arial" w:eastAsia="Arial" w:hint="default"/>
        </w:rPr>
        <w:t>32</w:t>
      </w:r>
      <w:r>
        <w:rPr/>
        <w:t>、资本公积（续）</w:t>
      </w:r>
    </w:p>
    <w:p>
      <w:pPr>
        <w:spacing w:line="240" w:lineRule="auto" w:before="0"/>
        <w:rPr>
          <w:rFonts w:ascii="宋体" w:hAnsi="宋体" w:cs="宋体" w:eastAsia="宋体" w:hint="default"/>
          <w:sz w:val="18"/>
          <w:szCs w:val="18"/>
        </w:rPr>
      </w:pPr>
    </w:p>
    <w:p>
      <w:pPr>
        <w:pStyle w:val="BodyText"/>
        <w:tabs>
          <w:tab w:pos="1011" w:val="left" w:leader="none"/>
        </w:tabs>
        <w:spacing w:line="294" w:lineRule="exact"/>
        <w:ind w:left="550" w:right="0"/>
        <w:jc w:val="left"/>
      </w:pPr>
      <w:r>
        <w:rPr>
          <w:rFonts w:ascii="Arial" w:hAnsi="Arial" w:cs="Arial" w:eastAsia="Arial" w:hint="default"/>
          <w:w w:val="95"/>
        </w:rPr>
        <w:t>(l)</w:t>
        <w:tab/>
      </w:r>
      <w:r>
        <w:rPr/>
        <w:t>于</w:t>
      </w:r>
      <w:r>
        <w:rPr>
          <w:spacing w:val="-57"/>
        </w:rPr>
        <w:t> </w:t>
      </w:r>
      <w:r>
        <w:rPr>
          <w:rFonts w:ascii="Arial" w:hAnsi="Arial" w:cs="Arial" w:eastAsia="Arial" w:hint="default"/>
        </w:rPr>
        <w:t>2011</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spacing w:val="-3"/>
        </w:rPr>
        <w:t>月，宽带在线完成了同一控制下向联通集团收购联通新时讯的交易，故本公</w:t>
      </w:r>
    </w:p>
    <w:p>
      <w:pPr>
        <w:pStyle w:val="BodyText"/>
        <w:spacing w:line="285" w:lineRule="exact"/>
        <w:ind w:left="1011" w:right="0"/>
        <w:jc w:val="left"/>
      </w:pPr>
      <w:r>
        <w:rPr/>
        <w:t>司按持股比例增加了本公司</w:t>
      </w:r>
      <w:r>
        <w:rPr>
          <w:spacing w:val="-47"/>
        </w:rPr>
        <w:t> </w:t>
      </w:r>
      <w:r>
        <w:rPr>
          <w:rFonts w:ascii="Arial" w:hAnsi="Arial" w:cs="Arial" w:eastAsia="Arial" w:hint="default"/>
        </w:rPr>
        <w:t>2011</w:t>
      </w:r>
      <w:r>
        <w:rPr>
          <w:rFonts w:ascii="Arial" w:hAnsi="Arial" w:cs="Arial" w:eastAsia="Arial" w:hint="default"/>
          <w:spacing w:val="1"/>
        </w:rPr>
        <w:t> </w:t>
      </w:r>
      <w:r>
        <w:rPr/>
        <w:t>年年初资本公积约人民币</w:t>
      </w:r>
      <w:r>
        <w:rPr>
          <w:spacing w:val="-47"/>
        </w:rPr>
        <w:t> </w:t>
      </w:r>
      <w:r>
        <w:rPr>
          <w:rFonts w:ascii="Arial" w:hAnsi="Arial" w:cs="Arial" w:eastAsia="Arial" w:hint="default"/>
        </w:rPr>
        <w:t>4,093</w:t>
      </w:r>
      <w:r>
        <w:rPr>
          <w:rFonts w:ascii="Arial" w:hAnsi="Arial" w:cs="Arial" w:eastAsia="Arial" w:hint="default"/>
          <w:spacing w:val="1"/>
        </w:rPr>
        <w:t> </w:t>
      </w:r>
      <w:r>
        <w:rPr/>
        <w:t>万元。因本次交易的合</w:t>
      </w:r>
    </w:p>
    <w:p>
      <w:pPr>
        <w:pStyle w:val="BodyText"/>
        <w:spacing w:line="232" w:lineRule="auto"/>
        <w:ind w:left="1011" w:right="0"/>
        <w:jc w:val="left"/>
      </w:pPr>
      <w:r>
        <w:rPr/>
        <w:t>并对价约人民币 </w:t>
      </w:r>
      <w:r>
        <w:rPr>
          <w:rFonts w:ascii="Arial" w:hAnsi="Arial" w:cs="Arial" w:eastAsia="Arial" w:hint="default"/>
        </w:rPr>
        <w:t>1.58</w:t>
      </w:r>
      <w:r>
        <w:rPr>
          <w:rFonts w:ascii="Arial" w:hAnsi="Arial" w:cs="Arial" w:eastAsia="Arial" w:hint="default"/>
          <w:spacing w:val="38"/>
        </w:rPr>
        <w:t> </w:t>
      </w:r>
      <w:r>
        <w:rPr/>
        <w:t>亿元超过被合并方联通新时讯于合并日的净资产，根据同一控制下</w:t>
      </w:r>
      <w:r>
        <w:rPr>
          <w:w w:val="99"/>
        </w:rPr>
        <w:t> </w:t>
      </w:r>
      <w:r>
        <w:rPr>
          <w:spacing w:val="-4"/>
        </w:rPr>
        <w:t>企业合并的会计处理的要求，该等差额应当冲减合并方的资本公积，资本公积不足冲减的，</w:t>
      </w:r>
      <w:r>
        <w:rPr>
          <w:spacing w:val="-88"/>
        </w:rPr>
        <w:t> </w:t>
      </w:r>
      <w:r>
        <w:rPr>
          <w:spacing w:val="-88"/>
        </w:rPr>
      </w:r>
      <w:r>
        <w:rPr>
          <w:spacing w:val="-6"/>
        </w:rPr>
        <w:t>冲减留存收益。于</w:t>
      </w:r>
      <w:r>
        <w:rPr>
          <w:spacing w:val="-63"/>
        </w:rPr>
        <w:t> </w:t>
      </w:r>
      <w:r>
        <w:rPr>
          <w:rFonts w:ascii="Arial" w:hAnsi="Arial" w:cs="Arial" w:eastAsia="Arial" w:hint="default"/>
        </w:rPr>
        <w:t>2011</w:t>
      </w:r>
      <w:r>
        <w:rPr>
          <w:rFonts w:ascii="Arial" w:hAnsi="Arial" w:cs="Arial" w:eastAsia="Arial" w:hint="default"/>
          <w:spacing w:val="-15"/>
        </w:rPr>
        <w:t> </w:t>
      </w:r>
      <w:r>
        <w:rPr/>
        <w:t>年</w:t>
      </w:r>
      <w:r>
        <w:rPr>
          <w:spacing w:val="-64"/>
        </w:rPr>
        <w:t> </w:t>
      </w:r>
      <w:r>
        <w:rPr>
          <w:rFonts w:ascii="Arial" w:hAnsi="Arial" w:cs="Arial" w:eastAsia="Arial" w:hint="default"/>
        </w:rPr>
        <w:t>12</w:t>
      </w:r>
      <w:r>
        <w:rPr>
          <w:rFonts w:ascii="Arial" w:hAnsi="Arial" w:cs="Arial" w:eastAsia="Arial" w:hint="default"/>
          <w:spacing w:val="-15"/>
        </w:rPr>
        <w:t> </w:t>
      </w:r>
      <w:r>
        <w:rPr/>
        <w:t>月交易完成日，由于本次合并方宽带在线的资本公积不足冲</w:t>
      </w:r>
      <w:r>
        <w:rPr>
          <w:w w:val="99"/>
        </w:rPr>
        <w:t> </w:t>
      </w:r>
      <w:r>
        <w:rPr/>
        <w:t>减，因此合并对价在抵销因合并联通新时讯而计入合并资本公积的影响至零后，其余额冲</w:t>
      </w:r>
      <w:r>
        <w:rPr>
          <w:w w:val="99"/>
        </w:rPr>
        <w:t> </w:t>
      </w:r>
      <w:r>
        <w:rPr/>
        <w:t>减合并的留存收益。</w:t>
      </w:r>
    </w:p>
    <w:p>
      <w:pPr>
        <w:spacing w:line="240" w:lineRule="auto" w:before="3"/>
        <w:rPr>
          <w:rFonts w:ascii="宋体" w:hAnsi="宋体" w:cs="宋体" w:eastAsia="宋体" w:hint="default"/>
          <w:sz w:val="19"/>
          <w:szCs w:val="19"/>
        </w:rPr>
      </w:pPr>
    </w:p>
    <w:p>
      <w:pPr>
        <w:pStyle w:val="BodyText"/>
        <w:spacing w:line="240" w:lineRule="auto"/>
        <w:ind w:left="102" w:right="0"/>
        <w:jc w:val="left"/>
      </w:pPr>
      <w:r>
        <w:rPr>
          <w:rFonts w:ascii="Arial" w:hAnsi="Arial" w:cs="Arial" w:eastAsia="Arial" w:hint="default"/>
        </w:rPr>
        <w:t>33</w:t>
      </w:r>
      <w:r>
        <w:rPr/>
        <w:t>、盈余公积</w:t>
      </w:r>
    </w:p>
    <w:p>
      <w:pPr>
        <w:spacing w:line="240" w:lineRule="auto" w:before="1"/>
        <w:rPr>
          <w:rFonts w:ascii="宋体" w:hAnsi="宋体" w:cs="宋体" w:eastAsia="宋体" w:hint="default"/>
          <w:sz w:val="23"/>
          <w:szCs w:val="23"/>
        </w:rPr>
      </w:pPr>
    </w:p>
    <w:tbl>
      <w:tblPr>
        <w:tblW w:w="0" w:type="auto"/>
        <w:jc w:val="left"/>
        <w:tblInd w:w="550" w:type="dxa"/>
        <w:tblLayout w:type="fixed"/>
        <w:tblCellMar>
          <w:top w:w="0" w:type="dxa"/>
          <w:left w:w="0" w:type="dxa"/>
          <w:bottom w:w="0" w:type="dxa"/>
          <w:right w:w="0" w:type="dxa"/>
        </w:tblCellMar>
        <w:tblLook w:val="01E0"/>
      </w:tblPr>
      <w:tblGrid>
        <w:gridCol w:w="1936"/>
        <w:gridCol w:w="2081"/>
        <w:gridCol w:w="1900"/>
        <w:gridCol w:w="1556"/>
        <w:gridCol w:w="1543"/>
      </w:tblGrid>
      <w:tr>
        <w:trPr>
          <w:trHeight w:val="546" w:hRule="exact"/>
        </w:trPr>
        <w:tc>
          <w:tcPr>
            <w:tcW w:w="1936"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4"/>
              <w:jc w:val="center"/>
              <w:rPr>
                <w:rFonts w:ascii="宋体" w:hAnsi="宋体" w:cs="宋体" w:eastAsia="宋体" w:hint="default"/>
                <w:sz w:val="22"/>
                <w:szCs w:val="22"/>
              </w:rPr>
            </w:pPr>
            <w:r>
              <w:rPr>
                <w:rFonts w:ascii="宋体" w:hAnsi="宋体" w:cs="宋体" w:eastAsia="宋体" w:hint="default"/>
                <w:sz w:val="22"/>
                <w:szCs w:val="22"/>
              </w:rPr>
              <w:t>项目</w:t>
            </w:r>
          </w:p>
        </w:tc>
        <w:tc>
          <w:tcPr>
            <w:tcW w:w="2081" w:type="dxa"/>
            <w:tcBorders>
              <w:top w:val="nil" w:sz="6" w:space="0" w:color="auto"/>
              <w:left w:val="nil" w:sz="6" w:space="0" w:color="auto"/>
              <w:bottom w:val="single" w:sz="6" w:space="0" w:color="000000"/>
              <w:right w:val="nil" w:sz="6" w:space="0" w:color="auto"/>
            </w:tcBorders>
          </w:tcPr>
          <w:p>
            <w:pPr>
              <w:pStyle w:val="TableParagraph"/>
              <w:spacing w:line="226" w:lineRule="exact"/>
              <w:ind w:left="1046"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w:t>
            </w:r>
          </w:p>
          <w:p>
            <w:pPr>
              <w:pStyle w:val="TableParagraph"/>
              <w:spacing w:line="295" w:lineRule="exact"/>
              <w:ind w:left="716"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900"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60" w:right="0"/>
              <w:jc w:val="left"/>
              <w:rPr>
                <w:rFonts w:ascii="宋体" w:hAnsi="宋体" w:cs="宋体" w:eastAsia="宋体" w:hint="default"/>
                <w:sz w:val="22"/>
                <w:szCs w:val="22"/>
              </w:rPr>
            </w:pPr>
            <w:r>
              <w:rPr>
                <w:rFonts w:ascii="宋体" w:hAnsi="宋体" w:cs="宋体" w:eastAsia="宋体" w:hint="default"/>
                <w:sz w:val="22"/>
                <w:szCs w:val="22"/>
              </w:rPr>
              <w:t>本年增加</w:t>
            </w:r>
          </w:p>
        </w:tc>
        <w:tc>
          <w:tcPr>
            <w:tcW w:w="1556"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14"/>
              <w:jc w:val="right"/>
              <w:rPr>
                <w:rFonts w:ascii="宋体" w:hAnsi="宋体" w:cs="宋体" w:eastAsia="宋体" w:hint="default"/>
                <w:sz w:val="22"/>
                <w:szCs w:val="22"/>
              </w:rPr>
            </w:pPr>
            <w:r>
              <w:rPr>
                <w:rFonts w:ascii="宋体" w:hAnsi="宋体" w:cs="宋体" w:eastAsia="宋体" w:hint="default"/>
                <w:w w:val="95"/>
                <w:sz w:val="22"/>
                <w:szCs w:val="22"/>
              </w:rPr>
              <w:t>本年减少</w:t>
            </w:r>
            <w:r>
              <w:rPr>
                <w:rFonts w:ascii="宋体" w:hAnsi="宋体" w:cs="宋体" w:eastAsia="宋体" w:hint="default"/>
                <w:sz w:val="22"/>
                <w:szCs w:val="22"/>
              </w:rPr>
            </w:r>
          </w:p>
        </w:tc>
        <w:tc>
          <w:tcPr>
            <w:tcW w:w="1543" w:type="dxa"/>
            <w:tcBorders>
              <w:top w:val="nil" w:sz="6" w:space="0" w:color="auto"/>
              <w:left w:val="nil" w:sz="6" w:space="0" w:color="auto"/>
              <w:bottom w:val="single" w:sz="6" w:space="0" w:color="000000"/>
              <w:right w:val="nil" w:sz="6" w:space="0" w:color="auto"/>
            </w:tcBorders>
          </w:tcPr>
          <w:p>
            <w:pPr>
              <w:pStyle w:val="TableParagraph"/>
              <w:spacing w:line="226" w:lineRule="exact"/>
              <w:ind w:left="761" w:right="0"/>
              <w:jc w:val="lef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w:t>
            </w:r>
          </w:p>
          <w:p>
            <w:pPr>
              <w:pStyle w:val="TableParagraph"/>
              <w:spacing w:line="295" w:lineRule="exact"/>
              <w:ind w:left="431"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46" w:hRule="exact"/>
        </w:trPr>
        <w:tc>
          <w:tcPr>
            <w:tcW w:w="1936" w:type="dxa"/>
            <w:tcBorders>
              <w:top w:val="single" w:sz="6" w:space="0" w:color="000000"/>
              <w:left w:val="nil" w:sz="6" w:space="0" w:color="auto"/>
              <w:bottom w:val="nil" w:sz="6" w:space="0" w:color="auto"/>
              <w:right w:val="nil" w:sz="6" w:space="0" w:color="auto"/>
            </w:tcBorders>
          </w:tcPr>
          <w:p>
            <w:pPr>
              <w:pStyle w:val="TableParagraph"/>
              <w:spacing w:line="240" w:lineRule="auto" w:before="194"/>
              <w:ind w:left="14" w:right="0"/>
              <w:jc w:val="left"/>
              <w:rPr>
                <w:rFonts w:ascii="宋体" w:hAnsi="宋体" w:cs="宋体" w:eastAsia="宋体" w:hint="default"/>
                <w:sz w:val="22"/>
                <w:szCs w:val="22"/>
              </w:rPr>
            </w:pPr>
            <w:r>
              <w:rPr>
                <w:rFonts w:ascii="宋体" w:hAnsi="宋体" w:cs="宋体" w:eastAsia="宋体" w:hint="default"/>
                <w:sz w:val="22"/>
                <w:szCs w:val="22"/>
              </w:rPr>
              <w:t>法定盈余公积</w:t>
            </w:r>
          </w:p>
        </w:tc>
        <w:tc>
          <w:tcPr>
            <w:tcW w:w="2081" w:type="dxa"/>
            <w:tcBorders>
              <w:top w:val="single" w:sz="6" w:space="0" w:color="000000"/>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15" w:right="0"/>
              <w:jc w:val="left"/>
              <w:rPr>
                <w:rFonts w:ascii="Arial" w:hAnsi="Arial" w:cs="Arial" w:eastAsia="Arial" w:hint="default"/>
                <w:sz w:val="22"/>
                <w:szCs w:val="22"/>
              </w:rPr>
            </w:pPr>
            <w:r>
              <w:rPr>
                <w:rFonts w:ascii="Arial"/>
                <w:sz w:val="22"/>
              </w:rPr>
              <w:t>746,495,256</w:t>
            </w:r>
          </w:p>
        </w:tc>
        <w:tc>
          <w:tcPr>
            <w:tcW w:w="1900" w:type="dxa"/>
            <w:tcBorders>
              <w:top w:val="single" w:sz="6" w:space="0" w:color="000000"/>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70" w:right="0"/>
              <w:jc w:val="left"/>
              <w:rPr>
                <w:rFonts w:ascii="Arial" w:hAnsi="Arial" w:cs="Arial" w:eastAsia="Arial" w:hint="default"/>
                <w:sz w:val="22"/>
                <w:szCs w:val="22"/>
              </w:rPr>
            </w:pPr>
            <w:r>
              <w:rPr>
                <w:rFonts w:ascii="Arial"/>
                <w:sz w:val="22"/>
              </w:rPr>
              <w:t>77,920,376</w:t>
            </w:r>
          </w:p>
        </w:tc>
        <w:tc>
          <w:tcPr>
            <w:tcW w:w="1556" w:type="dxa"/>
            <w:tcBorders>
              <w:top w:val="single" w:sz="6" w:space="0" w:color="000000"/>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79"/>
              <w:jc w:val="right"/>
              <w:rPr>
                <w:rFonts w:ascii="Arial" w:hAnsi="Arial" w:cs="Arial" w:eastAsia="Arial" w:hint="default"/>
                <w:sz w:val="22"/>
                <w:szCs w:val="22"/>
              </w:rPr>
            </w:pPr>
            <w:r>
              <w:rPr>
                <w:rFonts w:ascii="Arial"/>
                <w:w w:val="99"/>
                <w:sz w:val="22"/>
              </w:rPr>
              <w:t>-</w:t>
            </w:r>
            <w:r>
              <w:rPr>
                <w:rFonts w:ascii="Arial"/>
                <w:sz w:val="22"/>
              </w:rPr>
            </w:r>
          </w:p>
        </w:tc>
        <w:tc>
          <w:tcPr>
            <w:tcW w:w="1543" w:type="dxa"/>
            <w:tcBorders>
              <w:top w:val="single" w:sz="6" w:space="0" w:color="000000"/>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16" w:right="0"/>
              <w:jc w:val="left"/>
              <w:rPr>
                <w:rFonts w:ascii="Arial" w:hAnsi="Arial" w:cs="Arial" w:eastAsia="Arial" w:hint="default"/>
                <w:sz w:val="22"/>
                <w:szCs w:val="22"/>
              </w:rPr>
            </w:pPr>
            <w:r>
              <w:rPr>
                <w:rFonts w:ascii="Arial"/>
                <w:sz w:val="22"/>
              </w:rPr>
              <w:t>824,415,632</w:t>
            </w:r>
          </w:p>
        </w:tc>
      </w:tr>
    </w:tbl>
    <w:p>
      <w:pPr>
        <w:spacing w:line="240" w:lineRule="auto" w:before="10"/>
        <w:rPr>
          <w:rFonts w:ascii="宋体" w:hAnsi="宋体" w:cs="宋体" w:eastAsia="宋体" w:hint="default"/>
          <w:sz w:val="21"/>
          <w:szCs w:val="21"/>
        </w:rPr>
      </w:pPr>
    </w:p>
    <w:tbl>
      <w:tblPr>
        <w:tblW w:w="0" w:type="auto"/>
        <w:jc w:val="left"/>
        <w:tblInd w:w="550" w:type="dxa"/>
        <w:tblLayout w:type="fixed"/>
        <w:tblCellMar>
          <w:top w:w="0" w:type="dxa"/>
          <w:left w:w="0" w:type="dxa"/>
          <w:bottom w:w="0" w:type="dxa"/>
          <w:right w:w="0" w:type="dxa"/>
        </w:tblCellMar>
        <w:tblLook w:val="01E0"/>
      </w:tblPr>
      <w:tblGrid>
        <w:gridCol w:w="1936"/>
        <w:gridCol w:w="2089"/>
        <w:gridCol w:w="1893"/>
        <w:gridCol w:w="1556"/>
        <w:gridCol w:w="1543"/>
      </w:tblGrid>
      <w:tr>
        <w:trPr>
          <w:trHeight w:val="546" w:hRule="exact"/>
        </w:trPr>
        <w:tc>
          <w:tcPr>
            <w:tcW w:w="1936"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4"/>
              <w:jc w:val="center"/>
              <w:rPr>
                <w:rFonts w:ascii="宋体" w:hAnsi="宋体" w:cs="宋体" w:eastAsia="宋体" w:hint="default"/>
                <w:sz w:val="22"/>
                <w:szCs w:val="22"/>
              </w:rPr>
            </w:pPr>
            <w:r>
              <w:rPr>
                <w:rFonts w:ascii="宋体" w:hAnsi="宋体" w:cs="宋体" w:eastAsia="宋体" w:hint="default"/>
                <w:sz w:val="22"/>
                <w:szCs w:val="22"/>
              </w:rPr>
              <w:t>项目</w:t>
            </w:r>
          </w:p>
        </w:tc>
        <w:tc>
          <w:tcPr>
            <w:tcW w:w="2089" w:type="dxa"/>
            <w:tcBorders>
              <w:top w:val="nil" w:sz="6" w:space="0" w:color="auto"/>
              <w:left w:val="nil" w:sz="6" w:space="0" w:color="auto"/>
              <w:bottom w:val="single" w:sz="6" w:space="0" w:color="000000"/>
              <w:right w:val="nil" w:sz="6" w:space="0" w:color="auto"/>
            </w:tcBorders>
          </w:tcPr>
          <w:p>
            <w:pPr>
              <w:pStyle w:val="TableParagraph"/>
              <w:spacing w:line="226" w:lineRule="exact"/>
              <w:ind w:left="1046" w:right="0"/>
              <w:jc w:val="lef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w:t>
            </w:r>
          </w:p>
          <w:p>
            <w:pPr>
              <w:pStyle w:val="TableParagraph"/>
              <w:spacing w:line="295" w:lineRule="exact"/>
              <w:ind w:left="716"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893"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53" w:right="0"/>
              <w:jc w:val="left"/>
              <w:rPr>
                <w:rFonts w:ascii="宋体" w:hAnsi="宋体" w:cs="宋体" w:eastAsia="宋体" w:hint="default"/>
                <w:sz w:val="22"/>
                <w:szCs w:val="22"/>
              </w:rPr>
            </w:pPr>
            <w:r>
              <w:rPr>
                <w:rFonts w:ascii="宋体" w:hAnsi="宋体" w:cs="宋体" w:eastAsia="宋体" w:hint="default"/>
                <w:sz w:val="22"/>
                <w:szCs w:val="22"/>
              </w:rPr>
              <w:t>本年增加</w:t>
            </w:r>
          </w:p>
        </w:tc>
        <w:tc>
          <w:tcPr>
            <w:tcW w:w="1556"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14"/>
              <w:jc w:val="right"/>
              <w:rPr>
                <w:rFonts w:ascii="宋体" w:hAnsi="宋体" w:cs="宋体" w:eastAsia="宋体" w:hint="default"/>
                <w:sz w:val="22"/>
                <w:szCs w:val="22"/>
              </w:rPr>
            </w:pPr>
            <w:r>
              <w:rPr>
                <w:rFonts w:ascii="宋体" w:hAnsi="宋体" w:cs="宋体" w:eastAsia="宋体" w:hint="default"/>
                <w:w w:val="95"/>
                <w:sz w:val="22"/>
                <w:szCs w:val="22"/>
              </w:rPr>
              <w:t>本年减少</w:t>
            </w:r>
            <w:r>
              <w:rPr>
                <w:rFonts w:ascii="宋体" w:hAnsi="宋体" w:cs="宋体" w:eastAsia="宋体" w:hint="default"/>
                <w:sz w:val="22"/>
                <w:szCs w:val="22"/>
              </w:rPr>
            </w:r>
          </w:p>
        </w:tc>
        <w:tc>
          <w:tcPr>
            <w:tcW w:w="1543" w:type="dxa"/>
            <w:tcBorders>
              <w:top w:val="nil" w:sz="6" w:space="0" w:color="auto"/>
              <w:left w:val="nil" w:sz="6" w:space="0" w:color="auto"/>
              <w:bottom w:val="single" w:sz="6" w:space="0" w:color="000000"/>
              <w:right w:val="nil" w:sz="6" w:space="0" w:color="auto"/>
            </w:tcBorders>
          </w:tcPr>
          <w:p>
            <w:pPr>
              <w:pStyle w:val="TableParagraph"/>
              <w:spacing w:line="226" w:lineRule="exact"/>
              <w:ind w:left="761"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w:t>
            </w:r>
          </w:p>
          <w:p>
            <w:pPr>
              <w:pStyle w:val="TableParagraph"/>
              <w:spacing w:line="295" w:lineRule="exact"/>
              <w:ind w:left="431"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46" w:hRule="exact"/>
        </w:trPr>
        <w:tc>
          <w:tcPr>
            <w:tcW w:w="1936" w:type="dxa"/>
            <w:tcBorders>
              <w:top w:val="single" w:sz="6" w:space="0" w:color="000000"/>
              <w:left w:val="nil" w:sz="6" w:space="0" w:color="auto"/>
              <w:bottom w:val="nil" w:sz="6" w:space="0" w:color="auto"/>
              <w:right w:val="nil" w:sz="6" w:space="0" w:color="auto"/>
            </w:tcBorders>
          </w:tcPr>
          <w:p>
            <w:pPr>
              <w:pStyle w:val="TableParagraph"/>
              <w:spacing w:line="240" w:lineRule="auto" w:before="194"/>
              <w:ind w:left="14" w:right="0"/>
              <w:jc w:val="left"/>
              <w:rPr>
                <w:rFonts w:ascii="宋体" w:hAnsi="宋体" w:cs="宋体" w:eastAsia="宋体" w:hint="default"/>
                <w:sz w:val="22"/>
                <w:szCs w:val="22"/>
              </w:rPr>
            </w:pPr>
            <w:r>
              <w:rPr>
                <w:rFonts w:ascii="宋体" w:hAnsi="宋体" w:cs="宋体" w:eastAsia="宋体" w:hint="default"/>
                <w:sz w:val="22"/>
                <w:szCs w:val="22"/>
              </w:rPr>
              <w:t>法定盈余公积</w:t>
            </w:r>
          </w:p>
        </w:tc>
        <w:tc>
          <w:tcPr>
            <w:tcW w:w="2089" w:type="dxa"/>
            <w:tcBorders>
              <w:top w:val="single" w:sz="6" w:space="0" w:color="000000"/>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15" w:right="0"/>
              <w:jc w:val="left"/>
              <w:rPr>
                <w:rFonts w:ascii="Arial" w:hAnsi="Arial" w:cs="Arial" w:eastAsia="Arial" w:hint="default"/>
                <w:sz w:val="22"/>
                <w:szCs w:val="22"/>
              </w:rPr>
            </w:pPr>
            <w:r>
              <w:rPr>
                <w:rFonts w:ascii="Arial"/>
                <w:sz w:val="22"/>
              </w:rPr>
              <w:t>684,955,035</w:t>
            </w:r>
          </w:p>
        </w:tc>
        <w:tc>
          <w:tcPr>
            <w:tcW w:w="1893" w:type="dxa"/>
            <w:tcBorders>
              <w:top w:val="single" w:sz="6" w:space="0" w:color="000000"/>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77" w:right="0"/>
              <w:jc w:val="left"/>
              <w:rPr>
                <w:rFonts w:ascii="Arial" w:hAnsi="Arial" w:cs="Arial" w:eastAsia="Arial" w:hint="default"/>
                <w:sz w:val="22"/>
                <w:szCs w:val="22"/>
              </w:rPr>
            </w:pPr>
            <w:r>
              <w:rPr>
                <w:rFonts w:ascii="Arial"/>
                <w:sz w:val="22"/>
              </w:rPr>
              <w:t>61,540,221</w:t>
            </w:r>
          </w:p>
        </w:tc>
        <w:tc>
          <w:tcPr>
            <w:tcW w:w="1556" w:type="dxa"/>
            <w:tcBorders>
              <w:top w:val="single" w:sz="6" w:space="0" w:color="000000"/>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68"/>
              <w:jc w:val="right"/>
              <w:rPr>
                <w:rFonts w:ascii="Arial" w:hAnsi="Arial" w:cs="Arial" w:eastAsia="Arial" w:hint="default"/>
                <w:sz w:val="22"/>
                <w:szCs w:val="22"/>
              </w:rPr>
            </w:pPr>
            <w:r>
              <w:rPr>
                <w:rFonts w:ascii="Arial"/>
                <w:w w:val="99"/>
                <w:sz w:val="22"/>
              </w:rPr>
              <w:t>-</w:t>
            </w:r>
            <w:r>
              <w:rPr>
                <w:rFonts w:ascii="Arial"/>
                <w:sz w:val="22"/>
              </w:rPr>
            </w:r>
          </w:p>
        </w:tc>
        <w:tc>
          <w:tcPr>
            <w:tcW w:w="1543" w:type="dxa"/>
            <w:tcBorders>
              <w:top w:val="single" w:sz="6" w:space="0" w:color="000000"/>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16" w:right="0"/>
              <w:jc w:val="left"/>
              <w:rPr>
                <w:rFonts w:ascii="Arial" w:hAnsi="Arial" w:cs="Arial" w:eastAsia="Arial" w:hint="default"/>
                <w:sz w:val="22"/>
                <w:szCs w:val="22"/>
              </w:rPr>
            </w:pPr>
            <w:r>
              <w:rPr>
                <w:rFonts w:ascii="Arial"/>
                <w:sz w:val="22"/>
              </w:rPr>
              <w:t>746,495,256</w:t>
            </w:r>
          </w:p>
        </w:tc>
      </w:tr>
    </w:tbl>
    <w:p>
      <w:pPr>
        <w:spacing w:line="240" w:lineRule="auto" w:before="2"/>
        <w:rPr>
          <w:rFonts w:ascii="宋体" w:hAnsi="宋体" w:cs="宋体" w:eastAsia="宋体" w:hint="default"/>
          <w:sz w:val="14"/>
          <w:szCs w:val="14"/>
        </w:rPr>
      </w:pPr>
    </w:p>
    <w:p>
      <w:pPr>
        <w:pStyle w:val="BodyText"/>
        <w:spacing w:line="228" w:lineRule="auto" w:before="44"/>
        <w:ind w:left="550" w:right="262"/>
        <w:jc w:val="both"/>
      </w:pPr>
      <w:r>
        <w:rPr>
          <w:spacing w:val="-2"/>
        </w:rPr>
        <w:t>根据《中华人民共和国公司法》及本公司《公司章程》，本公司于年度决算时按年度净利润的</w:t>
      </w:r>
      <w:r>
        <w:rPr>
          <w:spacing w:val="-92"/>
        </w:rPr>
        <w:t> </w:t>
      </w:r>
      <w:r>
        <w:rPr>
          <w:spacing w:val="-92"/>
        </w:rPr>
      </w:r>
      <w:r>
        <w:rPr>
          <w:rFonts w:ascii="Arial" w:hAnsi="Arial" w:cs="Arial" w:eastAsia="Arial" w:hint="default"/>
        </w:rPr>
        <w:t>10%</w:t>
      </w:r>
      <w:r>
        <w:rPr/>
        <w:t>提取法定盈余公积金。当法定盈余公积金累计额达到股本的</w:t>
      </w:r>
      <w:r>
        <w:rPr>
          <w:spacing w:val="-90"/>
        </w:rPr>
        <w:t> </w:t>
      </w:r>
      <w:r>
        <w:rPr>
          <w:rFonts w:ascii="Arial" w:hAnsi="Arial" w:cs="Arial" w:eastAsia="Arial" w:hint="default"/>
          <w:spacing w:val="-5"/>
        </w:rPr>
        <w:t>50%</w:t>
      </w:r>
      <w:r>
        <w:rPr>
          <w:spacing w:val="-5"/>
        </w:rPr>
        <w:t>以上时，可不再提取。法</w:t>
      </w:r>
      <w:r>
        <w:rPr>
          <w:w w:val="99"/>
        </w:rPr>
        <w:t> </w:t>
      </w:r>
      <w:r>
        <w:rPr/>
        <w:t>定盈余公积金经批准后可用于弥补亏损，或者增加股本。经董事会决议，本公司</w:t>
      </w:r>
      <w:r>
        <w:rPr>
          <w:spacing w:val="-53"/>
        </w:rPr>
        <w:t> </w:t>
      </w:r>
      <w:r>
        <w:rPr>
          <w:rFonts w:ascii="Arial" w:hAnsi="Arial" w:cs="Arial" w:eastAsia="Arial" w:hint="default"/>
        </w:rPr>
        <w:t>2012</w:t>
      </w:r>
      <w:r>
        <w:rPr>
          <w:rFonts w:ascii="Arial" w:hAnsi="Arial" w:cs="Arial" w:eastAsia="Arial" w:hint="default"/>
          <w:spacing w:val="-6"/>
        </w:rPr>
        <w:t> </w:t>
      </w:r>
      <w:r>
        <w:rPr/>
        <w:t>年按净</w:t>
      </w:r>
      <w:r>
        <w:rPr>
          <w:w w:val="99"/>
        </w:rPr>
        <w:t> </w:t>
      </w:r>
      <w:r>
        <w:rPr/>
        <w:t>利润的</w:t>
      </w:r>
      <w:r>
        <w:rPr>
          <w:spacing w:val="-42"/>
        </w:rPr>
        <w:t> </w:t>
      </w:r>
      <w:r>
        <w:rPr>
          <w:rFonts w:ascii="Arial" w:hAnsi="Arial" w:cs="Arial" w:eastAsia="Arial" w:hint="default"/>
        </w:rPr>
        <w:t>10%</w:t>
      </w:r>
      <w:r>
        <w:rPr/>
        <w:t>提取法定盈余公积约人民币</w:t>
      </w:r>
      <w:r>
        <w:rPr>
          <w:spacing w:val="-41"/>
        </w:rPr>
        <w:t> </w:t>
      </w:r>
      <w:r>
        <w:rPr>
          <w:rFonts w:ascii="Arial" w:hAnsi="Arial" w:cs="Arial" w:eastAsia="Arial" w:hint="default"/>
        </w:rPr>
        <w:t>0.78</w:t>
      </w:r>
      <w:r>
        <w:rPr>
          <w:rFonts w:ascii="Arial" w:hAnsi="Arial" w:cs="Arial" w:eastAsia="Arial" w:hint="default"/>
          <w:spacing w:val="8"/>
        </w:rPr>
        <w:t> </w:t>
      </w:r>
      <w:r>
        <w:rPr/>
        <w:t>亿元（</w:t>
      </w:r>
      <w:r>
        <w:rPr>
          <w:rFonts w:ascii="Arial" w:hAnsi="Arial" w:cs="Arial" w:eastAsia="Arial" w:hint="default"/>
        </w:rPr>
        <w:t>2011</w:t>
      </w:r>
      <w:r>
        <w:rPr>
          <w:rFonts w:ascii="Arial" w:hAnsi="Arial" w:cs="Arial" w:eastAsia="Arial" w:hint="default"/>
          <w:spacing w:val="8"/>
        </w:rPr>
        <w:t> </w:t>
      </w:r>
      <w:r>
        <w:rPr/>
        <w:t>年度：按净利润的</w:t>
      </w:r>
      <w:r>
        <w:rPr>
          <w:spacing w:val="-42"/>
        </w:rPr>
        <w:t> </w:t>
      </w:r>
      <w:r>
        <w:rPr>
          <w:rFonts w:ascii="Arial" w:hAnsi="Arial" w:cs="Arial" w:eastAsia="Arial" w:hint="default"/>
        </w:rPr>
        <w:t>10%</w:t>
      </w:r>
      <w:r>
        <w:rPr/>
        <w:t>提取，共约</w:t>
      </w:r>
      <w:r>
        <w:rPr>
          <w:w w:val="99"/>
        </w:rPr>
        <w:t> </w:t>
      </w:r>
      <w:r>
        <w:rPr/>
        <w:t>人民币</w:t>
      </w:r>
      <w:r>
        <w:rPr>
          <w:spacing w:val="-57"/>
        </w:rPr>
        <w:t> </w:t>
      </w:r>
      <w:r>
        <w:rPr>
          <w:rFonts w:ascii="Arial" w:hAnsi="Arial" w:cs="Arial" w:eastAsia="Arial" w:hint="default"/>
        </w:rPr>
        <w:t>0.62</w:t>
      </w:r>
      <w:r>
        <w:rPr>
          <w:rFonts w:ascii="Arial" w:hAnsi="Arial" w:cs="Arial" w:eastAsia="Arial" w:hint="default"/>
          <w:spacing w:val="-8"/>
        </w:rPr>
        <w:t> </w:t>
      </w:r>
      <w:r>
        <w:rPr/>
        <w:t>亿元）。</w:t>
      </w:r>
    </w:p>
    <w:p>
      <w:pPr>
        <w:spacing w:line="240" w:lineRule="auto" w:before="1"/>
        <w:rPr>
          <w:rFonts w:ascii="宋体" w:hAnsi="宋体" w:cs="宋体" w:eastAsia="宋体" w:hint="default"/>
          <w:sz w:val="18"/>
          <w:szCs w:val="18"/>
        </w:rPr>
      </w:pPr>
    </w:p>
    <w:p>
      <w:pPr>
        <w:pStyle w:val="BodyText"/>
        <w:spacing w:line="240" w:lineRule="auto"/>
        <w:ind w:left="102" w:right="0"/>
        <w:jc w:val="left"/>
      </w:pPr>
      <w:r>
        <w:rPr>
          <w:rFonts w:ascii="Arial" w:hAnsi="Arial" w:cs="Arial" w:eastAsia="Arial" w:hint="default"/>
        </w:rPr>
        <w:t>34</w:t>
      </w:r>
      <w:r>
        <w:rPr/>
        <w:t>、未分配利润</w:t>
      </w:r>
    </w:p>
    <w:p>
      <w:pPr>
        <w:spacing w:line="240" w:lineRule="auto" w:before="9"/>
        <w:rPr>
          <w:rFonts w:ascii="宋体" w:hAnsi="宋体" w:cs="宋体" w:eastAsia="宋体" w:hint="default"/>
          <w:sz w:val="22"/>
          <w:szCs w:val="22"/>
        </w:rPr>
      </w:pPr>
    </w:p>
    <w:tbl>
      <w:tblPr>
        <w:tblW w:w="0" w:type="auto"/>
        <w:jc w:val="left"/>
        <w:tblInd w:w="347" w:type="dxa"/>
        <w:tblLayout w:type="fixed"/>
        <w:tblCellMar>
          <w:top w:w="0" w:type="dxa"/>
          <w:left w:w="0" w:type="dxa"/>
          <w:bottom w:w="0" w:type="dxa"/>
          <w:right w:w="0" w:type="dxa"/>
        </w:tblCellMar>
        <w:tblLook w:val="01E0"/>
      </w:tblPr>
      <w:tblGrid>
        <w:gridCol w:w="3773"/>
        <w:gridCol w:w="616"/>
        <w:gridCol w:w="1581"/>
        <w:gridCol w:w="785"/>
        <w:gridCol w:w="1540"/>
        <w:gridCol w:w="858"/>
      </w:tblGrid>
      <w:tr>
        <w:trPr>
          <w:trHeight w:val="216" w:hRule="exact"/>
        </w:trPr>
        <w:tc>
          <w:tcPr>
            <w:tcW w:w="3773"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single" w:sz="6" w:space="0" w:color="000000"/>
              <w:right w:val="nil" w:sz="6" w:space="0" w:color="auto"/>
            </w:tcBorders>
          </w:tcPr>
          <w:p>
            <w:pPr>
              <w:pStyle w:val="TableParagraph"/>
              <w:spacing w:line="193" w:lineRule="exact"/>
              <w:ind w:left="771"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9"/>
                <w:sz w:val="18"/>
                <w:szCs w:val="18"/>
              </w:rPr>
              <w:t> </w:t>
            </w:r>
            <w:r>
              <w:rPr>
                <w:rFonts w:ascii="宋体" w:hAnsi="宋体" w:cs="宋体" w:eastAsia="宋体" w:hint="default"/>
                <w:sz w:val="18"/>
                <w:szCs w:val="18"/>
              </w:rPr>
              <w:t>年度</w:t>
            </w:r>
          </w:p>
        </w:tc>
        <w:tc>
          <w:tcPr>
            <w:tcW w:w="785" w:type="dxa"/>
            <w:tcBorders>
              <w:top w:val="nil" w:sz="6" w:space="0" w:color="auto"/>
              <w:left w:val="nil" w:sz="6" w:space="0" w:color="auto"/>
              <w:bottom w:val="single" w:sz="6" w:space="0" w:color="000000"/>
              <w:right w:val="nil" w:sz="6" w:space="0" w:color="auto"/>
            </w:tcBorders>
          </w:tcPr>
          <w:p>
            <w:pPr/>
          </w:p>
        </w:tc>
        <w:tc>
          <w:tcPr>
            <w:tcW w:w="1540" w:type="dxa"/>
            <w:tcBorders>
              <w:top w:val="nil" w:sz="6" w:space="0" w:color="auto"/>
              <w:left w:val="nil" w:sz="6" w:space="0" w:color="auto"/>
              <w:bottom w:val="single" w:sz="6" w:space="0" w:color="000000"/>
              <w:right w:val="nil" w:sz="6" w:space="0" w:color="auto"/>
            </w:tcBorders>
          </w:tcPr>
          <w:p>
            <w:pPr>
              <w:pStyle w:val="TableParagraph"/>
              <w:spacing w:line="193" w:lineRule="exact"/>
              <w:ind w:right="90"/>
              <w:jc w:val="righ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10"/>
                <w:sz w:val="18"/>
                <w:szCs w:val="18"/>
              </w:rPr>
              <w:t> </w:t>
            </w:r>
            <w:r>
              <w:rPr>
                <w:rFonts w:ascii="宋体" w:hAnsi="宋体" w:cs="宋体" w:eastAsia="宋体" w:hint="default"/>
                <w:sz w:val="18"/>
                <w:szCs w:val="18"/>
              </w:rPr>
              <w:t>年</w:t>
            </w:r>
          </w:p>
        </w:tc>
        <w:tc>
          <w:tcPr>
            <w:tcW w:w="858" w:type="dxa"/>
            <w:tcBorders>
              <w:top w:val="nil" w:sz="6" w:space="0" w:color="auto"/>
              <w:left w:val="nil" w:sz="6" w:space="0" w:color="auto"/>
              <w:bottom w:val="single" w:sz="6" w:space="0" w:color="000000"/>
              <w:right w:val="nil" w:sz="6" w:space="0" w:color="auto"/>
            </w:tcBorders>
          </w:tcPr>
          <w:p>
            <w:pPr>
              <w:pStyle w:val="TableParagraph"/>
              <w:spacing w:line="180" w:lineRule="exact"/>
              <w:ind w:left="-93" w:right="0"/>
              <w:jc w:val="left"/>
              <w:rPr>
                <w:rFonts w:ascii="宋体" w:hAnsi="宋体" w:cs="宋体" w:eastAsia="宋体" w:hint="default"/>
                <w:sz w:val="18"/>
                <w:szCs w:val="18"/>
              </w:rPr>
            </w:pPr>
            <w:r>
              <w:rPr>
                <w:rFonts w:ascii="宋体" w:hAnsi="宋体" w:cs="宋体" w:eastAsia="宋体" w:hint="default"/>
                <w:sz w:val="18"/>
                <w:szCs w:val="18"/>
              </w:rPr>
              <w:t>度</w:t>
            </w:r>
          </w:p>
        </w:tc>
      </w:tr>
      <w:tr>
        <w:trPr>
          <w:trHeight w:val="481" w:hRule="exact"/>
        </w:trPr>
        <w:tc>
          <w:tcPr>
            <w:tcW w:w="3773"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注释</w:t>
            </w:r>
          </w:p>
        </w:tc>
        <w:tc>
          <w:tcPr>
            <w:tcW w:w="1581" w:type="dxa"/>
            <w:tcBorders>
              <w:top w:val="single" w:sz="6" w:space="0" w:color="000000"/>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85"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37" w:right="0" w:firstLine="180"/>
              <w:jc w:val="left"/>
              <w:rPr>
                <w:rFonts w:ascii="宋体" w:hAnsi="宋体" w:cs="宋体" w:eastAsia="宋体" w:hint="default"/>
                <w:sz w:val="18"/>
                <w:szCs w:val="18"/>
              </w:rPr>
            </w:pPr>
            <w:r>
              <w:rPr>
                <w:rFonts w:ascii="宋体" w:hAnsi="宋体" w:cs="宋体" w:eastAsia="宋体" w:hint="default"/>
                <w:sz w:val="18"/>
                <w:szCs w:val="18"/>
              </w:rPr>
              <w:t>提取或</w:t>
            </w:r>
          </w:p>
          <w:p>
            <w:pPr>
              <w:pStyle w:val="TableParagraph"/>
              <w:spacing w:line="235" w:lineRule="exact"/>
              <w:ind w:left="37" w:right="0"/>
              <w:jc w:val="left"/>
              <w:rPr>
                <w:rFonts w:ascii="宋体" w:hAnsi="宋体" w:cs="宋体" w:eastAsia="宋体" w:hint="default"/>
                <w:sz w:val="18"/>
                <w:szCs w:val="18"/>
              </w:rPr>
            </w:pPr>
            <w:r>
              <w:rPr>
                <w:rFonts w:ascii="宋体" w:hAnsi="宋体" w:cs="宋体" w:eastAsia="宋体" w:hint="default"/>
                <w:sz w:val="18"/>
                <w:szCs w:val="18"/>
              </w:rPr>
              <w:t>分配比例</w:t>
            </w:r>
          </w:p>
        </w:tc>
        <w:tc>
          <w:tcPr>
            <w:tcW w:w="1540" w:type="dxa"/>
            <w:tcBorders>
              <w:top w:val="single" w:sz="6" w:space="0" w:color="000000"/>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z w:val="18"/>
                <w:szCs w:val="18"/>
              </w:rPr>
              <w:t>金额</w:t>
            </w:r>
          </w:p>
        </w:tc>
        <w:tc>
          <w:tcPr>
            <w:tcW w:w="858"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104" w:right="0" w:firstLine="180"/>
              <w:jc w:val="left"/>
              <w:rPr>
                <w:rFonts w:ascii="宋体" w:hAnsi="宋体" w:cs="宋体" w:eastAsia="宋体" w:hint="default"/>
                <w:sz w:val="18"/>
                <w:szCs w:val="18"/>
              </w:rPr>
            </w:pPr>
            <w:r>
              <w:rPr>
                <w:rFonts w:ascii="宋体" w:hAnsi="宋体" w:cs="宋体" w:eastAsia="宋体" w:hint="default"/>
                <w:sz w:val="18"/>
                <w:szCs w:val="18"/>
              </w:rPr>
              <w:t>提取或</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分配比例</w:t>
            </w:r>
          </w:p>
        </w:tc>
      </w:tr>
      <w:tr>
        <w:trPr>
          <w:trHeight w:val="458"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年初未分配利润</w:t>
            </w:r>
          </w:p>
        </w:tc>
        <w:tc>
          <w:tcPr>
            <w:tcW w:w="616" w:type="dxa"/>
            <w:tcBorders>
              <w:top w:val="nil" w:sz="6" w:space="0" w:color="auto"/>
              <w:left w:val="nil" w:sz="6" w:space="0" w:color="auto"/>
              <w:bottom w:val="nil" w:sz="6" w:space="0" w:color="auto"/>
              <w:right w:val="nil" w:sz="6" w:space="0" w:color="auto"/>
            </w:tcBorders>
          </w:tcPr>
          <w:p>
            <w:pPr/>
          </w:p>
        </w:tc>
        <w:tc>
          <w:tcPr>
            <w:tcW w:w="1581"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45" w:right="0"/>
              <w:jc w:val="left"/>
              <w:rPr>
                <w:rFonts w:ascii="Arial" w:hAnsi="Arial" w:cs="Arial" w:eastAsia="Arial" w:hint="default"/>
                <w:sz w:val="18"/>
                <w:szCs w:val="18"/>
              </w:rPr>
            </w:pPr>
            <w:r>
              <w:rPr>
                <w:rFonts w:ascii="Arial"/>
                <w:sz w:val="18"/>
              </w:rPr>
              <w:t>21,944,910,470</w:t>
            </w:r>
          </w:p>
        </w:tc>
        <w:tc>
          <w:tcPr>
            <w:tcW w:w="785"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8"/>
                <w:szCs w:val="18"/>
              </w:rPr>
            </w:pPr>
            <w:r>
              <w:rPr>
                <w:rFonts w:ascii="宋体" w:hAnsi="宋体" w:cs="宋体" w:eastAsia="宋体" w:hint="default"/>
                <w:sz w:val="18"/>
                <w:szCs w:val="18"/>
              </w:rPr>
              <w:t>不适用</w:t>
            </w:r>
          </w:p>
        </w:tc>
        <w:tc>
          <w:tcPr>
            <w:tcW w:w="1540"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77"/>
              <w:jc w:val="right"/>
              <w:rPr>
                <w:rFonts w:ascii="Arial" w:hAnsi="Arial" w:cs="Arial" w:eastAsia="Arial" w:hint="default"/>
                <w:sz w:val="18"/>
                <w:szCs w:val="18"/>
              </w:rPr>
            </w:pPr>
            <w:r>
              <w:rPr>
                <w:rFonts w:ascii="Arial"/>
                <w:spacing w:val="-1"/>
                <w:sz w:val="18"/>
              </w:rPr>
              <w:t>21,160,924,580</w:t>
            </w:r>
          </w:p>
        </w:tc>
        <w:tc>
          <w:tcPr>
            <w:tcW w:w="858"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233"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加：本年归属于母公司股东的净利润</w:t>
            </w:r>
          </w:p>
        </w:tc>
        <w:tc>
          <w:tcPr>
            <w:tcW w:w="616"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44" w:right="0"/>
              <w:jc w:val="left"/>
              <w:rPr>
                <w:rFonts w:ascii="Arial" w:hAnsi="Arial" w:cs="Arial" w:eastAsia="Arial" w:hint="default"/>
                <w:sz w:val="18"/>
                <w:szCs w:val="18"/>
              </w:rPr>
            </w:pPr>
            <w:r>
              <w:rPr>
                <w:rFonts w:ascii="Arial"/>
                <w:sz w:val="18"/>
              </w:rPr>
              <w:t>2,368,106,789</w:t>
            </w:r>
          </w:p>
        </w:tc>
        <w:tc>
          <w:tcPr>
            <w:tcW w:w="785" w:type="dxa"/>
            <w:tcBorders>
              <w:top w:val="nil" w:sz="6" w:space="0" w:color="auto"/>
              <w:left w:val="nil" w:sz="6" w:space="0" w:color="auto"/>
              <w:bottom w:val="nil" w:sz="6" w:space="0" w:color="auto"/>
              <w:right w:val="nil" w:sz="6" w:space="0" w:color="auto"/>
            </w:tcBorders>
          </w:tcPr>
          <w:p>
            <w:pPr>
              <w:pStyle w:val="TableParagraph"/>
              <w:spacing w:line="196" w:lineRule="exact"/>
              <w:ind w:right="25"/>
              <w:jc w:val="right"/>
              <w:rPr>
                <w:rFonts w:ascii="宋体" w:hAnsi="宋体" w:cs="宋体" w:eastAsia="宋体" w:hint="default"/>
                <w:sz w:val="18"/>
                <w:szCs w:val="18"/>
              </w:rPr>
            </w:pPr>
            <w:r>
              <w:rPr>
                <w:rFonts w:ascii="宋体" w:hAnsi="宋体" w:cs="宋体" w:eastAsia="宋体" w:hint="default"/>
                <w:sz w:val="18"/>
                <w:szCs w:val="18"/>
              </w:rPr>
              <w:t>不适用</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7"/>
              <w:jc w:val="right"/>
              <w:rPr>
                <w:rFonts w:ascii="Arial" w:hAnsi="Arial" w:cs="Arial" w:eastAsia="Arial" w:hint="default"/>
                <w:sz w:val="18"/>
                <w:szCs w:val="18"/>
              </w:rPr>
            </w:pPr>
            <w:r>
              <w:rPr>
                <w:rFonts w:ascii="Arial"/>
                <w:spacing w:val="-1"/>
                <w:sz w:val="18"/>
              </w:rPr>
              <w:t>1,412,245,739</w:t>
            </w:r>
          </w:p>
        </w:tc>
        <w:tc>
          <w:tcPr>
            <w:tcW w:w="858" w:type="dxa"/>
            <w:tcBorders>
              <w:top w:val="nil" w:sz="6" w:space="0" w:color="auto"/>
              <w:left w:val="nil" w:sz="6" w:space="0" w:color="auto"/>
              <w:bottom w:val="nil" w:sz="6" w:space="0" w:color="auto"/>
              <w:right w:val="nil" w:sz="6" w:space="0" w:color="auto"/>
            </w:tcBorders>
          </w:tcPr>
          <w:p>
            <w:pPr>
              <w:pStyle w:val="TableParagraph"/>
              <w:spacing w:line="196" w:lineRule="exact"/>
              <w:ind w:right="31"/>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233"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08" w:lineRule="exact"/>
              <w:ind w:left="200" w:right="0"/>
              <w:jc w:val="left"/>
              <w:rPr>
                <w:rFonts w:ascii="宋体" w:hAnsi="宋体" w:cs="宋体" w:eastAsia="宋体" w:hint="default"/>
                <w:sz w:val="18"/>
                <w:szCs w:val="18"/>
              </w:rPr>
            </w:pPr>
            <w:r>
              <w:rPr>
                <w:rFonts w:ascii="宋体" w:hAnsi="宋体" w:cs="宋体" w:eastAsia="宋体" w:hint="default"/>
                <w:sz w:val="18"/>
                <w:szCs w:val="18"/>
              </w:rPr>
              <w:t>减：提取法定盈余公积（附注五</w:t>
            </w:r>
            <w:r>
              <w:rPr>
                <w:rFonts w:ascii="Arial" w:hAnsi="Arial" w:cs="Arial" w:eastAsia="Arial" w:hint="default"/>
                <w:sz w:val="18"/>
                <w:szCs w:val="18"/>
              </w:rPr>
              <w:t>(33)</w:t>
            </w:r>
            <w:r>
              <w:rPr>
                <w:rFonts w:ascii="宋体" w:hAnsi="宋体" w:cs="宋体" w:eastAsia="宋体" w:hint="default"/>
                <w:sz w:val="18"/>
                <w:szCs w:val="18"/>
              </w:rPr>
              <w:t>）</w:t>
            </w:r>
          </w:p>
        </w:tc>
        <w:tc>
          <w:tcPr>
            <w:tcW w:w="616"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35" w:right="0"/>
              <w:jc w:val="left"/>
              <w:rPr>
                <w:rFonts w:ascii="Arial" w:hAnsi="Arial" w:cs="Arial" w:eastAsia="Arial" w:hint="default"/>
                <w:sz w:val="18"/>
                <w:szCs w:val="18"/>
              </w:rPr>
            </w:pPr>
            <w:r>
              <w:rPr>
                <w:rFonts w:ascii="Arial"/>
                <w:sz w:val="18"/>
              </w:rPr>
              <w:t>(77,920,376)</w:t>
            </w:r>
          </w:p>
        </w:tc>
        <w:tc>
          <w:tcPr>
            <w:tcW w:w="785" w:type="dxa"/>
            <w:tcBorders>
              <w:top w:val="nil" w:sz="6" w:space="0" w:color="auto"/>
              <w:left w:val="nil" w:sz="6" w:space="0" w:color="auto"/>
              <w:bottom w:val="nil" w:sz="6" w:space="0" w:color="auto"/>
              <w:right w:val="nil" w:sz="6" w:space="0" w:color="auto"/>
            </w:tcBorders>
          </w:tcPr>
          <w:p>
            <w:pPr>
              <w:pStyle w:val="TableParagraph"/>
              <w:spacing w:line="195" w:lineRule="exact"/>
              <w:ind w:right="25"/>
              <w:jc w:val="right"/>
              <w:rPr>
                <w:rFonts w:ascii="宋体" w:hAnsi="宋体" w:cs="宋体" w:eastAsia="宋体" w:hint="default"/>
                <w:sz w:val="18"/>
                <w:szCs w:val="18"/>
              </w:rPr>
            </w:pPr>
            <w:r>
              <w:rPr>
                <w:rFonts w:ascii="宋体" w:hAnsi="宋体" w:cs="宋体" w:eastAsia="宋体" w:hint="default"/>
                <w:sz w:val="18"/>
                <w:szCs w:val="18"/>
              </w:rPr>
              <w:t>不适用</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0"/>
              <w:jc w:val="right"/>
              <w:rPr>
                <w:rFonts w:ascii="Arial" w:hAnsi="Arial" w:cs="Arial" w:eastAsia="Arial" w:hint="default"/>
                <w:sz w:val="18"/>
                <w:szCs w:val="18"/>
              </w:rPr>
            </w:pPr>
            <w:r>
              <w:rPr>
                <w:rFonts w:ascii="Arial"/>
                <w:spacing w:val="-1"/>
                <w:sz w:val="18"/>
              </w:rPr>
              <w:t>(61,540,221)</w:t>
            </w:r>
          </w:p>
        </w:tc>
        <w:tc>
          <w:tcPr>
            <w:tcW w:w="858" w:type="dxa"/>
            <w:tcBorders>
              <w:top w:val="nil" w:sz="6" w:space="0" w:color="auto"/>
              <w:left w:val="nil" w:sz="6" w:space="0" w:color="auto"/>
              <w:bottom w:val="nil" w:sz="6" w:space="0" w:color="auto"/>
              <w:right w:val="nil" w:sz="6" w:space="0" w:color="auto"/>
            </w:tcBorders>
          </w:tcPr>
          <w:p>
            <w:pPr>
              <w:pStyle w:val="TableParagraph"/>
              <w:spacing w:line="195" w:lineRule="exact"/>
              <w:ind w:right="31"/>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233"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196" w:lineRule="exact"/>
              <w:ind w:left="567"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5" w:right="0"/>
              <w:jc w:val="left"/>
              <w:rPr>
                <w:rFonts w:ascii="Arial" w:hAnsi="Arial" w:cs="Arial" w:eastAsia="Arial" w:hint="default"/>
                <w:sz w:val="18"/>
                <w:szCs w:val="18"/>
              </w:rPr>
            </w:pPr>
            <w:r>
              <w:rPr>
                <w:rFonts w:ascii="Arial"/>
                <w:sz w:val="18"/>
              </w:rPr>
              <w:t>(a)</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36" w:right="0"/>
              <w:jc w:val="left"/>
              <w:rPr>
                <w:rFonts w:ascii="Arial" w:hAnsi="Arial" w:cs="Arial" w:eastAsia="Arial" w:hint="default"/>
                <w:sz w:val="18"/>
                <w:szCs w:val="18"/>
              </w:rPr>
            </w:pPr>
            <w:r>
              <w:rPr>
                <w:rFonts w:ascii="Arial"/>
                <w:sz w:val="18"/>
              </w:rPr>
              <w:t>(710,085,981)</w:t>
            </w:r>
          </w:p>
        </w:tc>
        <w:tc>
          <w:tcPr>
            <w:tcW w:w="785" w:type="dxa"/>
            <w:tcBorders>
              <w:top w:val="nil" w:sz="6" w:space="0" w:color="auto"/>
              <w:left w:val="nil" w:sz="6" w:space="0" w:color="auto"/>
              <w:bottom w:val="nil" w:sz="6" w:space="0" w:color="auto"/>
              <w:right w:val="nil" w:sz="6" w:space="0" w:color="auto"/>
            </w:tcBorders>
          </w:tcPr>
          <w:p>
            <w:pPr>
              <w:pStyle w:val="TableParagraph"/>
              <w:spacing w:line="196" w:lineRule="exact"/>
              <w:ind w:right="25"/>
              <w:jc w:val="right"/>
              <w:rPr>
                <w:rFonts w:ascii="宋体" w:hAnsi="宋体" w:cs="宋体" w:eastAsia="宋体" w:hint="default"/>
                <w:sz w:val="18"/>
                <w:szCs w:val="18"/>
              </w:rPr>
            </w:pPr>
            <w:r>
              <w:rPr>
                <w:rFonts w:ascii="宋体" w:hAnsi="宋体" w:cs="宋体" w:eastAsia="宋体" w:hint="default"/>
                <w:sz w:val="18"/>
                <w:szCs w:val="18"/>
              </w:rPr>
              <w:t>不适用</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7"/>
              <w:jc w:val="right"/>
              <w:rPr>
                <w:rFonts w:ascii="Arial" w:hAnsi="Arial" w:cs="Arial" w:eastAsia="Arial" w:hint="default"/>
                <w:sz w:val="18"/>
                <w:szCs w:val="18"/>
              </w:rPr>
            </w:pPr>
            <w:r>
              <w:rPr>
                <w:rFonts w:ascii="Arial"/>
                <w:spacing w:val="-1"/>
                <w:sz w:val="18"/>
              </w:rPr>
              <w:t>(551,111,506)</w:t>
            </w:r>
          </w:p>
        </w:tc>
        <w:tc>
          <w:tcPr>
            <w:tcW w:w="858" w:type="dxa"/>
            <w:tcBorders>
              <w:top w:val="nil" w:sz="6" w:space="0" w:color="auto"/>
              <w:left w:val="nil" w:sz="6" w:space="0" w:color="auto"/>
              <w:bottom w:val="nil" w:sz="6" w:space="0" w:color="auto"/>
              <w:right w:val="nil" w:sz="6" w:space="0" w:color="auto"/>
            </w:tcBorders>
          </w:tcPr>
          <w:p>
            <w:pPr>
              <w:pStyle w:val="TableParagraph"/>
              <w:spacing w:line="196" w:lineRule="exact"/>
              <w:ind w:right="31"/>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467"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195" w:lineRule="exact"/>
              <w:ind w:left="567" w:right="0"/>
              <w:jc w:val="left"/>
              <w:rPr>
                <w:rFonts w:ascii="宋体" w:hAnsi="宋体" w:cs="宋体" w:eastAsia="宋体" w:hint="default"/>
                <w:sz w:val="18"/>
                <w:szCs w:val="18"/>
              </w:rPr>
            </w:pPr>
            <w:r>
              <w:rPr>
                <w:rFonts w:ascii="宋体" w:hAnsi="宋体" w:cs="宋体" w:eastAsia="宋体" w:hint="default"/>
                <w:sz w:val="18"/>
                <w:szCs w:val="18"/>
              </w:rPr>
              <w:t>同一控制下宽带在线所收购的联通新时</w:t>
            </w:r>
          </w:p>
          <w:p>
            <w:pPr>
              <w:pStyle w:val="TableParagraph"/>
              <w:spacing w:line="235" w:lineRule="exact"/>
              <w:ind w:left="754" w:right="0"/>
              <w:jc w:val="left"/>
              <w:rPr>
                <w:rFonts w:ascii="宋体" w:hAnsi="宋体" w:cs="宋体" w:eastAsia="宋体" w:hint="default"/>
                <w:sz w:val="18"/>
                <w:szCs w:val="18"/>
              </w:rPr>
            </w:pPr>
            <w:r>
              <w:rPr>
                <w:rFonts w:ascii="宋体" w:hAnsi="宋体" w:cs="宋体" w:eastAsia="宋体" w:hint="default"/>
                <w:sz w:val="18"/>
                <w:szCs w:val="18"/>
              </w:rPr>
              <w:t>讯向联通集团分配利润</w:t>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5" w:right="0"/>
              <w:jc w:val="left"/>
              <w:rPr>
                <w:rFonts w:ascii="Arial" w:hAnsi="Arial" w:cs="Arial" w:eastAsia="Arial" w:hint="default"/>
                <w:sz w:val="18"/>
                <w:szCs w:val="18"/>
              </w:rPr>
            </w:pPr>
            <w:r>
              <w:rPr>
                <w:rFonts w:ascii="Arial"/>
                <w:sz w:val="18"/>
              </w:rPr>
              <w:t>(b)</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2"/>
              <w:jc w:val="right"/>
              <w:rPr>
                <w:rFonts w:ascii="Arial" w:hAnsi="Arial" w:cs="Arial" w:eastAsia="Arial" w:hint="default"/>
                <w:sz w:val="18"/>
                <w:szCs w:val="18"/>
              </w:rPr>
            </w:pPr>
            <w:r>
              <w:rPr>
                <w:rFonts w:ascii="Arial"/>
                <w:w w:val="99"/>
                <w:sz w:val="18"/>
              </w:rPr>
              <w:t>-</w:t>
            </w:r>
            <w:r>
              <w:rPr>
                <w:rFonts w:ascii="Arial"/>
                <w:sz w:val="18"/>
              </w:rPr>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8"/>
                <w:szCs w:val="18"/>
              </w:rPr>
            </w:pPr>
            <w:r>
              <w:rPr>
                <w:rFonts w:ascii="宋体" w:hAnsi="宋体" w:cs="宋体" w:eastAsia="宋体" w:hint="default"/>
                <w:sz w:val="18"/>
                <w:szCs w:val="18"/>
              </w:rPr>
              <w:t>不适用</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right"/>
              <w:rPr>
                <w:rFonts w:ascii="Arial" w:hAnsi="Arial" w:cs="Arial" w:eastAsia="Arial" w:hint="default"/>
                <w:sz w:val="18"/>
                <w:szCs w:val="18"/>
              </w:rPr>
            </w:pPr>
            <w:r>
              <w:rPr>
                <w:rFonts w:ascii="Arial"/>
                <w:spacing w:val="-1"/>
                <w:sz w:val="18"/>
              </w:rPr>
              <w:t>(3,029,151)</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475"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195" w:lineRule="exact"/>
              <w:ind w:left="567" w:right="0"/>
              <w:jc w:val="left"/>
              <w:rPr>
                <w:rFonts w:ascii="宋体" w:hAnsi="宋体" w:cs="宋体" w:eastAsia="宋体" w:hint="default"/>
                <w:sz w:val="18"/>
                <w:szCs w:val="18"/>
              </w:rPr>
            </w:pPr>
            <w:r>
              <w:rPr>
                <w:rFonts w:ascii="宋体" w:hAnsi="宋体" w:cs="宋体" w:eastAsia="宋体" w:hint="default"/>
                <w:sz w:val="18"/>
                <w:szCs w:val="18"/>
              </w:rPr>
              <w:t>宽带在线同一控制下收购联通新时讯支</w:t>
            </w:r>
          </w:p>
          <w:p>
            <w:pPr>
              <w:pStyle w:val="TableParagraph"/>
              <w:spacing w:line="235" w:lineRule="exact"/>
              <w:ind w:left="746" w:right="0"/>
              <w:jc w:val="left"/>
              <w:rPr>
                <w:rFonts w:ascii="宋体" w:hAnsi="宋体" w:cs="宋体" w:eastAsia="宋体" w:hint="default"/>
                <w:sz w:val="18"/>
                <w:szCs w:val="18"/>
              </w:rPr>
            </w:pPr>
            <w:r>
              <w:rPr>
                <w:rFonts w:ascii="宋体" w:hAnsi="宋体" w:cs="宋体" w:eastAsia="宋体" w:hint="default"/>
                <w:sz w:val="18"/>
                <w:szCs w:val="18"/>
              </w:rPr>
              <w:t>付的价款</w:t>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0" w:right="0"/>
              <w:jc w:val="left"/>
              <w:rPr>
                <w:rFonts w:ascii="Arial" w:hAnsi="Arial" w:cs="Arial" w:eastAsia="Arial" w:hint="default"/>
                <w:sz w:val="18"/>
                <w:szCs w:val="18"/>
              </w:rPr>
            </w:pPr>
            <w:r>
              <w:rPr>
                <w:rFonts w:ascii="Arial"/>
                <w:sz w:val="18"/>
              </w:rPr>
              <w:t>(c)</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1335" w:val="left" w:leader="none"/>
                <w:tab w:pos="1496" w:val="left" w:leader="none"/>
              </w:tabs>
              <w:spacing w:line="240" w:lineRule="auto"/>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8"/>
                <w:szCs w:val="18"/>
              </w:rPr>
            </w:pPr>
            <w:r>
              <w:rPr>
                <w:rFonts w:ascii="宋体" w:hAnsi="宋体" w:cs="宋体" w:eastAsia="宋体" w:hint="default"/>
                <w:sz w:val="18"/>
                <w:szCs w:val="18"/>
              </w:rPr>
              <w:t>不适用</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406" w:val="left" w:leader="none"/>
              </w:tabs>
              <w:spacing w:line="240" w:lineRule="auto"/>
              <w:ind w:right="2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(12,578,971)</w:t>
            </w:r>
            <w:r>
              <w:rPr>
                <w:rFonts w:ascii="Arial"/>
                <w:spacing w:val="-1"/>
                <w:sz w:val="18"/>
              </w:rPr>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255" w:hRule="exact"/>
        </w:trPr>
        <w:tc>
          <w:tcPr>
            <w:tcW w:w="3773" w:type="dxa"/>
            <w:tcBorders>
              <w:top w:val="nil" w:sz="6" w:space="0" w:color="auto"/>
              <w:left w:val="nil" w:sz="6" w:space="0" w:color="auto"/>
              <w:bottom w:val="nil" w:sz="6" w:space="0" w:color="auto"/>
              <w:right w:val="nil" w:sz="6" w:space="0" w:color="auto"/>
            </w:tcBorders>
          </w:tcPr>
          <w:p>
            <w:pPr>
              <w:pStyle w:val="TableParagraph"/>
              <w:spacing w:line="203" w:lineRule="exact"/>
              <w:ind w:left="200" w:right="0"/>
              <w:jc w:val="left"/>
              <w:rPr>
                <w:rFonts w:ascii="宋体" w:hAnsi="宋体" w:cs="宋体" w:eastAsia="宋体" w:hint="default"/>
                <w:sz w:val="18"/>
                <w:szCs w:val="18"/>
              </w:rPr>
            </w:pPr>
            <w:r>
              <w:rPr>
                <w:rFonts w:ascii="宋体" w:hAnsi="宋体" w:cs="宋体" w:eastAsia="宋体" w:hint="default"/>
                <w:sz w:val="18"/>
                <w:szCs w:val="18"/>
              </w:rPr>
              <w:t>年末未分配利润</w:t>
            </w:r>
          </w:p>
        </w:tc>
        <w:tc>
          <w:tcPr>
            <w:tcW w:w="616"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single" w:sz="17" w:space="0" w:color="000000"/>
              <w:right w:val="nil" w:sz="6" w:space="0" w:color="auto"/>
            </w:tcBorders>
          </w:tcPr>
          <w:p>
            <w:pPr>
              <w:pStyle w:val="TableParagraph"/>
              <w:spacing w:line="240" w:lineRule="auto" w:before="22"/>
              <w:ind w:left="145" w:right="0"/>
              <w:jc w:val="left"/>
              <w:rPr>
                <w:rFonts w:ascii="Arial" w:hAnsi="Arial" w:cs="Arial" w:eastAsia="Arial" w:hint="default"/>
                <w:sz w:val="18"/>
                <w:szCs w:val="18"/>
              </w:rPr>
            </w:pPr>
            <w:r>
              <w:rPr>
                <w:rFonts w:ascii="Arial"/>
                <w:sz w:val="18"/>
              </w:rPr>
              <w:t>23,525,010,902</w:t>
            </w:r>
          </w:p>
        </w:tc>
        <w:tc>
          <w:tcPr>
            <w:tcW w:w="785" w:type="dxa"/>
            <w:tcBorders>
              <w:top w:val="nil" w:sz="6" w:space="0" w:color="auto"/>
              <w:left w:val="nil" w:sz="6" w:space="0" w:color="auto"/>
              <w:bottom w:val="nil" w:sz="6" w:space="0" w:color="auto"/>
              <w:right w:val="nil" w:sz="6" w:space="0" w:color="auto"/>
            </w:tcBorders>
          </w:tcPr>
          <w:p>
            <w:pPr>
              <w:pStyle w:val="TableParagraph"/>
              <w:spacing w:line="203" w:lineRule="exact"/>
              <w:ind w:right="25"/>
              <w:jc w:val="right"/>
              <w:rPr>
                <w:rFonts w:ascii="宋体" w:hAnsi="宋体" w:cs="宋体" w:eastAsia="宋体" w:hint="default"/>
                <w:sz w:val="18"/>
                <w:szCs w:val="18"/>
              </w:rPr>
            </w:pPr>
            <w:r>
              <w:rPr>
                <w:rFonts w:ascii="宋体" w:hAnsi="宋体" w:cs="宋体" w:eastAsia="宋体" w:hint="default"/>
                <w:sz w:val="18"/>
                <w:szCs w:val="18"/>
              </w:rPr>
              <w:t>不适用</w:t>
            </w:r>
          </w:p>
        </w:tc>
        <w:tc>
          <w:tcPr>
            <w:tcW w:w="1540" w:type="dxa"/>
            <w:tcBorders>
              <w:top w:val="nil" w:sz="6" w:space="0" w:color="auto"/>
              <w:left w:val="nil" w:sz="6" w:space="0" w:color="auto"/>
              <w:bottom w:val="single" w:sz="17" w:space="0" w:color="000000"/>
              <w:right w:val="nil" w:sz="6" w:space="0" w:color="auto"/>
            </w:tcBorders>
          </w:tcPr>
          <w:p>
            <w:pPr>
              <w:pStyle w:val="TableParagraph"/>
              <w:spacing w:line="240" w:lineRule="auto" w:before="22"/>
              <w:ind w:right="77"/>
              <w:jc w:val="right"/>
              <w:rPr>
                <w:rFonts w:ascii="Arial" w:hAnsi="Arial" w:cs="Arial" w:eastAsia="Arial" w:hint="default"/>
                <w:sz w:val="18"/>
                <w:szCs w:val="18"/>
              </w:rPr>
            </w:pPr>
            <w:r>
              <w:rPr>
                <w:rFonts w:ascii="Arial"/>
                <w:spacing w:val="-1"/>
                <w:sz w:val="18"/>
              </w:rPr>
              <w:t>21,944,910,470</w:t>
            </w:r>
          </w:p>
        </w:tc>
        <w:tc>
          <w:tcPr>
            <w:tcW w:w="858" w:type="dxa"/>
            <w:tcBorders>
              <w:top w:val="nil" w:sz="6" w:space="0" w:color="auto"/>
              <w:left w:val="nil" w:sz="6" w:space="0" w:color="auto"/>
              <w:bottom w:val="nil" w:sz="6" w:space="0" w:color="auto"/>
              <w:right w:val="nil" w:sz="6" w:space="0" w:color="auto"/>
            </w:tcBorders>
          </w:tcPr>
          <w:p>
            <w:pPr>
              <w:pStyle w:val="TableParagraph"/>
              <w:spacing w:line="203" w:lineRule="exact"/>
              <w:ind w:right="31"/>
              <w:jc w:val="righ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03" w:lineRule="exact"/>
        <w:jc w:val="right"/>
        <w:rPr>
          <w:rFonts w:ascii="宋体" w:hAnsi="宋体" w:cs="宋体" w:eastAsia="宋体" w:hint="default"/>
          <w:sz w:val="18"/>
          <w:szCs w:val="18"/>
        </w:rPr>
        <w:sectPr>
          <w:headerReference w:type="default" r:id="rId115"/>
          <w:pgSz w:w="11910" w:h="16840"/>
          <w:pgMar w:header="1184" w:footer="457" w:top="3040" w:bottom="640" w:left="1280" w:right="840"/>
        </w:sectPr>
      </w:pPr>
    </w:p>
    <w:p>
      <w:pPr>
        <w:spacing w:line="240" w:lineRule="auto" w:before="12"/>
        <w:rPr>
          <w:rFonts w:ascii="宋体" w:hAnsi="宋体" w:cs="宋体" w:eastAsia="宋体" w:hint="default"/>
          <w:sz w:val="14"/>
          <w:szCs w:val="14"/>
        </w:rPr>
      </w:pPr>
    </w:p>
    <w:p>
      <w:pPr>
        <w:pStyle w:val="BodyText"/>
        <w:spacing w:line="240" w:lineRule="auto" w:before="31"/>
        <w:ind w:left="102" w:right="122"/>
        <w:jc w:val="left"/>
      </w:pPr>
      <w:r>
        <w:rPr>
          <w:rFonts w:ascii="Arial" w:hAnsi="Arial" w:cs="Arial" w:eastAsia="Arial" w:hint="default"/>
        </w:rPr>
        <w:t>34</w:t>
      </w:r>
      <w:r>
        <w:rPr/>
        <w:t>、未分配利润（续）</w:t>
      </w:r>
    </w:p>
    <w:p>
      <w:pPr>
        <w:spacing w:line="240" w:lineRule="auto" w:before="0"/>
        <w:rPr>
          <w:rFonts w:ascii="宋体" w:hAnsi="宋体" w:cs="宋体" w:eastAsia="宋体" w:hint="default"/>
          <w:sz w:val="18"/>
          <w:szCs w:val="18"/>
        </w:rPr>
      </w:pPr>
    </w:p>
    <w:p>
      <w:pPr>
        <w:pStyle w:val="BodyText"/>
        <w:spacing w:line="294" w:lineRule="exact"/>
        <w:ind w:left="550" w:right="0"/>
        <w:jc w:val="both"/>
        <w:rPr>
          <w:rFonts w:ascii="Arial" w:hAnsi="Arial" w:cs="Arial" w:eastAsia="Arial" w:hint="default"/>
        </w:rPr>
      </w:pPr>
      <w:r>
        <w:rPr>
          <w:w w:val="99"/>
        </w:rPr>
        <w:t>于</w:t>
      </w:r>
      <w:r>
        <w:rPr>
          <w:spacing w:val="-68"/>
        </w:rPr>
        <w:t> </w:t>
      </w:r>
      <w:r>
        <w:rPr>
          <w:rFonts w:ascii="Arial" w:hAnsi="Arial" w:cs="Arial" w:eastAsia="Arial" w:hint="default"/>
          <w:w w:val="99"/>
        </w:rPr>
        <w:t>2012</w:t>
      </w:r>
      <w:r>
        <w:rPr>
          <w:rFonts w:ascii="Arial" w:hAnsi="Arial" w:cs="Arial" w:eastAsia="Arial" w:hint="default"/>
          <w:spacing w:val="-19"/>
        </w:rPr>
        <w:t> </w:t>
      </w:r>
      <w:r>
        <w:rPr>
          <w:w w:val="99"/>
        </w:rPr>
        <w:t>年</w:t>
      </w:r>
      <w:r>
        <w:rPr>
          <w:spacing w:val="-68"/>
        </w:rPr>
        <w:t> </w:t>
      </w:r>
      <w:r>
        <w:rPr>
          <w:rFonts w:ascii="Arial" w:hAnsi="Arial" w:cs="Arial" w:eastAsia="Arial" w:hint="default"/>
          <w:w w:val="99"/>
        </w:rPr>
        <w:t>12</w:t>
      </w:r>
      <w:r>
        <w:rPr>
          <w:rFonts w:ascii="Arial" w:hAnsi="Arial" w:cs="Arial" w:eastAsia="Arial" w:hint="default"/>
          <w:spacing w:val="-19"/>
        </w:rPr>
        <w:t> </w:t>
      </w:r>
      <w:r>
        <w:rPr>
          <w:w w:val="99"/>
        </w:rPr>
        <w:t>月</w:t>
      </w:r>
      <w:r>
        <w:rPr>
          <w:spacing w:val="-68"/>
        </w:rPr>
        <w:t> </w:t>
      </w:r>
      <w:r>
        <w:rPr>
          <w:rFonts w:ascii="Arial" w:hAnsi="Arial" w:cs="Arial" w:eastAsia="Arial" w:hint="default"/>
          <w:w w:val="99"/>
        </w:rPr>
        <w:t>31</w:t>
      </w:r>
      <w:r>
        <w:rPr>
          <w:rFonts w:ascii="Arial" w:hAnsi="Arial" w:cs="Arial" w:eastAsia="Arial" w:hint="default"/>
          <w:spacing w:val="-19"/>
        </w:rPr>
        <w:t> </w:t>
      </w:r>
      <w:r>
        <w:rPr>
          <w:w w:val="99"/>
        </w:rPr>
        <w:t>日</w:t>
      </w:r>
      <w:r>
        <w:rPr>
          <w:spacing w:val="-110"/>
          <w:w w:val="99"/>
        </w:rPr>
        <w:t>，</w:t>
      </w:r>
      <w:r>
        <w:rPr>
          <w:w w:val="99"/>
        </w:rPr>
        <w:t>未分配利润中包含归属于母</w:t>
      </w:r>
      <w:r>
        <w:rPr>
          <w:spacing w:val="1"/>
          <w:w w:val="99"/>
        </w:rPr>
        <w:t>公</w:t>
      </w:r>
      <w:r>
        <w:rPr>
          <w:w w:val="99"/>
        </w:rPr>
        <w:t>司的子公司盈余公积余额约人民币</w:t>
      </w:r>
      <w:r>
        <w:rPr>
          <w:spacing w:val="-66"/>
        </w:rPr>
        <w:t> </w:t>
      </w:r>
      <w:r>
        <w:rPr>
          <w:rFonts w:ascii="Arial" w:hAnsi="Arial" w:cs="Arial" w:eastAsia="Arial" w:hint="default"/>
          <w:w w:val="99"/>
        </w:rPr>
        <w:t>86.</w:t>
      </w:r>
      <w:r>
        <w:rPr>
          <w:rFonts w:ascii="Arial" w:hAnsi="Arial" w:cs="Arial" w:eastAsia="Arial" w:hint="default"/>
          <w:spacing w:val="1"/>
          <w:w w:val="99"/>
        </w:rPr>
        <w:t>6</w:t>
      </w:r>
      <w:r>
        <w:rPr>
          <w:rFonts w:ascii="Arial" w:hAnsi="Arial" w:cs="Arial" w:eastAsia="Arial" w:hint="default"/>
          <w:w w:val="99"/>
        </w:rPr>
        <w:t>8</w:t>
      </w:r>
      <w:r>
        <w:rPr>
          <w:rFonts w:ascii="Arial" w:hAnsi="Arial" w:cs="Arial" w:eastAsia="Arial" w:hint="default"/>
        </w:rPr>
      </w:r>
    </w:p>
    <w:p>
      <w:pPr>
        <w:pStyle w:val="BodyText"/>
        <w:spacing w:line="285" w:lineRule="exact"/>
        <w:ind w:left="550" w:right="0"/>
        <w:jc w:val="both"/>
      </w:pPr>
      <w:r>
        <w:rPr/>
        <w:t>亿元（</w:t>
      </w:r>
      <w:r>
        <w:rPr>
          <w:rFonts w:ascii="Arial" w:hAnsi="Arial" w:cs="Arial" w:eastAsia="Arial" w:hint="default"/>
        </w:rPr>
        <w:t>2011</w:t>
      </w:r>
      <w:r>
        <w:rPr>
          <w:rFonts w:ascii="Arial" w:hAnsi="Arial" w:cs="Arial" w:eastAsia="Arial" w:hint="default"/>
          <w:spacing w:val="2"/>
        </w:rPr>
        <w:t> </w:t>
      </w:r>
      <w:r>
        <w:rPr/>
        <w:t>年</w:t>
      </w:r>
      <w:r>
        <w:rPr>
          <w:spacing w:val="-49"/>
        </w:rPr>
        <w:t> </w:t>
      </w:r>
      <w:r>
        <w:rPr>
          <w:rFonts w:ascii="Arial" w:hAnsi="Arial" w:cs="Arial" w:eastAsia="Arial" w:hint="default"/>
        </w:rPr>
        <w:t>12 </w:t>
      </w:r>
      <w:r>
        <w:rPr/>
        <w:t>月</w:t>
      </w:r>
      <w:r>
        <w:rPr>
          <w:spacing w:val="-49"/>
        </w:rPr>
        <w:t> </w:t>
      </w:r>
      <w:r>
        <w:rPr>
          <w:rFonts w:ascii="Arial" w:hAnsi="Arial" w:cs="Arial" w:eastAsia="Arial" w:hint="default"/>
        </w:rPr>
        <w:t>31</w:t>
      </w:r>
      <w:r>
        <w:rPr>
          <w:rFonts w:ascii="Arial" w:hAnsi="Arial" w:cs="Arial" w:eastAsia="Arial" w:hint="default"/>
          <w:spacing w:val="1"/>
        </w:rPr>
        <w:t> </w:t>
      </w:r>
      <w:r>
        <w:rPr/>
        <w:t>日：约人民币</w:t>
      </w:r>
      <w:r>
        <w:rPr>
          <w:spacing w:val="-48"/>
        </w:rPr>
        <w:t> </w:t>
      </w:r>
      <w:r>
        <w:rPr>
          <w:rFonts w:ascii="Arial" w:hAnsi="Arial" w:cs="Arial" w:eastAsia="Arial" w:hint="default"/>
        </w:rPr>
        <w:t>84.33 </w:t>
      </w:r>
      <w:r>
        <w:rPr/>
        <w:t>亿元），其中子公司</w:t>
      </w:r>
      <w:r>
        <w:rPr>
          <w:spacing w:val="-48"/>
        </w:rPr>
        <w:t> </w:t>
      </w:r>
      <w:r>
        <w:rPr>
          <w:rFonts w:ascii="Arial" w:hAnsi="Arial" w:cs="Arial" w:eastAsia="Arial" w:hint="default"/>
        </w:rPr>
        <w:t>2012 </w:t>
      </w:r>
      <w:r>
        <w:rPr/>
        <w:t>年度计提的归属于母</w:t>
      </w:r>
    </w:p>
    <w:p>
      <w:pPr>
        <w:pStyle w:val="BodyText"/>
        <w:spacing w:line="295" w:lineRule="exact"/>
        <w:ind w:left="550" w:right="0"/>
        <w:jc w:val="both"/>
      </w:pPr>
      <w:r>
        <w:rPr/>
        <w:t>公司的盈余公积约人民币</w:t>
      </w:r>
      <w:r>
        <w:rPr>
          <w:spacing w:val="-57"/>
        </w:rPr>
        <w:t> </w:t>
      </w:r>
      <w:r>
        <w:rPr>
          <w:rFonts w:ascii="Arial" w:hAnsi="Arial" w:cs="Arial" w:eastAsia="Arial" w:hint="default"/>
        </w:rPr>
        <w:t>2.35</w:t>
      </w:r>
      <w:r>
        <w:rPr>
          <w:rFonts w:ascii="Arial" w:hAnsi="Arial" w:cs="Arial" w:eastAsia="Arial" w:hint="default"/>
          <w:spacing w:val="-9"/>
        </w:rPr>
        <w:t> </w:t>
      </w:r>
      <w:r>
        <w:rPr/>
        <w:t>亿元（</w:t>
      </w:r>
      <w:r>
        <w:rPr>
          <w:rFonts w:ascii="Arial" w:hAnsi="Arial" w:cs="Arial" w:eastAsia="Arial" w:hint="default"/>
        </w:rPr>
        <w:t>2011</w:t>
      </w:r>
      <w:r>
        <w:rPr>
          <w:rFonts w:ascii="Arial" w:hAnsi="Arial" w:cs="Arial" w:eastAsia="Arial" w:hint="default"/>
          <w:spacing w:val="-9"/>
        </w:rPr>
        <w:t> </w:t>
      </w:r>
      <w:r>
        <w:rPr/>
        <w:t>年度：约人民币</w:t>
      </w:r>
      <w:r>
        <w:rPr>
          <w:spacing w:val="-56"/>
        </w:rPr>
        <w:t> </w:t>
      </w:r>
      <w:r>
        <w:rPr>
          <w:rFonts w:ascii="Arial" w:hAnsi="Arial" w:cs="Arial" w:eastAsia="Arial" w:hint="default"/>
        </w:rPr>
        <w:t>1.15</w:t>
      </w:r>
      <w:r>
        <w:rPr>
          <w:rFonts w:ascii="Arial" w:hAnsi="Arial" w:cs="Arial" w:eastAsia="Arial" w:hint="default"/>
          <w:spacing w:val="-9"/>
        </w:rPr>
        <w:t> </w:t>
      </w:r>
      <w:r>
        <w:rPr/>
        <w:t>亿元）。</w:t>
      </w:r>
    </w:p>
    <w:p>
      <w:pPr>
        <w:spacing w:line="240" w:lineRule="auto" w:before="4"/>
        <w:rPr>
          <w:rFonts w:ascii="宋体" w:hAnsi="宋体" w:cs="宋体" w:eastAsia="宋体" w:hint="default"/>
          <w:sz w:val="15"/>
          <w:szCs w:val="15"/>
        </w:rPr>
      </w:pPr>
    </w:p>
    <w:p>
      <w:pPr>
        <w:pStyle w:val="BodyText"/>
        <w:spacing w:line="295" w:lineRule="exact"/>
        <w:ind w:left="550" w:right="0"/>
        <w:jc w:val="both"/>
      </w:pPr>
      <w:r>
        <w:rPr/>
        <w:t>于</w:t>
      </w:r>
      <w:r>
        <w:rPr>
          <w:spacing w:val="-59"/>
        </w:rPr>
        <w:t> </w:t>
      </w:r>
      <w:r>
        <w:rPr>
          <w:rFonts w:ascii="Arial" w:hAnsi="Arial" w:cs="Arial" w:eastAsia="Arial" w:hint="default"/>
        </w:rPr>
        <w:t>2012</w:t>
      </w:r>
      <w:r>
        <w:rPr>
          <w:rFonts w:ascii="Arial" w:hAnsi="Arial" w:cs="Arial" w:eastAsia="Arial" w:hint="default"/>
          <w:spacing w:val="-10"/>
        </w:rPr>
        <w:t> </w:t>
      </w:r>
      <w:r>
        <w:rPr/>
        <w:t>年</w:t>
      </w:r>
      <w:r>
        <w:rPr>
          <w:spacing w:val="-59"/>
        </w:rPr>
        <w:t> </w:t>
      </w:r>
      <w:r>
        <w:rPr>
          <w:rFonts w:ascii="Arial" w:hAnsi="Arial" w:cs="Arial" w:eastAsia="Arial" w:hint="default"/>
        </w:rPr>
        <w:t>12</w:t>
      </w:r>
      <w:r>
        <w:rPr>
          <w:rFonts w:ascii="Arial" w:hAnsi="Arial" w:cs="Arial" w:eastAsia="Arial" w:hint="default"/>
          <w:spacing w:val="-10"/>
        </w:rPr>
        <w:t> </w:t>
      </w:r>
      <w:r>
        <w:rPr/>
        <w:t>月</w:t>
      </w:r>
      <w:r>
        <w:rPr>
          <w:spacing w:val="-59"/>
        </w:rPr>
        <w:t> </w:t>
      </w:r>
      <w:r>
        <w:rPr>
          <w:rFonts w:ascii="Arial" w:hAnsi="Arial" w:cs="Arial" w:eastAsia="Arial" w:hint="default"/>
        </w:rPr>
        <w:t>31</w:t>
      </w:r>
      <w:r>
        <w:rPr>
          <w:rFonts w:ascii="Arial" w:hAnsi="Arial" w:cs="Arial" w:eastAsia="Arial" w:hint="default"/>
          <w:spacing w:val="-10"/>
        </w:rPr>
        <w:t> </w:t>
      </w:r>
      <w:r>
        <w:rPr/>
        <w:t>日及</w:t>
      </w:r>
      <w:r>
        <w:rPr>
          <w:spacing w:val="-59"/>
        </w:rPr>
        <w:t> </w:t>
      </w:r>
      <w:r>
        <w:rPr>
          <w:rFonts w:ascii="Arial" w:hAnsi="Arial" w:cs="Arial" w:eastAsia="Arial" w:hint="default"/>
        </w:rPr>
        <w:t>2011</w:t>
      </w:r>
      <w:r>
        <w:rPr>
          <w:rFonts w:ascii="Arial" w:hAnsi="Arial" w:cs="Arial" w:eastAsia="Arial" w:hint="default"/>
          <w:spacing w:val="-10"/>
        </w:rPr>
        <w:t> </w:t>
      </w:r>
      <w:r>
        <w:rPr/>
        <w:t>年</w:t>
      </w:r>
      <w:r>
        <w:rPr>
          <w:spacing w:val="-59"/>
        </w:rPr>
        <w:t> </w:t>
      </w:r>
      <w:r>
        <w:rPr>
          <w:rFonts w:ascii="Arial" w:hAnsi="Arial" w:cs="Arial" w:eastAsia="Arial" w:hint="default"/>
        </w:rPr>
        <w:t>12</w:t>
      </w:r>
      <w:r>
        <w:rPr>
          <w:rFonts w:ascii="Arial" w:hAnsi="Arial" w:cs="Arial" w:eastAsia="Arial" w:hint="default"/>
          <w:spacing w:val="-10"/>
        </w:rPr>
        <w:t> </w:t>
      </w:r>
      <w:r>
        <w:rPr/>
        <w:t>月</w:t>
      </w:r>
      <w:r>
        <w:rPr>
          <w:spacing w:val="-59"/>
        </w:rPr>
        <w:t> </w:t>
      </w:r>
      <w:r>
        <w:rPr>
          <w:rFonts w:ascii="Arial" w:hAnsi="Arial" w:cs="Arial" w:eastAsia="Arial" w:hint="default"/>
        </w:rPr>
        <w:t>31</w:t>
      </w:r>
      <w:r>
        <w:rPr>
          <w:rFonts w:ascii="Arial" w:hAnsi="Arial" w:cs="Arial" w:eastAsia="Arial" w:hint="default"/>
          <w:spacing w:val="-10"/>
        </w:rPr>
        <w:t> </w:t>
      </w:r>
      <w:r>
        <w:rPr/>
        <w:t>日，子公司计提的任意盈余公积为联通运营公司根</w:t>
      </w:r>
    </w:p>
    <w:p>
      <w:pPr>
        <w:pStyle w:val="BodyText"/>
        <w:spacing w:line="230" w:lineRule="auto" w:before="1"/>
        <w:ind w:left="550" w:right="223"/>
        <w:jc w:val="both"/>
      </w:pPr>
      <w:r>
        <w:rPr/>
        <w:t>据财政部和国家税务总局</w:t>
      </w:r>
      <w:r>
        <w:rPr>
          <w:spacing w:val="-58"/>
        </w:rPr>
        <w:t> </w:t>
      </w:r>
      <w:r>
        <w:rPr>
          <w:rFonts w:ascii="Arial" w:hAnsi="Arial" w:cs="Arial" w:eastAsia="Arial" w:hint="default"/>
        </w:rPr>
        <w:t>2005</w:t>
      </w:r>
      <w:r>
        <w:rPr>
          <w:rFonts w:ascii="Arial" w:hAnsi="Arial" w:cs="Arial" w:eastAsia="Arial" w:hint="default"/>
          <w:spacing w:val="-10"/>
        </w:rPr>
        <w:t> </w:t>
      </w:r>
      <w:r>
        <w:rPr/>
        <w:t>年</w:t>
      </w:r>
      <w:r>
        <w:rPr>
          <w:spacing w:val="-59"/>
        </w:rPr>
        <w:t> </w:t>
      </w:r>
      <w:r>
        <w:rPr>
          <w:rFonts w:ascii="Arial" w:hAnsi="Arial" w:cs="Arial" w:eastAsia="Arial" w:hint="default"/>
        </w:rPr>
        <w:t>4</w:t>
      </w:r>
      <w:r>
        <w:rPr>
          <w:rFonts w:ascii="Arial" w:hAnsi="Arial" w:cs="Arial" w:eastAsia="Arial" w:hint="default"/>
          <w:spacing w:val="-10"/>
        </w:rPr>
        <w:t> </w:t>
      </w:r>
      <w:r>
        <w:rPr/>
        <w:t>月</w:t>
      </w:r>
      <w:r>
        <w:rPr>
          <w:spacing w:val="-59"/>
        </w:rPr>
        <w:t> </w:t>
      </w:r>
      <w:r>
        <w:rPr>
          <w:rFonts w:ascii="Arial" w:hAnsi="Arial" w:cs="Arial" w:eastAsia="Arial" w:hint="default"/>
        </w:rPr>
        <w:t>6</w:t>
      </w:r>
      <w:r>
        <w:rPr>
          <w:rFonts w:ascii="Arial" w:hAnsi="Arial" w:cs="Arial" w:eastAsia="Arial" w:hint="default"/>
          <w:spacing w:val="-10"/>
        </w:rPr>
        <w:t> </w:t>
      </w:r>
      <w:r>
        <w:rPr/>
        <w:t>日相关批复文件（财税</w:t>
      </w:r>
      <w:r>
        <w:rPr>
          <w:rFonts w:ascii="Arial" w:hAnsi="Arial" w:cs="Arial" w:eastAsia="Arial" w:hint="default"/>
        </w:rPr>
        <w:t>[2005]56</w:t>
      </w:r>
      <w:r>
        <w:rPr>
          <w:rFonts w:ascii="Arial" w:hAnsi="Arial" w:cs="Arial" w:eastAsia="Arial" w:hint="default"/>
          <w:spacing w:val="-9"/>
        </w:rPr>
        <w:t> </w:t>
      </w:r>
      <w:r>
        <w:rPr>
          <w:spacing w:val="-4"/>
        </w:rPr>
        <w:t>号），将计入利润表</w:t>
      </w:r>
      <w:r>
        <w:rPr>
          <w:w w:val="99"/>
        </w:rPr>
        <w:t> </w:t>
      </w:r>
      <w:r>
        <w:rPr>
          <w:spacing w:val="-2"/>
        </w:rPr>
        <w:t>中的市话初装费收入从年末未分配利润转入任意盈余公积的金额，该等金额根据上述文件规定</w:t>
      </w:r>
      <w:r>
        <w:rPr>
          <w:spacing w:val="-92"/>
        </w:rPr>
        <w:t> </w:t>
      </w:r>
      <w:r>
        <w:rPr>
          <w:spacing w:val="-92"/>
        </w:rPr>
      </w:r>
      <w:r>
        <w:rPr/>
        <w:t>不得用于向股东支付股利。于</w:t>
      </w:r>
      <w:r>
        <w:rPr>
          <w:spacing w:val="-64"/>
        </w:rPr>
        <w:t> </w:t>
      </w:r>
      <w:r>
        <w:rPr>
          <w:rFonts w:ascii="Arial" w:hAnsi="Arial" w:cs="Arial" w:eastAsia="Arial" w:hint="default"/>
        </w:rPr>
        <w:t>2011</w:t>
      </w:r>
      <w:r>
        <w:rPr>
          <w:rFonts w:ascii="Arial" w:hAnsi="Arial" w:cs="Arial" w:eastAsia="Arial" w:hint="default"/>
          <w:spacing w:val="-15"/>
        </w:rPr>
        <w:t> </w:t>
      </w:r>
      <w:r>
        <w:rPr/>
        <w:t>年</w:t>
      </w:r>
      <w:r>
        <w:rPr>
          <w:spacing w:val="-64"/>
        </w:rPr>
        <w:t> </w:t>
      </w:r>
      <w:r>
        <w:rPr>
          <w:rFonts w:ascii="Arial" w:hAnsi="Arial" w:cs="Arial" w:eastAsia="Arial" w:hint="default"/>
        </w:rPr>
        <w:t>12</w:t>
      </w:r>
      <w:r>
        <w:rPr>
          <w:rFonts w:ascii="Arial" w:hAnsi="Arial" w:cs="Arial" w:eastAsia="Arial" w:hint="default"/>
          <w:spacing w:val="-15"/>
        </w:rPr>
        <w:t> </w:t>
      </w:r>
      <w:r>
        <w:rPr/>
        <w:t>月</w:t>
      </w:r>
      <w:r>
        <w:rPr>
          <w:spacing w:val="-64"/>
        </w:rPr>
        <w:t> </w:t>
      </w:r>
      <w:r>
        <w:rPr>
          <w:rFonts w:ascii="Arial" w:hAnsi="Arial" w:cs="Arial" w:eastAsia="Arial" w:hint="default"/>
        </w:rPr>
        <w:t>31</w:t>
      </w:r>
      <w:r>
        <w:rPr>
          <w:rFonts w:ascii="Arial" w:hAnsi="Arial" w:cs="Arial" w:eastAsia="Arial" w:hint="default"/>
          <w:spacing w:val="-15"/>
        </w:rPr>
        <w:t> </w:t>
      </w:r>
      <w:r>
        <w:rPr/>
        <w:t>日，子公司累计转入任意盈余公积的金额约为</w:t>
      </w:r>
    </w:p>
    <w:p>
      <w:pPr>
        <w:pStyle w:val="BodyText"/>
        <w:spacing w:line="278" w:lineRule="exact"/>
        <w:ind w:left="550" w:right="0"/>
        <w:jc w:val="both"/>
      </w:pPr>
      <w:r>
        <w:rPr/>
        <w:t>人民币</w:t>
      </w:r>
      <w:r>
        <w:rPr>
          <w:spacing w:val="-46"/>
        </w:rPr>
        <w:t> </w:t>
      </w:r>
      <w:r>
        <w:rPr>
          <w:rFonts w:ascii="Arial" w:hAnsi="Arial" w:cs="Arial" w:eastAsia="Arial" w:hint="default"/>
        </w:rPr>
        <w:t>122.89</w:t>
      </w:r>
      <w:r>
        <w:rPr>
          <w:rFonts w:ascii="Arial" w:hAnsi="Arial" w:cs="Arial" w:eastAsia="Arial" w:hint="default"/>
          <w:spacing w:val="4"/>
        </w:rPr>
        <w:t> </w:t>
      </w:r>
      <w:r>
        <w:rPr/>
        <w:t>亿元。自</w:t>
      </w:r>
      <w:r>
        <w:rPr>
          <w:spacing w:val="-46"/>
        </w:rPr>
        <w:t> </w:t>
      </w:r>
      <w:r>
        <w:rPr>
          <w:rFonts w:ascii="Arial" w:hAnsi="Arial" w:cs="Arial" w:eastAsia="Arial" w:hint="default"/>
        </w:rPr>
        <w:t>2012</w:t>
      </w:r>
      <w:r>
        <w:rPr>
          <w:rFonts w:ascii="Arial" w:hAnsi="Arial" w:cs="Arial" w:eastAsia="Arial" w:hint="default"/>
          <w:spacing w:val="3"/>
        </w:rPr>
        <w:t> </w:t>
      </w:r>
      <w:r>
        <w:rPr/>
        <w:t>年</w:t>
      </w:r>
      <w:r>
        <w:rPr>
          <w:spacing w:val="-46"/>
        </w:rPr>
        <w:t> </w:t>
      </w:r>
      <w:r>
        <w:rPr>
          <w:rFonts w:ascii="Arial" w:hAnsi="Arial" w:cs="Arial" w:eastAsia="Arial" w:hint="default"/>
        </w:rPr>
        <w:t>1</w:t>
      </w:r>
      <w:r>
        <w:rPr>
          <w:rFonts w:ascii="Arial" w:hAnsi="Arial" w:cs="Arial" w:eastAsia="Arial" w:hint="default"/>
          <w:spacing w:val="3"/>
        </w:rPr>
        <w:t> </w:t>
      </w:r>
      <w:r>
        <w:rPr/>
        <w:t>月</w:t>
      </w:r>
      <w:r>
        <w:rPr>
          <w:spacing w:val="-46"/>
        </w:rPr>
        <w:t> </w:t>
      </w:r>
      <w:r>
        <w:rPr>
          <w:rFonts w:ascii="Arial" w:hAnsi="Arial" w:cs="Arial" w:eastAsia="Arial" w:hint="default"/>
        </w:rPr>
        <w:t>1</w:t>
      </w:r>
      <w:r>
        <w:rPr>
          <w:rFonts w:ascii="Arial" w:hAnsi="Arial" w:cs="Arial" w:eastAsia="Arial" w:hint="default"/>
          <w:spacing w:val="3"/>
        </w:rPr>
        <w:t> </w:t>
      </w:r>
      <w:r>
        <w:rPr/>
        <w:t>日起，由于以前年度收取的市话初装费已全部由递延</w:t>
      </w:r>
    </w:p>
    <w:p>
      <w:pPr>
        <w:pStyle w:val="BodyText"/>
        <w:spacing w:line="286" w:lineRule="exact" w:before="19"/>
        <w:ind w:left="550" w:right="220"/>
        <w:jc w:val="both"/>
      </w:pPr>
      <w:r>
        <w:rPr/>
        <w:t>收益转入利润表，故自</w:t>
      </w:r>
      <w:r>
        <w:rPr>
          <w:spacing w:val="-57"/>
        </w:rPr>
        <w:t> </w:t>
      </w:r>
      <w:r>
        <w:rPr>
          <w:rFonts w:ascii="Arial" w:hAnsi="Arial" w:cs="Arial" w:eastAsia="Arial" w:hint="default"/>
        </w:rPr>
        <w:t>2012</w:t>
      </w:r>
      <w:r>
        <w:rPr>
          <w:rFonts w:ascii="Arial" w:hAnsi="Arial" w:cs="Arial" w:eastAsia="Arial" w:hint="default"/>
          <w:spacing w:val="-10"/>
        </w:rPr>
        <w:t> </w:t>
      </w:r>
      <w:r>
        <w:rPr/>
        <w:t>年</w:t>
      </w:r>
      <w:r>
        <w:rPr>
          <w:spacing w:val="-59"/>
        </w:rPr>
        <w:t> </w:t>
      </w:r>
      <w:r>
        <w:rPr>
          <w:rFonts w:ascii="Arial" w:hAnsi="Arial" w:cs="Arial" w:eastAsia="Arial" w:hint="default"/>
        </w:rPr>
        <w:t>1</w:t>
      </w:r>
      <w:r>
        <w:rPr>
          <w:rFonts w:ascii="Arial" w:hAnsi="Arial" w:cs="Arial" w:eastAsia="Arial" w:hint="default"/>
          <w:spacing w:val="-10"/>
        </w:rPr>
        <w:t> </w:t>
      </w:r>
      <w:r>
        <w:rPr/>
        <w:t>月</w:t>
      </w:r>
      <w:r>
        <w:rPr>
          <w:spacing w:val="-59"/>
        </w:rPr>
        <w:t> </w:t>
      </w:r>
      <w:r>
        <w:rPr>
          <w:rFonts w:ascii="Arial" w:hAnsi="Arial" w:cs="Arial" w:eastAsia="Arial" w:hint="default"/>
        </w:rPr>
        <w:t>1</w:t>
      </w:r>
      <w:r>
        <w:rPr>
          <w:rFonts w:ascii="Arial" w:hAnsi="Arial" w:cs="Arial" w:eastAsia="Arial" w:hint="default"/>
          <w:spacing w:val="-10"/>
        </w:rPr>
        <w:t> </w:t>
      </w:r>
      <w:r>
        <w:rPr/>
        <w:t>日起，本集团不再确认市话初装费收入及相应任意盈余</w:t>
      </w:r>
      <w:r>
        <w:rPr>
          <w:spacing w:val="1"/>
          <w:w w:val="99"/>
        </w:rPr>
        <w:t> </w:t>
      </w:r>
      <w:r>
        <w:rPr/>
        <w:t>公积。</w:t>
      </w:r>
    </w:p>
    <w:p>
      <w:pPr>
        <w:spacing w:line="240" w:lineRule="auto" w:before="1"/>
        <w:rPr>
          <w:rFonts w:ascii="宋体" w:hAnsi="宋体" w:cs="宋体" w:eastAsia="宋体" w:hint="default"/>
          <w:sz w:val="17"/>
          <w:szCs w:val="17"/>
        </w:rPr>
      </w:pPr>
    </w:p>
    <w:p>
      <w:pPr>
        <w:pStyle w:val="BodyText"/>
        <w:spacing w:line="295" w:lineRule="exact"/>
        <w:ind w:left="102" w:right="122"/>
        <w:jc w:val="left"/>
      </w:pPr>
      <w:r>
        <w:rPr>
          <w:rFonts w:ascii="Arial" w:hAnsi="Arial" w:cs="Arial" w:eastAsia="Arial" w:hint="default"/>
        </w:rPr>
        <w:t>(a)  </w:t>
      </w:r>
      <w:r>
        <w:rPr>
          <w:rFonts w:ascii="Arial" w:hAnsi="Arial" w:cs="Arial" w:eastAsia="Arial" w:hint="default"/>
          <w:spacing w:val="2"/>
        </w:rPr>
        <w:t> </w:t>
      </w:r>
      <w:r>
        <w:rPr/>
        <w:t>于</w:t>
      </w:r>
      <w:r>
        <w:rPr>
          <w:spacing w:val="-51"/>
        </w:rPr>
        <w:t> </w:t>
      </w:r>
      <w:r>
        <w:rPr>
          <w:rFonts w:ascii="Arial" w:hAnsi="Arial" w:cs="Arial" w:eastAsia="Arial" w:hint="default"/>
        </w:rPr>
        <w:t>2012</w:t>
      </w:r>
      <w:r>
        <w:rPr>
          <w:rFonts w:ascii="Arial" w:hAnsi="Arial" w:cs="Arial" w:eastAsia="Arial" w:hint="default"/>
          <w:spacing w:val="-2"/>
        </w:rPr>
        <w:t> </w:t>
      </w:r>
      <w:r>
        <w:rPr/>
        <w:t>年</w:t>
      </w:r>
      <w:r>
        <w:rPr>
          <w:spacing w:val="-51"/>
        </w:rPr>
        <w:t> </w:t>
      </w:r>
      <w:r>
        <w:rPr>
          <w:rFonts w:ascii="Arial" w:hAnsi="Arial" w:cs="Arial" w:eastAsia="Arial" w:hint="default"/>
        </w:rPr>
        <w:t>5</w:t>
      </w:r>
      <w:r>
        <w:rPr>
          <w:rFonts w:ascii="Arial" w:hAnsi="Arial" w:cs="Arial" w:eastAsia="Arial" w:hint="default"/>
          <w:spacing w:val="-2"/>
        </w:rPr>
        <w:t> </w:t>
      </w:r>
      <w:r>
        <w:rPr/>
        <w:t>月</w:t>
      </w:r>
      <w:r>
        <w:rPr>
          <w:spacing w:val="-51"/>
        </w:rPr>
        <w:t> </w:t>
      </w:r>
      <w:r>
        <w:rPr>
          <w:rFonts w:ascii="Arial" w:hAnsi="Arial" w:cs="Arial" w:eastAsia="Arial" w:hint="default"/>
        </w:rPr>
        <w:t>29</w:t>
      </w:r>
      <w:r>
        <w:rPr>
          <w:rFonts w:ascii="Arial" w:hAnsi="Arial" w:cs="Arial" w:eastAsia="Arial" w:hint="default"/>
          <w:spacing w:val="-2"/>
        </w:rPr>
        <w:t> </w:t>
      </w:r>
      <w:r>
        <w:rPr/>
        <w:t>日，本公司股东大会批准根据</w:t>
      </w:r>
      <w:r>
        <w:rPr>
          <w:spacing w:val="-50"/>
        </w:rPr>
        <w:t> </w:t>
      </w:r>
      <w:r>
        <w:rPr>
          <w:rFonts w:ascii="Arial" w:hAnsi="Arial" w:cs="Arial" w:eastAsia="Arial" w:hint="default"/>
        </w:rPr>
        <w:t>2011</w:t>
      </w:r>
      <w:r>
        <w:rPr>
          <w:rFonts w:ascii="Arial" w:hAnsi="Arial" w:cs="Arial" w:eastAsia="Arial" w:hint="default"/>
          <w:spacing w:val="-2"/>
        </w:rPr>
        <w:t> </w:t>
      </w:r>
      <w:r>
        <w:rPr/>
        <w:t>年</w:t>
      </w:r>
      <w:r>
        <w:rPr>
          <w:spacing w:val="-51"/>
        </w:rPr>
        <w:t> </w:t>
      </w:r>
      <w:r>
        <w:rPr>
          <w:rFonts w:ascii="Arial" w:hAnsi="Arial" w:cs="Arial" w:eastAsia="Arial" w:hint="default"/>
        </w:rPr>
        <w:t>12</w:t>
      </w:r>
      <w:r>
        <w:rPr>
          <w:rFonts w:ascii="Arial" w:hAnsi="Arial" w:cs="Arial" w:eastAsia="Arial" w:hint="default"/>
          <w:spacing w:val="-2"/>
        </w:rPr>
        <w:t> </w:t>
      </w:r>
      <w:r>
        <w:rPr/>
        <w:t>月</w:t>
      </w:r>
      <w:r>
        <w:rPr>
          <w:spacing w:val="-51"/>
        </w:rPr>
        <w:t> </w:t>
      </w:r>
      <w:r>
        <w:rPr>
          <w:rFonts w:ascii="Arial" w:hAnsi="Arial" w:cs="Arial" w:eastAsia="Arial" w:hint="default"/>
        </w:rPr>
        <w:t>31</w:t>
      </w:r>
      <w:r>
        <w:rPr>
          <w:rFonts w:ascii="Arial" w:hAnsi="Arial" w:cs="Arial" w:eastAsia="Arial" w:hint="default"/>
          <w:spacing w:val="-2"/>
        </w:rPr>
        <w:t> </w:t>
      </w:r>
      <w:r>
        <w:rPr/>
        <w:t>日股本为基数向全体股东</w:t>
      </w:r>
    </w:p>
    <w:p>
      <w:pPr>
        <w:pStyle w:val="BodyText"/>
        <w:spacing w:line="286" w:lineRule="exact"/>
        <w:ind w:left="560" w:right="0"/>
        <w:jc w:val="both"/>
        <w:rPr>
          <w:rFonts w:ascii="Arial" w:hAnsi="Arial" w:cs="Arial" w:eastAsia="Arial" w:hint="default"/>
        </w:rPr>
      </w:pPr>
      <w:r>
        <w:rPr/>
        <w:t>派发每股现金股利人民币</w:t>
      </w:r>
      <w:r>
        <w:rPr>
          <w:spacing w:val="-52"/>
        </w:rPr>
        <w:t> </w:t>
      </w:r>
      <w:r>
        <w:rPr>
          <w:rFonts w:ascii="Arial" w:hAnsi="Arial" w:cs="Arial" w:eastAsia="Arial" w:hint="default"/>
        </w:rPr>
        <w:t>0.0335</w:t>
      </w:r>
      <w:r>
        <w:rPr>
          <w:rFonts w:ascii="Arial" w:hAnsi="Arial" w:cs="Arial" w:eastAsia="Arial" w:hint="default"/>
          <w:spacing w:val="-5"/>
        </w:rPr>
        <w:t> </w:t>
      </w:r>
      <w:r>
        <w:rPr/>
        <w:t>元（含税）的</w:t>
      </w:r>
      <w:r>
        <w:rPr>
          <w:spacing w:val="-53"/>
        </w:rPr>
        <w:t> </w:t>
      </w:r>
      <w:r>
        <w:rPr>
          <w:rFonts w:ascii="Arial" w:hAnsi="Arial" w:cs="Arial" w:eastAsia="Arial" w:hint="default"/>
        </w:rPr>
        <w:t>2011</w:t>
      </w:r>
      <w:r>
        <w:rPr>
          <w:rFonts w:ascii="Arial" w:hAnsi="Arial" w:cs="Arial" w:eastAsia="Arial" w:hint="default"/>
          <w:spacing w:val="-4"/>
        </w:rPr>
        <w:t> </w:t>
      </w:r>
      <w:r>
        <w:rPr/>
        <w:t>年度利润分配方案，共计约人民币</w:t>
      </w:r>
      <w:r>
        <w:rPr>
          <w:spacing w:val="-52"/>
        </w:rPr>
        <w:t> </w:t>
      </w:r>
      <w:r>
        <w:rPr>
          <w:rFonts w:ascii="Arial" w:hAnsi="Arial" w:cs="Arial" w:eastAsia="Arial" w:hint="default"/>
        </w:rPr>
        <w:t>7.10</w:t>
      </w:r>
    </w:p>
    <w:p>
      <w:pPr>
        <w:pStyle w:val="BodyText"/>
        <w:spacing w:line="295" w:lineRule="exact"/>
        <w:ind w:left="560" w:right="0"/>
        <w:jc w:val="both"/>
      </w:pPr>
      <w:r>
        <w:rPr/>
        <w:t>亿元（</w:t>
      </w:r>
      <w:r>
        <w:rPr>
          <w:rFonts w:ascii="Arial" w:hAnsi="Arial" w:cs="Arial" w:eastAsia="Arial" w:hint="default"/>
        </w:rPr>
        <w:t>2011</w:t>
      </w:r>
      <w:r>
        <w:rPr>
          <w:rFonts w:ascii="Arial" w:hAnsi="Arial" w:cs="Arial" w:eastAsia="Arial" w:hint="default"/>
          <w:spacing w:val="-9"/>
        </w:rPr>
        <w:t> </w:t>
      </w:r>
      <w:r>
        <w:rPr/>
        <w:t>年：约人民币</w:t>
      </w:r>
      <w:r>
        <w:rPr>
          <w:spacing w:val="-59"/>
        </w:rPr>
        <w:t> </w:t>
      </w:r>
      <w:r>
        <w:rPr>
          <w:rFonts w:ascii="Arial" w:hAnsi="Arial" w:cs="Arial" w:eastAsia="Arial" w:hint="default"/>
        </w:rPr>
        <w:t>5.51</w:t>
      </w:r>
      <w:r>
        <w:rPr>
          <w:rFonts w:ascii="Arial" w:hAnsi="Arial" w:cs="Arial" w:eastAsia="Arial" w:hint="default"/>
          <w:spacing w:val="-10"/>
        </w:rPr>
        <w:t> </w:t>
      </w:r>
      <w:r>
        <w:rPr/>
        <w:t>亿元）的股利自未分配利润转出。</w:t>
      </w:r>
    </w:p>
    <w:p>
      <w:pPr>
        <w:pStyle w:val="BodyText"/>
        <w:spacing w:line="295" w:lineRule="exact" w:before="188"/>
        <w:ind w:left="102" w:right="122"/>
        <w:jc w:val="left"/>
        <w:rPr>
          <w:rFonts w:ascii="Arial" w:hAnsi="Arial" w:cs="Arial" w:eastAsia="Arial" w:hint="default"/>
        </w:rPr>
      </w:pPr>
      <w:r>
        <w:rPr>
          <w:rFonts w:ascii="Arial" w:hAnsi="Arial" w:cs="Arial" w:eastAsia="Arial" w:hint="default"/>
        </w:rPr>
        <w:t>(b)  </w:t>
      </w:r>
      <w:r>
        <w:rPr>
          <w:rFonts w:ascii="Arial" w:hAnsi="Arial" w:cs="Arial" w:eastAsia="Arial" w:hint="default"/>
          <w:spacing w:val="2"/>
        </w:rPr>
        <w:t> </w:t>
      </w:r>
      <w:r>
        <w:rPr/>
        <w:t>于</w:t>
      </w:r>
      <w:r>
        <w:rPr>
          <w:spacing w:val="-51"/>
        </w:rPr>
        <w:t> </w:t>
      </w:r>
      <w:r>
        <w:rPr>
          <w:rFonts w:ascii="Arial" w:hAnsi="Arial" w:cs="Arial" w:eastAsia="Arial" w:hint="default"/>
        </w:rPr>
        <w:t>2011</w:t>
      </w:r>
      <w:r>
        <w:rPr>
          <w:rFonts w:ascii="Arial" w:hAnsi="Arial" w:cs="Arial" w:eastAsia="Arial" w:hint="default"/>
          <w:spacing w:val="-2"/>
        </w:rPr>
        <w:t> </w:t>
      </w:r>
      <w:r>
        <w:rPr/>
        <w:t>年</w:t>
      </w:r>
      <w:r>
        <w:rPr>
          <w:spacing w:val="-51"/>
        </w:rPr>
        <w:t> </w:t>
      </w:r>
      <w:r>
        <w:rPr>
          <w:rFonts w:ascii="Arial" w:hAnsi="Arial" w:cs="Arial" w:eastAsia="Arial" w:hint="default"/>
        </w:rPr>
        <w:t>12</w:t>
      </w:r>
      <w:r>
        <w:rPr>
          <w:rFonts w:ascii="Arial" w:hAnsi="Arial" w:cs="Arial" w:eastAsia="Arial" w:hint="default"/>
          <w:spacing w:val="-2"/>
        </w:rPr>
        <w:t> </w:t>
      </w:r>
      <w:r>
        <w:rPr/>
        <w:t>月，根据收购联通新时讯协议，联通新时讯于</w:t>
      </w:r>
      <w:r>
        <w:rPr>
          <w:spacing w:val="-49"/>
        </w:rPr>
        <w:t> </w:t>
      </w:r>
      <w:r>
        <w:rPr>
          <w:rFonts w:ascii="Arial" w:hAnsi="Arial" w:cs="Arial" w:eastAsia="Arial" w:hint="default"/>
        </w:rPr>
        <w:t>2011</w:t>
      </w:r>
      <w:r>
        <w:rPr>
          <w:rFonts w:ascii="Arial" w:hAnsi="Arial" w:cs="Arial" w:eastAsia="Arial" w:hint="default"/>
          <w:spacing w:val="-2"/>
        </w:rPr>
        <w:t> </w:t>
      </w:r>
      <w:r>
        <w:rPr/>
        <w:t>年</w:t>
      </w:r>
      <w:r>
        <w:rPr>
          <w:spacing w:val="-51"/>
        </w:rPr>
        <w:t> </w:t>
      </w:r>
      <w:r>
        <w:rPr>
          <w:rFonts w:ascii="Arial" w:hAnsi="Arial" w:cs="Arial" w:eastAsia="Arial" w:hint="default"/>
        </w:rPr>
        <w:t>1</w:t>
      </w:r>
      <w:r>
        <w:rPr>
          <w:rFonts w:ascii="Arial" w:hAnsi="Arial" w:cs="Arial" w:eastAsia="Arial" w:hint="default"/>
          <w:spacing w:val="-2"/>
        </w:rPr>
        <w:t> </w:t>
      </w:r>
      <w:r>
        <w:rPr/>
        <w:t>月</w:t>
      </w:r>
      <w:r>
        <w:rPr>
          <w:spacing w:val="-51"/>
        </w:rPr>
        <w:t> </w:t>
      </w:r>
      <w:r>
        <w:rPr>
          <w:rFonts w:ascii="Arial" w:hAnsi="Arial" w:cs="Arial" w:eastAsia="Arial" w:hint="default"/>
        </w:rPr>
        <w:t>1</w:t>
      </w:r>
      <w:r>
        <w:rPr>
          <w:rFonts w:ascii="Arial" w:hAnsi="Arial" w:cs="Arial" w:eastAsia="Arial" w:hint="default"/>
          <w:spacing w:val="-2"/>
        </w:rPr>
        <w:t> </w:t>
      </w:r>
      <w:r>
        <w:rPr/>
        <w:t>日至</w:t>
      </w:r>
      <w:r>
        <w:rPr>
          <w:spacing w:val="-51"/>
        </w:rPr>
        <w:t> </w:t>
      </w:r>
      <w:r>
        <w:rPr>
          <w:rFonts w:ascii="Arial" w:hAnsi="Arial" w:cs="Arial" w:eastAsia="Arial" w:hint="default"/>
        </w:rPr>
        <w:t>2011</w:t>
      </w:r>
      <w:r>
        <w:rPr>
          <w:rFonts w:ascii="Arial" w:hAnsi="Arial" w:cs="Arial" w:eastAsia="Arial" w:hint="default"/>
          <w:spacing w:val="-2"/>
        </w:rPr>
        <w:t> </w:t>
      </w:r>
      <w:r>
        <w:rPr/>
        <w:t>年</w:t>
      </w:r>
      <w:r>
        <w:rPr>
          <w:spacing w:val="-51"/>
        </w:rPr>
        <w:t> </w:t>
      </w:r>
      <w:r>
        <w:rPr>
          <w:rFonts w:ascii="Arial" w:hAnsi="Arial" w:cs="Arial" w:eastAsia="Arial" w:hint="default"/>
        </w:rPr>
        <w:t>12</w:t>
      </w:r>
    </w:p>
    <w:p>
      <w:pPr>
        <w:pStyle w:val="BodyText"/>
        <w:spacing w:line="285" w:lineRule="exact"/>
        <w:ind w:left="560" w:right="0"/>
        <w:jc w:val="both"/>
      </w:pPr>
      <w:r>
        <w:rPr/>
        <w:t>月</w:t>
      </w:r>
      <w:r>
        <w:rPr>
          <w:spacing w:val="-58"/>
        </w:rPr>
        <w:t> </w:t>
      </w:r>
      <w:r>
        <w:rPr>
          <w:rFonts w:ascii="Arial" w:hAnsi="Arial" w:cs="Arial" w:eastAsia="Arial" w:hint="default"/>
        </w:rPr>
        <w:t>1</w:t>
      </w:r>
      <w:r>
        <w:rPr>
          <w:rFonts w:ascii="Arial" w:hAnsi="Arial" w:cs="Arial" w:eastAsia="Arial" w:hint="default"/>
          <w:spacing w:val="-9"/>
        </w:rPr>
        <w:t> </w:t>
      </w:r>
      <w:r>
        <w:rPr/>
        <w:t>日止</w:t>
      </w:r>
      <w:r>
        <w:rPr>
          <w:spacing w:val="-58"/>
        </w:rPr>
        <w:t> </w:t>
      </w:r>
      <w:r>
        <w:rPr>
          <w:rFonts w:ascii="Arial" w:hAnsi="Arial" w:cs="Arial" w:eastAsia="Arial" w:hint="default"/>
        </w:rPr>
        <w:t>11</w:t>
      </w:r>
      <w:r>
        <w:rPr>
          <w:rFonts w:ascii="Arial" w:hAnsi="Arial" w:cs="Arial" w:eastAsia="Arial" w:hint="default"/>
          <w:spacing w:val="-9"/>
        </w:rPr>
        <w:t> </w:t>
      </w:r>
      <w:r>
        <w:rPr/>
        <w:t>个月期间的净利润约人民币</w:t>
      </w:r>
      <w:r>
        <w:rPr>
          <w:spacing w:val="-57"/>
        </w:rPr>
        <w:t> </w:t>
      </w:r>
      <w:r>
        <w:rPr>
          <w:rFonts w:ascii="Arial" w:hAnsi="Arial" w:cs="Arial" w:eastAsia="Arial" w:hint="default"/>
        </w:rPr>
        <w:t>894</w:t>
      </w:r>
      <w:r>
        <w:rPr>
          <w:rFonts w:ascii="Arial" w:hAnsi="Arial" w:cs="Arial" w:eastAsia="Arial" w:hint="default"/>
          <w:spacing w:val="-8"/>
        </w:rPr>
        <w:t> </w:t>
      </w:r>
      <w:r>
        <w:rPr/>
        <w:t>万元归属于联通集团。根据本公司的持股比例，</w:t>
      </w:r>
    </w:p>
    <w:p>
      <w:pPr>
        <w:pStyle w:val="BodyText"/>
        <w:spacing w:line="294" w:lineRule="exact"/>
        <w:ind w:left="560" w:right="0"/>
        <w:jc w:val="both"/>
      </w:pPr>
      <w:r>
        <w:rPr/>
        <w:t>归属于本集团母公司普通股股东的未分配利润减少约人民币</w:t>
      </w:r>
      <w:r>
        <w:rPr>
          <w:spacing w:val="-58"/>
        </w:rPr>
        <w:t> </w:t>
      </w:r>
      <w:r>
        <w:rPr>
          <w:rFonts w:ascii="Arial" w:hAnsi="Arial" w:cs="Arial" w:eastAsia="Arial" w:hint="default"/>
        </w:rPr>
        <w:t>303</w:t>
      </w:r>
      <w:r>
        <w:rPr>
          <w:rFonts w:ascii="Arial" w:hAnsi="Arial" w:cs="Arial" w:eastAsia="Arial" w:hint="default"/>
          <w:spacing w:val="-12"/>
        </w:rPr>
        <w:t> </w:t>
      </w:r>
      <w:r>
        <w:rPr/>
        <w:t>万元。</w:t>
      </w:r>
    </w:p>
    <w:p>
      <w:pPr>
        <w:pStyle w:val="BodyText"/>
        <w:tabs>
          <w:tab w:pos="560" w:val="left" w:leader="none"/>
        </w:tabs>
        <w:spacing w:line="294" w:lineRule="exact" w:before="189"/>
        <w:ind w:left="102" w:right="122"/>
        <w:jc w:val="left"/>
      </w:pPr>
      <w:r>
        <w:rPr>
          <w:rFonts w:ascii="Arial" w:hAnsi="Arial" w:cs="Arial" w:eastAsia="Arial" w:hint="default"/>
          <w:w w:val="95"/>
        </w:rPr>
        <w:t>(c)</w:t>
        <w:tab/>
      </w:r>
      <w:r>
        <w:rPr/>
        <w:t>于</w:t>
      </w:r>
      <w:r>
        <w:rPr>
          <w:spacing w:val="-45"/>
        </w:rPr>
        <w:t> </w:t>
      </w:r>
      <w:r>
        <w:rPr>
          <w:rFonts w:ascii="Arial" w:hAnsi="Arial" w:cs="Arial" w:eastAsia="Arial" w:hint="default"/>
        </w:rPr>
        <w:t>2011</w:t>
      </w:r>
      <w:r>
        <w:rPr>
          <w:rFonts w:ascii="Arial" w:hAnsi="Arial" w:cs="Arial" w:eastAsia="Arial" w:hint="default"/>
          <w:spacing w:val="4"/>
        </w:rPr>
        <w:t> </w:t>
      </w:r>
      <w:r>
        <w:rPr/>
        <w:t>年</w:t>
      </w:r>
      <w:r>
        <w:rPr>
          <w:spacing w:val="-45"/>
        </w:rPr>
        <w:t> </w:t>
      </w:r>
      <w:r>
        <w:rPr>
          <w:rFonts w:ascii="Arial" w:hAnsi="Arial" w:cs="Arial" w:eastAsia="Arial" w:hint="default"/>
        </w:rPr>
        <w:t>12</w:t>
      </w:r>
      <w:r>
        <w:rPr>
          <w:rFonts w:ascii="Arial" w:hAnsi="Arial" w:cs="Arial" w:eastAsia="Arial" w:hint="default"/>
          <w:spacing w:val="4"/>
        </w:rPr>
        <w:t> </w:t>
      </w:r>
      <w:r>
        <w:rPr/>
        <w:t>月，宽带在线完成了同一控制下向联通集团收购联通新时讯的交易，故本公司</w:t>
      </w:r>
    </w:p>
    <w:p>
      <w:pPr>
        <w:pStyle w:val="BodyText"/>
        <w:spacing w:line="285" w:lineRule="exact"/>
        <w:ind w:left="560" w:right="0"/>
        <w:jc w:val="both"/>
      </w:pPr>
      <w:r>
        <w:rPr/>
        <w:t>按持股比例增加了本公司</w:t>
      </w:r>
      <w:r>
        <w:rPr>
          <w:spacing w:val="-58"/>
        </w:rPr>
        <w:t> </w:t>
      </w:r>
      <w:r>
        <w:rPr>
          <w:rFonts w:ascii="Arial" w:hAnsi="Arial" w:cs="Arial" w:eastAsia="Arial" w:hint="default"/>
        </w:rPr>
        <w:t>2011</w:t>
      </w:r>
      <w:r>
        <w:rPr>
          <w:rFonts w:ascii="Arial" w:hAnsi="Arial" w:cs="Arial" w:eastAsia="Arial" w:hint="default"/>
          <w:spacing w:val="-10"/>
        </w:rPr>
        <w:t> </w:t>
      </w:r>
      <w:r>
        <w:rPr/>
        <w:t>年年初未分配利润约人民币</w:t>
      </w:r>
      <w:r>
        <w:rPr>
          <w:spacing w:val="-58"/>
        </w:rPr>
        <w:t> </w:t>
      </w:r>
      <w:r>
        <w:rPr>
          <w:rFonts w:ascii="Arial" w:hAnsi="Arial" w:cs="Arial" w:eastAsia="Arial" w:hint="default"/>
        </w:rPr>
        <w:t>765</w:t>
      </w:r>
      <w:r>
        <w:rPr>
          <w:rFonts w:ascii="Arial" w:hAnsi="Arial" w:cs="Arial" w:eastAsia="Arial" w:hint="default"/>
          <w:spacing w:val="-10"/>
        </w:rPr>
        <w:t> </w:t>
      </w:r>
      <w:r>
        <w:rPr>
          <w:spacing w:val="-5"/>
        </w:rPr>
        <w:t>万元。本次交易的合并对价约</w:t>
      </w:r>
    </w:p>
    <w:p>
      <w:pPr>
        <w:pStyle w:val="BodyText"/>
        <w:spacing w:line="232" w:lineRule="auto"/>
        <w:ind w:left="560" w:right="249"/>
        <w:jc w:val="both"/>
      </w:pPr>
      <w:r>
        <w:rPr/>
        <w:t>人民币 </w:t>
      </w:r>
      <w:r>
        <w:rPr>
          <w:rFonts w:ascii="Arial" w:hAnsi="Arial" w:cs="Arial" w:eastAsia="Arial" w:hint="default"/>
        </w:rPr>
        <w:t>1.58</w:t>
      </w:r>
      <w:r>
        <w:rPr>
          <w:rFonts w:ascii="Arial" w:hAnsi="Arial" w:cs="Arial" w:eastAsia="Arial" w:hint="default"/>
          <w:spacing w:val="-39"/>
        </w:rPr>
        <w:t> </w:t>
      </w:r>
      <w:r>
        <w:rPr/>
        <w:t>亿元超过被合并方联通新时讯于合并日的净资产，由于本次合并方宽带在线的资</w:t>
      </w:r>
      <w:r>
        <w:rPr>
          <w:w w:val="99"/>
        </w:rPr>
        <w:t> </w:t>
      </w:r>
      <w:r>
        <w:rPr>
          <w:spacing w:val="-3"/>
        </w:rPr>
        <w:t>本公积不足冲减，因此合并对价在抵销因合并联通新时讯而计入合并资本公积的影响后，其余</w:t>
      </w:r>
      <w:r>
        <w:rPr>
          <w:spacing w:val="-86"/>
        </w:rPr>
        <w:t> </w:t>
      </w:r>
      <w:r>
        <w:rPr>
          <w:spacing w:val="-86"/>
        </w:rPr>
      </w:r>
      <w:r>
        <w:rPr>
          <w:spacing w:val="-3"/>
        </w:rPr>
        <w:t>额将冲减合并的留存收益。根据本公司的持股比例计算，归属于本集团母公司普通股股东的未</w:t>
      </w:r>
      <w:r>
        <w:rPr>
          <w:spacing w:val="-90"/>
        </w:rPr>
        <w:t> </w:t>
      </w:r>
      <w:r>
        <w:rPr>
          <w:spacing w:val="-90"/>
        </w:rPr>
      </w:r>
      <w:r>
        <w:rPr/>
        <w:t>分配利润减少约人民币</w:t>
      </w:r>
      <w:r>
        <w:rPr>
          <w:spacing w:val="-57"/>
        </w:rPr>
        <w:t> </w:t>
      </w:r>
      <w:r>
        <w:rPr>
          <w:rFonts w:ascii="Arial" w:hAnsi="Arial" w:cs="Arial" w:eastAsia="Arial" w:hint="default"/>
        </w:rPr>
        <w:t>1,258</w:t>
      </w:r>
      <w:r>
        <w:rPr>
          <w:rFonts w:ascii="Arial" w:hAnsi="Arial" w:cs="Arial" w:eastAsia="Arial" w:hint="default"/>
          <w:spacing w:val="-10"/>
        </w:rPr>
        <w:t> </w:t>
      </w:r>
      <w:r>
        <w:rPr/>
        <w:t>万元。</w:t>
      </w:r>
    </w:p>
    <w:p>
      <w:pPr>
        <w:spacing w:line="240" w:lineRule="auto" w:before="1"/>
        <w:rPr>
          <w:rFonts w:ascii="宋体" w:hAnsi="宋体" w:cs="宋体" w:eastAsia="宋体" w:hint="default"/>
          <w:sz w:val="18"/>
          <w:szCs w:val="18"/>
        </w:rPr>
      </w:pPr>
    </w:p>
    <w:p>
      <w:pPr>
        <w:pStyle w:val="BodyText"/>
        <w:spacing w:line="240" w:lineRule="auto"/>
        <w:ind w:left="102" w:right="122"/>
        <w:jc w:val="left"/>
      </w:pPr>
      <w:r>
        <w:rPr>
          <w:rFonts w:ascii="Arial" w:hAnsi="Arial" w:cs="Arial" w:eastAsia="Arial" w:hint="default"/>
        </w:rPr>
        <w:t>35</w:t>
      </w:r>
      <w:r>
        <w:rPr/>
        <w:t>、少数股东权益及少数股东损益</w:t>
      </w:r>
    </w:p>
    <w:p>
      <w:pPr>
        <w:spacing w:line="240" w:lineRule="auto" w:before="6"/>
        <w:rPr>
          <w:rFonts w:ascii="宋体" w:hAnsi="宋体" w:cs="宋体" w:eastAsia="宋体" w:hint="default"/>
          <w:sz w:val="17"/>
          <w:szCs w:val="17"/>
        </w:rPr>
      </w:pPr>
    </w:p>
    <w:p>
      <w:pPr>
        <w:pStyle w:val="BodyText"/>
        <w:spacing w:line="286" w:lineRule="exact"/>
        <w:ind w:left="550" w:right="225"/>
        <w:jc w:val="both"/>
      </w:pPr>
      <w:r>
        <w:rPr/>
        <w:t>于</w:t>
      </w:r>
      <w:r>
        <w:rPr>
          <w:spacing w:val="-56"/>
        </w:rPr>
        <w:t> </w:t>
      </w:r>
      <w:r>
        <w:rPr>
          <w:rFonts w:ascii="Arial" w:hAnsi="Arial" w:cs="Arial" w:eastAsia="Arial" w:hint="default"/>
        </w:rPr>
        <w:t>2012</w:t>
      </w:r>
      <w:r>
        <w:rPr>
          <w:rFonts w:ascii="Arial" w:hAnsi="Arial" w:cs="Arial" w:eastAsia="Arial" w:hint="default"/>
          <w:spacing w:val="-6"/>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日，联通集团因直接持有联通</w:t>
      </w:r>
      <w:r>
        <w:rPr>
          <w:spacing w:val="-55"/>
        </w:rPr>
        <w:t> </w:t>
      </w:r>
      <w:r>
        <w:rPr>
          <w:rFonts w:ascii="Arial" w:hAnsi="Arial" w:cs="Arial" w:eastAsia="Arial" w:hint="default"/>
        </w:rPr>
        <w:t>BVI</w:t>
      </w:r>
      <w:r>
        <w:rPr>
          <w:rFonts w:ascii="Arial" w:hAnsi="Arial" w:cs="Arial" w:eastAsia="Arial" w:hint="default"/>
          <w:spacing w:val="-6"/>
        </w:rPr>
        <w:t> </w:t>
      </w:r>
      <w:r>
        <w:rPr/>
        <w:t>公司余下的</w:t>
      </w:r>
      <w:r>
        <w:rPr>
          <w:spacing w:val="-56"/>
        </w:rPr>
        <w:t> </w:t>
      </w:r>
      <w:r>
        <w:rPr>
          <w:rFonts w:ascii="Arial" w:hAnsi="Arial" w:cs="Arial" w:eastAsia="Arial" w:hint="default"/>
        </w:rPr>
        <w:t>17.90%</w:t>
      </w:r>
      <w:r>
        <w:rPr/>
        <w:t>股权而于本集团合</w:t>
      </w:r>
      <w:r>
        <w:rPr>
          <w:w w:val="99"/>
        </w:rPr>
        <w:t> </w:t>
      </w:r>
      <w:r>
        <w:rPr/>
        <w:t>并财务报表中被确认为少数股东。</w:t>
      </w:r>
    </w:p>
    <w:p>
      <w:pPr>
        <w:spacing w:line="240" w:lineRule="auto" w:before="1"/>
        <w:rPr>
          <w:rFonts w:ascii="宋体" w:hAnsi="宋体" w:cs="宋体" w:eastAsia="宋体" w:hint="default"/>
          <w:sz w:val="17"/>
          <w:szCs w:val="17"/>
        </w:rPr>
      </w:pPr>
    </w:p>
    <w:p>
      <w:pPr>
        <w:pStyle w:val="BodyText"/>
        <w:spacing w:line="295" w:lineRule="exact"/>
        <w:ind w:left="550" w:right="0"/>
        <w:jc w:val="both"/>
      </w:pPr>
      <w:r>
        <w:rPr/>
        <w:t>于</w:t>
      </w:r>
      <w:r>
        <w:rPr>
          <w:spacing w:val="-60"/>
        </w:rPr>
        <w:t> </w:t>
      </w:r>
      <w:r>
        <w:rPr>
          <w:rFonts w:ascii="Arial" w:hAnsi="Arial" w:cs="Arial" w:eastAsia="Arial" w:hint="default"/>
        </w:rPr>
        <w:t>2012</w:t>
      </w:r>
      <w:r>
        <w:rPr>
          <w:rFonts w:ascii="Arial" w:hAnsi="Arial" w:cs="Arial" w:eastAsia="Arial" w:hint="default"/>
          <w:spacing w:val="-11"/>
        </w:rPr>
        <w:t> </w:t>
      </w:r>
      <w:r>
        <w:rPr/>
        <w:t>年</w:t>
      </w:r>
      <w:r>
        <w:rPr>
          <w:spacing w:val="-60"/>
        </w:rPr>
        <w:t> </w:t>
      </w:r>
      <w:r>
        <w:rPr>
          <w:rFonts w:ascii="Arial" w:hAnsi="Arial" w:cs="Arial" w:eastAsia="Arial" w:hint="default"/>
        </w:rPr>
        <w:t>6</w:t>
      </w:r>
      <w:r>
        <w:rPr>
          <w:rFonts w:ascii="Arial" w:hAnsi="Arial" w:cs="Arial" w:eastAsia="Arial" w:hint="default"/>
          <w:spacing w:val="-11"/>
        </w:rPr>
        <w:t> </w:t>
      </w:r>
      <w:r>
        <w:rPr/>
        <w:t>月</w:t>
      </w:r>
      <w:r>
        <w:rPr>
          <w:spacing w:val="-60"/>
        </w:rPr>
        <w:t> </w:t>
      </w:r>
      <w:r>
        <w:rPr>
          <w:rFonts w:ascii="Arial" w:hAnsi="Arial" w:cs="Arial" w:eastAsia="Arial" w:hint="default"/>
        </w:rPr>
        <w:t>10</w:t>
      </w:r>
      <w:r>
        <w:rPr>
          <w:rFonts w:ascii="Arial" w:hAnsi="Arial" w:cs="Arial" w:eastAsia="Arial" w:hint="default"/>
          <w:spacing w:val="-11"/>
        </w:rPr>
        <w:t> </w:t>
      </w:r>
      <w:r>
        <w:rPr>
          <w:spacing w:val="-5"/>
        </w:rPr>
        <w:t>日，联通集团</w:t>
      </w:r>
      <w:r>
        <w:rPr>
          <w:spacing w:val="-60"/>
        </w:rPr>
        <w:t> </w:t>
      </w:r>
      <w:r>
        <w:rPr>
          <w:rFonts w:ascii="Arial" w:hAnsi="Arial" w:cs="Arial" w:eastAsia="Arial" w:hint="default"/>
        </w:rPr>
        <w:t>BVI</w:t>
      </w:r>
      <w:r>
        <w:rPr>
          <w:rFonts w:ascii="Arial" w:hAnsi="Arial" w:cs="Arial" w:eastAsia="Arial" w:hint="default"/>
          <w:spacing w:val="-11"/>
        </w:rPr>
        <w:t> </w:t>
      </w:r>
      <w:r>
        <w:rPr/>
        <w:t>公司与西班牙电信签署股份转让协议。根据该转让协议，</w:t>
      </w:r>
    </w:p>
    <w:p>
      <w:pPr>
        <w:pStyle w:val="BodyText"/>
        <w:spacing w:line="286" w:lineRule="exact" w:before="19"/>
        <w:ind w:left="550" w:right="222"/>
        <w:jc w:val="both"/>
      </w:pPr>
      <w:r>
        <w:rPr/>
        <w:t>西班牙电信将其持有的联通红筹公司股份</w:t>
      </w:r>
      <w:r>
        <w:rPr>
          <w:spacing w:val="-64"/>
        </w:rPr>
        <w:t> </w:t>
      </w:r>
      <w:r>
        <w:rPr>
          <w:rFonts w:ascii="Arial" w:hAnsi="Arial" w:cs="Arial" w:eastAsia="Arial" w:hint="default"/>
        </w:rPr>
        <w:t>1,073,777,121</w:t>
      </w:r>
      <w:r>
        <w:rPr>
          <w:rFonts w:ascii="Arial" w:hAnsi="Arial" w:cs="Arial" w:eastAsia="Arial" w:hint="default"/>
          <w:spacing w:val="-14"/>
        </w:rPr>
        <w:t> </w:t>
      </w:r>
      <w:r>
        <w:rPr/>
        <w:t>股以每股</w:t>
      </w:r>
      <w:r>
        <w:rPr>
          <w:spacing w:val="-64"/>
        </w:rPr>
        <w:t> </w:t>
      </w:r>
      <w:r>
        <w:rPr>
          <w:rFonts w:ascii="Arial" w:hAnsi="Arial" w:cs="Arial" w:eastAsia="Arial" w:hint="default"/>
        </w:rPr>
        <w:t>10.21</w:t>
      </w:r>
      <w:r>
        <w:rPr>
          <w:rFonts w:ascii="Arial" w:hAnsi="Arial" w:cs="Arial" w:eastAsia="Arial" w:hint="default"/>
          <w:spacing w:val="-14"/>
        </w:rPr>
        <w:t> </w:t>
      </w:r>
      <w:r>
        <w:rPr/>
        <w:t>港币的价格转让给联</w:t>
      </w:r>
      <w:r>
        <w:rPr>
          <w:w w:val="99"/>
        </w:rPr>
        <w:t> </w:t>
      </w:r>
      <w:r>
        <w:rPr/>
        <w:t>通集团</w:t>
      </w:r>
      <w:r>
        <w:rPr>
          <w:spacing w:val="-55"/>
        </w:rPr>
        <w:t> </w:t>
      </w:r>
      <w:r>
        <w:rPr>
          <w:rFonts w:ascii="Arial" w:hAnsi="Arial" w:cs="Arial" w:eastAsia="Arial" w:hint="default"/>
        </w:rPr>
        <w:t>BVI</w:t>
      </w:r>
      <w:r>
        <w:rPr>
          <w:rFonts w:ascii="Arial" w:hAnsi="Arial" w:cs="Arial" w:eastAsia="Arial" w:hint="default"/>
          <w:spacing w:val="-5"/>
        </w:rPr>
        <w:t> </w:t>
      </w:r>
      <w:r>
        <w:rPr>
          <w:spacing w:val="-3"/>
        </w:rPr>
        <w:t>公司，上述交易于</w:t>
      </w:r>
      <w:r>
        <w:rPr>
          <w:spacing w:val="-55"/>
        </w:rPr>
        <w:t> </w:t>
      </w:r>
      <w:r>
        <w:rPr>
          <w:rFonts w:ascii="Arial" w:hAnsi="Arial" w:cs="Arial" w:eastAsia="Arial" w:hint="default"/>
        </w:rPr>
        <w:t>2012</w:t>
      </w:r>
      <w:r>
        <w:rPr>
          <w:rFonts w:ascii="Arial" w:hAnsi="Arial" w:cs="Arial" w:eastAsia="Arial" w:hint="default"/>
          <w:spacing w:val="-6"/>
        </w:rPr>
        <w:t> </w:t>
      </w:r>
      <w:r>
        <w:rPr/>
        <w:t>年</w:t>
      </w:r>
      <w:r>
        <w:rPr>
          <w:spacing w:val="-55"/>
        </w:rPr>
        <w:t> </w:t>
      </w:r>
      <w:r>
        <w:rPr>
          <w:rFonts w:ascii="Arial" w:hAnsi="Arial" w:cs="Arial" w:eastAsia="Arial" w:hint="default"/>
        </w:rPr>
        <w:t>8</w:t>
      </w:r>
      <w:r>
        <w:rPr>
          <w:rFonts w:ascii="Arial" w:hAnsi="Arial" w:cs="Arial" w:eastAsia="Arial" w:hint="default"/>
          <w:spacing w:val="-6"/>
        </w:rPr>
        <w:t> </w:t>
      </w:r>
      <w:r>
        <w:rPr>
          <w:spacing w:val="-3"/>
        </w:rPr>
        <w:t>月完成。交易完成后，联通集团</w:t>
      </w:r>
      <w:r>
        <w:rPr>
          <w:spacing w:val="-54"/>
        </w:rPr>
        <w:t> </w:t>
      </w:r>
      <w:r>
        <w:rPr>
          <w:rFonts w:ascii="Arial" w:hAnsi="Arial" w:cs="Arial" w:eastAsia="Arial" w:hint="default"/>
        </w:rPr>
        <w:t>BVI</w:t>
      </w:r>
      <w:r>
        <w:rPr>
          <w:rFonts w:ascii="Arial" w:hAnsi="Arial" w:cs="Arial" w:eastAsia="Arial" w:hint="default"/>
          <w:spacing w:val="-6"/>
        </w:rPr>
        <w:t> </w:t>
      </w:r>
      <w:r>
        <w:rPr/>
        <w:t>公司对联通红筹</w:t>
      </w:r>
      <w:r>
        <w:rPr>
          <w:w w:val="99"/>
        </w:rPr>
        <w:t> </w:t>
      </w:r>
      <w:r>
        <w:rPr/>
        <w:t>公司的持股比例从</w:t>
      </w:r>
      <w:r>
        <w:rPr>
          <w:spacing w:val="-56"/>
        </w:rPr>
        <w:t> </w:t>
      </w:r>
      <w:r>
        <w:rPr>
          <w:rFonts w:ascii="Arial" w:hAnsi="Arial" w:cs="Arial" w:eastAsia="Arial" w:hint="default"/>
        </w:rPr>
        <w:t>29.75%</w:t>
      </w:r>
      <w:r>
        <w:rPr/>
        <w:t>增加至</w:t>
      </w:r>
      <w:r>
        <w:rPr>
          <w:spacing w:val="-57"/>
        </w:rPr>
        <w:t> </w:t>
      </w:r>
      <w:r>
        <w:rPr>
          <w:rFonts w:ascii="Arial" w:hAnsi="Arial" w:cs="Arial" w:eastAsia="Arial" w:hint="default"/>
        </w:rPr>
        <w:t>34.30%</w:t>
      </w:r>
      <w:r>
        <w:rPr/>
        <w:t>。</w:t>
      </w:r>
    </w:p>
    <w:p>
      <w:pPr>
        <w:spacing w:after="0" w:line="286" w:lineRule="exact"/>
        <w:jc w:val="both"/>
        <w:sectPr>
          <w:headerReference w:type="default" r:id="rId116"/>
          <w:pgSz w:w="11910" w:h="16840"/>
          <w:pgMar w:header="1184" w:footer="457" w:top="3040" w:bottom="640" w:left="1280" w:right="880"/>
        </w:sectPr>
      </w:pPr>
    </w:p>
    <w:p>
      <w:pPr>
        <w:spacing w:line="240" w:lineRule="auto" w:before="12"/>
        <w:rPr>
          <w:rFonts w:ascii="宋体" w:hAnsi="宋体" w:cs="宋体" w:eastAsia="宋体" w:hint="default"/>
          <w:sz w:val="14"/>
          <w:szCs w:val="14"/>
        </w:rPr>
      </w:pPr>
    </w:p>
    <w:p>
      <w:pPr>
        <w:pStyle w:val="BodyText"/>
        <w:spacing w:line="427" w:lineRule="auto" w:before="31"/>
        <w:ind w:left="102" w:right="5472"/>
        <w:jc w:val="left"/>
      </w:pPr>
      <w:r>
        <w:rPr>
          <w:rFonts w:ascii="Arial" w:hAnsi="Arial" w:cs="Arial" w:eastAsia="Arial" w:hint="default"/>
          <w:w w:val="95"/>
        </w:rPr>
        <w:t>35</w:t>
      </w:r>
      <w:r>
        <w:rPr>
          <w:w w:val="95"/>
        </w:rPr>
        <w:t>、少数股东权益及少数股东损益（续）</w:t>
      </w:r>
      <w:r>
        <w:rPr>
          <w:spacing w:val="87"/>
          <w:w w:val="95"/>
        </w:rPr>
        <w:t> </w:t>
      </w:r>
      <w:r>
        <w:rPr>
          <w:rFonts w:ascii="Arial" w:hAnsi="Arial" w:cs="Arial" w:eastAsia="Arial" w:hint="default"/>
        </w:rPr>
        <w:t>(a) </w:t>
      </w:r>
      <w:r>
        <w:rPr>
          <w:rFonts w:ascii="Arial" w:hAnsi="Arial" w:cs="Arial" w:eastAsia="Arial" w:hint="default"/>
          <w:spacing w:val="24"/>
        </w:rPr>
        <w:t> </w:t>
      </w:r>
      <w:r>
        <w:rPr/>
        <w:t>少数股东权益</w:t>
      </w:r>
    </w:p>
    <w:p>
      <w:pPr>
        <w:spacing w:line="240" w:lineRule="auto" w:before="6"/>
        <w:rPr>
          <w:rFonts w:ascii="宋体" w:hAnsi="宋体" w:cs="宋体" w:eastAsia="宋体" w:hint="default"/>
          <w:sz w:val="8"/>
          <w:szCs w:val="8"/>
        </w:rPr>
      </w:pPr>
    </w:p>
    <w:tbl>
      <w:tblPr>
        <w:tblW w:w="0" w:type="auto"/>
        <w:jc w:val="left"/>
        <w:tblInd w:w="351" w:type="dxa"/>
        <w:tblLayout w:type="fixed"/>
        <w:tblCellMar>
          <w:top w:w="0" w:type="dxa"/>
          <w:left w:w="0" w:type="dxa"/>
          <w:bottom w:w="0" w:type="dxa"/>
          <w:right w:w="0" w:type="dxa"/>
        </w:tblCellMar>
        <w:tblLook w:val="01E0"/>
      </w:tblPr>
      <w:tblGrid>
        <w:gridCol w:w="4550"/>
        <w:gridCol w:w="2256"/>
        <w:gridCol w:w="172"/>
        <w:gridCol w:w="2179"/>
      </w:tblGrid>
      <w:tr>
        <w:trPr>
          <w:trHeight w:val="261" w:hRule="exact"/>
        </w:trPr>
        <w:tc>
          <w:tcPr>
            <w:tcW w:w="4550" w:type="dxa"/>
            <w:tcBorders>
              <w:top w:val="nil" w:sz="6" w:space="0" w:color="auto"/>
              <w:left w:val="nil" w:sz="6" w:space="0" w:color="auto"/>
              <w:bottom w:val="nil" w:sz="6" w:space="0" w:color="auto"/>
              <w:right w:val="nil" w:sz="6" w:space="0" w:color="auto"/>
            </w:tcBorders>
          </w:tcPr>
          <w:p>
            <w:pPr/>
          </w:p>
        </w:tc>
        <w:tc>
          <w:tcPr>
            <w:tcW w:w="2256" w:type="dxa"/>
            <w:tcBorders>
              <w:top w:val="nil" w:sz="6" w:space="0" w:color="auto"/>
              <w:left w:val="nil" w:sz="6" w:space="0" w:color="auto"/>
              <w:bottom w:val="single" w:sz="6" w:space="0" w:color="000000"/>
              <w:right w:val="nil" w:sz="6" w:space="0" w:color="auto"/>
            </w:tcBorders>
          </w:tcPr>
          <w:p>
            <w:pPr>
              <w:pStyle w:val="TableParagraph"/>
              <w:spacing w:line="235" w:lineRule="exact"/>
              <w:ind w:right="53"/>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72"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single" w:sz="6" w:space="0" w:color="000000"/>
              <w:right w:val="nil" w:sz="6" w:space="0" w:color="auto"/>
            </w:tcBorders>
          </w:tcPr>
          <w:p>
            <w:pPr>
              <w:pStyle w:val="TableParagraph"/>
              <w:spacing w:line="235" w:lineRule="exact"/>
              <w:ind w:right="29"/>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8" w:hRule="exact"/>
        </w:trPr>
        <w:tc>
          <w:tcPr>
            <w:tcW w:w="455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2256"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22"/>
              <w:jc w:val="right"/>
              <w:rPr>
                <w:rFonts w:ascii="Arial" w:hAnsi="Arial" w:cs="Arial" w:eastAsia="Arial" w:hint="default"/>
                <w:sz w:val="22"/>
                <w:szCs w:val="22"/>
              </w:rPr>
            </w:pPr>
            <w:r>
              <w:rPr>
                <w:rFonts w:ascii="Arial"/>
                <w:spacing w:val="-1"/>
                <w:sz w:val="22"/>
              </w:rPr>
              <w:t>15,637,562,448</w:t>
            </w:r>
          </w:p>
        </w:tc>
        <w:tc>
          <w:tcPr>
            <w:tcW w:w="172" w:type="dxa"/>
            <w:tcBorders>
              <w:top w:val="nil" w:sz="6" w:space="0" w:color="auto"/>
              <w:left w:val="nil" w:sz="6" w:space="0" w:color="auto"/>
              <w:bottom w:val="nil" w:sz="6" w:space="0" w:color="auto"/>
              <w:right w:val="nil" w:sz="6" w:space="0" w:color="auto"/>
            </w:tcBorders>
          </w:tcPr>
          <w:p>
            <w:pPr/>
          </w:p>
        </w:tc>
        <w:tc>
          <w:tcPr>
            <w:tcW w:w="2179"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14"/>
              <w:jc w:val="right"/>
              <w:rPr>
                <w:rFonts w:ascii="Arial" w:hAnsi="Arial" w:cs="Arial" w:eastAsia="Arial" w:hint="default"/>
                <w:sz w:val="22"/>
                <w:szCs w:val="22"/>
              </w:rPr>
            </w:pPr>
            <w:r>
              <w:rPr>
                <w:rFonts w:ascii="Arial"/>
                <w:spacing w:val="-1"/>
                <w:sz w:val="22"/>
              </w:rPr>
              <w:t>15,374,915,727</w:t>
            </w:r>
          </w:p>
        </w:tc>
      </w:tr>
      <w:tr>
        <w:trPr>
          <w:trHeight w:val="286" w:hRule="exact"/>
        </w:trPr>
        <w:tc>
          <w:tcPr>
            <w:tcW w:w="4550"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z w:val="22"/>
                <w:szCs w:val="22"/>
              </w:rPr>
              <w:t>联通集团</w:t>
            </w:r>
            <w:r>
              <w:rPr>
                <w:rFonts w:ascii="宋体" w:hAnsi="宋体" w:cs="宋体" w:eastAsia="宋体" w:hint="default"/>
                <w:spacing w:val="-57"/>
                <w:sz w:val="22"/>
                <w:szCs w:val="22"/>
              </w:rPr>
              <w:t> </w:t>
            </w:r>
            <w:r>
              <w:rPr>
                <w:rFonts w:ascii="Arial" w:hAnsi="Arial" w:cs="Arial" w:eastAsia="Arial" w:hint="default"/>
                <w:sz w:val="22"/>
                <w:szCs w:val="22"/>
              </w:rPr>
              <w:t>BVI</w:t>
            </w:r>
            <w:r>
              <w:rPr>
                <w:rFonts w:ascii="Arial" w:hAnsi="Arial" w:cs="Arial" w:eastAsia="Arial" w:hint="default"/>
                <w:spacing w:val="-8"/>
                <w:sz w:val="22"/>
                <w:szCs w:val="22"/>
              </w:rPr>
              <w:t> </w:t>
            </w:r>
            <w:r>
              <w:rPr>
                <w:rFonts w:ascii="宋体" w:hAnsi="宋体" w:cs="宋体" w:eastAsia="宋体" w:hint="default"/>
                <w:sz w:val="22"/>
                <w:szCs w:val="22"/>
              </w:rPr>
              <w:t>公司</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2"/>
              <w:jc w:val="right"/>
              <w:rPr>
                <w:rFonts w:ascii="Arial" w:hAnsi="Arial" w:cs="Arial" w:eastAsia="Arial" w:hint="default"/>
                <w:sz w:val="22"/>
                <w:szCs w:val="22"/>
              </w:rPr>
            </w:pPr>
            <w:r>
              <w:rPr>
                <w:rFonts w:ascii="Arial"/>
                <w:spacing w:val="-1"/>
                <w:sz w:val="22"/>
              </w:rPr>
              <w:t>72,586,757,119</w:t>
            </w:r>
          </w:p>
        </w:tc>
        <w:tc>
          <w:tcPr>
            <w:tcW w:w="172"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4"/>
              <w:jc w:val="right"/>
              <w:rPr>
                <w:rFonts w:ascii="Arial" w:hAnsi="Arial" w:cs="Arial" w:eastAsia="Arial" w:hint="default"/>
                <w:sz w:val="22"/>
                <w:szCs w:val="22"/>
              </w:rPr>
            </w:pPr>
            <w:r>
              <w:rPr>
                <w:rFonts w:ascii="Arial"/>
                <w:spacing w:val="-1"/>
                <w:sz w:val="22"/>
              </w:rPr>
              <w:t>61,886,616,235</w:t>
            </w:r>
          </w:p>
        </w:tc>
      </w:tr>
      <w:tr>
        <w:trPr>
          <w:trHeight w:val="419" w:hRule="exact"/>
        </w:trPr>
        <w:tc>
          <w:tcPr>
            <w:tcW w:w="4550"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联通红筹公司之公众股东</w:t>
            </w:r>
          </w:p>
        </w:tc>
        <w:tc>
          <w:tcPr>
            <w:tcW w:w="2256" w:type="dxa"/>
            <w:tcBorders>
              <w:top w:val="nil" w:sz="6" w:space="0" w:color="auto"/>
              <w:left w:val="nil" w:sz="6" w:space="0" w:color="auto"/>
              <w:bottom w:val="nil" w:sz="6" w:space="0" w:color="auto"/>
              <w:right w:val="nil" w:sz="6" w:space="0" w:color="auto"/>
            </w:tcBorders>
          </w:tcPr>
          <w:p>
            <w:pPr>
              <w:pStyle w:val="TableParagraph"/>
              <w:tabs>
                <w:tab w:pos="603" w:val="left" w:leader="none"/>
                <w:tab w:pos="2256"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51,712,710,518</w:t>
              <w:tab/>
            </w:r>
            <w:r>
              <w:rPr>
                <w:rFonts w:ascii="Arial"/>
                <w:spacing w:val="-1"/>
                <w:sz w:val="22"/>
              </w:rPr>
            </w:r>
          </w:p>
        </w:tc>
        <w:tc>
          <w:tcPr>
            <w:tcW w:w="172"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tabs>
                <w:tab w:pos="526" w:val="left" w:leader="none"/>
                <w:tab w:pos="2171"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60,325,361,885</w:t>
              <w:tab/>
            </w:r>
            <w:r>
              <w:rPr>
                <w:rFonts w:ascii="Arial"/>
                <w:spacing w:val="-1"/>
                <w:sz w:val="22"/>
              </w:rPr>
            </w:r>
          </w:p>
        </w:tc>
      </w:tr>
      <w:tr>
        <w:trPr>
          <w:trHeight w:val="430" w:hRule="exact"/>
        </w:trPr>
        <w:tc>
          <w:tcPr>
            <w:tcW w:w="455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56"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21"/>
              <w:jc w:val="right"/>
              <w:rPr>
                <w:rFonts w:ascii="Arial" w:hAnsi="Arial" w:cs="Arial" w:eastAsia="Arial" w:hint="default"/>
                <w:sz w:val="22"/>
                <w:szCs w:val="22"/>
              </w:rPr>
            </w:pPr>
            <w:r>
              <w:rPr>
                <w:rFonts w:ascii="Arial"/>
                <w:spacing w:val="-1"/>
                <w:sz w:val="22"/>
              </w:rPr>
              <w:t>139,937,030,085</w:t>
            </w:r>
          </w:p>
        </w:tc>
        <w:tc>
          <w:tcPr>
            <w:tcW w:w="172"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411" w:right="0"/>
              <w:jc w:val="left"/>
              <w:rPr>
                <w:rFonts w:ascii="Arial" w:hAnsi="Arial" w:cs="Arial" w:eastAsia="Arial" w:hint="default"/>
                <w:sz w:val="22"/>
                <w:szCs w:val="22"/>
              </w:rPr>
            </w:pPr>
            <w:r>
              <w:rPr>
                <w:rFonts w:ascii="Arial"/>
                <w:sz w:val="22"/>
              </w:rPr>
              <w:t>137,586,893,847</w:t>
            </w:r>
          </w:p>
        </w:tc>
      </w:tr>
    </w:tbl>
    <w:p>
      <w:pPr>
        <w:spacing w:line="240" w:lineRule="auto" w:before="2"/>
        <w:rPr>
          <w:rFonts w:ascii="宋体" w:hAnsi="宋体" w:cs="宋体" w:eastAsia="宋体" w:hint="default"/>
          <w:sz w:val="14"/>
          <w:szCs w:val="14"/>
        </w:rPr>
      </w:pPr>
    </w:p>
    <w:p>
      <w:pPr>
        <w:pStyle w:val="BodyText"/>
        <w:spacing w:line="240" w:lineRule="auto" w:before="31"/>
        <w:ind w:left="102" w:right="5273"/>
        <w:jc w:val="left"/>
      </w:pPr>
      <w:r>
        <w:rPr>
          <w:rFonts w:ascii="Arial" w:hAnsi="Arial" w:cs="Arial" w:eastAsia="Arial" w:hint="default"/>
        </w:rPr>
        <w:t>(b) </w:t>
      </w:r>
      <w:r>
        <w:rPr>
          <w:rFonts w:ascii="Arial" w:hAnsi="Arial" w:cs="Arial" w:eastAsia="Arial" w:hint="default"/>
          <w:spacing w:val="24"/>
        </w:rPr>
        <w:t> </w:t>
      </w:r>
      <w:r>
        <w:rPr/>
        <w:t>少数股东损益</w:t>
      </w:r>
    </w:p>
    <w:p>
      <w:pPr>
        <w:spacing w:line="240" w:lineRule="auto" w:before="2"/>
        <w:rPr>
          <w:rFonts w:ascii="宋体" w:hAnsi="宋体" w:cs="宋体" w:eastAsia="宋体" w:hint="default"/>
          <w:sz w:val="23"/>
          <w:szCs w:val="23"/>
        </w:rPr>
      </w:pPr>
    </w:p>
    <w:tbl>
      <w:tblPr>
        <w:tblW w:w="0" w:type="auto"/>
        <w:jc w:val="left"/>
        <w:tblInd w:w="351" w:type="dxa"/>
        <w:tblLayout w:type="fixed"/>
        <w:tblCellMar>
          <w:top w:w="0" w:type="dxa"/>
          <w:left w:w="0" w:type="dxa"/>
          <w:bottom w:w="0" w:type="dxa"/>
          <w:right w:w="0" w:type="dxa"/>
        </w:tblCellMar>
        <w:tblLook w:val="01E0"/>
      </w:tblPr>
      <w:tblGrid>
        <w:gridCol w:w="4550"/>
        <w:gridCol w:w="2249"/>
        <w:gridCol w:w="179"/>
        <w:gridCol w:w="2179"/>
      </w:tblGrid>
      <w:tr>
        <w:trPr>
          <w:trHeight w:val="260" w:hRule="exact"/>
        </w:trPr>
        <w:tc>
          <w:tcPr>
            <w:tcW w:w="4550"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single" w:sz="6" w:space="0" w:color="000000"/>
              <w:right w:val="nil" w:sz="6" w:space="0" w:color="auto"/>
            </w:tcBorders>
          </w:tcPr>
          <w:p>
            <w:pPr>
              <w:pStyle w:val="TableParagraph"/>
              <w:spacing w:line="235" w:lineRule="exact"/>
              <w:ind w:right="53"/>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79"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single" w:sz="6" w:space="0" w:color="000000"/>
              <w:right w:val="nil" w:sz="6" w:space="0" w:color="auto"/>
            </w:tcBorders>
          </w:tcPr>
          <w:p>
            <w:pPr>
              <w:pStyle w:val="TableParagraph"/>
              <w:spacing w:line="235" w:lineRule="exact"/>
              <w:ind w:left="1091"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59" w:hRule="exact"/>
        </w:trPr>
        <w:tc>
          <w:tcPr>
            <w:tcW w:w="455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2249"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12"/>
              <w:jc w:val="right"/>
              <w:rPr>
                <w:rFonts w:ascii="Arial" w:hAnsi="Arial" w:cs="Arial" w:eastAsia="Arial" w:hint="default"/>
                <w:sz w:val="22"/>
                <w:szCs w:val="22"/>
              </w:rPr>
            </w:pPr>
            <w:r>
              <w:rPr>
                <w:rFonts w:ascii="Arial"/>
                <w:w w:val="95"/>
                <w:sz w:val="22"/>
              </w:rPr>
              <w:t>520,595,379</w:t>
            </w:r>
            <w:r>
              <w:rPr>
                <w:rFonts w:ascii="Arial"/>
                <w:sz w:val="22"/>
              </w:rPr>
            </w:r>
          </w:p>
        </w:tc>
        <w:tc>
          <w:tcPr>
            <w:tcW w:w="179" w:type="dxa"/>
            <w:tcBorders>
              <w:top w:val="nil" w:sz="6" w:space="0" w:color="auto"/>
              <w:left w:val="nil" w:sz="6" w:space="0" w:color="auto"/>
              <w:bottom w:val="nil" w:sz="6" w:space="0" w:color="auto"/>
              <w:right w:val="nil" w:sz="6" w:space="0" w:color="auto"/>
            </w:tcBorders>
          </w:tcPr>
          <w:p>
            <w:pPr/>
          </w:p>
        </w:tc>
        <w:tc>
          <w:tcPr>
            <w:tcW w:w="2179"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848" w:right="0"/>
              <w:jc w:val="left"/>
              <w:rPr>
                <w:rFonts w:ascii="Arial" w:hAnsi="Arial" w:cs="Arial" w:eastAsia="Arial" w:hint="default"/>
                <w:sz w:val="22"/>
                <w:szCs w:val="22"/>
              </w:rPr>
            </w:pPr>
            <w:r>
              <w:rPr>
                <w:rFonts w:ascii="Arial"/>
                <w:sz w:val="22"/>
              </w:rPr>
              <w:t>310,207,358</w:t>
            </w:r>
          </w:p>
        </w:tc>
      </w:tr>
      <w:tr>
        <w:trPr>
          <w:trHeight w:val="285" w:hRule="exact"/>
        </w:trPr>
        <w:tc>
          <w:tcPr>
            <w:tcW w:w="4550"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z w:val="22"/>
                <w:szCs w:val="22"/>
              </w:rPr>
              <w:t>联通集团</w:t>
            </w:r>
            <w:r>
              <w:rPr>
                <w:rFonts w:ascii="宋体" w:hAnsi="宋体" w:cs="宋体" w:eastAsia="宋体" w:hint="default"/>
                <w:spacing w:val="-57"/>
                <w:sz w:val="22"/>
                <w:szCs w:val="22"/>
              </w:rPr>
              <w:t> </w:t>
            </w:r>
            <w:r>
              <w:rPr>
                <w:rFonts w:ascii="Arial" w:hAnsi="Arial" w:cs="Arial" w:eastAsia="Arial" w:hint="default"/>
                <w:sz w:val="22"/>
                <w:szCs w:val="22"/>
              </w:rPr>
              <w:t>BVI</w:t>
            </w:r>
            <w:r>
              <w:rPr>
                <w:rFonts w:ascii="Arial" w:hAnsi="Arial" w:cs="Arial" w:eastAsia="Arial" w:hint="default"/>
                <w:spacing w:val="-8"/>
                <w:sz w:val="22"/>
                <w:szCs w:val="22"/>
              </w:rPr>
              <w:t> </w:t>
            </w:r>
            <w:r>
              <w:rPr>
                <w:rFonts w:ascii="宋体" w:hAnsi="宋体" w:cs="宋体" w:eastAsia="宋体" w:hint="default"/>
                <w:sz w:val="22"/>
                <w:szCs w:val="22"/>
              </w:rPr>
              <w:t>公司</w:t>
            </w: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4"/>
              <w:jc w:val="right"/>
              <w:rPr>
                <w:rFonts w:ascii="Arial" w:hAnsi="Arial" w:cs="Arial" w:eastAsia="Arial" w:hint="default"/>
                <w:sz w:val="22"/>
                <w:szCs w:val="22"/>
              </w:rPr>
            </w:pPr>
            <w:r>
              <w:rPr>
                <w:rFonts w:ascii="Arial"/>
                <w:spacing w:val="-1"/>
                <w:sz w:val="22"/>
              </w:rPr>
              <w:t>2,260,298,603</w:t>
            </w:r>
          </w:p>
        </w:tc>
        <w:tc>
          <w:tcPr>
            <w:tcW w:w="179"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64" w:right="0"/>
              <w:jc w:val="left"/>
              <w:rPr>
                <w:rFonts w:ascii="Arial" w:hAnsi="Arial" w:cs="Arial" w:eastAsia="Arial" w:hint="default"/>
                <w:sz w:val="22"/>
                <w:szCs w:val="22"/>
              </w:rPr>
            </w:pPr>
            <w:r>
              <w:rPr>
                <w:rFonts w:ascii="Arial"/>
                <w:sz w:val="22"/>
              </w:rPr>
              <w:t>1,248,750,435</w:t>
            </w:r>
          </w:p>
        </w:tc>
      </w:tr>
      <w:tr>
        <w:trPr>
          <w:trHeight w:val="419" w:hRule="exact"/>
        </w:trPr>
        <w:tc>
          <w:tcPr>
            <w:tcW w:w="4550"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联通红筹公司之公众股东</w:t>
            </w:r>
          </w:p>
        </w:tc>
        <w:tc>
          <w:tcPr>
            <w:tcW w:w="2249" w:type="dxa"/>
            <w:tcBorders>
              <w:top w:val="nil" w:sz="6" w:space="0" w:color="auto"/>
              <w:left w:val="nil" w:sz="6" w:space="0" w:color="auto"/>
              <w:bottom w:val="nil" w:sz="6" w:space="0" w:color="auto"/>
              <w:right w:val="nil" w:sz="6" w:space="0" w:color="auto"/>
            </w:tcBorders>
          </w:tcPr>
          <w:p>
            <w:pPr>
              <w:pStyle w:val="TableParagraph"/>
              <w:tabs>
                <w:tab w:pos="725" w:val="left" w:leader="none"/>
                <w:tab w:pos="2249"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1,876,427,742</w:t>
              <w:tab/>
            </w:r>
            <w:r>
              <w:rPr>
                <w:rFonts w:ascii="Arial"/>
                <w:spacing w:val="-1"/>
                <w:sz w:val="22"/>
              </w:rPr>
            </w:r>
          </w:p>
        </w:tc>
        <w:tc>
          <w:tcPr>
            <w:tcW w:w="179"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tabs>
                <w:tab w:pos="664" w:val="left" w:leader="none"/>
                <w:tab w:pos="2179" w:val="left" w:leader="none"/>
              </w:tabs>
              <w:spacing w:line="240" w:lineRule="auto" w:before="17"/>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1,216,761,853</w:t>
              <w:tab/>
            </w:r>
            <w:r>
              <w:rPr>
                <w:rFonts w:ascii="Arial"/>
                <w:sz w:val="22"/>
              </w:rPr>
            </w:r>
          </w:p>
        </w:tc>
      </w:tr>
      <w:tr>
        <w:trPr>
          <w:trHeight w:val="430" w:hRule="exact"/>
        </w:trPr>
        <w:tc>
          <w:tcPr>
            <w:tcW w:w="455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49"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14"/>
              <w:jc w:val="right"/>
              <w:rPr>
                <w:rFonts w:ascii="Arial" w:hAnsi="Arial" w:cs="Arial" w:eastAsia="Arial" w:hint="default"/>
                <w:sz w:val="22"/>
                <w:szCs w:val="22"/>
              </w:rPr>
            </w:pPr>
            <w:r>
              <w:rPr>
                <w:rFonts w:ascii="Arial"/>
                <w:spacing w:val="-1"/>
                <w:sz w:val="22"/>
              </w:rPr>
              <w:t>4,657,321,724</w:t>
            </w:r>
          </w:p>
        </w:tc>
        <w:tc>
          <w:tcPr>
            <w:tcW w:w="179"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656" w:right="0"/>
              <w:jc w:val="left"/>
              <w:rPr>
                <w:rFonts w:ascii="Arial" w:hAnsi="Arial" w:cs="Arial" w:eastAsia="Arial" w:hint="default"/>
                <w:sz w:val="22"/>
                <w:szCs w:val="22"/>
              </w:rPr>
            </w:pPr>
            <w:r>
              <w:rPr>
                <w:rFonts w:ascii="Arial"/>
                <w:sz w:val="22"/>
              </w:rPr>
              <w:t>2,775,719,646</w:t>
            </w:r>
          </w:p>
        </w:tc>
      </w:tr>
    </w:tbl>
    <w:p>
      <w:pPr>
        <w:spacing w:line="240" w:lineRule="auto" w:before="2"/>
        <w:rPr>
          <w:rFonts w:ascii="宋体" w:hAnsi="宋体" w:cs="宋体" w:eastAsia="宋体" w:hint="default"/>
          <w:sz w:val="14"/>
          <w:szCs w:val="14"/>
        </w:rPr>
      </w:pPr>
    </w:p>
    <w:p>
      <w:pPr>
        <w:pStyle w:val="BodyText"/>
        <w:spacing w:line="240" w:lineRule="auto" w:before="31"/>
        <w:ind w:left="102" w:right="5273"/>
        <w:jc w:val="left"/>
      </w:pPr>
      <w:r>
        <w:rPr>
          <w:rFonts w:ascii="Arial" w:hAnsi="Arial" w:cs="Arial" w:eastAsia="Arial" w:hint="default"/>
        </w:rPr>
        <w:t>36</w:t>
      </w:r>
      <w:r>
        <w:rPr/>
        <w:t>、营业收入和营业成本</w:t>
      </w:r>
    </w:p>
    <w:p>
      <w:pPr>
        <w:spacing w:line="240" w:lineRule="auto" w:before="9"/>
        <w:rPr>
          <w:rFonts w:ascii="宋体" w:hAnsi="宋体" w:cs="宋体" w:eastAsia="宋体" w:hint="default"/>
          <w:sz w:val="19"/>
          <w:szCs w:val="19"/>
        </w:rPr>
      </w:pPr>
    </w:p>
    <w:tbl>
      <w:tblPr>
        <w:tblW w:w="0" w:type="auto"/>
        <w:jc w:val="left"/>
        <w:tblInd w:w="352" w:type="dxa"/>
        <w:tblLayout w:type="fixed"/>
        <w:tblCellMar>
          <w:top w:w="0" w:type="dxa"/>
          <w:left w:w="0" w:type="dxa"/>
          <w:bottom w:w="0" w:type="dxa"/>
          <w:right w:w="0" w:type="dxa"/>
        </w:tblCellMar>
        <w:tblLook w:val="01E0"/>
      </w:tblPr>
      <w:tblGrid>
        <w:gridCol w:w="4548"/>
        <w:gridCol w:w="2241"/>
        <w:gridCol w:w="182"/>
        <w:gridCol w:w="2167"/>
      </w:tblGrid>
      <w:tr>
        <w:trPr>
          <w:trHeight w:val="260" w:hRule="exact"/>
        </w:trPr>
        <w:tc>
          <w:tcPr>
            <w:tcW w:w="4548"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single" w:sz="6" w:space="0" w:color="000000"/>
              <w:right w:val="nil" w:sz="6" w:space="0" w:color="auto"/>
            </w:tcBorders>
          </w:tcPr>
          <w:p>
            <w:pPr>
              <w:pStyle w:val="TableParagraph"/>
              <w:spacing w:line="235" w:lineRule="exact"/>
              <w:ind w:right="86"/>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8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single" w:sz="6" w:space="0" w:color="000000"/>
              <w:right w:val="nil" w:sz="6" w:space="0" w:color="auto"/>
            </w:tcBorders>
          </w:tcPr>
          <w:p>
            <w:pPr>
              <w:pStyle w:val="TableParagraph"/>
              <w:spacing w:line="235" w:lineRule="exact"/>
              <w:ind w:left="1080"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653" w:hRule="exact"/>
        </w:trPr>
        <w:tc>
          <w:tcPr>
            <w:tcW w:w="45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主营业务收入：</w:t>
            </w:r>
          </w:p>
        </w:tc>
        <w:tc>
          <w:tcPr>
            <w:tcW w:w="2241" w:type="dxa"/>
            <w:tcBorders>
              <w:top w:val="single" w:sz="6" w:space="0" w:color="000000"/>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2167" w:type="dxa"/>
            <w:tcBorders>
              <w:top w:val="single" w:sz="6" w:space="0" w:color="000000"/>
              <w:left w:val="nil" w:sz="6" w:space="0" w:color="auto"/>
              <w:bottom w:val="nil" w:sz="6" w:space="0" w:color="auto"/>
              <w:right w:val="nil" w:sz="6" w:space="0" w:color="auto"/>
            </w:tcBorders>
          </w:tcPr>
          <w:p>
            <w:pPr/>
          </w:p>
        </w:tc>
      </w:tr>
      <w:tr>
        <w:trPr>
          <w:trHeight w:val="328" w:hRule="exact"/>
        </w:trPr>
        <w:tc>
          <w:tcPr>
            <w:tcW w:w="4548" w:type="dxa"/>
            <w:tcBorders>
              <w:top w:val="nil" w:sz="6" w:space="0" w:color="auto"/>
              <w:left w:val="nil" w:sz="6" w:space="0" w:color="auto"/>
              <w:bottom w:val="nil" w:sz="6" w:space="0" w:color="auto"/>
              <w:right w:val="nil" w:sz="6" w:space="0" w:color="auto"/>
            </w:tcBorders>
          </w:tcPr>
          <w:p>
            <w:pPr>
              <w:pStyle w:val="TableParagraph"/>
              <w:spacing w:line="268" w:lineRule="exact"/>
              <w:ind w:left="406" w:right="0"/>
              <w:jc w:val="left"/>
              <w:rPr>
                <w:rFonts w:ascii="宋体" w:hAnsi="宋体" w:cs="宋体" w:eastAsia="宋体" w:hint="default"/>
                <w:sz w:val="22"/>
                <w:szCs w:val="22"/>
              </w:rPr>
            </w:pPr>
            <w:r>
              <w:rPr>
                <w:rFonts w:ascii="宋体" w:hAnsi="宋体" w:cs="宋体" w:eastAsia="宋体" w:hint="default"/>
                <w:sz w:val="22"/>
                <w:szCs w:val="22"/>
              </w:rPr>
              <w:t>通话及月租费收入</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6"/>
              <w:jc w:val="right"/>
              <w:rPr>
                <w:rFonts w:ascii="Arial" w:hAnsi="Arial" w:cs="Arial" w:eastAsia="Arial" w:hint="default"/>
                <w:sz w:val="22"/>
                <w:szCs w:val="22"/>
              </w:rPr>
            </w:pPr>
            <w:r>
              <w:rPr>
                <w:rFonts w:ascii="Arial"/>
                <w:spacing w:val="-1"/>
                <w:sz w:val="22"/>
              </w:rPr>
              <w:t>83,671,812,398</w:t>
            </w:r>
          </w:p>
        </w:tc>
        <w:tc>
          <w:tcPr>
            <w:tcW w:w="18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548" w:right="0"/>
              <w:jc w:val="left"/>
              <w:rPr>
                <w:rFonts w:ascii="Arial" w:hAnsi="Arial" w:cs="Arial" w:eastAsia="Arial" w:hint="default"/>
                <w:sz w:val="22"/>
                <w:szCs w:val="22"/>
              </w:rPr>
            </w:pPr>
            <w:r>
              <w:rPr>
                <w:rFonts w:ascii="Arial"/>
                <w:sz w:val="22"/>
              </w:rPr>
              <w:t>80,780,180,262</w:t>
            </w:r>
          </w:p>
        </w:tc>
      </w:tr>
      <w:tr>
        <w:trPr>
          <w:trHeight w:val="315" w:hRule="exact"/>
        </w:trPr>
        <w:tc>
          <w:tcPr>
            <w:tcW w:w="4548" w:type="dxa"/>
            <w:tcBorders>
              <w:top w:val="nil" w:sz="6" w:space="0" w:color="auto"/>
              <w:left w:val="nil" w:sz="6" w:space="0" w:color="auto"/>
              <w:bottom w:val="nil" w:sz="6" w:space="0" w:color="auto"/>
              <w:right w:val="nil" w:sz="6" w:space="0" w:color="auto"/>
            </w:tcBorders>
          </w:tcPr>
          <w:p>
            <w:pPr>
              <w:pStyle w:val="TableParagraph"/>
              <w:spacing w:line="254" w:lineRule="exact"/>
              <w:ind w:left="406" w:right="0"/>
              <w:jc w:val="left"/>
              <w:rPr>
                <w:rFonts w:ascii="宋体" w:hAnsi="宋体" w:cs="宋体" w:eastAsia="宋体" w:hint="default"/>
                <w:sz w:val="22"/>
                <w:szCs w:val="22"/>
              </w:rPr>
            </w:pPr>
            <w:r>
              <w:rPr>
                <w:rFonts w:ascii="宋体" w:hAnsi="宋体" w:cs="宋体" w:eastAsia="宋体" w:hint="default"/>
                <w:sz w:val="22"/>
                <w:szCs w:val="22"/>
              </w:rPr>
              <w:t>增值业务收入</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Arial" w:hAnsi="Arial" w:cs="Arial" w:eastAsia="Arial" w:hint="default"/>
                <w:sz w:val="22"/>
                <w:szCs w:val="22"/>
              </w:rPr>
            </w:pPr>
            <w:r>
              <w:rPr>
                <w:rFonts w:ascii="Arial"/>
                <w:spacing w:val="-1"/>
                <w:sz w:val="22"/>
              </w:rPr>
              <w:t>58,181,460,294</w:t>
            </w:r>
          </w:p>
        </w:tc>
        <w:tc>
          <w:tcPr>
            <w:tcW w:w="18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548" w:right="0"/>
              <w:jc w:val="left"/>
              <w:rPr>
                <w:rFonts w:ascii="Arial" w:hAnsi="Arial" w:cs="Arial" w:eastAsia="Arial" w:hint="default"/>
                <w:sz w:val="22"/>
                <w:szCs w:val="22"/>
              </w:rPr>
            </w:pPr>
            <w:r>
              <w:rPr>
                <w:rFonts w:ascii="Arial"/>
                <w:sz w:val="22"/>
              </w:rPr>
              <w:t>43,788,159,009</w:t>
            </w:r>
          </w:p>
        </w:tc>
      </w:tr>
      <w:tr>
        <w:trPr>
          <w:trHeight w:val="315" w:hRule="exact"/>
        </w:trPr>
        <w:tc>
          <w:tcPr>
            <w:tcW w:w="4548" w:type="dxa"/>
            <w:tcBorders>
              <w:top w:val="nil" w:sz="6" w:space="0" w:color="auto"/>
              <w:left w:val="nil" w:sz="6" w:space="0" w:color="auto"/>
              <w:bottom w:val="nil" w:sz="6" w:space="0" w:color="auto"/>
              <w:right w:val="nil" w:sz="6" w:space="0" w:color="auto"/>
            </w:tcBorders>
          </w:tcPr>
          <w:p>
            <w:pPr>
              <w:pStyle w:val="TableParagraph"/>
              <w:spacing w:line="254" w:lineRule="exact"/>
              <w:ind w:left="406" w:right="0"/>
              <w:jc w:val="left"/>
              <w:rPr>
                <w:rFonts w:ascii="宋体" w:hAnsi="宋体" w:cs="宋体" w:eastAsia="宋体" w:hint="default"/>
                <w:sz w:val="22"/>
                <w:szCs w:val="22"/>
              </w:rPr>
            </w:pPr>
            <w:r>
              <w:rPr>
                <w:rFonts w:ascii="宋体" w:hAnsi="宋体" w:cs="宋体" w:eastAsia="宋体" w:hint="default"/>
                <w:sz w:val="22"/>
                <w:szCs w:val="22"/>
              </w:rPr>
              <w:t>宽带、数据及互联网收入</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Arial" w:hAnsi="Arial" w:cs="Arial" w:eastAsia="Arial" w:hint="default"/>
                <w:sz w:val="22"/>
                <w:szCs w:val="22"/>
              </w:rPr>
            </w:pPr>
            <w:r>
              <w:rPr>
                <w:rFonts w:ascii="Arial"/>
                <w:spacing w:val="-1"/>
                <w:sz w:val="22"/>
              </w:rPr>
              <w:t>44,614,146,337</w:t>
            </w:r>
          </w:p>
        </w:tc>
        <w:tc>
          <w:tcPr>
            <w:tcW w:w="18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548" w:right="0"/>
              <w:jc w:val="left"/>
              <w:rPr>
                <w:rFonts w:ascii="Arial" w:hAnsi="Arial" w:cs="Arial" w:eastAsia="Arial" w:hint="default"/>
                <w:sz w:val="22"/>
                <w:szCs w:val="22"/>
              </w:rPr>
            </w:pPr>
            <w:r>
              <w:rPr>
                <w:rFonts w:ascii="Arial"/>
                <w:sz w:val="22"/>
              </w:rPr>
              <w:t>39,812,179,895</w:t>
            </w:r>
          </w:p>
        </w:tc>
      </w:tr>
      <w:tr>
        <w:trPr>
          <w:trHeight w:val="315" w:hRule="exact"/>
        </w:trPr>
        <w:tc>
          <w:tcPr>
            <w:tcW w:w="4548" w:type="dxa"/>
            <w:tcBorders>
              <w:top w:val="nil" w:sz="6" w:space="0" w:color="auto"/>
              <w:left w:val="nil" w:sz="6" w:space="0" w:color="auto"/>
              <w:bottom w:val="nil" w:sz="6" w:space="0" w:color="auto"/>
              <w:right w:val="nil" w:sz="6" w:space="0" w:color="auto"/>
            </w:tcBorders>
          </w:tcPr>
          <w:p>
            <w:pPr>
              <w:pStyle w:val="TableParagraph"/>
              <w:spacing w:line="254" w:lineRule="exact"/>
              <w:ind w:left="406" w:right="0"/>
              <w:jc w:val="left"/>
              <w:rPr>
                <w:rFonts w:ascii="宋体" w:hAnsi="宋体" w:cs="宋体" w:eastAsia="宋体" w:hint="default"/>
                <w:sz w:val="22"/>
                <w:szCs w:val="22"/>
              </w:rPr>
            </w:pPr>
            <w:r>
              <w:rPr>
                <w:rFonts w:ascii="宋体" w:hAnsi="宋体" w:cs="宋体" w:eastAsia="宋体" w:hint="default"/>
                <w:sz w:val="22"/>
                <w:szCs w:val="22"/>
              </w:rPr>
              <w:t>网间结算收入</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Arial" w:hAnsi="Arial" w:cs="Arial" w:eastAsia="Arial" w:hint="default"/>
                <w:sz w:val="22"/>
                <w:szCs w:val="22"/>
              </w:rPr>
            </w:pPr>
            <w:r>
              <w:rPr>
                <w:rFonts w:ascii="Arial"/>
                <w:spacing w:val="-1"/>
                <w:sz w:val="22"/>
              </w:rPr>
              <w:t>17,142,929,825</w:t>
            </w:r>
          </w:p>
        </w:tc>
        <w:tc>
          <w:tcPr>
            <w:tcW w:w="18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548" w:right="0"/>
              <w:jc w:val="left"/>
              <w:rPr>
                <w:rFonts w:ascii="Arial" w:hAnsi="Arial" w:cs="Arial" w:eastAsia="Arial" w:hint="default"/>
                <w:sz w:val="22"/>
                <w:szCs w:val="22"/>
              </w:rPr>
            </w:pPr>
            <w:r>
              <w:rPr>
                <w:rFonts w:ascii="Arial"/>
                <w:sz w:val="22"/>
              </w:rPr>
              <w:t>15,713,617,408</w:t>
            </w:r>
          </w:p>
        </w:tc>
      </w:tr>
      <w:tr>
        <w:trPr>
          <w:trHeight w:val="315" w:hRule="exact"/>
        </w:trPr>
        <w:tc>
          <w:tcPr>
            <w:tcW w:w="4548" w:type="dxa"/>
            <w:tcBorders>
              <w:top w:val="nil" w:sz="6" w:space="0" w:color="auto"/>
              <w:left w:val="nil" w:sz="6" w:space="0" w:color="auto"/>
              <w:bottom w:val="nil" w:sz="6" w:space="0" w:color="auto"/>
              <w:right w:val="nil" w:sz="6" w:space="0" w:color="auto"/>
            </w:tcBorders>
          </w:tcPr>
          <w:p>
            <w:pPr>
              <w:pStyle w:val="TableParagraph"/>
              <w:spacing w:line="254" w:lineRule="exact"/>
              <w:ind w:left="406" w:right="0"/>
              <w:jc w:val="left"/>
              <w:rPr>
                <w:rFonts w:ascii="宋体" w:hAnsi="宋体" w:cs="宋体" w:eastAsia="宋体" w:hint="default"/>
                <w:sz w:val="22"/>
                <w:szCs w:val="22"/>
              </w:rPr>
            </w:pPr>
            <w:r>
              <w:rPr>
                <w:rFonts w:ascii="宋体" w:hAnsi="宋体" w:cs="宋体" w:eastAsia="宋体" w:hint="default"/>
                <w:sz w:val="22"/>
                <w:szCs w:val="22"/>
              </w:rPr>
              <w:t>电路及网元租赁收入</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Arial" w:hAnsi="Arial" w:cs="Arial" w:eastAsia="Arial" w:hint="default"/>
                <w:sz w:val="22"/>
                <w:szCs w:val="22"/>
              </w:rPr>
            </w:pPr>
            <w:r>
              <w:rPr>
                <w:rFonts w:ascii="Arial"/>
                <w:spacing w:val="-1"/>
                <w:sz w:val="22"/>
              </w:rPr>
              <w:t>8,701,242,839</w:t>
            </w:r>
          </w:p>
        </w:tc>
        <w:tc>
          <w:tcPr>
            <w:tcW w:w="18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670" w:right="0"/>
              <w:jc w:val="left"/>
              <w:rPr>
                <w:rFonts w:ascii="Arial" w:hAnsi="Arial" w:cs="Arial" w:eastAsia="Arial" w:hint="default"/>
                <w:sz w:val="22"/>
                <w:szCs w:val="22"/>
              </w:rPr>
            </w:pPr>
            <w:r>
              <w:rPr>
                <w:rFonts w:ascii="Arial"/>
                <w:sz w:val="22"/>
              </w:rPr>
              <w:t>7,308,923,444</w:t>
            </w:r>
          </w:p>
        </w:tc>
      </w:tr>
      <w:tr>
        <w:trPr>
          <w:trHeight w:val="315" w:hRule="exact"/>
        </w:trPr>
        <w:tc>
          <w:tcPr>
            <w:tcW w:w="4548" w:type="dxa"/>
            <w:tcBorders>
              <w:top w:val="nil" w:sz="6" w:space="0" w:color="auto"/>
              <w:left w:val="nil" w:sz="6" w:space="0" w:color="auto"/>
              <w:bottom w:val="nil" w:sz="6" w:space="0" w:color="auto"/>
              <w:right w:val="nil" w:sz="6" w:space="0" w:color="auto"/>
            </w:tcBorders>
          </w:tcPr>
          <w:p>
            <w:pPr>
              <w:pStyle w:val="TableParagraph"/>
              <w:spacing w:line="254" w:lineRule="exact"/>
              <w:ind w:right="399"/>
              <w:jc w:val="right"/>
              <w:rPr>
                <w:rFonts w:ascii="宋体" w:hAnsi="宋体" w:cs="宋体" w:eastAsia="宋体" w:hint="default"/>
                <w:sz w:val="22"/>
                <w:szCs w:val="22"/>
              </w:rPr>
            </w:pPr>
            <w:r>
              <w:rPr>
                <w:rFonts w:ascii="宋体" w:hAnsi="宋体" w:cs="宋体" w:eastAsia="宋体" w:hint="default"/>
                <w:w w:val="95"/>
                <w:sz w:val="22"/>
                <w:szCs w:val="22"/>
              </w:rPr>
              <w:t>装移机收入及一次性不退还收入的摊销</w:t>
            </w:r>
            <w:r>
              <w:rPr>
                <w:rFonts w:ascii="宋体" w:hAnsi="宋体" w:cs="宋体" w:eastAsia="宋体" w:hint="default"/>
                <w:sz w:val="22"/>
                <w:szCs w:val="22"/>
              </w:rPr>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4"/>
              <w:jc w:val="right"/>
              <w:rPr>
                <w:rFonts w:ascii="Arial" w:hAnsi="Arial" w:cs="Arial" w:eastAsia="Arial" w:hint="default"/>
                <w:sz w:val="22"/>
                <w:szCs w:val="22"/>
              </w:rPr>
            </w:pPr>
            <w:r>
              <w:rPr>
                <w:rFonts w:ascii="Arial"/>
                <w:w w:val="95"/>
                <w:sz w:val="22"/>
              </w:rPr>
              <w:t>827,762,424</w:t>
            </w:r>
            <w:r>
              <w:rPr>
                <w:rFonts w:ascii="Arial"/>
                <w:sz w:val="22"/>
              </w:rPr>
            </w:r>
          </w:p>
        </w:tc>
        <w:tc>
          <w:tcPr>
            <w:tcW w:w="18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670" w:right="0"/>
              <w:jc w:val="left"/>
              <w:rPr>
                <w:rFonts w:ascii="Arial" w:hAnsi="Arial" w:cs="Arial" w:eastAsia="Arial" w:hint="default"/>
                <w:sz w:val="22"/>
                <w:szCs w:val="22"/>
              </w:rPr>
            </w:pPr>
            <w:r>
              <w:rPr>
                <w:rFonts w:ascii="Arial"/>
                <w:sz w:val="22"/>
              </w:rPr>
              <w:t>1,030,809,931</w:t>
            </w:r>
          </w:p>
        </w:tc>
      </w:tr>
      <w:tr>
        <w:trPr>
          <w:trHeight w:val="315" w:hRule="exact"/>
        </w:trPr>
        <w:tc>
          <w:tcPr>
            <w:tcW w:w="4548" w:type="dxa"/>
            <w:tcBorders>
              <w:top w:val="nil" w:sz="6" w:space="0" w:color="auto"/>
              <w:left w:val="nil" w:sz="6" w:space="0" w:color="auto"/>
              <w:bottom w:val="nil" w:sz="6" w:space="0" w:color="auto"/>
              <w:right w:val="nil" w:sz="6" w:space="0" w:color="auto"/>
            </w:tcBorders>
          </w:tcPr>
          <w:p>
            <w:pPr>
              <w:pStyle w:val="TableParagraph"/>
              <w:spacing w:line="254" w:lineRule="exact"/>
              <w:ind w:right="401"/>
              <w:jc w:val="right"/>
              <w:rPr>
                <w:rFonts w:ascii="宋体" w:hAnsi="宋体" w:cs="宋体" w:eastAsia="宋体" w:hint="default"/>
                <w:sz w:val="22"/>
                <w:szCs w:val="22"/>
              </w:rPr>
            </w:pPr>
            <w:r>
              <w:rPr>
                <w:rFonts w:ascii="宋体" w:hAnsi="宋体" w:cs="宋体" w:eastAsia="宋体" w:hint="default"/>
                <w:w w:val="95"/>
                <w:sz w:val="22"/>
                <w:szCs w:val="22"/>
              </w:rPr>
              <w:t>信息与通信技术服务及设计服务收入等</w:t>
            </w:r>
            <w:r>
              <w:rPr>
                <w:rFonts w:ascii="宋体" w:hAnsi="宋体" w:cs="宋体" w:eastAsia="宋体" w:hint="default"/>
                <w:sz w:val="22"/>
                <w:szCs w:val="22"/>
              </w:rPr>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Arial" w:hAnsi="Arial" w:cs="Arial" w:eastAsia="Arial" w:hint="default"/>
                <w:sz w:val="22"/>
                <w:szCs w:val="22"/>
              </w:rPr>
            </w:pPr>
            <w:r>
              <w:rPr>
                <w:rFonts w:ascii="Arial"/>
                <w:spacing w:val="-1"/>
                <w:sz w:val="22"/>
              </w:rPr>
              <w:t>3,280,472,528</w:t>
            </w:r>
          </w:p>
        </w:tc>
        <w:tc>
          <w:tcPr>
            <w:tcW w:w="18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670" w:right="0"/>
              <w:jc w:val="left"/>
              <w:rPr>
                <w:rFonts w:ascii="Arial" w:hAnsi="Arial" w:cs="Arial" w:eastAsia="Arial" w:hint="default"/>
                <w:sz w:val="22"/>
                <w:szCs w:val="22"/>
              </w:rPr>
            </w:pPr>
            <w:r>
              <w:rPr>
                <w:rFonts w:ascii="Arial"/>
                <w:sz w:val="22"/>
              </w:rPr>
              <w:t>2,757,564,115</w:t>
            </w:r>
          </w:p>
        </w:tc>
      </w:tr>
      <w:tr>
        <w:trPr>
          <w:trHeight w:val="315" w:hRule="exact"/>
        </w:trPr>
        <w:tc>
          <w:tcPr>
            <w:tcW w:w="4548" w:type="dxa"/>
            <w:tcBorders>
              <w:top w:val="nil" w:sz="6" w:space="0" w:color="auto"/>
              <w:left w:val="nil" w:sz="6" w:space="0" w:color="auto"/>
              <w:bottom w:val="nil" w:sz="6" w:space="0" w:color="auto"/>
              <w:right w:val="nil" w:sz="6" w:space="0" w:color="auto"/>
            </w:tcBorders>
          </w:tcPr>
          <w:p>
            <w:pPr>
              <w:pStyle w:val="TableParagraph"/>
              <w:spacing w:line="254" w:lineRule="exact"/>
              <w:ind w:left="406" w:right="0"/>
              <w:jc w:val="left"/>
              <w:rPr>
                <w:rFonts w:ascii="宋体" w:hAnsi="宋体" w:cs="宋体" w:eastAsia="宋体" w:hint="default"/>
                <w:sz w:val="22"/>
                <w:szCs w:val="22"/>
              </w:rPr>
            </w:pPr>
            <w:r>
              <w:rPr>
                <w:rFonts w:ascii="宋体" w:hAnsi="宋体" w:cs="宋体" w:eastAsia="宋体" w:hint="default"/>
                <w:sz w:val="22"/>
                <w:szCs w:val="22"/>
              </w:rPr>
              <w:t>初装费收入</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Arial" w:hAnsi="Arial" w:cs="Arial" w:eastAsia="Arial" w:hint="default"/>
                <w:sz w:val="22"/>
                <w:szCs w:val="22"/>
              </w:rPr>
            </w:pPr>
            <w:r>
              <w:rPr>
                <w:rFonts w:ascii="Arial"/>
                <w:w w:val="99"/>
                <w:sz w:val="22"/>
              </w:rPr>
              <w:t>-</w:t>
            </w:r>
            <w:r>
              <w:rPr>
                <w:rFonts w:ascii="Arial"/>
                <w:sz w:val="22"/>
              </w:rPr>
            </w:r>
          </w:p>
        </w:tc>
        <w:tc>
          <w:tcPr>
            <w:tcW w:w="18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975" w:right="0"/>
              <w:jc w:val="left"/>
              <w:rPr>
                <w:rFonts w:ascii="Arial" w:hAnsi="Arial" w:cs="Arial" w:eastAsia="Arial" w:hint="default"/>
                <w:sz w:val="22"/>
                <w:szCs w:val="22"/>
              </w:rPr>
            </w:pPr>
            <w:r>
              <w:rPr>
                <w:rFonts w:ascii="Arial"/>
                <w:sz w:val="22"/>
              </w:rPr>
              <w:t>15,336,010</w:t>
            </w:r>
          </w:p>
        </w:tc>
      </w:tr>
      <w:tr>
        <w:trPr>
          <w:trHeight w:val="308" w:hRule="exact"/>
        </w:trPr>
        <w:tc>
          <w:tcPr>
            <w:tcW w:w="4548" w:type="dxa"/>
            <w:tcBorders>
              <w:top w:val="nil" w:sz="6" w:space="0" w:color="auto"/>
              <w:left w:val="nil" w:sz="6" w:space="0" w:color="auto"/>
              <w:bottom w:val="nil" w:sz="6" w:space="0" w:color="auto"/>
              <w:right w:val="nil" w:sz="6" w:space="0" w:color="auto"/>
            </w:tcBorders>
          </w:tcPr>
          <w:p>
            <w:pPr>
              <w:pStyle w:val="TableParagraph"/>
              <w:spacing w:line="254" w:lineRule="exact"/>
              <w:ind w:left="406"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241" w:type="dxa"/>
            <w:tcBorders>
              <w:top w:val="nil" w:sz="6" w:space="0" w:color="auto"/>
              <w:left w:val="nil" w:sz="6" w:space="0" w:color="auto"/>
              <w:bottom w:val="nil" w:sz="6" w:space="0" w:color="auto"/>
              <w:right w:val="nil" w:sz="6" w:space="0" w:color="auto"/>
            </w:tcBorders>
          </w:tcPr>
          <w:p>
            <w:pPr>
              <w:pStyle w:val="TableParagraph"/>
              <w:tabs>
                <w:tab w:pos="909" w:val="left" w:leader="none"/>
                <w:tab w:pos="2240" w:val="left" w:leader="none"/>
              </w:tabs>
              <w:spacing w:line="240" w:lineRule="auto" w:before="32"/>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365,741,558</w:t>
            </w:r>
            <w:r>
              <w:rPr>
                <w:rFonts w:ascii="Arial"/>
                <w:sz w:val="22"/>
                <w:u w:val="single" w:color="000000"/>
              </w:rPr>
              <w:tab/>
            </w:r>
            <w:r>
              <w:rPr>
                <w:rFonts w:ascii="Arial"/>
                <w:sz w:val="22"/>
              </w:rPr>
            </w:r>
          </w:p>
        </w:tc>
        <w:tc>
          <w:tcPr>
            <w:tcW w:w="18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tabs>
                <w:tab w:pos="854" w:val="left" w:leader="none"/>
                <w:tab w:pos="2167" w:val="left" w:leader="none"/>
              </w:tabs>
              <w:spacing w:line="240" w:lineRule="auto" w:before="32"/>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564,425,718</w:t>
              <w:tab/>
            </w:r>
            <w:r>
              <w:rPr>
                <w:rFonts w:ascii="Arial"/>
                <w:sz w:val="22"/>
              </w:rPr>
            </w:r>
          </w:p>
        </w:tc>
      </w:tr>
      <w:tr>
        <w:trPr>
          <w:trHeight w:val="419" w:hRule="exact"/>
        </w:trPr>
        <w:tc>
          <w:tcPr>
            <w:tcW w:w="4548"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Arial" w:hAnsi="Arial" w:cs="Arial" w:eastAsia="Arial" w:hint="default"/>
                <w:sz w:val="22"/>
                <w:szCs w:val="22"/>
              </w:rPr>
            </w:pPr>
            <w:r>
              <w:rPr>
                <w:rFonts w:ascii="Arial"/>
                <w:spacing w:val="-1"/>
                <w:sz w:val="22"/>
              </w:rPr>
              <w:t>216,785,568,203</w:t>
            </w:r>
          </w:p>
        </w:tc>
        <w:tc>
          <w:tcPr>
            <w:tcW w:w="18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26" w:right="0"/>
              <w:jc w:val="left"/>
              <w:rPr>
                <w:rFonts w:ascii="Arial" w:hAnsi="Arial" w:cs="Arial" w:eastAsia="Arial" w:hint="default"/>
                <w:sz w:val="22"/>
                <w:szCs w:val="22"/>
              </w:rPr>
            </w:pPr>
            <w:r>
              <w:rPr>
                <w:rFonts w:ascii="Arial"/>
                <w:sz w:val="22"/>
              </w:rPr>
              <w:t>191,771,195,792</w:t>
            </w:r>
          </w:p>
        </w:tc>
      </w:tr>
      <w:tr>
        <w:trPr>
          <w:trHeight w:val="398" w:hRule="exact"/>
        </w:trPr>
        <w:tc>
          <w:tcPr>
            <w:tcW w:w="4548"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00" w:right="0"/>
              <w:jc w:val="left"/>
              <w:rPr>
                <w:rFonts w:ascii="宋体" w:hAnsi="宋体" w:cs="宋体" w:eastAsia="宋体" w:hint="default"/>
                <w:sz w:val="22"/>
                <w:szCs w:val="22"/>
              </w:rPr>
            </w:pPr>
            <w:r>
              <w:rPr>
                <w:rFonts w:ascii="宋体" w:hAnsi="宋体" w:cs="宋体" w:eastAsia="宋体" w:hint="default"/>
                <w:sz w:val="22"/>
                <w:szCs w:val="22"/>
              </w:rPr>
              <w:t>其他业务收入：</w:t>
            </w:r>
          </w:p>
        </w:tc>
        <w:tc>
          <w:tcPr>
            <w:tcW w:w="2241"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
        </w:tc>
      </w:tr>
      <w:tr>
        <w:trPr>
          <w:trHeight w:val="433" w:hRule="exact"/>
        </w:trPr>
        <w:tc>
          <w:tcPr>
            <w:tcW w:w="4548" w:type="dxa"/>
            <w:tcBorders>
              <w:top w:val="nil" w:sz="6" w:space="0" w:color="auto"/>
              <w:left w:val="nil" w:sz="6" w:space="0" w:color="auto"/>
              <w:bottom w:val="nil" w:sz="6" w:space="0" w:color="auto"/>
              <w:right w:val="nil" w:sz="6" w:space="0" w:color="auto"/>
            </w:tcBorders>
          </w:tcPr>
          <w:p>
            <w:pPr>
              <w:pStyle w:val="TableParagraph"/>
              <w:spacing w:line="253" w:lineRule="exact"/>
              <w:ind w:left="425" w:right="0"/>
              <w:jc w:val="left"/>
              <w:rPr>
                <w:rFonts w:ascii="宋体" w:hAnsi="宋体" w:cs="宋体" w:eastAsia="宋体" w:hint="default"/>
                <w:sz w:val="22"/>
                <w:szCs w:val="22"/>
              </w:rPr>
            </w:pPr>
            <w:r>
              <w:rPr>
                <w:rFonts w:ascii="宋体" w:hAnsi="宋体" w:cs="宋体" w:eastAsia="宋体" w:hint="default"/>
                <w:sz w:val="22"/>
                <w:szCs w:val="22"/>
              </w:rPr>
              <w:t>销售通信产品收入</w:t>
            </w:r>
          </w:p>
        </w:tc>
        <w:tc>
          <w:tcPr>
            <w:tcW w:w="2241" w:type="dxa"/>
            <w:tcBorders>
              <w:top w:val="nil" w:sz="6" w:space="0" w:color="auto"/>
              <w:left w:val="nil" w:sz="6" w:space="0" w:color="auto"/>
              <w:bottom w:val="nil" w:sz="6" w:space="0" w:color="auto"/>
              <w:right w:val="nil" w:sz="6" w:space="0" w:color="auto"/>
            </w:tcBorders>
          </w:tcPr>
          <w:p>
            <w:pPr>
              <w:pStyle w:val="TableParagraph"/>
              <w:tabs>
                <w:tab w:pos="603" w:val="left" w:leader="none"/>
                <w:tab w:pos="2240" w:val="left" w:leader="none"/>
              </w:tabs>
              <w:spacing w:line="240" w:lineRule="auto" w:before="31"/>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39,479,181,232</w:t>
              <w:tab/>
            </w:r>
            <w:r>
              <w:rPr>
                <w:rFonts w:ascii="Arial"/>
                <w:spacing w:val="-1"/>
                <w:sz w:val="22"/>
              </w:rPr>
            </w:r>
          </w:p>
        </w:tc>
        <w:tc>
          <w:tcPr>
            <w:tcW w:w="18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tabs>
                <w:tab w:pos="548" w:val="left" w:leader="none"/>
                <w:tab w:pos="2167" w:val="left" w:leader="none"/>
              </w:tabs>
              <w:spacing w:line="240" w:lineRule="auto" w:before="31"/>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23,747,315,666</w:t>
              <w:tab/>
            </w:r>
            <w:r>
              <w:rPr>
                <w:rFonts w:ascii="Arial"/>
                <w:sz w:val="22"/>
              </w:rPr>
            </w:r>
          </w:p>
        </w:tc>
      </w:tr>
      <w:tr>
        <w:trPr>
          <w:trHeight w:val="430" w:hRule="exact"/>
        </w:trPr>
        <w:tc>
          <w:tcPr>
            <w:tcW w:w="454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41"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06"/>
              <w:jc w:val="right"/>
              <w:rPr>
                <w:rFonts w:ascii="Arial" w:hAnsi="Arial" w:cs="Arial" w:eastAsia="Arial" w:hint="default"/>
                <w:sz w:val="22"/>
                <w:szCs w:val="22"/>
              </w:rPr>
            </w:pPr>
            <w:r>
              <w:rPr>
                <w:rFonts w:ascii="Arial"/>
                <w:spacing w:val="-1"/>
                <w:sz w:val="22"/>
              </w:rPr>
              <w:t>256,264,749,435</w:t>
            </w:r>
          </w:p>
        </w:tc>
        <w:tc>
          <w:tcPr>
            <w:tcW w:w="182"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426" w:right="0"/>
              <w:jc w:val="left"/>
              <w:rPr>
                <w:rFonts w:ascii="Arial" w:hAnsi="Arial" w:cs="Arial" w:eastAsia="Arial" w:hint="default"/>
                <w:sz w:val="22"/>
                <w:szCs w:val="22"/>
              </w:rPr>
            </w:pPr>
            <w:r>
              <w:rPr>
                <w:rFonts w:ascii="Arial"/>
                <w:sz w:val="22"/>
              </w:rPr>
              <w:t>215,518,511,458</w:t>
            </w:r>
          </w:p>
        </w:tc>
      </w:tr>
    </w:tbl>
    <w:p>
      <w:pPr>
        <w:spacing w:after="0" w:line="240" w:lineRule="auto"/>
        <w:jc w:val="left"/>
        <w:rPr>
          <w:rFonts w:ascii="Arial" w:hAnsi="Arial" w:cs="Arial" w:eastAsia="Arial" w:hint="default"/>
          <w:sz w:val="22"/>
          <w:szCs w:val="22"/>
        </w:rPr>
        <w:sectPr>
          <w:headerReference w:type="default" r:id="rId117"/>
          <w:pgSz w:w="11910" w:h="16840"/>
          <w:pgMar w:header="1184" w:footer="457" w:top="3040" w:bottom="640" w:left="1280" w:right="1020"/>
        </w:sectPr>
      </w:pPr>
    </w:p>
    <w:p>
      <w:pPr>
        <w:spacing w:line="240" w:lineRule="auto" w:before="8"/>
        <w:rPr>
          <w:rFonts w:ascii="宋体" w:hAnsi="宋体" w:cs="宋体" w:eastAsia="宋体" w:hint="default"/>
          <w:sz w:val="23"/>
          <w:szCs w:val="23"/>
        </w:rPr>
      </w:pPr>
    </w:p>
    <w:tbl>
      <w:tblPr>
        <w:tblW w:w="0" w:type="auto"/>
        <w:jc w:val="left"/>
        <w:tblInd w:w="352" w:type="dxa"/>
        <w:tblLayout w:type="fixed"/>
        <w:tblCellMar>
          <w:top w:w="0" w:type="dxa"/>
          <w:left w:w="0" w:type="dxa"/>
          <w:bottom w:w="0" w:type="dxa"/>
          <w:right w:w="0" w:type="dxa"/>
        </w:tblCellMar>
        <w:tblLook w:val="01E0"/>
      </w:tblPr>
      <w:tblGrid>
        <w:gridCol w:w="4548"/>
        <w:gridCol w:w="2241"/>
        <w:gridCol w:w="178"/>
        <w:gridCol w:w="2180"/>
      </w:tblGrid>
      <w:tr>
        <w:trPr>
          <w:trHeight w:val="260" w:hRule="exact"/>
        </w:trPr>
        <w:tc>
          <w:tcPr>
            <w:tcW w:w="4548"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single" w:sz="6" w:space="0" w:color="000000"/>
              <w:right w:val="nil" w:sz="6" w:space="0" w:color="auto"/>
            </w:tcBorders>
          </w:tcPr>
          <w:p>
            <w:pPr>
              <w:pStyle w:val="TableParagraph"/>
              <w:spacing w:line="235" w:lineRule="exact"/>
              <w:ind w:right="86"/>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single" w:sz="6" w:space="0" w:color="000000"/>
              <w:right w:val="nil" w:sz="6" w:space="0" w:color="auto"/>
            </w:tcBorders>
          </w:tcPr>
          <w:p>
            <w:pPr>
              <w:pStyle w:val="TableParagraph"/>
              <w:spacing w:line="235" w:lineRule="exact"/>
              <w:ind w:left="1094"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46" w:hRule="exact"/>
        </w:trPr>
        <w:tc>
          <w:tcPr>
            <w:tcW w:w="45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主营业务成本：</w:t>
            </w:r>
          </w:p>
        </w:tc>
        <w:tc>
          <w:tcPr>
            <w:tcW w:w="2241" w:type="dxa"/>
            <w:tcBorders>
              <w:top w:val="single" w:sz="6" w:space="0" w:color="000000"/>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single" w:sz="6" w:space="0" w:color="000000"/>
              <w:left w:val="nil" w:sz="6" w:space="0" w:color="auto"/>
              <w:bottom w:val="nil" w:sz="6" w:space="0" w:color="auto"/>
              <w:right w:val="nil" w:sz="6" w:space="0" w:color="auto"/>
            </w:tcBorders>
          </w:tcPr>
          <w:p>
            <w:pPr/>
          </w:p>
        </w:tc>
      </w:tr>
      <w:tr>
        <w:trPr>
          <w:trHeight w:val="298" w:hRule="exact"/>
        </w:trPr>
        <w:tc>
          <w:tcPr>
            <w:tcW w:w="4548" w:type="dxa"/>
            <w:tcBorders>
              <w:top w:val="nil" w:sz="6" w:space="0" w:color="auto"/>
              <w:left w:val="nil" w:sz="6" w:space="0" w:color="auto"/>
              <w:bottom w:val="nil" w:sz="6" w:space="0" w:color="auto"/>
              <w:right w:val="nil" w:sz="6" w:space="0" w:color="auto"/>
            </w:tcBorders>
          </w:tcPr>
          <w:p>
            <w:pPr>
              <w:pStyle w:val="TableParagraph"/>
              <w:spacing w:line="252" w:lineRule="exact"/>
              <w:ind w:left="425" w:right="0"/>
              <w:jc w:val="left"/>
              <w:rPr>
                <w:rFonts w:ascii="宋体" w:hAnsi="宋体" w:cs="宋体" w:eastAsia="宋体" w:hint="default"/>
                <w:sz w:val="22"/>
                <w:szCs w:val="22"/>
              </w:rPr>
            </w:pPr>
            <w:r>
              <w:rPr>
                <w:rFonts w:ascii="宋体" w:hAnsi="宋体" w:cs="宋体" w:eastAsia="宋体" w:hint="default"/>
                <w:sz w:val="22"/>
                <w:szCs w:val="22"/>
              </w:rPr>
              <w:t>折旧及摊销</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Arial" w:hAnsi="Arial" w:cs="Arial" w:eastAsia="Arial" w:hint="default"/>
                <w:sz w:val="22"/>
                <w:szCs w:val="22"/>
              </w:rPr>
            </w:pPr>
            <w:r>
              <w:rPr>
                <w:rFonts w:ascii="Arial"/>
                <w:spacing w:val="-1"/>
                <w:sz w:val="22"/>
              </w:rPr>
              <w:t>57,701,524,990</w:t>
            </w: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49" w:right="0"/>
              <w:jc w:val="left"/>
              <w:rPr>
                <w:rFonts w:ascii="Arial" w:hAnsi="Arial" w:cs="Arial" w:eastAsia="Arial" w:hint="default"/>
                <w:sz w:val="22"/>
                <w:szCs w:val="22"/>
              </w:rPr>
            </w:pPr>
            <w:r>
              <w:rPr>
                <w:rFonts w:ascii="Arial"/>
                <w:sz w:val="22"/>
              </w:rPr>
              <w:t>55,216,165,968</w:t>
            </w:r>
          </w:p>
        </w:tc>
      </w:tr>
      <w:tr>
        <w:trPr>
          <w:trHeight w:val="286" w:hRule="exact"/>
        </w:trPr>
        <w:tc>
          <w:tcPr>
            <w:tcW w:w="4548" w:type="dxa"/>
            <w:tcBorders>
              <w:top w:val="nil" w:sz="6" w:space="0" w:color="auto"/>
              <w:left w:val="nil" w:sz="6" w:space="0" w:color="auto"/>
              <w:bottom w:val="nil" w:sz="6" w:space="0" w:color="auto"/>
              <w:right w:val="nil" w:sz="6" w:space="0" w:color="auto"/>
            </w:tcBorders>
          </w:tcPr>
          <w:p>
            <w:pPr>
              <w:pStyle w:val="TableParagraph"/>
              <w:spacing w:line="239" w:lineRule="exact"/>
              <w:ind w:left="425" w:right="0"/>
              <w:jc w:val="left"/>
              <w:rPr>
                <w:rFonts w:ascii="宋体" w:hAnsi="宋体" w:cs="宋体" w:eastAsia="宋体" w:hint="default"/>
                <w:sz w:val="22"/>
                <w:szCs w:val="22"/>
              </w:rPr>
            </w:pPr>
            <w:r>
              <w:rPr>
                <w:rFonts w:ascii="宋体" w:hAnsi="宋体" w:cs="宋体" w:eastAsia="宋体" w:hint="default"/>
                <w:sz w:val="22"/>
                <w:szCs w:val="22"/>
              </w:rPr>
              <w:t>网间结算支出</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2"/>
                <w:szCs w:val="22"/>
              </w:rPr>
            </w:pPr>
            <w:r>
              <w:rPr>
                <w:rFonts w:ascii="Arial"/>
                <w:spacing w:val="-1"/>
                <w:sz w:val="22"/>
              </w:rPr>
              <w:t>18,681,209,774</w:t>
            </w: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49" w:right="0"/>
              <w:jc w:val="left"/>
              <w:rPr>
                <w:rFonts w:ascii="Arial" w:hAnsi="Arial" w:cs="Arial" w:eastAsia="Arial" w:hint="default"/>
                <w:sz w:val="22"/>
                <w:szCs w:val="22"/>
              </w:rPr>
            </w:pPr>
            <w:r>
              <w:rPr>
                <w:rFonts w:ascii="Arial"/>
                <w:sz w:val="22"/>
              </w:rPr>
              <w:t>16,379,830,147</w:t>
            </w:r>
          </w:p>
        </w:tc>
      </w:tr>
      <w:tr>
        <w:trPr>
          <w:trHeight w:val="286" w:hRule="exact"/>
        </w:trPr>
        <w:tc>
          <w:tcPr>
            <w:tcW w:w="4548" w:type="dxa"/>
            <w:tcBorders>
              <w:top w:val="nil" w:sz="6" w:space="0" w:color="auto"/>
              <w:left w:val="nil" w:sz="6" w:space="0" w:color="auto"/>
              <w:bottom w:val="nil" w:sz="6" w:space="0" w:color="auto"/>
              <w:right w:val="nil" w:sz="6" w:space="0" w:color="auto"/>
            </w:tcBorders>
          </w:tcPr>
          <w:p>
            <w:pPr>
              <w:pStyle w:val="TableParagraph"/>
              <w:spacing w:line="239" w:lineRule="exact"/>
              <w:ind w:left="425" w:right="0"/>
              <w:jc w:val="left"/>
              <w:rPr>
                <w:rFonts w:ascii="宋体" w:hAnsi="宋体" w:cs="宋体" w:eastAsia="宋体" w:hint="default"/>
                <w:sz w:val="22"/>
                <w:szCs w:val="22"/>
              </w:rPr>
            </w:pPr>
            <w:r>
              <w:rPr>
                <w:rFonts w:ascii="宋体" w:hAnsi="宋体" w:cs="宋体" w:eastAsia="宋体" w:hint="default"/>
                <w:sz w:val="22"/>
                <w:szCs w:val="22"/>
              </w:rPr>
              <w:t>人工成本</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2"/>
                <w:szCs w:val="22"/>
              </w:rPr>
            </w:pPr>
            <w:r>
              <w:rPr>
                <w:rFonts w:ascii="Arial"/>
                <w:spacing w:val="-1"/>
                <w:sz w:val="22"/>
              </w:rPr>
              <w:t>19,132,601,964</w:t>
            </w: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49" w:right="0"/>
              <w:jc w:val="left"/>
              <w:rPr>
                <w:rFonts w:ascii="Arial" w:hAnsi="Arial" w:cs="Arial" w:eastAsia="Arial" w:hint="default"/>
                <w:sz w:val="22"/>
                <w:szCs w:val="22"/>
              </w:rPr>
            </w:pPr>
            <w:r>
              <w:rPr>
                <w:rFonts w:ascii="Arial"/>
                <w:sz w:val="22"/>
              </w:rPr>
              <w:t>18,088,161,851</w:t>
            </w:r>
          </w:p>
        </w:tc>
      </w:tr>
      <w:tr>
        <w:trPr>
          <w:trHeight w:val="286" w:hRule="exact"/>
        </w:trPr>
        <w:tc>
          <w:tcPr>
            <w:tcW w:w="4548" w:type="dxa"/>
            <w:tcBorders>
              <w:top w:val="nil" w:sz="6" w:space="0" w:color="auto"/>
              <w:left w:val="nil" w:sz="6" w:space="0" w:color="auto"/>
              <w:bottom w:val="nil" w:sz="6" w:space="0" w:color="auto"/>
              <w:right w:val="nil" w:sz="6" w:space="0" w:color="auto"/>
            </w:tcBorders>
          </w:tcPr>
          <w:p>
            <w:pPr>
              <w:pStyle w:val="TableParagraph"/>
              <w:spacing w:line="239" w:lineRule="exact"/>
              <w:ind w:left="425" w:right="0"/>
              <w:jc w:val="left"/>
              <w:rPr>
                <w:rFonts w:ascii="宋体" w:hAnsi="宋体" w:cs="宋体" w:eastAsia="宋体" w:hint="default"/>
                <w:sz w:val="22"/>
                <w:szCs w:val="22"/>
              </w:rPr>
            </w:pPr>
            <w:r>
              <w:rPr>
                <w:rFonts w:ascii="宋体" w:hAnsi="宋体" w:cs="宋体" w:eastAsia="宋体" w:hint="default"/>
                <w:sz w:val="22"/>
                <w:szCs w:val="22"/>
              </w:rPr>
              <w:t>网络运行及支撑成本（注）</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2"/>
                <w:szCs w:val="22"/>
              </w:rPr>
            </w:pPr>
            <w:r>
              <w:rPr>
                <w:rFonts w:ascii="Arial"/>
                <w:spacing w:val="-1"/>
                <w:sz w:val="22"/>
              </w:rPr>
              <w:t>32,515,928,513</w:t>
            </w: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49" w:right="0"/>
              <w:jc w:val="left"/>
              <w:rPr>
                <w:rFonts w:ascii="Arial" w:hAnsi="Arial" w:cs="Arial" w:eastAsia="Arial" w:hint="default"/>
                <w:sz w:val="22"/>
                <w:szCs w:val="22"/>
              </w:rPr>
            </w:pPr>
            <w:r>
              <w:rPr>
                <w:rFonts w:ascii="Arial"/>
                <w:sz w:val="22"/>
              </w:rPr>
              <w:t>29,448,793,410</w:t>
            </w:r>
          </w:p>
        </w:tc>
      </w:tr>
      <w:tr>
        <w:trPr>
          <w:trHeight w:val="284" w:hRule="exact"/>
        </w:trPr>
        <w:tc>
          <w:tcPr>
            <w:tcW w:w="4548" w:type="dxa"/>
            <w:tcBorders>
              <w:top w:val="nil" w:sz="6" w:space="0" w:color="auto"/>
              <w:left w:val="nil" w:sz="6" w:space="0" w:color="auto"/>
              <w:bottom w:val="nil" w:sz="6" w:space="0" w:color="auto"/>
              <w:right w:val="nil" w:sz="6" w:space="0" w:color="auto"/>
            </w:tcBorders>
          </w:tcPr>
          <w:p>
            <w:pPr>
              <w:pStyle w:val="TableParagraph"/>
              <w:spacing w:line="239" w:lineRule="exact"/>
              <w:ind w:left="425" w:right="0"/>
              <w:jc w:val="left"/>
              <w:rPr>
                <w:rFonts w:ascii="宋体" w:hAnsi="宋体" w:cs="宋体" w:eastAsia="宋体" w:hint="default"/>
                <w:sz w:val="22"/>
                <w:szCs w:val="22"/>
              </w:rPr>
            </w:pPr>
            <w:r>
              <w:rPr>
                <w:rFonts w:ascii="宋体" w:hAnsi="宋体" w:cs="宋体" w:eastAsia="宋体" w:hint="default"/>
                <w:sz w:val="22"/>
                <w:szCs w:val="22"/>
              </w:rPr>
              <w:t>信息与通信技术服务成本</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22"/>
                <w:szCs w:val="22"/>
              </w:rPr>
            </w:pPr>
            <w:r>
              <w:rPr>
                <w:rFonts w:ascii="Arial"/>
                <w:spacing w:val="-1"/>
                <w:sz w:val="22"/>
              </w:rPr>
              <w:t>1,978,632,486</w:t>
            </w: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672" w:right="0"/>
              <w:jc w:val="left"/>
              <w:rPr>
                <w:rFonts w:ascii="Arial" w:hAnsi="Arial" w:cs="Arial" w:eastAsia="Arial" w:hint="default"/>
                <w:sz w:val="22"/>
                <w:szCs w:val="22"/>
              </w:rPr>
            </w:pPr>
            <w:r>
              <w:rPr>
                <w:rFonts w:ascii="Arial"/>
                <w:sz w:val="22"/>
              </w:rPr>
              <w:t>1,409,637,585</w:t>
            </w:r>
          </w:p>
        </w:tc>
      </w:tr>
      <w:tr>
        <w:trPr>
          <w:trHeight w:val="293" w:hRule="exact"/>
        </w:trPr>
        <w:tc>
          <w:tcPr>
            <w:tcW w:w="4548" w:type="dxa"/>
            <w:tcBorders>
              <w:top w:val="nil" w:sz="6" w:space="0" w:color="auto"/>
              <w:left w:val="nil" w:sz="6" w:space="0" w:color="auto"/>
              <w:bottom w:val="nil" w:sz="6" w:space="0" w:color="auto"/>
              <w:right w:val="nil" w:sz="6" w:space="0" w:color="auto"/>
            </w:tcBorders>
          </w:tcPr>
          <w:p>
            <w:pPr>
              <w:pStyle w:val="TableParagraph"/>
              <w:spacing w:line="239" w:lineRule="exact"/>
              <w:ind w:left="425"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241" w:type="dxa"/>
            <w:tcBorders>
              <w:top w:val="nil" w:sz="6" w:space="0" w:color="auto"/>
              <w:left w:val="nil" w:sz="6" w:space="0" w:color="auto"/>
              <w:bottom w:val="nil" w:sz="6" w:space="0" w:color="auto"/>
              <w:right w:val="nil" w:sz="6" w:space="0" w:color="auto"/>
            </w:tcBorders>
          </w:tcPr>
          <w:p>
            <w:pPr>
              <w:pStyle w:val="TableParagraph"/>
              <w:tabs>
                <w:tab w:pos="725" w:val="left" w:leader="none"/>
                <w:tab w:pos="2240"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4,058,329,994</w:t>
              <w:tab/>
            </w:r>
            <w:r>
              <w:rPr>
                <w:rFonts w:ascii="Arial"/>
                <w:spacing w:val="-1"/>
                <w:sz w:val="22"/>
              </w:rPr>
            </w: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tabs>
                <w:tab w:pos="664" w:val="left" w:leader="none"/>
                <w:tab w:pos="2173"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4,132,526,472</w:t>
              <w:tab/>
            </w:r>
            <w:r>
              <w:rPr>
                <w:rFonts w:ascii="Arial"/>
                <w:spacing w:val="-1"/>
                <w:sz w:val="22"/>
              </w:rPr>
            </w:r>
          </w:p>
        </w:tc>
      </w:tr>
      <w:tr>
        <w:trPr>
          <w:trHeight w:val="419" w:hRule="exact"/>
        </w:trPr>
        <w:tc>
          <w:tcPr>
            <w:tcW w:w="4548"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Arial" w:hAnsi="Arial" w:cs="Arial" w:eastAsia="Arial" w:hint="default"/>
                <w:sz w:val="22"/>
                <w:szCs w:val="22"/>
              </w:rPr>
            </w:pPr>
            <w:r>
              <w:rPr>
                <w:rFonts w:ascii="Arial"/>
                <w:spacing w:val="-1"/>
                <w:sz w:val="22"/>
              </w:rPr>
              <w:t>134,068,227,721</w:t>
            </w: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27" w:right="0"/>
              <w:jc w:val="left"/>
              <w:rPr>
                <w:rFonts w:ascii="Arial" w:hAnsi="Arial" w:cs="Arial" w:eastAsia="Arial" w:hint="default"/>
                <w:sz w:val="22"/>
                <w:szCs w:val="22"/>
              </w:rPr>
            </w:pPr>
            <w:r>
              <w:rPr>
                <w:rFonts w:ascii="Arial"/>
                <w:sz w:val="22"/>
              </w:rPr>
              <w:t>124,675,115,433</w:t>
            </w:r>
          </w:p>
        </w:tc>
      </w:tr>
      <w:tr>
        <w:trPr>
          <w:trHeight w:val="398" w:hRule="exact"/>
        </w:trPr>
        <w:tc>
          <w:tcPr>
            <w:tcW w:w="4548"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00" w:right="0"/>
              <w:jc w:val="left"/>
              <w:rPr>
                <w:rFonts w:ascii="宋体" w:hAnsi="宋体" w:cs="宋体" w:eastAsia="宋体" w:hint="default"/>
                <w:sz w:val="22"/>
                <w:szCs w:val="22"/>
              </w:rPr>
            </w:pPr>
            <w:r>
              <w:rPr>
                <w:rFonts w:ascii="宋体" w:hAnsi="宋体" w:cs="宋体" w:eastAsia="宋体" w:hint="default"/>
                <w:sz w:val="22"/>
                <w:szCs w:val="22"/>
              </w:rPr>
              <w:t>其他业务成本：</w:t>
            </w:r>
          </w:p>
        </w:tc>
        <w:tc>
          <w:tcPr>
            <w:tcW w:w="2241"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
        </w:tc>
      </w:tr>
      <w:tr>
        <w:trPr>
          <w:trHeight w:val="433" w:hRule="exact"/>
        </w:trPr>
        <w:tc>
          <w:tcPr>
            <w:tcW w:w="4548" w:type="dxa"/>
            <w:tcBorders>
              <w:top w:val="nil" w:sz="6" w:space="0" w:color="auto"/>
              <w:left w:val="nil" w:sz="6" w:space="0" w:color="auto"/>
              <w:bottom w:val="nil" w:sz="6" w:space="0" w:color="auto"/>
              <w:right w:val="nil" w:sz="6" w:space="0" w:color="auto"/>
            </w:tcBorders>
          </w:tcPr>
          <w:p>
            <w:pPr>
              <w:pStyle w:val="TableParagraph"/>
              <w:spacing w:line="253" w:lineRule="exact"/>
              <w:ind w:left="425" w:right="0"/>
              <w:jc w:val="left"/>
              <w:rPr>
                <w:rFonts w:ascii="宋体" w:hAnsi="宋体" w:cs="宋体" w:eastAsia="宋体" w:hint="default"/>
                <w:sz w:val="22"/>
                <w:szCs w:val="22"/>
              </w:rPr>
            </w:pPr>
            <w:r>
              <w:rPr>
                <w:rFonts w:ascii="宋体" w:hAnsi="宋体" w:cs="宋体" w:eastAsia="宋体" w:hint="default"/>
                <w:sz w:val="22"/>
                <w:szCs w:val="22"/>
              </w:rPr>
              <w:t>销售通信产品成本</w:t>
            </w:r>
          </w:p>
        </w:tc>
        <w:tc>
          <w:tcPr>
            <w:tcW w:w="2241" w:type="dxa"/>
            <w:tcBorders>
              <w:top w:val="nil" w:sz="6" w:space="0" w:color="auto"/>
              <w:left w:val="nil" w:sz="6" w:space="0" w:color="auto"/>
              <w:bottom w:val="nil" w:sz="6" w:space="0" w:color="auto"/>
              <w:right w:val="nil" w:sz="6" w:space="0" w:color="auto"/>
            </w:tcBorders>
          </w:tcPr>
          <w:p>
            <w:pPr>
              <w:pStyle w:val="TableParagraph"/>
              <w:tabs>
                <w:tab w:pos="603" w:val="left" w:leader="none"/>
                <w:tab w:pos="2240" w:val="left" w:leader="none"/>
              </w:tabs>
              <w:spacing w:line="240" w:lineRule="auto" w:before="31"/>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45,039,951,157</w:t>
              <w:tab/>
            </w:r>
            <w:r>
              <w:rPr>
                <w:rFonts w:ascii="Arial"/>
                <w:spacing w:val="-1"/>
                <w:sz w:val="22"/>
              </w:rPr>
            </w: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tabs>
                <w:tab w:pos="542" w:val="left" w:leader="none"/>
                <w:tab w:pos="2173" w:val="left" w:leader="none"/>
              </w:tabs>
              <w:spacing w:line="240" w:lineRule="auto" w:before="31"/>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29,738,908,253</w:t>
              <w:tab/>
            </w:r>
            <w:r>
              <w:rPr>
                <w:rFonts w:ascii="Arial"/>
                <w:spacing w:val="-1"/>
                <w:sz w:val="22"/>
              </w:rPr>
            </w:r>
          </w:p>
        </w:tc>
      </w:tr>
      <w:tr>
        <w:trPr>
          <w:trHeight w:val="430" w:hRule="exact"/>
        </w:trPr>
        <w:tc>
          <w:tcPr>
            <w:tcW w:w="454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41"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06"/>
              <w:jc w:val="right"/>
              <w:rPr>
                <w:rFonts w:ascii="Arial" w:hAnsi="Arial" w:cs="Arial" w:eastAsia="Arial" w:hint="default"/>
                <w:sz w:val="22"/>
                <w:szCs w:val="22"/>
              </w:rPr>
            </w:pPr>
            <w:r>
              <w:rPr>
                <w:rFonts w:ascii="Arial"/>
                <w:spacing w:val="-1"/>
                <w:sz w:val="22"/>
              </w:rPr>
              <w:t>179,108,178,878</w:t>
            </w: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427" w:right="0"/>
              <w:jc w:val="left"/>
              <w:rPr>
                <w:rFonts w:ascii="Arial" w:hAnsi="Arial" w:cs="Arial" w:eastAsia="Arial" w:hint="default"/>
                <w:sz w:val="22"/>
                <w:szCs w:val="22"/>
              </w:rPr>
            </w:pPr>
            <w:r>
              <w:rPr>
                <w:rFonts w:ascii="Arial"/>
                <w:sz w:val="22"/>
              </w:rPr>
              <w:t>154,414,023,686</w:t>
            </w:r>
          </w:p>
        </w:tc>
      </w:tr>
    </w:tbl>
    <w:p>
      <w:pPr>
        <w:spacing w:line="240" w:lineRule="auto" w:before="2"/>
        <w:rPr>
          <w:rFonts w:ascii="宋体" w:hAnsi="宋体" w:cs="宋体" w:eastAsia="宋体" w:hint="default"/>
          <w:sz w:val="14"/>
          <w:szCs w:val="14"/>
        </w:rPr>
      </w:pPr>
    </w:p>
    <w:p>
      <w:pPr>
        <w:pStyle w:val="BodyText"/>
        <w:spacing w:line="286" w:lineRule="exact" w:before="60"/>
        <w:ind w:left="940" w:right="0" w:hanging="450"/>
        <w:jc w:val="left"/>
      </w:pPr>
      <w:r>
        <w:rPr>
          <w:spacing w:val="-1"/>
        </w:rPr>
        <w:t>注：网络运行及支撑成本主要包括修理及运行维护费、水电取暖动力费、房屋设备及通信电路</w:t>
      </w:r>
      <w:r>
        <w:rPr>
          <w:spacing w:val="-100"/>
        </w:rPr>
        <w:t> </w:t>
      </w:r>
      <w:r>
        <w:rPr>
          <w:spacing w:val="-100"/>
        </w:rPr>
      </w:r>
      <w:r>
        <w:rPr/>
        <w:t>租赁费等，以及南方固定电信网络租赁费人民币</w:t>
      </w:r>
      <w:r>
        <w:rPr>
          <w:rFonts w:ascii="Arial" w:hAnsi="Arial" w:cs="Arial" w:eastAsia="Arial" w:hint="default"/>
        </w:rPr>
        <w:t>26</w:t>
      </w:r>
      <w:r>
        <w:rPr/>
        <w:t>亿元（</w:t>
      </w:r>
      <w:r>
        <w:rPr>
          <w:rFonts w:ascii="Arial" w:hAnsi="Arial" w:cs="Arial" w:eastAsia="Arial" w:hint="default"/>
        </w:rPr>
        <w:t>2011</w:t>
      </w:r>
      <w:r>
        <w:rPr/>
        <w:t>年：人民币</w:t>
      </w:r>
      <w:r>
        <w:rPr>
          <w:rFonts w:ascii="Arial" w:hAnsi="Arial" w:cs="Arial" w:eastAsia="Arial" w:hint="default"/>
        </w:rPr>
        <w:t>24</w:t>
      </w:r>
      <w:r>
        <w:rPr/>
        <w:t>亿元）。</w:t>
      </w:r>
    </w:p>
    <w:p>
      <w:pPr>
        <w:spacing w:line="240" w:lineRule="auto" w:before="1"/>
        <w:rPr>
          <w:rFonts w:ascii="宋体" w:hAnsi="宋体" w:cs="宋体" w:eastAsia="宋体" w:hint="default"/>
          <w:sz w:val="17"/>
          <w:szCs w:val="17"/>
        </w:rPr>
      </w:pPr>
    </w:p>
    <w:p>
      <w:pPr>
        <w:pStyle w:val="BodyText"/>
        <w:spacing w:line="424" w:lineRule="auto"/>
        <w:ind w:left="536" w:right="4972" w:hanging="435"/>
        <w:jc w:val="left"/>
      </w:pPr>
      <w:r>
        <w:rPr>
          <w:rFonts w:ascii="Arial" w:hAnsi="Arial" w:cs="Arial" w:eastAsia="Arial" w:hint="default"/>
        </w:rPr>
        <w:t>(a)</w:t>
      </w:r>
      <w:r>
        <w:rPr>
          <w:rFonts w:ascii="Arial" w:hAnsi="Arial" w:cs="Arial" w:eastAsia="Arial" w:hint="default"/>
          <w:spacing w:val="40"/>
        </w:rPr>
        <w:t> </w:t>
      </w:r>
      <w:r>
        <w:rPr/>
        <w:t>主营业务收入和主营业务成本</w:t>
      </w:r>
      <w:r>
        <w:rPr>
          <w:w w:val="99"/>
        </w:rPr>
        <w:t> </w:t>
      </w:r>
      <w:r>
        <w:rPr/>
        <w:t>本集团的主营业务收入均来自于电信行业。</w:t>
      </w:r>
    </w:p>
    <w:p>
      <w:pPr>
        <w:spacing w:line="240" w:lineRule="auto" w:before="6"/>
        <w:rPr>
          <w:rFonts w:ascii="宋体" w:hAnsi="宋体" w:cs="宋体" w:eastAsia="宋体" w:hint="default"/>
          <w:sz w:val="11"/>
          <w:szCs w:val="11"/>
        </w:rPr>
      </w:pPr>
    </w:p>
    <w:tbl>
      <w:tblPr>
        <w:tblW w:w="0" w:type="auto"/>
        <w:jc w:val="left"/>
        <w:tblInd w:w="345" w:type="dxa"/>
        <w:tblLayout w:type="fixed"/>
        <w:tblCellMar>
          <w:top w:w="0" w:type="dxa"/>
          <w:left w:w="0" w:type="dxa"/>
          <w:bottom w:w="0" w:type="dxa"/>
          <w:right w:w="0" w:type="dxa"/>
        </w:tblCellMar>
        <w:tblLook w:val="01E0"/>
      </w:tblPr>
      <w:tblGrid>
        <w:gridCol w:w="4555"/>
        <w:gridCol w:w="2241"/>
        <w:gridCol w:w="182"/>
        <w:gridCol w:w="2161"/>
      </w:tblGrid>
      <w:tr>
        <w:trPr>
          <w:trHeight w:val="260" w:hRule="exact"/>
        </w:trPr>
        <w:tc>
          <w:tcPr>
            <w:tcW w:w="9140" w:type="dxa"/>
            <w:gridSpan w:val="4"/>
            <w:tcBorders>
              <w:top w:val="nil" w:sz="6" w:space="0" w:color="auto"/>
              <w:left w:val="nil" w:sz="6" w:space="0" w:color="auto"/>
              <w:bottom w:val="nil" w:sz="6" w:space="0" w:color="auto"/>
              <w:right w:val="nil" w:sz="6" w:space="0" w:color="auto"/>
            </w:tcBorders>
          </w:tcPr>
          <w:p>
            <w:pPr>
              <w:pStyle w:val="TableParagraph"/>
              <w:spacing w:line="220" w:lineRule="exact"/>
              <w:ind w:right="1687"/>
              <w:jc w:val="right"/>
              <w:rPr>
                <w:rFonts w:ascii="宋体" w:hAnsi="宋体" w:cs="宋体" w:eastAsia="宋体" w:hint="default"/>
                <w:sz w:val="22"/>
                <w:szCs w:val="22"/>
              </w:rPr>
            </w:pPr>
            <w:r>
              <w:rPr>
                <w:rFonts w:ascii="宋体" w:hAnsi="宋体" w:cs="宋体" w:eastAsia="宋体" w:hint="default"/>
                <w:w w:val="95"/>
                <w:sz w:val="22"/>
                <w:szCs w:val="22"/>
              </w:rPr>
              <w:t>主营业务收入</w:t>
            </w:r>
            <w:r>
              <w:rPr>
                <w:rFonts w:ascii="宋体" w:hAnsi="宋体" w:cs="宋体" w:eastAsia="宋体" w:hint="default"/>
                <w:sz w:val="22"/>
                <w:szCs w:val="22"/>
              </w:rPr>
            </w:r>
          </w:p>
        </w:tc>
      </w:tr>
      <w:tr>
        <w:trPr>
          <w:trHeight w:val="302" w:hRule="exact"/>
        </w:trPr>
        <w:tc>
          <w:tcPr>
            <w:tcW w:w="4555" w:type="dxa"/>
            <w:tcBorders>
              <w:top w:val="nil" w:sz="6" w:space="0" w:color="auto"/>
              <w:left w:val="nil" w:sz="6" w:space="0" w:color="auto"/>
              <w:bottom w:val="nil" w:sz="6" w:space="0" w:color="auto"/>
              <w:right w:val="nil" w:sz="6" w:space="0" w:color="auto"/>
            </w:tcBorders>
          </w:tcPr>
          <w:p>
            <w:pPr/>
          </w:p>
        </w:tc>
        <w:tc>
          <w:tcPr>
            <w:tcW w:w="2241" w:type="dxa"/>
            <w:tcBorders>
              <w:top w:val="single" w:sz="6" w:space="0" w:color="000000"/>
              <w:left w:val="nil" w:sz="6" w:space="0" w:color="auto"/>
              <w:bottom w:val="single" w:sz="6" w:space="0" w:color="000000"/>
              <w:right w:val="nil" w:sz="6" w:space="0" w:color="auto"/>
            </w:tcBorders>
          </w:tcPr>
          <w:p>
            <w:pPr>
              <w:pStyle w:val="TableParagraph"/>
              <w:spacing w:line="269" w:lineRule="exact"/>
              <w:ind w:right="120"/>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82" w:type="dxa"/>
            <w:tcBorders>
              <w:top w:val="single" w:sz="6" w:space="0" w:color="000000"/>
              <w:left w:val="nil" w:sz="6" w:space="0" w:color="auto"/>
              <w:bottom w:val="nil" w:sz="6" w:space="0" w:color="auto"/>
              <w:right w:val="nil" w:sz="6" w:space="0" w:color="auto"/>
            </w:tcBorders>
          </w:tcPr>
          <w:p>
            <w:pPr/>
          </w:p>
        </w:tc>
        <w:tc>
          <w:tcPr>
            <w:tcW w:w="2161" w:type="dxa"/>
            <w:tcBorders>
              <w:top w:val="single" w:sz="6" w:space="0" w:color="000000"/>
              <w:left w:val="nil" w:sz="6" w:space="0" w:color="auto"/>
              <w:bottom w:val="single" w:sz="6" w:space="0" w:color="000000"/>
              <w:right w:val="nil" w:sz="6" w:space="0" w:color="auto"/>
            </w:tcBorders>
          </w:tcPr>
          <w:p>
            <w:pPr>
              <w:pStyle w:val="TableParagraph"/>
              <w:spacing w:line="269" w:lineRule="exact"/>
              <w:ind w:left="1065"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58"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移动业务</w:t>
            </w:r>
          </w:p>
        </w:tc>
        <w:tc>
          <w:tcPr>
            <w:tcW w:w="2241"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22"/>
              <w:jc w:val="right"/>
              <w:rPr>
                <w:rFonts w:ascii="Arial" w:hAnsi="Arial" w:cs="Arial" w:eastAsia="Arial" w:hint="default"/>
                <w:sz w:val="22"/>
                <w:szCs w:val="22"/>
              </w:rPr>
            </w:pPr>
            <w:r>
              <w:rPr>
                <w:rFonts w:ascii="Arial"/>
                <w:spacing w:val="-1"/>
                <w:sz w:val="22"/>
              </w:rPr>
              <w:t>129,810,073,145</w:t>
            </w:r>
          </w:p>
        </w:tc>
        <w:tc>
          <w:tcPr>
            <w:tcW w:w="182" w:type="dxa"/>
            <w:tcBorders>
              <w:top w:val="nil" w:sz="6" w:space="0" w:color="auto"/>
              <w:left w:val="nil" w:sz="6" w:space="0" w:color="auto"/>
              <w:bottom w:val="nil" w:sz="6" w:space="0" w:color="auto"/>
              <w:right w:val="nil" w:sz="6" w:space="0" w:color="auto"/>
            </w:tcBorders>
          </w:tcPr>
          <w:p>
            <w:pPr/>
          </w:p>
        </w:tc>
        <w:tc>
          <w:tcPr>
            <w:tcW w:w="2161"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26" w:right="0"/>
              <w:jc w:val="left"/>
              <w:rPr>
                <w:rFonts w:ascii="Arial" w:hAnsi="Arial" w:cs="Arial" w:eastAsia="Arial" w:hint="default"/>
                <w:sz w:val="22"/>
                <w:szCs w:val="22"/>
              </w:rPr>
            </w:pPr>
            <w:r>
              <w:rPr>
                <w:rFonts w:ascii="Arial"/>
                <w:sz w:val="22"/>
              </w:rPr>
              <w:t>106,332,793,313</w:t>
            </w:r>
          </w:p>
        </w:tc>
      </w:tr>
      <w:tr>
        <w:trPr>
          <w:trHeight w:val="285"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固网业务</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2"/>
              <w:jc w:val="right"/>
              <w:rPr>
                <w:rFonts w:ascii="Arial" w:hAnsi="Arial" w:cs="Arial" w:eastAsia="Arial" w:hint="default"/>
                <w:sz w:val="22"/>
                <w:szCs w:val="22"/>
              </w:rPr>
            </w:pPr>
            <w:r>
              <w:rPr>
                <w:rFonts w:ascii="Arial"/>
                <w:spacing w:val="-1"/>
                <w:sz w:val="22"/>
              </w:rPr>
              <w:t>86,008,472,875</w:t>
            </w:r>
          </w:p>
        </w:tc>
        <w:tc>
          <w:tcPr>
            <w:tcW w:w="182" w:type="dxa"/>
            <w:tcBorders>
              <w:top w:val="nil" w:sz="6" w:space="0" w:color="auto"/>
              <w:left w:val="nil" w:sz="6" w:space="0" w:color="auto"/>
              <w:bottom w:val="nil" w:sz="6" w:space="0" w:color="auto"/>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48" w:right="0"/>
              <w:jc w:val="left"/>
              <w:rPr>
                <w:rFonts w:ascii="Arial" w:hAnsi="Arial" w:cs="Arial" w:eastAsia="Arial" w:hint="default"/>
                <w:sz w:val="22"/>
                <w:szCs w:val="22"/>
              </w:rPr>
            </w:pPr>
            <w:r>
              <w:rPr>
                <w:rFonts w:ascii="Arial"/>
                <w:sz w:val="22"/>
              </w:rPr>
              <w:t>84,397,343,403</w:t>
            </w:r>
          </w:p>
        </w:tc>
      </w:tr>
      <w:tr>
        <w:trPr>
          <w:trHeight w:val="419"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其他业务</w:t>
            </w:r>
          </w:p>
        </w:tc>
        <w:tc>
          <w:tcPr>
            <w:tcW w:w="2241" w:type="dxa"/>
            <w:tcBorders>
              <w:top w:val="nil" w:sz="6" w:space="0" w:color="auto"/>
              <w:left w:val="nil" w:sz="6" w:space="0" w:color="auto"/>
              <w:bottom w:val="nil" w:sz="6" w:space="0" w:color="auto"/>
              <w:right w:val="nil" w:sz="6" w:space="0" w:color="auto"/>
            </w:tcBorders>
          </w:tcPr>
          <w:p>
            <w:pPr>
              <w:pStyle w:val="TableParagraph"/>
              <w:tabs>
                <w:tab w:pos="893" w:val="left" w:leader="none"/>
                <w:tab w:pos="2240"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967,022,183</w:t>
            </w:r>
            <w:r>
              <w:rPr>
                <w:rFonts w:ascii="Arial"/>
                <w:sz w:val="22"/>
                <w:u w:val="single" w:color="000000"/>
              </w:rPr>
              <w:tab/>
            </w:r>
            <w:r>
              <w:rPr>
                <w:rFonts w:ascii="Arial"/>
                <w:sz w:val="22"/>
              </w:rPr>
            </w:r>
          </w:p>
        </w:tc>
        <w:tc>
          <w:tcPr>
            <w:tcW w:w="182" w:type="dxa"/>
            <w:tcBorders>
              <w:top w:val="nil" w:sz="6" w:space="0" w:color="auto"/>
              <w:left w:val="nil" w:sz="6" w:space="0" w:color="auto"/>
              <w:bottom w:val="nil" w:sz="6" w:space="0" w:color="auto"/>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Style w:val="TableParagraph"/>
              <w:tabs>
                <w:tab w:pos="670" w:val="left" w:leader="none"/>
                <w:tab w:pos="2161" w:val="left" w:leader="none"/>
              </w:tabs>
              <w:spacing w:line="240" w:lineRule="auto" w:before="17"/>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1,041,059,076</w:t>
              <w:tab/>
            </w:r>
            <w:r>
              <w:rPr>
                <w:rFonts w:ascii="Arial"/>
                <w:sz w:val="22"/>
              </w:rPr>
            </w:r>
          </w:p>
        </w:tc>
      </w:tr>
      <w:tr>
        <w:trPr>
          <w:trHeight w:val="431"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41"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22"/>
              <w:jc w:val="right"/>
              <w:rPr>
                <w:rFonts w:ascii="Arial" w:hAnsi="Arial" w:cs="Arial" w:eastAsia="Arial" w:hint="default"/>
                <w:sz w:val="22"/>
                <w:szCs w:val="22"/>
              </w:rPr>
            </w:pPr>
            <w:r>
              <w:rPr>
                <w:rFonts w:ascii="Arial"/>
                <w:spacing w:val="-1"/>
                <w:sz w:val="22"/>
              </w:rPr>
              <w:t>216,785,568,203</w:t>
            </w:r>
          </w:p>
        </w:tc>
        <w:tc>
          <w:tcPr>
            <w:tcW w:w="182" w:type="dxa"/>
            <w:tcBorders>
              <w:top w:val="nil" w:sz="6" w:space="0" w:color="auto"/>
              <w:left w:val="nil" w:sz="6" w:space="0" w:color="auto"/>
              <w:bottom w:val="nil" w:sz="6" w:space="0" w:color="auto"/>
              <w:right w:val="nil" w:sz="6" w:space="0" w:color="auto"/>
            </w:tcBorders>
          </w:tcPr>
          <w:p>
            <w:pPr/>
          </w:p>
        </w:tc>
        <w:tc>
          <w:tcPr>
            <w:tcW w:w="2161"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426" w:right="0"/>
              <w:jc w:val="left"/>
              <w:rPr>
                <w:rFonts w:ascii="Arial" w:hAnsi="Arial" w:cs="Arial" w:eastAsia="Arial" w:hint="default"/>
                <w:sz w:val="22"/>
                <w:szCs w:val="22"/>
              </w:rPr>
            </w:pPr>
            <w:r>
              <w:rPr>
                <w:rFonts w:ascii="Arial"/>
                <w:sz w:val="22"/>
              </w:rPr>
              <w:t>191,771,195,792</w:t>
            </w:r>
          </w:p>
        </w:tc>
      </w:tr>
    </w:tbl>
    <w:p>
      <w:pPr>
        <w:spacing w:line="240" w:lineRule="auto" w:before="2"/>
        <w:rPr>
          <w:rFonts w:ascii="宋体" w:hAnsi="宋体" w:cs="宋体" w:eastAsia="宋体" w:hint="default"/>
          <w:sz w:val="14"/>
          <w:szCs w:val="14"/>
        </w:rPr>
      </w:pPr>
    </w:p>
    <w:p>
      <w:pPr>
        <w:pStyle w:val="BodyText"/>
        <w:spacing w:line="232" w:lineRule="auto" w:before="39"/>
        <w:ind w:left="536" w:right="108"/>
        <w:jc w:val="both"/>
      </w:pPr>
      <w:r>
        <w:rPr/>
        <w:t>如附注六所述，于</w:t>
      </w:r>
      <w:r>
        <w:rPr>
          <w:spacing w:val="-45"/>
        </w:rPr>
        <w:t> </w:t>
      </w:r>
      <w:r>
        <w:rPr>
          <w:rFonts w:ascii="Arial" w:hAnsi="Arial" w:cs="Arial" w:eastAsia="Arial" w:hint="default"/>
        </w:rPr>
        <w:t>2012</w:t>
      </w:r>
      <w:r>
        <w:rPr>
          <w:rFonts w:ascii="Arial" w:hAnsi="Arial" w:cs="Arial" w:eastAsia="Arial" w:hint="default"/>
          <w:spacing w:val="3"/>
        </w:rPr>
        <w:t> </w:t>
      </w:r>
      <w:r>
        <w:rPr/>
        <w:t>年</w:t>
      </w:r>
      <w:r>
        <w:rPr>
          <w:spacing w:val="-46"/>
        </w:rPr>
        <w:t> </w:t>
      </w:r>
      <w:r>
        <w:rPr>
          <w:rFonts w:ascii="Arial" w:hAnsi="Arial" w:cs="Arial" w:eastAsia="Arial" w:hint="default"/>
        </w:rPr>
        <w:t>1</w:t>
      </w:r>
      <w:r>
        <w:rPr>
          <w:rFonts w:ascii="Arial" w:hAnsi="Arial" w:cs="Arial" w:eastAsia="Arial" w:hint="default"/>
          <w:spacing w:val="4"/>
        </w:rPr>
        <w:t> </w:t>
      </w:r>
      <w:r>
        <w:rPr/>
        <w:t>月</w:t>
      </w:r>
      <w:r>
        <w:rPr>
          <w:spacing w:val="-46"/>
        </w:rPr>
        <w:t> </w:t>
      </w:r>
      <w:r>
        <w:rPr>
          <w:rFonts w:ascii="Arial" w:hAnsi="Arial" w:cs="Arial" w:eastAsia="Arial" w:hint="default"/>
        </w:rPr>
        <w:t>1</w:t>
      </w:r>
      <w:r>
        <w:rPr>
          <w:rFonts w:ascii="Arial" w:hAnsi="Arial" w:cs="Arial" w:eastAsia="Arial" w:hint="default"/>
          <w:spacing w:val="4"/>
        </w:rPr>
        <w:t> </w:t>
      </w:r>
      <w:r>
        <w:rPr/>
        <w:t>日之前，移动业务和固网业务被辨别为本集团的主要经营分</w:t>
      </w:r>
      <w:r>
        <w:rPr>
          <w:w w:val="99"/>
        </w:rPr>
        <w:t> </w:t>
      </w:r>
      <w:r>
        <w:rPr/>
        <w:t>部，且主要经营决策者以收入及可直接归属于经营分部的成本来评价经营分部的经营成果。自</w:t>
      </w:r>
      <w:r>
        <w:rPr>
          <w:spacing w:val="-99"/>
        </w:rPr>
        <w:t> </w:t>
      </w:r>
      <w:r>
        <w:rPr>
          <w:spacing w:val="-99"/>
        </w:rPr>
      </w:r>
      <w:r>
        <w:rPr>
          <w:rFonts w:ascii="Arial" w:hAnsi="Arial" w:cs="Arial" w:eastAsia="Arial" w:hint="default"/>
          <w:w w:val="99"/>
        </w:rPr>
        <w:t>2012</w:t>
      </w:r>
      <w:r>
        <w:rPr>
          <w:rFonts w:ascii="Arial" w:hAnsi="Arial" w:cs="Arial" w:eastAsia="Arial" w:hint="default"/>
          <w:spacing w:val="-4"/>
          <w:w w:val="99"/>
        </w:rPr>
        <w:t> </w:t>
      </w:r>
      <w:r>
        <w:rPr>
          <w:w w:val="99"/>
        </w:rPr>
        <w:t>年</w:t>
      </w:r>
      <w:r>
        <w:rPr>
          <w:spacing w:val="-53"/>
          <w:w w:val="99"/>
        </w:rPr>
        <w:t> </w:t>
      </w:r>
      <w:r>
        <w:rPr>
          <w:rFonts w:ascii="Arial" w:hAnsi="Arial" w:cs="Arial" w:eastAsia="Arial" w:hint="default"/>
          <w:w w:val="99"/>
        </w:rPr>
        <w:t>1</w:t>
      </w:r>
      <w:r>
        <w:rPr>
          <w:rFonts w:ascii="Arial" w:hAnsi="Arial" w:cs="Arial" w:eastAsia="Arial" w:hint="default"/>
          <w:spacing w:val="-4"/>
          <w:w w:val="99"/>
        </w:rPr>
        <w:t> </w:t>
      </w:r>
      <w:r>
        <w:rPr>
          <w:w w:val="99"/>
        </w:rPr>
        <w:t>月</w:t>
      </w:r>
      <w:r>
        <w:rPr>
          <w:spacing w:val="-53"/>
          <w:w w:val="99"/>
        </w:rPr>
        <w:t> </w:t>
      </w:r>
      <w:r>
        <w:rPr>
          <w:rFonts w:ascii="Arial" w:hAnsi="Arial" w:cs="Arial" w:eastAsia="Arial" w:hint="default"/>
          <w:w w:val="99"/>
        </w:rPr>
        <w:t>1</w:t>
      </w:r>
      <w:r>
        <w:rPr>
          <w:rFonts w:ascii="Arial" w:hAnsi="Arial" w:cs="Arial" w:eastAsia="Arial" w:hint="default"/>
          <w:spacing w:val="-4"/>
          <w:w w:val="99"/>
        </w:rPr>
        <w:t> </w:t>
      </w:r>
      <w:r>
        <w:rPr>
          <w:spacing w:val="-3"/>
          <w:w w:val="99"/>
        </w:rPr>
        <w:t>日，主要经营决策者开始将本集团视为一个整体而非以业务之种类或地区角度进</w:t>
      </w:r>
      <w:r>
        <w:rPr>
          <w:w w:val="99"/>
        </w:rPr>
        <w:t> </w:t>
      </w:r>
      <w:r>
        <w:rPr/>
        <w:t>行资源分配和业绩评估。因此，本集团只有一个经营分部，且不再分别业务种类列示主营业务</w:t>
      </w:r>
      <w:r>
        <w:rPr>
          <w:spacing w:val="-102"/>
        </w:rPr>
        <w:t> </w:t>
      </w:r>
      <w:r>
        <w:rPr>
          <w:spacing w:val="-102"/>
        </w:rPr>
      </w:r>
      <w:r>
        <w:rPr/>
        <w:t>成本信息。</w:t>
      </w:r>
    </w:p>
    <w:p>
      <w:pPr>
        <w:spacing w:line="240" w:lineRule="auto" w:before="4"/>
        <w:rPr>
          <w:rFonts w:ascii="宋体" w:hAnsi="宋体" w:cs="宋体" w:eastAsia="宋体" w:hint="default"/>
          <w:sz w:val="21"/>
          <w:szCs w:val="21"/>
        </w:rPr>
      </w:pPr>
    </w:p>
    <w:p>
      <w:pPr>
        <w:pStyle w:val="BodyText"/>
        <w:spacing w:line="286" w:lineRule="exact"/>
        <w:ind w:left="536" w:right="120"/>
        <w:jc w:val="both"/>
      </w:pPr>
      <w:r>
        <w:rPr/>
        <w:t>本集团主要在中国大陆经营，所以没有列示地区资料。在所有列报期间，本集团均没有从单一</w:t>
      </w:r>
      <w:r>
        <w:rPr>
          <w:w w:val="99"/>
        </w:rPr>
        <w:t> </w:t>
      </w:r>
      <w:r>
        <w:rPr/>
        <w:t>外部客户取得占本集团收入总额的</w:t>
      </w:r>
      <w:r>
        <w:rPr>
          <w:spacing w:val="-62"/>
        </w:rPr>
        <w:t> </w:t>
      </w:r>
      <w:r>
        <w:rPr>
          <w:rFonts w:ascii="Arial" w:hAnsi="Arial" w:cs="Arial" w:eastAsia="Arial" w:hint="default"/>
        </w:rPr>
        <w:t>10%</w:t>
      </w:r>
      <w:r>
        <w:rPr/>
        <w:t>或以上的收入。</w:t>
      </w:r>
    </w:p>
    <w:p>
      <w:pPr>
        <w:spacing w:after="0" w:line="286" w:lineRule="exact"/>
        <w:jc w:val="both"/>
        <w:sectPr>
          <w:headerReference w:type="default" r:id="rId118"/>
          <w:pgSz w:w="11910" w:h="16840"/>
          <w:pgMar w:header="1184" w:footer="457" w:top="3560" w:bottom="640" w:left="1280" w:right="920"/>
        </w:sectPr>
      </w:pPr>
    </w:p>
    <w:p>
      <w:pPr>
        <w:spacing w:line="240" w:lineRule="auto" w:before="13"/>
        <w:rPr>
          <w:rFonts w:ascii="宋体" w:hAnsi="宋体" w:cs="宋体" w:eastAsia="宋体" w:hint="default"/>
          <w:sz w:val="15"/>
          <w:szCs w:val="15"/>
        </w:rPr>
      </w:pPr>
    </w:p>
    <w:p>
      <w:pPr>
        <w:pStyle w:val="BodyText"/>
        <w:spacing w:line="240" w:lineRule="auto" w:before="31"/>
        <w:ind w:left="102" w:right="0"/>
        <w:jc w:val="left"/>
      </w:pPr>
      <w:r>
        <w:rPr>
          <w:rFonts w:ascii="Arial" w:hAnsi="Arial" w:cs="Arial" w:eastAsia="Arial" w:hint="default"/>
        </w:rPr>
        <w:t>(b) </w:t>
      </w:r>
      <w:r>
        <w:rPr>
          <w:rFonts w:ascii="Arial" w:hAnsi="Arial" w:cs="Arial" w:eastAsia="Arial" w:hint="default"/>
          <w:spacing w:val="23"/>
        </w:rPr>
        <w:t> </w:t>
      </w:r>
      <w:r>
        <w:rPr/>
        <w:t>本集团前五名客户的营业收入情况</w:t>
      </w:r>
    </w:p>
    <w:p>
      <w:pPr>
        <w:spacing w:line="240" w:lineRule="auto" w:before="0"/>
        <w:rPr>
          <w:rFonts w:ascii="宋体" w:hAnsi="宋体" w:cs="宋体" w:eastAsia="宋体" w:hint="default"/>
          <w:sz w:val="20"/>
          <w:szCs w:val="20"/>
        </w:rPr>
      </w:pPr>
    </w:p>
    <w:p>
      <w:pPr>
        <w:pStyle w:val="BodyText"/>
        <w:spacing w:line="286" w:lineRule="exact"/>
        <w:ind w:left="522" w:right="109"/>
        <w:jc w:val="left"/>
      </w:pPr>
      <w:r>
        <w:rPr/>
        <w:t>本集团前五名客户营业收入的总额约人民币</w:t>
      </w:r>
      <w:r>
        <w:rPr>
          <w:spacing w:val="-56"/>
        </w:rPr>
        <w:t> </w:t>
      </w:r>
      <w:r>
        <w:rPr>
          <w:rFonts w:ascii="Arial" w:hAnsi="Arial" w:cs="Arial" w:eastAsia="Arial" w:hint="default"/>
        </w:rPr>
        <w:t>152.67</w:t>
      </w:r>
      <w:r>
        <w:rPr>
          <w:rFonts w:ascii="Arial" w:hAnsi="Arial" w:cs="Arial" w:eastAsia="Arial" w:hint="default"/>
          <w:spacing w:val="-9"/>
        </w:rPr>
        <w:t> </w:t>
      </w:r>
      <w:r>
        <w:rPr/>
        <w:t>亿元（</w:t>
      </w:r>
      <w:r>
        <w:rPr>
          <w:rFonts w:ascii="Arial" w:hAnsi="Arial" w:cs="Arial" w:eastAsia="Arial" w:hint="default"/>
        </w:rPr>
        <w:t>2011</w:t>
      </w:r>
      <w:r>
        <w:rPr>
          <w:rFonts w:ascii="Arial" w:hAnsi="Arial" w:cs="Arial" w:eastAsia="Arial" w:hint="default"/>
          <w:spacing w:val="-9"/>
        </w:rPr>
        <w:t> </w:t>
      </w:r>
      <w:r>
        <w:rPr/>
        <w:t>年：约人民币</w:t>
      </w:r>
      <w:r>
        <w:rPr>
          <w:spacing w:val="-58"/>
        </w:rPr>
        <w:t> </w:t>
      </w:r>
      <w:r>
        <w:rPr>
          <w:rFonts w:ascii="Arial" w:hAnsi="Arial" w:cs="Arial" w:eastAsia="Arial" w:hint="default"/>
        </w:rPr>
        <w:t>143.60</w:t>
      </w:r>
      <w:r>
        <w:rPr>
          <w:rFonts w:ascii="Arial" w:hAnsi="Arial" w:cs="Arial" w:eastAsia="Arial" w:hint="default"/>
          <w:spacing w:val="-9"/>
        </w:rPr>
        <w:t> </w:t>
      </w:r>
      <w:r>
        <w:rPr/>
        <w:t>亿元），</w:t>
      </w:r>
      <w:r>
        <w:rPr>
          <w:w w:val="99"/>
        </w:rPr>
        <w:t> </w:t>
      </w:r>
      <w:r>
        <w:rPr/>
        <w:t>占本集团全部营业收入的比例为</w:t>
      </w:r>
      <w:r>
        <w:rPr>
          <w:spacing w:val="-61"/>
        </w:rPr>
        <w:t> </w:t>
      </w:r>
      <w:r>
        <w:rPr>
          <w:rFonts w:ascii="Arial" w:hAnsi="Arial" w:cs="Arial" w:eastAsia="Arial" w:hint="default"/>
        </w:rPr>
        <w:t>6.0%</w:t>
      </w:r>
      <w:r>
        <w:rPr/>
        <w:t>（</w:t>
      </w:r>
      <w:r>
        <w:rPr>
          <w:rFonts w:ascii="Arial" w:hAnsi="Arial" w:cs="Arial" w:eastAsia="Arial" w:hint="default"/>
        </w:rPr>
        <w:t>2011</w:t>
      </w:r>
      <w:r>
        <w:rPr>
          <w:rFonts w:ascii="Arial" w:hAnsi="Arial" w:cs="Arial" w:eastAsia="Arial" w:hint="default"/>
          <w:spacing w:val="-13"/>
        </w:rPr>
        <w:t> </w:t>
      </w:r>
      <w:r>
        <w:rPr/>
        <w:t>年：</w:t>
      </w:r>
      <w:r>
        <w:rPr>
          <w:rFonts w:ascii="Arial" w:hAnsi="Arial" w:cs="Arial" w:eastAsia="Arial" w:hint="default"/>
        </w:rPr>
        <w:t>6.7%</w:t>
      </w:r>
      <w:r>
        <w:rPr/>
        <w:t>），具体情况如下：</w:t>
      </w:r>
    </w:p>
    <w:p>
      <w:pPr>
        <w:spacing w:line="240" w:lineRule="auto" w:before="5"/>
        <w:rPr>
          <w:rFonts w:ascii="宋体" w:hAnsi="宋体" w:cs="宋体" w:eastAsia="宋体" w:hint="default"/>
          <w:sz w:val="22"/>
          <w:szCs w:val="22"/>
        </w:rPr>
      </w:pPr>
    </w:p>
    <w:tbl>
      <w:tblPr>
        <w:tblW w:w="0" w:type="auto"/>
        <w:jc w:val="left"/>
        <w:tblInd w:w="371" w:type="dxa"/>
        <w:tblLayout w:type="fixed"/>
        <w:tblCellMar>
          <w:top w:w="0" w:type="dxa"/>
          <w:left w:w="0" w:type="dxa"/>
          <w:bottom w:w="0" w:type="dxa"/>
          <w:right w:w="0" w:type="dxa"/>
        </w:tblCellMar>
        <w:tblLook w:val="01E0"/>
      </w:tblPr>
      <w:tblGrid>
        <w:gridCol w:w="4529"/>
        <w:gridCol w:w="2241"/>
        <w:gridCol w:w="229"/>
        <w:gridCol w:w="2201"/>
      </w:tblGrid>
      <w:tr>
        <w:trPr>
          <w:trHeight w:val="545" w:hRule="exact"/>
        </w:trPr>
        <w:tc>
          <w:tcPr>
            <w:tcW w:w="4529"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22"/>
                <w:szCs w:val="22"/>
              </w:rPr>
            </w:pPr>
            <w:r>
              <w:rPr>
                <w:rFonts w:ascii="宋体" w:hAnsi="宋体" w:cs="宋体" w:eastAsia="宋体" w:hint="default"/>
                <w:w w:val="95"/>
                <w:sz w:val="22"/>
                <w:szCs w:val="22"/>
              </w:rPr>
              <w:t>营业收入</w:t>
            </w:r>
            <w:r>
              <w:rPr>
                <w:rFonts w:ascii="宋体" w:hAnsi="宋体" w:cs="宋体" w:eastAsia="宋体" w:hint="default"/>
                <w:sz w:val="22"/>
                <w:szCs w:val="22"/>
              </w:rPr>
            </w:r>
          </w:p>
        </w:tc>
        <w:tc>
          <w:tcPr>
            <w:tcW w:w="229"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single" w:sz="6" w:space="0" w:color="000000"/>
              <w:right w:val="nil" w:sz="6" w:space="0" w:color="auto"/>
            </w:tcBorders>
          </w:tcPr>
          <w:p>
            <w:pPr>
              <w:pStyle w:val="TableParagraph"/>
              <w:spacing w:line="218" w:lineRule="exact"/>
              <w:ind w:left="650" w:right="0" w:hanging="318"/>
              <w:jc w:val="left"/>
              <w:rPr>
                <w:rFonts w:ascii="宋体" w:hAnsi="宋体" w:cs="宋体" w:eastAsia="宋体" w:hint="default"/>
                <w:sz w:val="22"/>
                <w:szCs w:val="22"/>
              </w:rPr>
            </w:pPr>
            <w:r>
              <w:rPr>
                <w:rFonts w:ascii="宋体" w:hAnsi="宋体" w:cs="宋体" w:eastAsia="宋体" w:hint="default"/>
                <w:sz w:val="22"/>
                <w:szCs w:val="22"/>
              </w:rPr>
              <w:t>占本集团全部营业</w:t>
            </w:r>
          </w:p>
          <w:p>
            <w:pPr>
              <w:pStyle w:val="TableParagraph"/>
              <w:spacing w:line="302" w:lineRule="exact"/>
              <w:ind w:left="650" w:right="0"/>
              <w:jc w:val="left"/>
              <w:rPr>
                <w:rFonts w:ascii="Arial" w:hAnsi="Arial" w:cs="Arial" w:eastAsia="Arial" w:hint="default"/>
                <w:sz w:val="22"/>
                <w:szCs w:val="22"/>
              </w:rPr>
            </w:pPr>
            <w:r>
              <w:rPr>
                <w:rFonts w:ascii="宋体" w:hAnsi="宋体" w:cs="宋体" w:eastAsia="宋体" w:hint="default"/>
                <w:sz w:val="22"/>
                <w:szCs w:val="22"/>
              </w:rPr>
              <w:t>收入的比例</w:t>
            </w:r>
            <w:r>
              <w:rPr>
                <w:rFonts w:ascii="Arial" w:hAnsi="Arial" w:cs="Arial" w:eastAsia="Arial" w:hint="default"/>
                <w:sz w:val="22"/>
                <w:szCs w:val="22"/>
              </w:rPr>
              <w:t>(%)</w:t>
            </w:r>
          </w:p>
        </w:tc>
      </w:tr>
      <w:tr>
        <w:trPr>
          <w:trHeight w:val="558" w:hRule="exact"/>
        </w:trPr>
        <w:tc>
          <w:tcPr>
            <w:tcW w:w="452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第一名公司</w:t>
            </w:r>
          </w:p>
        </w:tc>
        <w:tc>
          <w:tcPr>
            <w:tcW w:w="2241"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6"/>
              <w:jc w:val="right"/>
              <w:rPr>
                <w:rFonts w:ascii="Arial" w:hAnsi="Arial" w:cs="Arial" w:eastAsia="Arial" w:hint="default"/>
                <w:sz w:val="22"/>
                <w:szCs w:val="22"/>
              </w:rPr>
            </w:pPr>
            <w:r>
              <w:rPr>
                <w:rFonts w:ascii="Arial"/>
                <w:spacing w:val="-1"/>
                <w:sz w:val="22"/>
              </w:rPr>
              <w:t>12,110,103,444</w:t>
            </w:r>
          </w:p>
        </w:tc>
        <w:tc>
          <w:tcPr>
            <w:tcW w:w="229" w:type="dxa"/>
            <w:tcBorders>
              <w:top w:val="nil" w:sz="6" w:space="0" w:color="auto"/>
              <w:left w:val="nil" w:sz="6" w:space="0" w:color="auto"/>
              <w:bottom w:val="nil" w:sz="6" w:space="0" w:color="auto"/>
              <w:right w:val="nil" w:sz="6" w:space="0" w:color="auto"/>
            </w:tcBorders>
          </w:tcPr>
          <w:p>
            <w:pPr/>
          </w:p>
        </w:tc>
        <w:tc>
          <w:tcPr>
            <w:tcW w:w="2201"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6"/>
              <w:jc w:val="right"/>
              <w:rPr>
                <w:rFonts w:ascii="Arial" w:hAnsi="Arial" w:cs="Arial" w:eastAsia="Arial" w:hint="default"/>
                <w:sz w:val="22"/>
                <w:szCs w:val="22"/>
              </w:rPr>
            </w:pPr>
            <w:r>
              <w:rPr>
                <w:rFonts w:ascii="Arial"/>
                <w:w w:val="95"/>
                <w:sz w:val="22"/>
              </w:rPr>
              <w:t>4.7%</w:t>
            </w:r>
            <w:r>
              <w:rPr>
                <w:rFonts w:ascii="Arial"/>
                <w:sz w:val="22"/>
              </w:rPr>
            </w:r>
          </w:p>
        </w:tc>
      </w:tr>
      <w:tr>
        <w:trPr>
          <w:trHeight w:val="286" w:hRule="exact"/>
        </w:trPr>
        <w:tc>
          <w:tcPr>
            <w:tcW w:w="4529"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第二名公司</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6"/>
              <w:jc w:val="right"/>
              <w:rPr>
                <w:rFonts w:ascii="Arial" w:hAnsi="Arial" w:cs="Arial" w:eastAsia="Arial" w:hint="default"/>
                <w:sz w:val="22"/>
                <w:szCs w:val="22"/>
              </w:rPr>
            </w:pPr>
            <w:r>
              <w:rPr>
                <w:rFonts w:ascii="Arial"/>
                <w:spacing w:val="-1"/>
                <w:sz w:val="22"/>
              </w:rPr>
              <w:t>2,634,161,874</w:t>
            </w:r>
          </w:p>
        </w:tc>
        <w:tc>
          <w:tcPr>
            <w:tcW w:w="229"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2"/>
                <w:szCs w:val="22"/>
              </w:rPr>
            </w:pPr>
            <w:r>
              <w:rPr>
                <w:rFonts w:ascii="Arial"/>
                <w:w w:val="95"/>
                <w:sz w:val="22"/>
              </w:rPr>
              <w:t>1.0%</w:t>
            </w:r>
            <w:r>
              <w:rPr>
                <w:rFonts w:ascii="Arial"/>
                <w:sz w:val="22"/>
              </w:rPr>
            </w:r>
          </w:p>
        </w:tc>
      </w:tr>
      <w:tr>
        <w:trPr>
          <w:trHeight w:val="286" w:hRule="exact"/>
        </w:trPr>
        <w:tc>
          <w:tcPr>
            <w:tcW w:w="4529"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第三名公司</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5"/>
              <w:jc w:val="right"/>
              <w:rPr>
                <w:rFonts w:ascii="Arial" w:hAnsi="Arial" w:cs="Arial" w:eastAsia="Arial" w:hint="default"/>
                <w:sz w:val="22"/>
                <w:szCs w:val="22"/>
              </w:rPr>
            </w:pPr>
            <w:r>
              <w:rPr>
                <w:rFonts w:ascii="Arial"/>
                <w:w w:val="95"/>
                <w:sz w:val="22"/>
              </w:rPr>
              <w:t>193,581,547</w:t>
            </w:r>
            <w:r>
              <w:rPr>
                <w:rFonts w:ascii="Arial"/>
                <w:sz w:val="22"/>
              </w:rPr>
            </w:r>
          </w:p>
        </w:tc>
        <w:tc>
          <w:tcPr>
            <w:tcW w:w="229"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5"/>
              <w:jc w:val="right"/>
              <w:rPr>
                <w:rFonts w:ascii="Arial" w:hAnsi="Arial" w:cs="Arial" w:eastAsia="Arial" w:hint="default"/>
                <w:sz w:val="22"/>
                <w:szCs w:val="22"/>
              </w:rPr>
            </w:pPr>
            <w:r>
              <w:rPr>
                <w:rFonts w:ascii="Arial"/>
                <w:w w:val="95"/>
                <w:sz w:val="22"/>
              </w:rPr>
              <w:t>0.1%</w:t>
            </w:r>
            <w:r>
              <w:rPr>
                <w:rFonts w:ascii="Arial"/>
                <w:sz w:val="22"/>
              </w:rPr>
            </w:r>
          </w:p>
        </w:tc>
      </w:tr>
      <w:tr>
        <w:trPr>
          <w:trHeight w:val="285" w:hRule="exact"/>
        </w:trPr>
        <w:tc>
          <w:tcPr>
            <w:tcW w:w="4529"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第四名公司</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5"/>
              <w:jc w:val="right"/>
              <w:rPr>
                <w:rFonts w:ascii="Arial" w:hAnsi="Arial" w:cs="Arial" w:eastAsia="Arial" w:hint="default"/>
                <w:sz w:val="22"/>
                <w:szCs w:val="22"/>
              </w:rPr>
            </w:pPr>
            <w:r>
              <w:rPr>
                <w:rFonts w:ascii="Arial"/>
                <w:w w:val="95"/>
                <w:sz w:val="22"/>
              </w:rPr>
              <w:t>168,262,979</w:t>
            </w:r>
            <w:r>
              <w:rPr>
                <w:rFonts w:ascii="Arial"/>
                <w:sz w:val="22"/>
              </w:rPr>
            </w:r>
          </w:p>
        </w:tc>
        <w:tc>
          <w:tcPr>
            <w:tcW w:w="229"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5"/>
              <w:jc w:val="right"/>
              <w:rPr>
                <w:rFonts w:ascii="Arial" w:hAnsi="Arial" w:cs="Arial" w:eastAsia="Arial" w:hint="default"/>
                <w:sz w:val="22"/>
                <w:szCs w:val="22"/>
              </w:rPr>
            </w:pPr>
            <w:r>
              <w:rPr>
                <w:rFonts w:ascii="Arial"/>
                <w:w w:val="95"/>
                <w:sz w:val="22"/>
              </w:rPr>
              <w:t>0.1%</w:t>
            </w:r>
            <w:r>
              <w:rPr>
                <w:rFonts w:ascii="Arial"/>
                <w:sz w:val="22"/>
              </w:rPr>
            </w:r>
          </w:p>
        </w:tc>
      </w:tr>
      <w:tr>
        <w:trPr>
          <w:trHeight w:val="419" w:hRule="exact"/>
        </w:trPr>
        <w:tc>
          <w:tcPr>
            <w:tcW w:w="4529"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第五名公司</w:t>
            </w:r>
          </w:p>
        </w:tc>
        <w:tc>
          <w:tcPr>
            <w:tcW w:w="2241" w:type="dxa"/>
            <w:tcBorders>
              <w:top w:val="nil" w:sz="6" w:space="0" w:color="auto"/>
              <w:left w:val="nil" w:sz="6" w:space="0" w:color="auto"/>
              <w:bottom w:val="nil" w:sz="6" w:space="0" w:color="auto"/>
              <w:right w:val="nil" w:sz="6" w:space="0" w:color="auto"/>
            </w:tcBorders>
          </w:tcPr>
          <w:p>
            <w:pPr>
              <w:pStyle w:val="TableParagraph"/>
              <w:tabs>
                <w:tab w:pos="919" w:val="left" w:leader="none"/>
                <w:tab w:pos="2240"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161,071,300</w:t>
            </w:r>
            <w:r>
              <w:rPr>
                <w:rFonts w:ascii="Arial"/>
                <w:sz w:val="22"/>
                <w:u w:val="single" w:color="000000"/>
              </w:rPr>
              <w:tab/>
            </w:r>
            <w:r>
              <w:rPr>
                <w:rFonts w:ascii="Arial"/>
                <w:sz w:val="22"/>
              </w:rPr>
            </w:r>
          </w:p>
        </w:tc>
        <w:tc>
          <w:tcPr>
            <w:tcW w:w="229"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Style w:val="TableParagraph"/>
              <w:tabs>
                <w:tab w:pos="1591" w:val="left" w:leader="none"/>
                <w:tab w:pos="2200" w:val="left" w:leader="none"/>
              </w:tabs>
              <w:spacing w:line="240" w:lineRule="auto" w:before="17"/>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0.1%</w:t>
              <w:tab/>
            </w:r>
            <w:r>
              <w:rPr>
                <w:rFonts w:ascii="Arial"/>
                <w:sz w:val="22"/>
              </w:rPr>
            </w:r>
          </w:p>
        </w:tc>
      </w:tr>
      <w:tr>
        <w:trPr>
          <w:trHeight w:val="431" w:hRule="exact"/>
        </w:trPr>
        <w:tc>
          <w:tcPr>
            <w:tcW w:w="452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41"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96"/>
              <w:jc w:val="right"/>
              <w:rPr>
                <w:rFonts w:ascii="Arial" w:hAnsi="Arial" w:cs="Arial" w:eastAsia="Arial" w:hint="default"/>
                <w:sz w:val="22"/>
                <w:szCs w:val="22"/>
              </w:rPr>
            </w:pPr>
            <w:r>
              <w:rPr>
                <w:rFonts w:ascii="Arial"/>
                <w:spacing w:val="-1"/>
                <w:sz w:val="22"/>
              </w:rPr>
              <w:t>15,267,181,144</w:t>
            </w:r>
          </w:p>
        </w:tc>
        <w:tc>
          <w:tcPr>
            <w:tcW w:w="229"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06"/>
              <w:jc w:val="right"/>
              <w:rPr>
                <w:rFonts w:ascii="Arial" w:hAnsi="Arial" w:cs="Arial" w:eastAsia="Arial" w:hint="default"/>
                <w:sz w:val="22"/>
                <w:szCs w:val="22"/>
              </w:rPr>
            </w:pPr>
            <w:r>
              <w:rPr>
                <w:rFonts w:ascii="Arial"/>
                <w:w w:val="95"/>
                <w:sz w:val="22"/>
              </w:rPr>
              <w:t>6.0%</w:t>
            </w:r>
            <w:r>
              <w:rPr>
                <w:rFonts w:ascii="Arial"/>
                <w:sz w:val="22"/>
              </w:rPr>
            </w:r>
          </w:p>
        </w:tc>
      </w:tr>
    </w:tbl>
    <w:p>
      <w:pPr>
        <w:spacing w:line="240" w:lineRule="auto" w:before="2"/>
        <w:rPr>
          <w:rFonts w:ascii="宋体" w:hAnsi="宋体" w:cs="宋体" w:eastAsia="宋体" w:hint="default"/>
          <w:sz w:val="14"/>
          <w:szCs w:val="14"/>
        </w:rPr>
      </w:pPr>
    </w:p>
    <w:p>
      <w:pPr>
        <w:pStyle w:val="BodyText"/>
        <w:spacing w:line="240" w:lineRule="auto" w:before="31"/>
        <w:ind w:left="102" w:right="0"/>
        <w:jc w:val="left"/>
      </w:pPr>
      <w:r>
        <w:rPr>
          <w:rFonts w:ascii="Arial" w:hAnsi="Arial" w:cs="Arial" w:eastAsia="Arial" w:hint="default"/>
        </w:rPr>
        <w:t>37</w:t>
      </w:r>
      <w:r>
        <w:rPr/>
        <w:t>、营业税金及附加</w:t>
      </w:r>
    </w:p>
    <w:p>
      <w:pPr>
        <w:spacing w:line="240" w:lineRule="auto" w:before="1"/>
        <w:rPr>
          <w:rFonts w:ascii="宋体" w:hAnsi="宋体" w:cs="宋体" w:eastAsia="宋体" w:hint="default"/>
          <w:sz w:val="23"/>
          <w:szCs w:val="23"/>
        </w:rPr>
      </w:pPr>
    </w:p>
    <w:tbl>
      <w:tblPr>
        <w:tblW w:w="0" w:type="auto"/>
        <w:jc w:val="left"/>
        <w:tblInd w:w="370" w:type="dxa"/>
        <w:tblLayout w:type="fixed"/>
        <w:tblCellMar>
          <w:top w:w="0" w:type="dxa"/>
          <w:left w:w="0" w:type="dxa"/>
          <w:bottom w:w="0" w:type="dxa"/>
          <w:right w:w="0" w:type="dxa"/>
        </w:tblCellMar>
        <w:tblLook w:val="01E0"/>
      </w:tblPr>
      <w:tblGrid>
        <w:gridCol w:w="3494"/>
        <w:gridCol w:w="1954"/>
        <w:gridCol w:w="1944"/>
        <w:gridCol w:w="1808"/>
      </w:tblGrid>
      <w:tr>
        <w:trPr>
          <w:trHeight w:val="261" w:hRule="exact"/>
        </w:trPr>
        <w:tc>
          <w:tcPr>
            <w:tcW w:w="3494"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single" w:sz="6" w:space="0" w:color="000000"/>
              <w:right w:val="nil" w:sz="6" w:space="0" w:color="auto"/>
            </w:tcBorders>
          </w:tcPr>
          <w:p>
            <w:pPr>
              <w:pStyle w:val="TableParagraph"/>
              <w:spacing w:line="220" w:lineRule="exact"/>
              <w:ind w:right="33"/>
              <w:jc w:val="right"/>
              <w:rPr>
                <w:rFonts w:ascii="宋体" w:hAnsi="宋体" w:cs="宋体" w:eastAsia="宋体" w:hint="default"/>
                <w:sz w:val="22"/>
                <w:szCs w:val="22"/>
              </w:rPr>
            </w:pPr>
            <w:r>
              <w:rPr>
                <w:rFonts w:ascii="宋体" w:hAnsi="宋体" w:cs="宋体" w:eastAsia="宋体" w:hint="default"/>
                <w:w w:val="95"/>
                <w:sz w:val="22"/>
                <w:szCs w:val="22"/>
              </w:rPr>
              <w:t>计缴标准</w:t>
            </w:r>
            <w:r>
              <w:rPr>
                <w:rFonts w:ascii="宋体" w:hAnsi="宋体" w:cs="宋体" w:eastAsia="宋体" w:hint="default"/>
                <w:sz w:val="22"/>
                <w:szCs w:val="22"/>
              </w:rPr>
            </w:r>
          </w:p>
        </w:tc>
        <w:tc>
          <w:tcPr>
            <w:tcW w:w="1944" w:type="dxa"/>
            <w:tcBorders>
              <w:top w:val="nil" w:sz="6" w:space="0" w:color="auto"/>
              <w:left w:val="nil" w:sz="6" w:space="0" w:color="auto"/>
              <w:bottom w:val="single" w:sz="6" w:space="0" w:color="000000"/>
              <w:right w:val="nil" w:sz="6" w:space="0" w:color="auto"/>
            </w:tcBorders>
          </w:tcPr>
          <w:p>
            <w:pPr>
              <w:pStyle w:val="TableParagraph"/>
              <w:spacing w:line="235" w:lineRule="exact"/>
              <w:ind w:left="852" w:right="0"/>
              <w:jc w:val="lef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808" w:type="dxa"/>
            <w:tcBorders>
              <w:top w:val="nil" w:sz="6" w:space="0" w:color="auto"/>
              <w:left w:val="nil" w:sz="6" w:space="0" w:color="auto"/>
              <w:bottom w:val="single" w:sz="6" w:space="0" w:color="000000"/>
              <w:right w:val="nil" w:sz="6" w:space="0" w:color="auto"/>
            </w:tcBorders>
          </w:tcPr>
          <w:p>
            <w:pPr>
              <w:pStyle w:val="TableParagraph"/>
              <w:spacing w:line="235" w:lineRule="exact"/>
              <w:ind w:right="25"/>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58" w:hRule="exact"/>
        </w:trPr>
        <w:tc>
          <w:tcPr>
            <w:tcW w:w="349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1954"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88"/>
              <w:jc w:val="right"/>
              <w:rPr>
                <w:rFonts w:ascii="Arial" w:hAnsi="Arial" w:cs="Arial" w:eastAsia="Arial" w:hint="default"/>
                <w:sz w:val="22"/>
                <w:szCs w:val="22"/>
              </w:rPr>
            </w:pPr>
            <w:r>
              <w:rPr>
                <w:rFonts w:ascii="宋体" w:hAnsi="宋体" w:cs="宋体" w:eastAsia="宋体" w:hint="default"/>
                <w:sz w:val="22"/>
                <w:szCs w:val="22"/>
              </w:rPr>
              <w:t>应税收入</w:t>
            </w:r>
            <w:r>
              <w:rPr>
                <w:rFonts w:ascii="宋体" w:hAnsi="宋体" w:cs="宋体" w:eastAsia="宋体" w:hint="default"/>
                <w:spacing w:val="-58"/>
                <w:sz w:val="22"/>
                <w:szCs w:val="22"/>
              </w:rPr>
              <w:t> </w:t>
            </w:r>
            <w:r>
              <w:rPr>
                <w:rFonts w:ascii="Arial" w:hAnsi="Arial" w:cs="Arial" w:eastAsia="Arial" w:hint="default"/>
                <w:sz w:val="22"/>
                <w:szCs w:val="22"/>
              </w:rPr>
              <w:t>3%</w:t>
            </w:r>
            <w:r>
              <w:rPr>
                <w:rFonts w:ascii="宋体" w:hAnsi="宋体" w:cs="宋体" w:eastAsia="宋体" w:hint="default"/>
                <w:sz w:val="22"/>
                <w:szCs w:val="22"/>
              </w:rPr>
              <w:t>或</w:t>
            </w:r>
            <w:r>
              <w:rPr>
                <w:rFonts w:ascii="宋体" w:hAnsi="宋体" w:cs="宋体" w:eastAsia="宋体" w:hint="default"/>
                <w:spacing w:val="-58"/>
                <w:sz w:val="22"/>
                <w:szCs w:val="22"/>
              </w:rPr>
              <w:t> </w:t>
            </w:r>
            <w:r>
              <w:rPr>
                <w:rFonts w:ascii="Arial" w:hAnsi="Arial" w:cs="Arial" w:eastAsia="Arial" w:hint="default"/>
                <w:sz w:val="22"/>
                <w:szCs w:val="22"/>
              </w:rPr>
              <w:t>5%</w:t>
            </w:r>
          </w:p>
        </w:tc>
        <w:tc>
          <w:tcPr>
            <w:tcW w:w="1944"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83" w:right="0"/>
              <w:jc w:val="left"/>
              <w:rPr>
                <w:rFonts w:ascii="Arial" w:hAnsi="Arial" w:cs="Arial" w:eastAsia="Arial" w:hint="default"/>
                <w:sz w:val="22"/>
                <w:szCs w:val="22"/>
              </w:rPr>
            </w:pPr>
            <w:r>
              <w:rPr>
                <w:rFonts w:ascii="Arial"/>
                <w:sz w:val="22"/>
              </w:rPr>
              <w:t>6,524,116,858</w:t>
            </w:r>
          </w:p>
        </w:tc>
        <w:tc>
          <w:tcPr>
            <w:tcW w:w="1808"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55"/>
              <w:jc w:val="right"/>
              <w:rPr>
                <w:rFonts w:ascii="Arial" w:hAnsi="Arial" w:cs="Arial" w:eastAsia="Arial" w:hint="default"/>
                <w:sz w:val="22"/>
                <w:szCs w:val="22"/>
              </w:rPr>
            </w:pPr>
            <w:r>
              <w:rPr>
                <w:rFonts w:ascii="Arial"/>
                <w:spacing w:val="-1"/>
                <w:sz w:val="22"/>
              </w:rPr>
              <w:t>5,661,801,435</w:t>
            </w:r>
          </w:p>
        </w:tc>
      </w:tr>
      <w:tr>
        <w:trPr>
          <w:trHeight w:val="705" w:hRule="exact"/>
        </w:trPr>
        <w:tc>
          <w:tcPr>
            <w:tcW w:w="349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城市维护建设税及教育费附加等</w:t>
            </w:r>
          </w:p>
        </w:tc>
        <w:tc>
          <w:tcPr>
            <w:tcW w:w="1954" w:type="dxa"/>
            <w:tcBorders>
              <w:top w:val="nil" w:sz="6" w:space="0" w:color="auto"/>
              <w:left w:val="nil" w:sz="6" w:space="0" w:color="auto"/>
              <w:bottom w:val="nil" w:sz="6" w:space="0" w:color="auto"/>
              <w:right w:val="nil" w:sz="6" w:space="0" w:color="auto"/>
            </w:tcBorders>
          </w:tcPr>
          <w:p>
            <w:pPr>
              <w:pStyle w:val="TableParagraph"/>
              <w:spacing w:line="238" w:lineRule="exact"/>
              <w:ind w:left="488" w:right="0" w:firstLine="55"/>
              <w:jc w:val="left"/>
              <w:rPr>
                <w:rFonts w:ascii="宋体" w:hAnsi="宋体" w:cs="宋体" w:eastAsia="宋体" w:hint="default"/>
                <w:sz w:val="22"/>
                <w:szCs w:val="22"/>
              </w:rPr>
            </w:pPr>
            <w:r>
              <w:rPr>
                <w:rFonts w:ascii="宋体" w:hAnsi="宋体" w:cs="宋体" w:eastAsia="宋体" w:hint="default"/>
                <w:sz w:val="22"/>
                <w:szCs w:val="22"/>
              </w:rPr>
              <w:t>缴纳营业税及</w:t>
            </w:r>
          </w:p>
          <w:p>
            <w:pPr>
              <w:pStyle w:val="TableParagraph"/>
              <w:spacing w:line="302" w:lineRule="exact"/>
              <w:ind w:left="488" w:right="0"/>
              <w:jc w:val="left"/>
              <w:rPr>
                <w:rFonts w:ascii="Arial" w:hAnsi="Arial" w:cs="Arial" w:eastAsia="Arial" w:hint="default"/>
                <w:sz w:val="22"/>
                <w:szCs w:val="22"/>
              </w:rPr>
            </w:pPr>
            <w:r>
              <w:rPr>
                <w:rFonts w:ascii="宋体" w:hAnsi="宋体" w:cs="宋体" w:eastAsia="宋体" w:hint="default"/>
                <w:sz w:val="22"/>
                <w:szCs w:val="22"/>
              </w:rPr>
              <w:t>增值税的</w:t>
            </w:r>
            <w:r>
              <w:rPr>
                <w:rFonts w:ascii="宋体" w:hAnsi="宋体" w:cs="宋体" w:eastAsia="宋体" w:hint="default"/>
                <w:spacing w:val="-57"/>
                <w:sz w:val="22"/>
                <w:szCs w:val="22"/>
              </w:rPr>
              <w:t> </w:t>
            </w:r>
            <w:r>
              <w:rPr>
                <w:rFonts w:ascii="Arial" w:hAnsi="Arial" w:cs="Arial" w:eastAsia="Arial" w:hint="default"/>
                <w:sz w:val="22"/>
                <w:szCs w:val="22"/>
              </w:rPr>
              <w:t>10%</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tabs>
                <w:tab w:pos="567" w:val="left" w:leader="none"/>
                <w:tab w:pos="1943" w:val="left" w:leader="none"/>
              </w:tabs>
              <w:spacing w:line="240" w:lineRule="auto"/>
              <w:ind w:left="80"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814,665,488</w:t>
              <w:tab/>
            </w:r>
            <w:r>
              <w:rPr>
                <w:rFonts w:ascii="Arial"/>
                <w:sz w:val="22"/>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tabs>
                <w:tab w:pos="447" w:val="left" w:leader="none"/>
              </w:tabs>
              <w:spacing w:line="240" w:lineRule="auto"/>
              <w:ind w:right="54"/>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689,826,733</w:t>
            </w:r>
            <w:r>
              <w:rPr>
                <w:rFonts w:ascii="Arial"/>
                <w:w w:val="95"/>
                <w:sz w:val="22"/>
              </w:rPr>
            </w:r>
            <w:r>
              <w:rPr>
                <w:rFonts w:ascii="Arial"/>
                <w:sz w:val="22"/>
              </w:rPr>
            </w:r>
          </w:p>
        </w:tc>
      </w:tr>
      <w:tr>
        <w:trPr>
          <w:trHeight w:val="430" w:hRule="exact"/>
        </w:trPr>
        <w:tc>
          <w:tcPr>
            <w:tcW w:w="349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954"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383" w:right="0"/>
              <w:jc w:val="left"/>
              <w:rPr>
                <w:rFonts w:ascii="Arial" w:hAnsi="Arial" w:cs="Arial" w:eastAsia="Arial" w:hint="default"/>
                <w:sz w:val="22"/>
                <w:szCs w:val="22"/>
              </w:rPr>
            </w:pPr>
            <w:r>
              <w:rPr>
                <w:rFonts w:ascii="Arial"/>
                <w:sz w:val="22"/>
              </w:rPr>
              <w:t>7,338,782,346</w:t>
            </w:r>
          </w:p>
        </w:tc>
        <w:tc>
          <w:tcPr>
            <w:tcW w:w="1808"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55"/>
              <w:jc w:val="right"/>
              <w:rPr>
                <w:rFonts w:ascii="Arial" w:hAnsi="Arial" w:cs="Arial" w:eastAsia="Arial" w:hint="default"/>
                <w:sz w:val="22"/>
                <w:szCs w:val="22"/>
              </w:rPr>
            </w:pPr>
            <w:r>
              <w:rPr>
                <w:rFonts w:ascii="Arial"/>
                <w:spacing w:val="-1"/>
                <w:sz w:val="22"/>
              </w:rPr>
              <w:t>6,351,628,168</w:t>
            </w:r>
          </w:p>
        </w:tc>
      </w:tr>
    </w:tbl>
    <w:p>
      <w:pPr>
        <w:spacing w:line="240" w:lineRule="auto" w:before="2"/>
        <w:rPr>
          <w:rFonts w:ascii="宋体" w:hAnsi="宋体" w:cs="宋体" w:eastAsia="宋体" w:hint="default"/>
          <w:sz w:val="14"/>
          <w:szCs w:val="14"/>
        </w:rPr>
      </w:pPr>
    </w:p>
    <w:p>
      <w:pPr>
        <w:pStyle w:val="BodyText"/>
        <w:spacing w:line="240" w:lineRule="auto" w:before="31"/>
        <w:ind w:left="102" w:right="0"/>
        <w:jc w:val="left"/>
      </w:pPr>
      <w:r>
        <w:rPr>
          <w:rFonts w:ascii="Arial" w:hAnsi="Arial" w:cs="Arial" w:eastAsia="Arial" w:hint="default"/>
        </w:rPr>
        <w:t>38</w:t>
      </w:r>
      <w:r>
        <w:rPr/>
        <w:t>、销售费用</w:t>
      </w:r>
    </w:p>
    <w:p>
      <w:pPr>
        <w:spacing w:line="240" w:lineRule="auto" w:before="2"/>
        <w:rPr>
          <w:rFonts w:ascii="宋体" w:hAnsi="宋体" w:cs="宋体" w:eastAsia="宋体" w:hint="default"/>
          <w:sz w:val="23"/>
          <w:szCs w:val="23"/>
        </w:rPr>
      </w:pPr>
    </w:p>
    <w:tbl>
      <w:tblPr>
        <w:tblW w:w="0" w:type="auto"/>
        <w:jc w:val="left"/>
        <w:tblInd w:w="370" w:type="dxa"/>
        <w:tblLayout w:type="fixed"/>
        <w:tblCellMar>
          <w:top w:w="0" w:type="dxa"/>
          <w:left w:w="0" w:type="dxa"/>
          <w:bottom w:w="0" w:type="dxa"/>
          <w:right w:w="0" w:type="dxa"/>
        </w:tblCellMar>
        <w:tblLook w:val="01E0"/>
      </w:tblPr>
      <w:tblGrid>
        <w:gridCol w:w="4530"/>
        <w:gridCol w:w="2244"/>
        <w:gridCol w:w="198"/>
        <w:gridCol w:w="2224"/>
      </w:tblGrid>
      <w:tr>
        <w:trPr>
          <w:trHeight w:val="260" w:hRule="exact"/>
        </w:trPr>
        <w:tc>
          <w:tcPr>
            <w:tcW w:w="4530" w:type="dxa"/>
            <w:tcBorders>
              <w:top w:val="nil" w:sz="6" w:space="0" w:color="auto"/>
              <w:left w:val="nil" w:sz="6" w:space="0" w:color="auto"/>
              <w:bottom w:val="nil" w:sz="6" w:space="0" w:color="auto"/>
              <w:right w:val="nil" w:sz="6" w:space="0" w:color="auto"/>
            </w:tcBorders>
          </w:tcPr>
          <w:p>
            <w:pPr/>
          </w:p>
        </w:tc>
        <w:tc>
          <w:tcPr>
            <w:tcW w:w="2244" w:type="dxa"/>
            <w:tcBorders>
              <w:top w:val="nil" w:sz="6" w:space="0" w:color="auto"/>
              <w:left w:val="nil" w:sz="6" w:space="0" w:color="auto"/>
              <w:bottom w:val="single" w:sz="6" w:space="0" w:color="000000"/>
              <w:right w:val="nil" w:sz="6" w:space="0" w:color="auto"/>
            </w:tcBorders>
          </w:tcPr>
          <w:p>
            <w:pPr>
              <w:pStyle w:val="TableParagraph"/>
              <w:spacing w:line="235" w:lineRule="exact"/>
              <w:ind w:right="31"/>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98" w:type="dxa"/>
            <w:tcBorders>
              <w:top w:val="nil" w:sz="6" w:space="0" w:color="auto"/>
              <w:left w:val="nil" w:sz="6" w:space="0" w:color="auto"/>
              <w:bottom w:val="nil" w:sz="6" w:space="0" w:color="auto"/>
              <w:right w:val="nil" w:sz="6" w:space="0" w:color="auto"/>
            </w:tcBorders>
          </w:tcPr>
          <w:p>
            <w:pPr/>
          </w:p>
        </w:tc>
        <w:tc>
          <w:tcPr>
            <w:tcW w:w="2224" w:type="dxa"/>
            <w:tcBorders>
              <w:top w:val="nil" w:sz="6" w:space="0" w:color="auto"/>
              <w:left w:val="nil" w:sz="6" w:space="0" w:color="auto"/>
              <w:bottom w:val="single" w:sz="6" w:space="0" w:color="000000"/>
              <w:right w:val="nil" w:sz="6" w:space="0" w:color="auto"/>
            </w:tcBorders>
          </w:tcPr>
          <w:p>
            <w:pPr>
              <w:pStyle w:val="TableParagraph"/>
              <w:spacing w:line="235" w:lineRule="exact"/>
              <w:ind w:right="25"/>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59"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销售渠道费用</w:t>
            </w:r>
          </w:p>
        </w:tc>
        <w:tc>
          <w:tcPr>
            <w:tcW w:w="2244"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2"/>
              <w:jc w:val="right"/>
              <w:rPr>
                <w:rFonts w:ascii="Arial" w:hAnsi="Arial" w:cs="Arial" w:eastAsia="Arial" w:hint="default"/>
                <w:sz w:val="22"/>
                <w:szCs w:val="22"/>
              </w:rPr>
            </w:pPr>
            <w:r>
              <w:rPr>
                <w:rFonts w:ascii="Arial"/>
                <w:spacing w:val="-1"/>
                <w:sz w:val="22"/>
              </w:rPr>
              <w:t>21,454,355,483</w:t>
            </w:r>
          </w:p>
        </w:tc>
        <w:tc>
          <w:tcPr>
            <w:tcW w:w="198" w:type="dxa"/>
            <w:tcBorders>
              <w:top w:val="nil" w:sz="6" w:space="0" w:color="auto"/>
              <w:left w:val="nil" w:sz="6" w:space="0" w:color="auto"/>
              <w:bottom w:val="nil" w:sz="6" w:space="0" w:color="auto"/>
              <w:right w:val="nil" w:sz="6" w:space="0" w:color="auto"/>
            </w:tcBorders>
          </w:tcPr>
          <w:p>
            <w:pPr/>
          </w:p>
        </w:tc>
        <w:tc>
          <w:tcPr>
            <w:tcW w:w="2224"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0"/>
              <w:jc w:val="right"/>
              <w:rPr>
                <w:rFonts w:ascii="Arial" w:hAnsi="Arial" w:cs="Arial" w:eastAsia="Arial" w:hint="default"/>
                <w:sz w:val="22"/>
                <w:szCs w:val="22"/>
              </w:rPr>
            </w:pPr>
            <w:r>
              <w:rPr>
                <w:rFonts w:ascii="Arial"/>
                <w:spacing w:val="-1"/>
                <w:sz w:val="22"/>
              </w:rPr>
              <w:t>17,457,384,811</w:t>
            </w:r>
          </w:p>
        </w:tc>
      </w:tr>
      <w:tr>
        <w:trPr>
          <w:trHeight w:val="285"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广告及业务宣传费等</w:t>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2"/>
              <w:jc w:val="right"/>
              <w:rPr>
                <w:rFonts w:ascii="Arial" w:hAnsi="Arial" w:cs="Arial" w:eastAsia="Arial" w:hint="default"/>
                <w:sz w:val="22"/>
                <w:szCs w:val="22"/>
              </w:rPr>
            </w:pPr>
            <w:r>
              <w:rPr>
                <w:rFonts w:ascii="Arial"/>
                <w:spacing w:val="-1"/>
                <w:sz w:val="22"/>
              </w:rPr>
              <w:t>4,860,301,701</w:t>
            </w:r>
          </w:p>
        </w:tc>
        <w:tc>
          <w:tcPr>
            <w:tcW w:w="198" w:type="dxa"/>
            <w:tcBorders>
              <w:top w:val="nil" w:sz="6" w:space="0" w:color="auto"/>
              <w:left w:val="nil" w:sz="6" w:space="0" w:color="auto"/>
              <w:bottom w:val="nil" w:sz="6" w:space="0" w:color="auto"/>
              <w:right w:val="nil" w:sz="6" w:space="0" w:color="auto"/>
            </w:tcBorders>
          </w:tcPr>
          <w:p>
            <w:pP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0"/>
              <w:jc w:val="right"/>
              <w:rPr>
                <w:rFonts w:ascii="Arial" w:hAnsi="Arial" w:cs="Arial" w:eastAsia="Arial" w:hint="default"/>
                <w:sz w:val="22"/>
                <w:szCs w:val="22"/>
              </w:rPr>
            </w:pPr>
            <w:r>
              <w:rPr>
                <w:rFonts w:ascii="Arial"/>
                <w:spacing w:val="-1"/>
                <w:sz w:val="22"/>
              </w:rPr>
              <w:t>4,271,261,041</w:t>
            </w:r>
          </w:p>
        </w:tc>
      </w:tr>
      <w:tr>
        <w:trPr>
          <w:trHeight w:val="286"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用户保有成本及客服成本</w:t>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2"/>
              <w:jc w:val="right"/>
              <w:rPr>
                <w:rFonts w:ascii="Arial" w:hAnsi="Arial" w:cs="Arial" w:eastAsia="Arial" w:hint="default"/>
                <w:sz w:val="22"/>
                <w:szCs w:val="22"/>
              </w:rPr>
            </w:pPr>
            <w:r>
              <w:rPr>
                <w:rFonts w:ascii="Arial"/>
                <w:spacing w:val="-1"/>
                <w:sz w:val="22"/>
              </w:rPr>
              <w:t>3,993,786,173</w:t>
            </w:r>
          </w:p>
        </w:tc>
        <w:tc>
          <w:tcPr>
            <w:tcW w:w="198" w:type="dxa"/>
            <w:tcBorders>
              <w:top w:val="nil" w:sz="6" w:space="0" w:color="auto"/>
              <w:left w:val="nil" w:sz="6" w:space="0" w:color="auto"/>
              <w:bottom w:val="nil" w:sz="6" w:space="0" w:color="auto"/>
              <w:right w:val="nil" w:sz="6" w:space="0" w:color="auto"/>
            </w:tcBorders>
          </w:tcPr>
          <w:p>
            <w:pP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0"/>
              <w:jc w:val="right"/>
              <w:rPr>
                <w:rFonts w:ascii="Arial" w:hAnsi="Arial" w:cs="Arial" w:eastAsia="Arial" w:hint="default"/>
                <w:sz w:val="22"/>
                <w:szCs w:val="22"/>
              </w:rPr>
            </w:pPr>
            <w:r>
              <w:rPr>
                <w:rFonts w:ascii="Arial"/>
                <w:spacing w:val="-1"/>
                <w:sz w:val="22"/>
              </w:rPr>
              <w:t>3,414,364,981</w:t>
            </w:r>
          </w:p>
        </w:tc>
      </w:tr>
      <w:tr>
        <w:trPr>
          <w:trHeight w:val="286"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固网业务客户接入成本</w:t>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2"/>
              <w:jc w:val="right"/>
              <w:rPr>
                <w:rFonts w:ascii="Arial" w:hAnsi="Arial" w:cs="Arial" w:eastAsia="Arial" w:hint="default"/>
                <w:sz w:val="22"/>
                <w:szCs w:val="22"/>
              </w:rPr>
            </w:pPr>
            <w:r>
              <w:rPr>
                <w:rFonts w:ascii="Arial"/>
                <w:spacing w:val="-1"/>
                <w:sz w:val="22"/>
              </w:rPr>
              <w:t>3,172,704,641</w:t>
            </w:r>
          </w:p>
        </w:tc>
        <w:tc>
          <w:tcPr>
            <w:tcW w:w="198" w:type="dxa"/>
            <w:tcBorders>
              <w:top w:val="nil" w:sz="6" w:space="0" w:color="auto"/>
              <w:left w:val="nil" w:sz="6" w:space="0" w:color="auto"/>
              <w:bottom w:val="nil" w:sz="6" w:space="0" w:color="auto"/>
              <w:right w:val="nil" w:sz="6" w:space="0" w:color="auto"/>
            </w:tcBorders>
          </w:tcPr>
          <w:p>
            <w:pP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0"/>
              <w:jc w:val="right"/>
              <w:rPr>
                <w:rFonts w:ascii="Arial" w:hAnsi="Arial" w:cs="Arial" w:eastAsia="Arial" w:hint="default"/>
                <w:sz w:val="22"/>
                <w:szCs w:val="22"/>
              </w:rPr>
            </w:pPr>
            <w:r>
              <w:rPr>
                <w:rFonts w:ascii="Arial"/>
                <w:spacing w:val="-1"/>
                <w:sz w:val="22"/>
              </w:rPr>
              <w:t>2,576,789,234</w:t>
            </w:r>
          </w:p>
        </w:tc>
      </w:tr>
      <w:tr>
        <w:trPr>
          <w:trHeight w:val="419"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固网业务用户获取成本</w:t>
            </w:r>
          </w:p>
        </w:tc>
        <w:tc>
          <w:tcPr>
            <w:tcW w:w="2244" w:type="dxa"/>
            <w:tcBorders>
              <w:top w:val="nil" w:sz="6" w:space="0" w:color="auto"/>
              <w:left w:val="nil" w:sz="6" w:space="0" w:color="auto"/>
              <w:bottom w:val="nil" w:sz="6" w:space="0" w:color="auto"/>
              <w:right w:val="nil" w:sz="6" w:space="0" w:color="auto"/>
            </w:tcBorders>
          </w:tcPr>
          <w:p>
            <w:pPr>
              <w:pStyle w:val="TableParagraph"/>
              <w:tabs>
                <w:tab w:pos="733" w:val="left" w:leader="none"/>
                <w:tab w:pos="2244"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1,555,955,694</w:t>
              <w:tab/>
            </w:r>
            <w:r>
              <w:rPr>
                <w:rFonts w:ascii="Arial"/>
                <w:spacing w:val="-1"/>
                <w:sz w:val="22"/>
              </w:rPr>
            </w:r>
          </w:p>
        </w:tc>
        <w:tc>
          <w:tcPr>
            <w:tcW w:w="198" w:type="dxa"/>
            <w:tcBorders>
              <w:top w:val="nil" w:sz="6" w:space="0" w:color="auto"/>
              <w:left w:val="nil" w:sz="6" w:space="0" w:color="auto"/>
              <w:bottom w:val="nil" w:sz="6" w:space="0" w:color="auto"/>
              <w:right w:val="nil" w:sz="6" w:space="0" w:color="auto"/>
            </w:tcBorders>
          </w:tcPr>
          <w:p>
            <w:pPr/>
          </w:p>
        </w:tc>
        <w:tc>
          <w:tcPr>
            <w:tcW w:w="2224" w:type="dxa"/>
            <w:tcBorders>
              <w:top w:val="nil" w:sz="6" w:space="0" w:color="auto"/>
              <w:left w:val="nil" w:sz="6" w:space="0" w:color="auto"/>
              <w:bottom w:val="nil" w:sz="6" w:space="0" w:color="auto"/>
              <w:right w:val="nil" w:sz="6" w:space="0" w:color="auto"/>
            </w:tcBorders>
          </w:tcPr>
          <w:p>
            <w:pPr>
              <w:pStyle w:val="TableParagraph"/>
              <w:tabs>
                <w:tab w:pos="707" w:val="left" w:leader="none"/>
                <w:tab w:pos="2216"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1,030,890,776</w:t>
              <w:tab/>
            </w:r>
            <w:r>
              <w:rPr>
                <w:rFonts w:ascii="Arial"/>
                <w:spacing w:val="-1"/>
                <w:sz w:val="22"/>
              </w:rPr>
            </w:r>
          </w:p>
        </w:tc>
      </w:tr>
      <w:tr>
        <w:trPr>
          <w:trHeight w:val="430"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44"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02"/>
              <w:jc w:val="right"/>
              <w:rPr>
                <w:rFonts w:ascii="Arial" w:hAnsi="Arial" w:cs="Arial" w:eastAsia="Arial" w:hint="default"/>
                <w:sz w:val="22"/>
                <w:szCs w:val="22"/>
              </w:rPr>
            </w:pPr>
            <w:r>
              <w:rPr>
                <w:rFonts w:ascii="Arial"/>
                <w:spacing w:val="-1"/>
                <w:sz w:val="22"/>
              </w:rPr>
              <w:t>35,037,103,692</w:t>
            </w:r>
          </w:p>
        </w:tc>
        <w:tc>
          <w:tcPr>
            <w:tcW w:w="198" w:type="dxa"/>
            <w:tcBorders>
              <w:top w:val="nil" w:sz="6" w:space="0" w:color="auto"/>
              <w:left w:val="nil" w:sz="6" w:space="0" w:color="auto"/>
              <w:bottom w:val="nil" w:sz="6" w:space="0" w:color="auto"/>
              <w:right w:val="nil" w:sz="6" w:space="0" w:color="auto"/>
            </w:tcBorders>
          </w:tcPr>
          <w:p>
            <w:pPr/>
          </w:p>
        </w:tc>
        <w:tc>
          <w:tcPr>
            <w:tcW w:w="2224"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00"/>
              <w:jc w:val="right"/>
              <w:rPr>
                <w:rFonts w:ascii="Arial" w:hAnsi="Arial" w:cs="Arial" w:eastAsia="Arial" w:hint="default"/>
                <w:sz w:val="22"/>
                <w:szCs w:val="22"/>
              </w:rPr>
            </w:pPr>
            <w:r>
              <w:rPr>
                <w:rFonts w:ascii="Arial"/>
                <w:spacing w:val="-1"/>
                <w:sz w:val="22"/>
              </w:rPr>
              <w:t>28,750,690,843</w:t>
            </w:r>
          </w:p>
        </w:tc>
      </w:tr>
    </w:tbl>
    <w:p>
      <w:pPr>
        <w:spacing w:after="0" w:line="240" w:lineRule="auto"/>
        <w:jc w:val="right"/>
        <w:rPr>
          <w:rFonts w:ascii="Arial" w:hAnsi="Arial" w:cs="Arial" w:eastAsia="Arial" w:hint="default"/>
          <w:sz w:val="22"/>
          <w:szCs w:val="22"/>
        </w:rPr>
        <w:sectPr>
          <w:pgSz w:w="11910" w:h="16840"/>
          <w:pgMar w:header="1184" w:footer="457" w:top="3560" w:bottom="640" w:left="1280" w:right="840"/>
        </w:sectPr>
      </w:pPr>
    </w:p>
    <w:p>
      <w:pPr>
        <w:spacing w:line="240" w:lineRule="auto" w:before="12"/>
        <w:rPr>
          <w:rFonts w:ascii="宋体" w:hAnsi="宋体" w:cs="宋体" w:eastAsia="宋体" w:hint="default"/>
          <w:sz w:val="14"/>
          <w:szCs w:val="14"/>
        </w:rPr>
      </w:pPr>
    </w:p>
    <w:p>
      <w:pPr>
        <w:pStyle w:val="BodyText"/>
        <w:spacing w:line="240" w:lineRule="auto" w:before="31"/>
        <w:ind w:left="102" w:right="0"/>
        <w:jc w:val="left"/>
      </w:pPr>
      <w:r>
        <w:rPr>
          <w:rFonts w:ascii="Arial" w:hAnsi="Arial" w:cs="Arial" w:eastAsia="Arial" w:hint="default"/>
        </w:rPr>
        <w:t>39</w:t>
      </w:r>
      <w:r>
        <w:rPr/>
        <w:t>、管理费用</w:t>
      </w:r>
    </w:p>
    <w:p>
      <w:pPr>
        <w:spacing w:line="240" w:lineRule="auto" w:before="3"/>
        <w:rPr>
          <w:rFonts w:ascii="宋体" w:hAnsi="宋体" w:cs="宋体" w:eastAsia="宋体" w:hint="default"/>
          <w:sz w:val="23"/>
          <w:szCs w:val="23"/>
        </w:rPr>
      </w:pPr>
    </w:p>
    <w:tbl>
      <w:tblPr>
        <w:tblW w:w="0" w:type="auto"/>
        <w:jc w:val="left"/>
        <w:tblInd w:w="370" w:type="dxa"/>
        <w:tblLayout w:type="fixed"/>
        <w:tblCellMar>
          <w:top w:w="0" w:type="dxa"/>
          <w:left w:w="0" w:type="dxa"/>
          <w:bottom w:w="0" w:type="dxa"/>
          <w:right w:w="0" w:type="dxa"/>
        </w:tblCellMar>
        <w:tblLook w:val="01E0"/>
      </w:tblPr>
      <w:tblGrid>
        <w:gridCol w:w="5042"/>
        <w:gridCol w:w="2026"/>
        <w:gridCol w:w="116"/>
        <w:gridCol w:w="2011"/>
      </w:tblGrid>
      <w:tr>
        <w:trPr>
          <w:trHeight w:val="260" w:hRule="exact"/>
        </w:trPr>
        <w:tc>
          <w:tcPr>
            <w:tcW w:w="5042"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single" w:sz="6" w:space="0" w:color="000000"/>
              <w:right w:val="nil" w:sz="6" w:space="0" w:color="auto"/>
            </w:tcBorders>
          </w:tcPr>
          <w:p>
            <w:pPr>
              <w:pStyle w:val="TableParagraph"/>
              <w:spacing w:line="235" w:lineRule="exact"/>
              <w:ind w:right="32"/>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16"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single" w:sz="6" w:space="0" w:color="000000"/>
              <w:right w:val="nil" w:sz="6" w:space="0" w:color="auto"/>
            </w:tcBorders>
          </w:tcPr>
          <w:p>
            <w:pPr>
              <w:pStyle w:val="TableParagraph"/>
              <w:spacing w:line="235" w:lineRule="exact"/>
              <w:ind w:right="24"/>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59" w:hRule="exact"/>
        </w:trPr>
        <w:tc>
          <w:tcPr>
            <w:tcW w:w="504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人工成本</w:t>
            </w:r>
          </w:p>
        </w:tc>
        <w:tc>
          <w:tcPr>
            <w:tcW w:w="2026"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71"/>
              <w:jc w:val="right"/>
              <w:rPr>
                <w:rFonts w:ascii="Arial" w:hAnsi="Arial" w:cs="Arial" w:eastAsia="Arial" w:hint="default"/>
                <w:sz w:val="22"/>
                <w:szCs w:val="22"/>
              </w:rPr>
            </w:pPr>
            <w:r>
              <w:rPr>
                <w:rFonts w:ascii="Arial"/>
                <w:spacing w:val="-1"/>
                <w:sz w:val="22"/>
              </w:rPr>
              <w:t>9,634,236,646</w:t>
            </w:r>
          </w:p>
        </w:tc>
        <w:tc>
          <w:tcPr>
            <w:tcW w:w="116" w:type="dxa"/>
            <w:tcBorders>
              <w:top w:val="nil" w:sz="6" w:space="0" w:color="auto"/>
              <w:left w:val="nil" w:sz="6" w:space="0" w:color="auto"/>
              <w:bottom w:val="nil" w:sz="6" w:space="0" w:color="auto"/>
              <w:right w:val="nil" w:sz="6" w:space="0" w:color="auto"/>
            </w:tcBorders>
          </w:tcPr>
          <w:p>
            <w:pPr/>
          </w:p>
        </w:tc>
        <w:tc>
          <w:tcPr>
            <w:tcW w:w="2011"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55"/>
              <w:jc w:val="right"/>
              <w:rPr>
                <w:rFonts w:ascii="Arial" w:hAnsi="Arial" w:cs="Arial" w:eastAsia="Arial" w:hint="default"/>
                <w:sz w:val="22"/>
                <w:szCs w:val="22"/>
              </w:rPr>
            </w:pPr>
            <w:r>
              <w:rPr>
                <w:rFonts w:ascii="Arial"/>
                <w:spacing w:val="-1"/>
                <w:sz w:val="22"/>
              </w:rPr>
              <w:t>8,498,095,490</w:t>
            </w:r>
          </w:p>
        </w:tc>
      </w:tr>
      <w:tr>
        <w:trPr>
          <w:trHeight w:val="285" w:hRule="exact"/>
        </w:trPr>
        <w:tc>
          <w:tcPr>
            <w:tcW w:w="5042"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办公及交通费</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1"/>
              <w:jc w:val="right"/>
              <w:rPr>
                <w:rFonts w:ascii="Arial" w:hAnsi="Arial" w:cs="Arial" w:eastAsia="Arial" w:hint="default"/>
                <w:sz w:val="22"/>
                <w:szCs w:val="22"/>
              </w:rPr>
            </w:pPr>
            <w:r>
              <w:rPr>
                <w:rFonts w:ascii="Arial"/>
                <w:w w:val="95"/>
                <w:sz w:val="22"/>
              </w:rPr>
              <w:t>3,040,071,156</w:t>
            </w:r>
            <w:r>
              <w:rPr>
                <w:rFonts w:ascii="Arial"/>
                <w:sz w:val="22"/>
              </w:rPr>
            </w:r>
          </w:p>
        </w:tc>
        <w:tc>
          <w:tcPr>
            <w:tcW w:w="116"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5"/>
              <w:jc w:val="right"/>
              <w:rPr>
                <w:rFonts w:ascii="Arial" w:hAnsi="Arial" w:cs="Arial" w:eastAsia="Arial" w:hint="default"/>
                <w:sz w:val="22"/>
                <w:szCs w:val="22"/>
              </w:rPr>
            </w:pPr>
            <w:r>
              <w:rPr>
                <w:rFonts w:ascii="Arial"/>
                <w:spacing w:val="-1"/>
                <w:sz w:val="22"/>
              </w:rPr>
              <w:t>2,929,646,625</w:t>
            </w:r>
          </w:p>
        </w:tc>
      </w:tr>
      <w:tr>
        <w:trPr>
          <w:trHeight w:val="286" w:hRule="exact"/>
        </w:trPr>
        <w:tc>
          <w:tcPr>
            <w:tcW w:w="5042"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折旧及摊销</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1"/>
              <w:jc w:val="right"/>
              <w:rPr>
                <w:rFonts w:ascii="Arial" w:hAnsi="Arial" w:cs="Arial" w:eastAsia="Arial" w:hint="default"/>
                <w:sz w:val="22"/>
                <w:szCs w:val="22"/>
              </w:rPr>
            </w:pPr>
            <w:r>
              <w:rPr>
                <w:rFonts w:ascii="Arial"/>
                <w:spacing w:val="-1"/>
                <w:sz w:val="22"/>
              </w:rPr>
              <w:t>3,576,475,357</w:t>
            </w:r>
          </w:p>
        </w:tc>
        <w:tc>
          <w:tcPr>
            <w:tcW w:w="116"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5"/>
              <w:jc w:val="right"/>
              <w:rPr>
                <w:rFonts w:ascii="Arial" w:hAnsi="Arial" w:cs="Arial" w:eastAsia="Arial" w:hint="default"/>
                <w:sz w:val="22"/>
                <w:szCs w:val="22"/>
              </w:rPr>
            </w:pPr>
            <w:r>
              <w:rPr>
                <w:rFonts w:ascii="Arial"/>
                <w:spacing w:val="-1"/>
                <w:sz w:val="22"/>
              </w:rPr>
              <w:t>2,977,795,327</w:t>
            </w:r>
          </w:p>
        </w:tc>
      </w:tr>
      <w:tr>
        <w:trPr>
          <w:trHeight w:val="286" w:hRule="exact"/>
        </w:trPr>
        <w:tc>
          <w:tcPr>
            <w:tcW w:w="5042"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差旅费</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9"/>
              <w:jc w:val="right"/>
              <w:rPr>
                <w:rFonts w:ascii="Arial" w:hAnsi="Arial" w:cs="Arial" w:eastAsia="Arial" w:hint="default"/>
                <w:sz w:val="22"/>
                <w:szCs w:val="22"/>
              </w:rPr>
            </w:pPr>
            <w:r>
              <w:rPr>
                <w:rFonts w:ascii="Arial"/>
                <w:w w:val="95"/>
                <w:sz w:val="22"/>
              </w:rPr>
              <w:t>282,610,108</w:t>
            </w:r>
            <w:r>
              <w:rPr>
                <w:rFonts w:ascii="Arial"/>
                <w:sz w:val="22"/>
              </w:rPr>
            </w:r>
          </w:p>
        </w:tc>
        <w:tc>
          <w:tcPr>
            <w:tcW w:w="116"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4"/>
              <w:jc w:val="right"/>
              <w:rPr>
                <w:rFonts w:ascii="Arial" w:hAnsi="Arial" w:cs="Arial" w:eastAsia="Arial" w:hint="default"/>
                <w:sz w:val="22"/>
                <w:szCs w:val="22"/>
              </w:rPr>
            </w:pPr>
            <w:r>
              <w:rPr>
                <w:rFonts w:ascii="Arial"/>
                <w:w w:val="95"/>
                <w:sz w:val="22"/>
              </w:rPr>
              <w:t>277,273,964</w:t>
            </w:r>
            <w:r>
              <w:rPr>
                <w:rFonts w:ascii="Arial"/>
                <w:sz w:val="22"/>
              </w:rPr>
            </w:r>
          </w:p>
        </w:tc>
      </w:tr>
      <w:tr>
        <w:trPr>
          <w:trHeight w:val="286" w:hRule="exact"/>
        </w:trPr>
        <w:tc>
          <w:tcPr>
            <w:tcW w:w="5042"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水电取暖费</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9"/>
              <w:jc w:val="right"/>
              <w:rPr>
                <w:rFonts w:ascii="Arial" w:hAnsi="Arial" w:cs="Arial" w:eastAsia="Arial" w:hint="default"/>
                <w:sz w:val="22"/>
                <w:szCs w:val="22"/>
              </w:rPr>
            </w:pPr>
            <w:r>
              <w:rPr>
                <w:rFonts w:ascii="Arial"/>
                <w:w w:val="95"/>
                <w:sz w:val="22"/>
              </w:rPr>
              <w:t>780,103,614</w:t>
            </w:r>
            <w:r>
              <w:rPr>
                <w:rFonts w:ascii="Arial"/>
                <w:sz w:val="22"/>
              </w:rPr>
            </w:r>
          </w:p>
        </w:tc>
        <w:tc>
          <w:tcPr>
            <w:tcW w:w="116"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4"/>
              <w:jc w:val="right"/>
              <w:rPr>
                <w:rFonts w:ascii="Arial" w:hAnsi="Arial" w:cs="Arial" w:eastAsia="Arial" w:hint="default"/>
                <w:sz w:val="22"/>
                <w:szCs w:val="22"/>
              </w:rPr>
            </w:pPr>
            <w:r>
              <w:rPr>
                <w:rFonts w:ascii="Arial"/>
                <w:w w:val="95"/>
                <w:sz w:val="22"/>
              </w:rPr>
              <w:t>567,372,266</w:t>
            </w:r>
            <w:r>
              <w:rPr>
                <w:rFonts w:ascii="Arial"/>
                <w:sz w:val="22"/>
              </w:rPr>
            </w:r>
          </w:p>
        </w:tc>
      </w:tr>
      <w:tr>
        <w:trPr>
          <w:trHeight w:val="284" w:hRule="exact"/>
        </w:trPr>
        <w:tc>
          <w:tcPr>
            <w:tcW w:w="5042"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房屋租赁费用</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1"/>
              <w:jc w:val="right"/>
              <w:rPr>
                <w:rFonts w:ascii="Arial" w:hAnsi="Arial" w:cs="Arial" w:eastAsia="Arial" w:hint="default"/>
                <w:sz w:val="22"/>
                <w:szCs w:val="22"/>
              </w:rPr>
            </w:pPr>
            <w:r>
              <w:rPr>
                <w:rFonts w:ascii="Arial"/>
                <w:spacing w:val="-1"/>
                <w:sz w:val="22"/>
              </w:rPr>
              <w:t>1,061,413,307</w:t>
            </w:r>
          </w:p>
        </w:tc>
        <w:tc>
          <w:tcPr>
            <w:tcW w:w="116"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4"/>
              <w:jc w:val="right"/>
              <w:rPr>
                <w:rFonts w:ascii="Arial" w:hAnsi="Arial" w:cs="Arial" w:eastAsia="Arial" w:hint="default"/>
                <w:sz w:val="22"/>
                <w:szCs w:val="22"/>
              </w:rPr>
            </w:pPr>
            <w:r>
              <w:rPr>
                <w:rFonts w:ascii="Arial"/>
                <w:w w:val="95"/>
                <w:sz w:val="22"/>
              </w:rPr>
              <w:t>918,888,711</w:t>
            </w:r>
            <w:r>
              <w:rPr>
                <w:rFonts w:ascii="Arial"/>
                <w:sz w:val="22"/>
              </w:rPr>
            </w:r>
          </w:p>
        </w:tc>
      </w:tr>
      <w:tr>
        <w:trPr>
          <w:trHeight w:val="286" w:hRule="exact"/>
        </w:trPr>
        <w:tc>
          <w:tcPr>
            <w:tcW w:w="5042"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其他税费</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1"/>
              <w:jc w:val="right"/>
              <w:rPr>
                <w:rFonts w:ascii="Arial" w:hAnsi="Arial" w:cs="Arial" w:eastAsia="Arial" w:hint="default"/>
                <w:sz w:val="22"/>
                <w:szCs w:val="22"/>
              </w:rPr>
            </w:pPr>
            <w:r>
              <w:rPr>
                <w:rFonts w:ascii="Arial"/>
                <w:spacing w:val="-1"/>
                <w:sz w:val="22"/>
              </w:rPr>
              <w:t>1,044,542,651</w:t>
            </w:r>
          </w:p>
        </w:tc>
        <w:tc>
          <w:tcPr>
            <w:tcW w:w="116"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4"/>
              <w:jc w:val="right"/>
              <w:rPr>
                <w:rFonts w:ascii="Arial" w:hAnsi="Arial" w:cs="Arial" w:eastAsia="Arial" w:hint="default"/>
                <w:sz w:val="22"/>
                <w:szCs w:val="22"/>
              </w:rPr>
            </w:pPr>
            <w:r>
              <w:rPr>
                <w:rFonts w:ascii="Arial"/>
                <w:w w:val="95"/>
                <w:sz w:val="22"/>
              </w:rPr>
              <w:t>964,799,310</w:t>
            </w:r>
            <w:r>
              <w:rPr>
                <w:rFonts w:ascii="Arial"/>
                <w:sz w:val="22"/>
              </w:rPr>
            </w:r>
          </w:p>
        </w:tc>
      </w:tr>
      <w:tr>
        <w:trPr>
          <w:trHeight w:val="286" w:hRule="exact"/>
        </w:trPr>
        <w:tc>
          <w:tcPr>
            <w:tcW w:w="5042"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专业服务及咨询费</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9"/>
              <w:jc w:val="right"/>
              <w:rPr>
                <w:rFonts w:ascii="Arial" w:hAnsi="Arial" w:cs="Arial" w:eastAsia="Arial" w:hint="default"/>
                <w:sz w:val="22"/>
                <w:szCs w:val="22"/>
              </w:rPr>
            </w:pPr>
            <w:r>
              <w:rPr>
                <w:rFonts w:ascii="Arial"/>
                <w:w w:val="95"/>
                <w:sz w:val="22"/>
              </w:rPr>
              <w:t>136,594,069</w:t>
            </w:r>
            <w:r>
              <w:rPr>
                <w:rFonts w:ascii="Arial"/>
                <w:sz w:val="22"/>
              </w:rPr>
            </w:r>
          </w:p>
        </w:tc>
        <w:tc>
          <w:tcPr>
            <w:tcW w:w="116"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4"/>
              <w:jc w:val="right"/>
              <w:rPr>
                <w:rFonts w:ascii="Arial" w:hAnsi="Arial" w:cs="Arial" w:eastAsia="Arial" w:hint="default"/>
                <w:sz w:val="22"/>
                <w:szCs w:val="22"/>
              </w:rPr>
            </w:pPr>
            <w:r>
              <w:rPr>
                <w:rFonts w:ascii="Arial"/>
                <w:w w:val="95"/>
                <w:sz w:val="22"/>
              </w:rPr>
              <w:t>139,552,441</w:t>
            </w:r>
            <w:r>
              <w:rPr>
                <w:rFonts w:ascii="Arial"/>
                <w:sz w:val="22"/>
              </w:rPr>
            </w:r>
          </w:p>
        </w:tc>
      </w:tr>
      <w:tr>
        <w:trPr>
          <w:trHeight w:val="286" w:hRule="exact"/>
        </w:trPr>
        <w:tc>
          <w:tcPr>
            <w:tcW w:w="5042"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以股份支付为基础的员工薪酬</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0"/>
              <w:jc w:val="right"/>
              <w:rPr>
                <w:rFonts w:ascii="Arial" w:hAnsi="Arial" w:cs="Arial" w:eastAsia="Arial" w:hint="default"/>
                <w:sz w:val="22"/>
                <w:szCs w:val="22"/>
              </w:rPr>
            </w:pPr>
            <w:r>
              <w:rPr>
                <w:rFonts w:ascii="Arial"/>
                <w:w w:val="95"/>
                <w:sz w:val="22"/>
              </w:rPr>
              <w:t>14,319,568</w:t>
            </w:r>
            <w:r>
              <w:rPr>
                <w:rFonts w:ascii="Arial"/>
                <w:sz w:val="22"/>
              </w:rPr>
            </w:r>
          </w:p>
        </w:tc>
        <w:tc>
          <w:tcPr>
            <w:tcW w:w="116"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5"/>
              <w:jc w:val="right"/>
              <w:rPr>
                <w:rFonts w:ascii="Arial" w:hAnsi="Arial" w:cs="Arial" w:eastAsia="Arial" w:hint="default"/>
                <w:sz w:val="22"/>
                <w:szCs w:val="22"/>
              </w:rPr>
            </w:pPr>
            <w:r>
              <w:rPr>
                <w:rFonts w:ascii="Arial"/>
                <w:w w:val="95"/>
                <w:sz w:val="22"/>
              </w:rPr>
              <w:t>17,356,207</w:t>
            </w:r>
            <w:r>
              <w:rPr>
                <w:rFonts w:ascii="Arial"/>
                <w:sz w:val="22"/>
              </w:rPr>
            </w:r>
          </w:p>
        </w:tc>
      </w:tr>
      <w:tr>
        <w:trPr>
          <w:trHeight w:val="419" w:hRule="exact"/>
        </w:trPr>
        <w:tc>
          <w:tcPr>
            <w:tcW w:w="5042"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026" w:type="dxa"/>
            <w:tcBorders>
              <w:top w:val="nil" w:sz="6" w:space="0" w:color="auto"/>
              <w:left w:val="nil" w:sz="6" w:space="0" w:color="auto"/>
              <w:bottom w:val="nil" w:sz="6" w:space="0" w:color="auto"/>
              <w:right w:val="nil" w:sz="6" w:space="0" w:color="auto"/>
            </w:tcBorders>
          </w:tcPr>
          <w:p>
            <w:pPr>
              <w:pStyle w:val="TableParagraph"/>
              <w:tabs>
                <w:tab w:pos="729" w:val="left" w:leader="none"/>
                <w:tab w:pos="2025"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920,883,897</w:t>
            </w:r>
            <w:r>
              <w:rPr>
                <w:rFonts w:ascii="Arial"/>
                <w:sz w:val="22"/>
                <w:u w:val="single" w:color="000000"/>
              </w:rPr>
              <w:tab/>
            </w:r>
            <w:r>
              <w:rPr>
                <w:rFonts w:ascii="Arial"/>
                <w:sz w:val="22"/>
              </w:rPr>
            </w:r>
          </w:p>
        </w:tc>
        <w:tc>
          <w:tcPr>
            <w:tcW w:w="116"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Style w:val="TableParagraph"/>
              <w:tabs>
                <w:tab w:pos="730" w:val="left" w:leader="none"/>
              </w:tabs>
              <w:spacing w:line="240" w:lineRule="auto" w:before="17"/>
              <w:ind w:right="54"/>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908,957,371</w:t>
            </w:r>
            <w:r>
              <w:rPr>
                <w:rFonts w:ascii="Arial"/>
                <w:w w:val="95"/>
                <w:sz w:val="22"/>
              </w:rPr>
            </w:r>
            <w:r>
              <w:rPr>
                <w:rFonts w:ascii="Arial"/>
                <w:sz w:val="22"/>
              </w:rPr>
            </w:r>
          </w:p>
        </w:tc>
      </w:tr>
      <w:tr>
        <w:trPr>
          <w:trHeight w:val="430" w:hRule="exact"/>
        </w:trPr>
        <w:tc>
          <w:tcPr>
            <w:tcW w:w="504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026"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71"/>
              <w:jc w:val="right"/>
              <w:rPr>
                <w:rFonts w:ascii="Arial" w:hAnsi="Arial" w:cs="Arial" w:eastAsia="Arial" w:hint="default"/>
                <w:sz w:val="22"/>
                <w:szCs w:val="22"/>
              </w:rPr>
            </w:pPr>
            <w:r>
              <w:rPr>
                <w:rFonts w:ascii="Arial"/>
                <w:spacing w:val="-1"/>
                <w:sz w:val="22"/>
              </w:rPr>
              <w:t>20,491,250,373</w:t>
            </w:r>
          </w:p>
        </w:tc>
        <w:tc>
          <w:tcPr>
            <w:tcW w:w="116"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55"/>
              <w:jc w:val="right"/>
              <w:rPr>
                <w:rFonts w:ascii="Arial" w:hAnsi="Arial" w:cs="Arial" w:eastAsia="Arial" w:hint="default"/>
                <w:sz w:val="22"/>
                <w:szCs w:val="22"/>
              </w:rPr>
            </w:pPr>
            <w:r>
              <w:rPr>
                <w:rFonts w:ascii="Arial"/>
                <w:spacing w:val="-1"/>
                <w:sz w:val="22"/>
              </w:rPr>
              <w:t>18,199,737,712</w:t>
            </w:r>
          </w:p>
        </w:tc>
      </w:tr>
    </w:tbl>
    <w:p>
      <w:pPr>
        <w:spacing w:line="240" w:lineRule="auto" w:before="2"/>
        <w:rPr>
          <w:rFonts w:ascii="宋体" w:hAnsi="宋体" w:cs="宋体" w:eastAsia="宋体" w:hint="default"/>
          <w:sz w:val="14"/>
          <w:szCs w:val="14"/>
        </w:rPr>
      </w:pPr>
    </w:p>
    <w:p>
      <w:pPr>
        <w:pStyle w:val="BodyText"/>
        <w:spacing w:line="240" w:lineRule="auto" w:before="31"/>
        <w:ind w:left="102" w:right="0"/>
        <w:jc w:val="left"/>
      </w:pPr>
      <w:r>
        <w:rPr>
          <w:rFonts w:ascii="Arial" w:hAnsi="Arial" w:cs="Arial" w:eastAsia="Arial" w:hint="default"/>
        </w:rPr>
        <w:t>40</w:t>
      </w:r>
      <w:r>
        <w:rPr/>
        <w:t>、财务费用</w:t>
      </w:r>
    </w:p>
    <w:p>
      <w:pPr>
        <w:spacing w:line="240" w:lineRule="auto" w:before="5"/>
        <w:rPr>
          <w:rFonts w:ascii="宋体" w:hAnsi="宋体" w:cs="宋体" w:eastAsia="宋体" w:hint="default"/>
          <w:sz w:val="21"/>
          <w:szCs w:val="21"/>
        </w:rPr>
      </w:pPr>
    </w:p>
    <w:tbl>
      <w:tblPr>
        <w:tblW w:w="0" w:type="auto"/>
        <w:jc w:val="left"/>
        <w:tblInd w:w="351" w:type="dxa"/>
        <w:tblLayout w:type="fixed"/>
        <w:tblCellMar>
          <w:top w:w="0" w:type="dxa"/>
          <w:left w:w="0" w:type="dxa"/>
          <w:bottom w:w="0" w:type="dxa"/>
          <w:right w:w="0" w:type="dxa"/>
        </w:tblCellMar>
        <w:tblLook w:val="01E0"/>
      </w:tblPr>
      <w:tblGrid>
        <w:gridCol w:w="5062"/>
        <w:gridCol w:w="2026"/>
        <w:gridCol w:w="116"/>
        <w:gridCol w:w="2016"/>
      </w:tblGrid>
      <w:tr>
        <w:trPr>
          <w:trHeight w:val="261" w:hRule="exact"/>
        </w:trPr>
        <w:tc>
          <w:tcPr>
            <w:tcW w:w="5062"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single" w:sz="6" w:space="0" w:color="000000"/>
              <w:right w:val="nil" w:sz="6" w:space="0" w:color="auto"/>
            </w:tcBorders>
          </w:tcPr>
          <w:p>
            <w:pPr>
              <w:pStyle w:val="TableParagraph"/>
              <w:spacing w:line="235" w:lineRule="exact"/>
              <w:ind w:right="71"/>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16"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single" w:sz="6" w:space="0" w:color="000000"/>
              <w:right w:val="nil" w:sz="6" w:space="0" w:color="auto"/>
            </w:tcBorders>
          </w:tcPr>
          <w:p>
            <w:pPr>
              <w:pStyle w:val="TableParagraph"/>
              <w:spacing w:line="235" w:lineRule="exact"/>
              <w:ind w:right="68"/>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58"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利息支出</w:t>
            </w:r>
          </w:p>
        </w:tc>
        <w:tc>
          <w:tcPr>
            <w:tcW w:w="2026"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3"/>
              <w:jc w:val="right"/>
              <w:rPr>
                <w:rFonts w:ascii="Arial" w:hAnsi="Arial" w:cs="Arial" w:eastAsia="Arial" w:hint="default"/>
                <w:sz w:val="22"/>
                <w:szCs w:val="22"/>
              </w:rPr>
            </w:pPr>
            <w:r>
              <w:rPr>
                <w:rFonts w:ascii="Arial"/>
                <w:spacing w:val="-1"/>
                <w:sz w:val="22"/>
              </w:rPr>
              <w:t>4,627,228,591</w:t>
            </w:r>
          </w:p>
        </w:tc>
        <w:tc>
          <w:tcPr>
            <w:tcW w:w="116" w:type="dxa"/>
            <w:tcBorders>
              <w:top w:val="nil" w:sz="6" w:space="0" w:color="auto"/>
              <w:left w:val="nil" w:sz="6" w:space="0" w:color="auto"/>
              <w:bottom w:val="nil" w:sz="6" w:space="0" w:color="auto"/>
              <w:right w:val="nil" w:sz="6" w:space="0" w:color="auto"/>
            </w:tcBorders>
          </w:tcPr>
          <w:p>
            <w:pPr/>
          </w:p>
        </w:tc>
        <w:tc>
          <w:tcPr>
            <w:tcW w:w="2016"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62"/>
              <w:jc w:val="right"/>
              <w:rPr>
                <w:rFonts w:ascii="Arial" w:hAnsi="Arial" w:cs="Arial" w:eastAsia="Arial" w:hint="default"/>
                <w:sz w:val="22"/>
                <w:szCs w:val="22"/>
              </w:rPr>
            </w:pPr>
            <w:r>
              <w:rPr>
                <w:rFonts w:ascii="Arial"/>
                <w:spacing w:val="-1"/>
                <w:sz w:val="22"/>
              </w:rPr>
              <w:t>3,484,213,442</w:t>
            </w:r>
          </w:p>
        </w:tc>
      </w:tr>
      <w:tr>
        <w:trPr>
          <w:trHeight w:val="419"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减：资本化利息</w:t>
            </w:r>
          </w:p>
        </w:tc>
        <w:tc>
          <w:tcPr>
            <w:tcW w:w="2026" w:type="dxa"/>
            <w:tcBorders>
              <w:top w:val="nil" w:sz="6" w:space="0" w:color="auto"/>
              <w:left w:val="nil" w:sz="6" w:space="0" w:color="auto"/>
              <w:bottom w:val="nil" w:sz="6" w:space="0" w:color="auto"/>
              <w:right w:val="nil" w:sz="6" w:space="0" w:color="auto"/>
            </w:tcBorders>
          </w:tcPr>
          <w:p>
            <w:pPr>
              <w:pStyle w:val="TableParagraph"/>
              <w:tabs>
                <w:tab w:pos="471" w:val="left" w:leader="none"/>
              </w:tabs>
              <w:spacing w:line="240" w:lineRule="auto" w:before="17"/>
              <w:ind w:right="1"/>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(1,498,340,042)</w:t>
            </w:r>
            <w:r>
              <w:rPr>
                <w:rFonts w:ascii="Arial"/>
                <w:w w:val="95"/>
                <w:sz w:val="22"/>
              </w:rPr>
            </w:r>
            <w:r>
              <w:rPr>
                <w:rFonts w:ascii="Arial"/>
                <w:sz w:val="22"/>
              </w:rPr>
            </w:r>
          </w:p>
        </w:tc>
        <w:tc>
          <w:tcPr>
            <w:tcW w:w="116"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Style w:val="TableParagraph"/>
              <w:tabs>
                <w:tab w:pos="463"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(1,150,973,645)</w:t>
            </w:r>
            <w:r>
              <w:rPr>
                <w:rFonts w:ascii="Arial"/>
                <w:w w:val="95"/>
                <w:sz w:val="22"/>
              </w:rPr>
            </w:r>
            <w:r>
              <w:rPr>
                <w:rFonts w:ascii="Arial"/>
                <w:sz w:val="22"/>
              </w:rPr>
            </w:r>
          </w:p>
        </w:tc>
      </w:tr>
      <w:tr>
        <w:trPr>
          <w:trHeight w:val="419"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净利息支出</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43"/>
              <w:jc w:val="right"/>
              <w:rPr>
                <w:rFonts w:ascii="Arial" w:hAnsi="Arial" w:cs="Arial" w:eastAsia="Arial" w:hint="default"/>
                <w:sz w:val="22"/>
                <w:szCs w:val="22"/>
              </w:rPr>
            </w:pPr>
            <w:r>
              <w:rPr>
                <w:rFonts w:ascii="Arial"/>
                <w:spacing w:val="-1"/>
                <w:sz w:val="22"/>
              </w:rPr>
              <w:t>3,128,888,549</w:t>
            </w:r>
          </w:p>
        </w:tc>
        <w:tc>
          <w:tcPr>
            <w:tcW w:w="116"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60"/>
              <w:jc w:val="right"/>
              <w:rPr>
                <w:rFonts w:ascii="Arial" w:hAnsi="Arial" w:cs="Arial" w:eastAsia="Arial" w:hint="default"/>
                <w:sz w:val="22"/>
                <w:szCs w:val="22"/>
              </w:rPr>
            </w:pPr>
            <w:r>
              <w:rPr>
                <w:rFonts w:ascii="Arial"/>
                <w:spacing w:val="-1"/>
                <w:sz w:val="22"/>
              </w:rPr>
              <w:t>2,333,239,797</w:t>
            </w:r>
          </w:p>
        </w:tc>
      </w:tr>
      <w:tr>
        <w:trPr>
          <w:trHeight w:val="286"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减：利息收入</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right"/>
              <w:rPr>
                <w:rFonts w:ascii="Arial" w:hAnsi="Arial" w:cs="Arial" w:eastAsia="Arial" w:hint="default"/>
                <w:sz w:val="22"/>
                <w:szCs w:val="22"/>
              </w:rPr>
            </w:pPr>
            <w:r>
              <w:rPr>
                <w:rFonts w:ascii="Arial"/>
                <w:w w:val="95"/>
                <w:sz w:val="22"/>
              </w:rPr>
              <w:t>(241,885,773)</w:t>
            </w:r>
            <w:r>
              <w:rPr>
                <w:rFonts w:ascii="Arial"/>
                <w:sz w:val="22"/>
              </w:rPr>
            </w:r>
          </w:p>
        </w:tc>
        <w:tc>
          <w:tcPr>
            <w:tcW w:w="116"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right"/>
              <w:rPr>
                <w:rFonts w:ascii="Arial" w:hAnsi="Arial" w:cs="Arial" w:eastAsia="Arial" w:hint="default"/>
                <w:sz w:val="22"/>
                <w:szCs w:val="22"/>
              </w:rPr>
            </w:pPr>
            <w:r>
              <w:rPr>
                <w:rFonts w:ascii="Arial"/>
                <w:w w:val="95"/>
                <w:sz w:val="22"/>
              </w:rPr>
              <w:t>(230,951,115)</w:t>
            </w:r>
            <w:r>
              <w:rPr>
                <w:rFonts w:ascii="Arial"/>
                <w:sz w:val="22"/>
              </w:rPr>
            </w:r>
          </w:p>
        </w:tc>
      </w:tr>
      <w:tr>
        <w:trPr>
          <w:trHeight w:val="285"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40" w:lineRule="exact"/>
              <w:ind w:left="661" w:right="0"/>
              <w:jc w:val="left"/>
              <w:rPr>
                <w:rFonts w:ascii="宋体" w:hAnsi="宋体" w:cs="宋体" w:eastAsia="宋体" w:hint="default"/>
                <w:sz w:val="22"/>
                <w:szCs w:val="22"/>
              </w:rPr>
            </w:pPr>
            <w:r>
              <w:rPr>
                <w:rFonts w:ascii="宋体" w:hAnsi="宋体" w:cs="宋体" w:eastAsia="宋体" w:hint="default"/>
                <w:sz w:val="22"/>
                <w:szCs w:val="22"/>
              </w:rPr>
              <w:t>汇兑净损失（收益）</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3"/>
              <w:jc w:val="right"/>
              <w:rPr>
                <w:rFonts w:ascii="Arial" w:hAnsi="Arial" w:cs="Arial" w:eastAsia="Arial" w:hint="default"/>
                <w:sz w:val="22"/>
                <w:szCs w:val="22"/>
              </w:rPr>
            </w:pPr>
            <w:r>
              <w:rPr>
                <w:rFonts w:ascii="Arial"/>
                <w:w w:val="95"/>
                <w:sz w:val="22"/>
              </w:rPr>
              <w:t>69,374,583</w:t>
            </w:r>
            <w:r>
              <w:rPr>
                <w:rFonts w:ascii="Arial"/>
                <w:sz w:val="22"/>
              </w:rPr>
            </w:r>
          </w:p>
        </w:tc>
        <w:tc>
          <w:tcPr>
            <w:tcW w:w="116"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Arial" w:hAnsi="Arial" w:cs="Arial" w:eastAsia="Arial" w:hint="default"/>
                <w:sz w:val="22"/>
                <w:szCs w:val="22"/>
              </w:rPr>
            </w:pPr>
            <w:r>
              <w:rPr>
                <w:rFonts w:ascii="Arial"/>
                <w:w w:val="95"/>
                <w:sz w:val="22"/>
              </w:rPr>
              <w:t>(1,206,660,450)</w:t>
            </w:r>
            <w:r>
              <w:rPr>
                <w:rFonts w:ascii="Arial"/>
                <w:sz w:val="22"/>
              </w:rPr>
            </w:r>
          </w:p>
        </w:tc>
      </w:tr>
      <w:tr>
        <w:trPr>
          <w:trHeight w:val="419"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金融机构手续费及其他</w:t>
            </w:r>
          </w:p>
        </w:tc>
        <w:tc>
          <w:tcPr>
            <w:tcW w:w="2026" w:type="dxa"/>
            <w:tcBorders>
              <w:top w:val="nil" w:sz="6" w:space="0" w:color="auto"/>
              <w:left w:val="nil" w:sz="6" w:space="0" w:color="auto"/>
              <w:bottom w:val="nil" w:sz="6" w:space="0" w:color="auto"/>
              <w:right w:val="nil" w:sz="6" w:space="0" w:color="auto"/>
            </w:tcBorders>
          </w:tcPr>
          <w:p>
            <w:pPr>
              <w:pStyle w:val="TableParagraph"/>
              <w:tabs>
                <w:tab w:pos="757" w:val="left" w:leader="none"/>
              </w:tabs>
              <w:spacing w:line="240" w:lineRule="auto" w:before="17"/>
              <w:ind w:right="42"/>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460,136,778</w:t>
            </w:r>
            <w:r>
              <w:rPr>
                <w:rFonts w:ascii="Arial"/>
                <w:w w:val="95"/>
                <w:sz w:val="22"/>
              </w:rPr>
            </w:r>
            <w:r>
              <w:rPr>
                <w:rFonts w:ascii="Arial"/>
                <w:sz w:val="22"/>
              </w:rPr>
            </w:r>
          </w:p>
        </w:tc>
        <w:tc>
          <w:tcPr>
            <w:tcW w:w="116"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Style w:val="TableParagraph"/>
              <w:tabs>
                <w:tab w:pos="730" w:val="left" w:leader="none"/>
                <w:tab w:pos="2015"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347,454,455</w:t>
            </w:r>
            <w:r>
              <w:rPr>
                <w:rFonts w:ascii="Arial"/>
                <w:sz w:val="22"/>
                <w:u w:val="single" w:color="000000"/>
              </w:rPr>
              <w:tab/>
            </w:r>
            <w:r>
              <w:rPr>
                <w:rFonts w:ascii="Arial"/>
                <w:sz w:val="22"/>
              </w:rPr>
            </w:r>
          </w:p>
        </w:tc>
      </w:tr>
      <w:tr>
        <w:trPr>
          <w:trHeight w:val="431"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026"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44"/>
              <w:jc w:val="right"/>
              <w:rPr>
                <w:rFonts w:ascii="Arial" w:hAnsi="Arial" w:cs="Arial" w:eastAsia="Arial" w:hint="default"/>
                <w:sz w:val="22"/>
                <w:szCs w:val="22"/>
              </w:rPr>
            </w:pPr>
            <w:r>
              <w:rPr>
                <w:rFonts w:ascii="Arial"/>
                <w:spacing w:val="-1"/>
                <w:sz w:val="22"/>
              </w:rPr>
              <w:t>3,416,514,137</w:t>
            </w:r>
          </w:p>
        </w:tc>
        <w:tc>
          <w:tcPr>
            <w:tcW w:w="116"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60"/>
              <w:jc w:val="right"/>
              <w:rPr>
                <w:rFonts w:ascii="Arial" w:hAnsi="Arial" w:cs="Arial" w:eastAsia="Arial" w:hint="default"/>
                <w:sz w:val="22"/>
                <w:szCs w:val="22"/>
              </w:rPr>
            </w:pPr>
            <w:r>
              <w:rPr>
                <w:rFonts w:ascii="Arial"/>
                <w:spacing w:val="-1"/>
                <w:sz w:val="22"/>
              </w:rPr>
              <w:t>1,243,082,687</w:t>
            </w:r>
          </w:p>
        </w:tc>
      </w:tr>
    </w:tbl>
    <w:p>
      <w:pPr>
        <w:spacing w:line="240" w:lineRule="auto" w:before="4"/>
        <w:rPr>
          <w:rFonts w:ascii="宋体" w:hAnsi="宋体" w:cs="宋体" w:eastAsia="宋体" w:hint="default"/>
          <w:sz w:val="12"/>
          <w:szCs w:val="12"/>
        </w:rPr>
      </w:pPr>
    </w:p>
    <w:p>
      <w:pPr>
        <w:pStyle w:val="BodyText"/>
        <w:spacing w:line="295" w:lineRule="exact" w:before="31"/>
        <w:ind w:left="552" w:right="0"/>
        <w:jc w:val="left"/>
        <w:rPr>
          <w:rFonts w:ascii="Arial" w:hAnsi="Arial" w:cs="Arial" w:eastAsia="Arial" w:hint="default"/>
        </w:rPr>
      </w:pPr>
      <w:r>
        <w:rPr>
          <w:w w:val="99"/>
        </w:rPr>
        <w:t>于</w:t>
      </w:r>
      <w:r>
        <w:rPr>
          <w:spacing w:val="-70"/>
        </w:rPr>
        <w:t> </w:t>
      </w:r>
      <w:r>
        <w:rPr>
          <w:rFonts w:ascii="Arial" w:hAnsi="Arial" w:cs="Arial" w:eastAsia="Arial" w:hint="default"/>
          <w:w w:val="99"/>
        </w:rPr>
        <w:t>2012</w:t>
      </w:r>
      <w:r>
        <w:rPr>
          <w:rFonts w:ascii="Arial" w:hAnsi="Arial" w:cs="Arial" w:eastAsia="Arial" w:hint="default"/>
          <w:spacing w:val="-20"/>
        </w:rPr>
        <w:t> </w:t>
      </w:r>
      <w:r>
        <w:rPr>
          <w:w w:val="99"/>
        </w:rPr>
        <w:t>年</w:t>
      </w:r>
      <w:r>
        <w:rPr>
          <w:spacing w:val="-70"/>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21"/>
        </w:rPr>
        <w:t> </w:t>
      </w:r>
      <w:r>
        <w:rPr>
          <w:w w:val="99"/>
        </w:rPr>
        <w:t>月</w:t>
      </w:r>
      <w:r>
        <w:rPr>
          <w:spacing w:val="-70"/>
        </w:rPr>
        <w:t> </w:t>
      </w:r>
      <w:r>
        <w:rPr>
          <w:rFonts w:ascii="Arial" w:hAnsi="Arial" w:cs="Arial" w:eastAsia="Arial" w:hint="default"/>
          <w:w w:val="99"/>
        </w:rPr>
        <w:t>31</w:t>
      </w:r>
      <w:r>
        <w:rPr>
          <w:rFonts w:ascii="Arial" w:hAnsi="Arial" w:cs="Arial" w:eastAsia="Arial" w:hint="default"/>
          <w:spacing w:val="-21"/>
        </w:rPr>
        <w:t> </w:t>
      </w:r>
      <w:r>
        <w:rPr>
          <w:w w:val="99"/>
        </w:rPr>
        <w:t>日</w:t>
      </w:r>
      <w:r>
        <w:rPr>
          <w:spacing w:val="-111"/>
          <w:w w:val="99"/>
        </w:rPr>
        <w:t>，</w:t>
      </w:r>
      <w:r>
        <w:rPr>
          <w:w w:val="99"/>
        </w:rPr>
        <w:t>应收利息款项约人民币</w:t>
      </w:r>
      <w:r>
        <w:rPr>
          <w:spacing w:val="-68"/>
        </w:rPr>
        <w:t> </w:t>
      </w:r>
      <w:r>
        <w:rPr>
          <w:rFonts w:ascii="Arial" w:hAnsi="Arial" w:cs="Arial" w:eastAsia="Arial" w:hint="default"/>
          <w:w w:val="99"/>
        </w:rPr>
        <w:t>5.39</w:t>
      </w:r>
      <w:r>
        <w:rPr>
          <w:rFonts w:ascii="Arial" w:hAnsi="Arial" w:cs="Arial" w:eastAsia="Arial" w:hint="default"/>
          <w:spacing w:val="-21"/>
        </w:rPr>
        <w:t> </w:t>
      </w:r>
      <w:r>
        <w:rPr>
          <w:w w:val="99"/>
        </w:rPr>
        <w:t>万</w:t>
      </w:r>
      <w:r>
        <w:rPr>
          <w:spacing w:val="-111"/>
          <w:w w:val="99"/>
        </w:rPr>
        <w:t>元</w:t>
      </w:r>
      <w:r>
        <w:rPr>
          <w:w w:val="99"/>
        </w:rPr>
        <w:t>（</w:t>
      </w:r>
      <w:r>
        <w:rPr>
          <w:rFonts w:ascii="Arial" w:hAnsi="Arial" w:cs="Arial" w:eastAsia="Arial" w:hint="default"/>
          <w:spacing w:val="1"/>
          <w:w w:val="99"/>
        </w:rPr>
        <w:t>2</w:t>
      </w:r>
      <w:r>
        <w:rPr>
          <w:rFonts w:ascii="Arial" w:hAnsi="Arial" w:cs="Arial" w:eastAsia="Arial" w:hint="default"/>
          <w:w w:val="99"/>
        </w:rPr>
        <w:t>011</w:t>
      </w:r>
      <w:r>
        <w:rPr>
          <w:rFonts w:ascii="Arial" w:hAnsi="Arial" w:cs="Arial" w:eastAsia="Arial" w:hint="default"/>
          <w:spacing w:val="-20"/>
        </w:rPr>
        <w:t> </w:t>
      </w:r>
      <w:r>
        <w:rPr>
          <w:w w:val="99"/>
        </w:rPr>
        <w:t>年</w:t>
      </w:r>
      <w:r>
        <w:rPr>
          <w:spacing w:val="-70"/>
        </w:rPr>
        <w:t> </w:t>
      </w:r>
      <w:r>
        <w:rPr>
          <w:rFonts w:ascii="Arial" w:hAnsi="Arial" w:cs="Arial" w:eastAsia="Arial" w:hint="default"/>
          <w:w w:val="99"/>
        </w:rPr>
        <w:t>12</w:t>
      </w:r>
      <w:r>
        <w:rPr>
          <w:rFonts w:ascii="Arial" w:hAnsi="Arial" w:cs="Arial" w:eastAsia="Arial" w:hint="default"/>
          <w:spacing w:val="-21"/>
        </w:rPr>
        <w:t> </w:t>
      </w:r>
      <w:r>
        <w:rPr>
          <w:w w:val="99"/>
        </w:rPr>
        <w:t>月</w:t>
      </w:r>
      <w:r>
        <w:rPr>
          <w:spacing w:val="-71"/>
        </w:rPr>
        <w:t> </w:t>
      </w:r>
      <w:r>
        <w:rPr>
          <w:rFonts w:ascii="Arial" w:hAnsi="Arial" w:cs="Arial" w:eastAsia="Arial" w:hint="default"/>
          <w:w w:val="99"/>
        </w:rPr>
        <w:t>31</w:t>
      </w:r>
      <w:r>
        <w:rPr>
          <w:rFonts w:ascii="Arial" w:hAnsi="Arial" w:cs="Arial" w:eastAsia="Arial" w:hint="default"/>
          <w:spacing w:val="-21"/>
        </w:rPr>
        <w:t> </w:t>
      </w:r>
      <w:r>
        <w:rPr>
          <w:w w:val="99"/>
        </w:rPr>
        <w:t>日</w:t>
      </w:r>
      <w:r>
        <w:rPr>
          <w:spacing w:val="-111"/>
          <w:w w:val="99"/>
        </w:rPr>
        <w:t>：</w:t>
      </w:r>
      <w:r>
        <w:rPr>
          <w:w w:val="99"/>
        </w:rPr>
        <w:t>约人民币</w:t>
      </w:r>
      <w:r>
        <w:rPr>
          <w:spacing w:val="-69"/>
        </w:rPr>
        <w:t> </w:t>
      </w:r>
      <w:r>
        <w:rPr>
          <w:rFonts w:ascii="Arial" w:hAnsi="Arial" w:cs="Arial" w:eastAsia="Arial" w:hint="default"/>
          <w:w w:val="99"/>
        </w:rPr>
        <w:t>158.33</w:t>
      </w:r>
      <w:r>
        <w:rPr>
          <w:rFonts w:ascii="Arial" w:hAnsi="Arial" w:cs="Arial" w:eastAsia="Arial" w:hint="default"/>
        </w:rPr>
      </w:r>
    </w:p>
    <w:p>
      <w:pPr>
        <w:pStyle w:val="BodyText"/>
        <w:spacing w:line="279" w:lineRule="exact"/>
        <w:ind w:left="552" w:right="0"/>
        <w:jc w:val="left"/>
      </w:pPr>
      <w:r>
        <w:rPr/>
        <w:t>万元）。</w:t>
      </w:r>
    </w:p>
    <w:p>
      <w:pPr>
        <w:spacing w:line="240" w:lineRule="auto" w:before="4"/>
        <w:rPr>
          <w:rFonts w:ascii="宋体" w:hAnsi="宋体" w:cs="宋体" w:eastAsia="宋体" w:hint="default"/>
          <w:sz w:val="17"/>
          <w:szCs w:val="17"/>
        </w:rPr>
      </w:pPr>
    </w:p>
    <w:p>
      <w:pPr>
        <w:pStyle w:val="BodyText"/>
        <w:spacing w:line="240" w:lineRule="auto"/>
        <w:ind w:left="102" w:right="0"/>
        <w:jc w:val="left"/>
      </w:pPr>
      <w:r>
        <w:rPr>
          <w:rFonts w:ascii="Arial" w:hAnsi="Arial" w:cs="Arial" w:eastAsia="Arial" w:hint="default"/>
        </w:rPr>
        <w:t>41</w:t>
      </w:r>
      <w:r>
        <w:rPr/>
        <w:t>、投资收益</w:t>
      </w:r>
    </w:p>
    <w:p>
      <w:pPr>
        <w:spacing w:line="240" w:lineRule="auto" w:before="6"/>
        <w:rPr>
          <w:rFonts w:ascii="宋体" w:hAnsi="宋体" w:cs="宋体" w:eastAsia="宋体" w:hint="default"/>
          <w:sz w:val="21"/>
          <w:szCs w:val="21"/>
        </w:rPr>
      </w:pPr>
    </w:p>
    <w:tbl>
      <w:tblPr>
        <w:tblW w:w="0" w:type="auto"/>
        <w:jc w:val="left"/>
        <w:tblInd w:w="412" w:type="dxa"/>
        <w:tblLayout w:type="fixed"/>
        <w:tblCellMar>
          <w:top w:w="0" w:type="dxa"/>
          <w:left w:w="0" w:type="dxa"/>
          <w:bottom w:w="0" w:type="dxa"/>
          <w:right w:w="0" w:type="dxa"/>
        </w:tblCellMar>
        <w:tblLook w:val="01E0"/>
      </w:tblPr>
      <w:tblGrid>
        <w:gridCol w:w="5038"/>
        <w:gridCol w:w="1988"/>
        <w:gridCol w:w="116"/>
        <w:gridCol w:w="2016"/>
      </w:tblGrid>
      <w:tr>
        <w:trPr>
          <w:trHeight w:val="261" w:hRule="exact"/>
        </w:trPr>
        <w:tc>
          <w:tcPr>
            <w:tcW w:w="5038"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single" w:sz="6" w:space="0" w:color="000000"/>
              <w:right w:val="nil" w:sz="6" w:space="0" w:color="auto"/>
            </w:tcBorders>
          </w:tcPr>
          <w:p>
            <w:pPr>
              <w:pStyle w:val="TableParagraph"/>
              <w:spacing w:line="235" w:lineRule="exact"/>
              <w:ind w:right="71"/>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16"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single" w:sz="6" w:space="0" w:color="000000"/>
              <w:right w:val="nil" w:sz="6" w:space="0" w:color="auto"/>
            </w:tcBorders>
          </w:tcPr>
          <w:p>
            <w:pPr>
              <w:pStyle w:val="TableParagraph"/>
              <w:spacing w:line="235" w:lineRule="exact"/>
              <w:ind w:right="69"/>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58" w:hRule="exact"/>
        </w:trPr>
        <w:tc>
          <w:tcPr>
            <w:tcW w:w="503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w w:val="95"/>
                <w:sz w:val="22"/>
                <w:szCs w:val="22"/>
              </w:rPr>
              <w:t>持有可供出售金融资产期间取得的股利收益（注）</w:t>
            </w:r>
            <w:r>
              <w:rPr>
                <w:rFonts w:ascii="宋体" w:hAnsi="宋体" w:cs="宋体" w:eastAsia="宋体" w:hint="default"/>
                <w:sz w:val="22"/>
                <w:szCs w:val="22"/>
              </w:rPr>
            </w:r>
          </w:p>
        </w:tc>
        <w:tc>
          <w:tcPr>
            <w:tcW w:w="1988"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2"/>
              <w:jc w:val="right"/>
              <w:rPr>
                <w:rFonts w:ascii="Arial" w:hAnsi="Arial" w:cs="Arial" w:eastAsia="Arial" w:hint="default"/>
                <w:sz w:val="22"/>
                <w:szCs w:val="22"/>
              </w:rPr>
            </w:pPr>
            <w:r>
              <w:rPr>
                <w:rFonts w:ascii="Arial"/>
                <w:w w:val="95"/>
                <w:sz w:val="22"/>
              </w:rPr>
              <w:t>414,827,812</w:t>
            </w:r>
            <w:r>
              <w:rPr>
                <w:rFonts w:ascii="Arial"/>
                <w:sz w:val="22"/>
              </w:rPr>
            </w:r>
          </w:p>
        </w:tc>
        <w:tc>
          <w:tcPr>
            <w:tcW w:w="116" w:type="dxa"/>
            <w:tcBorders>
              <w:top w:val="nil" w:sz="6" w:space="0" w:color="auto"/>
              <w:left w:val="nil" w:sz="6" w:space="0" w:color="auto"/>
              <w:bottom w:val="nil" w:sz="6" w:space="0" w:color="auto"/>
              <w:right w:val="nil" w:sz="6" w:space="0" w:color="auto"/>
            </w:tcBorders>
          </w:tcPr>
          <w:p>
            <w:pPr/>
          </w:p>
        </w:tc>
        <w:tc>
          <w:tcPr>
            <w:tcW w:w="2016"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59"/>
              <w:jc w:val="right"/>
              <w:rPr>
                <w:rFonts w:ascii="Arial" w:hAnsi="Arial" w:cs="Arial" w:eastAsia="Arial" w:hint="default"/>
                <w:sz w:val="22"/>
                <w:szCs w:val="22"/>
              </w:rPr>
            </w:pPr>
            <w:r>
              <w:rPr>
                <w:rFonts w:ascii="Arial"/>
                <w:w w:val="95"/>
                <w:sz w:val="22"/>
              </w:rPr>
              <w:t>867,488,912</w:t>
            </w:r>
            <w:r>
              <w:rPr>
                <w:rFonts w:ascii="Arial"/>
                <w:sz w:val="22"/>
              </w:rPr>
            </w:r>
          </w:p>
        </w:tc>
      </w:tr>
      <w:tr>
        <w:trPr>
          <w:trHeight w:val="419" w:hRule="exact"/>
        </w:trPr>
        <w:tc>
          <w:tcPr>
            <w:tcW w:w="5038"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权益法核算的长期股权投资收益（损失）</w:t>
            </w:r>
          </w:p>
        </w:tc>
        <w:tc>
          <w:tcPr>
            <w:tcW w:w="1988" w:type="dxa"/>
            <w:tcBorders>
              <w:top w:val="nil" w:sz="6" w:space="0" w:color="auto"/>
              <w:left w:val="nil" w:sz="6" w:space="0" w:color="auto"/>
              <w:bottom w:val="nil" w:sz="6" w:space="0" w:color="auto"/>
              <w:right w:val="nil" w:sz="6" w:space="0" w:color="auto"/>
            </w:tcBorders>
          </w:tcPr>
          <w:p>
            <w:pPr>
              <w:pStyle w:val="TableParagraph"/>
              <w:tabs>
                <w:tab w:pos="963" w:val="left" w:leader="none"/>
              </w:tabs>
              <w:spacing w:line="240" w:lineRule="auto" w:before="17"/>
              <w:ind w:left="-38" w:right="4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2,498,939</w:t>
            </w:r>
            <w:r>
              <w:rPr>
                <w:rFonts w:ascii="Arial"/>
                <w:w w:val="95"/>
                <w:sz w:val="22"/>
              </w:rPr>
            </w:r>
            <w:r>
              <w:rPr>
                <w:rFonts w:ascii="Arial"/>
                <w:sz w:val="22"/>
              </w:rPr>
            </w:r>
          </w:p>
        </w:tc>
        <w:tc>
          <w:tcPr>
            <w:tcW w:w="116"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Style w:val="TableParagraph"/>
              <w:tabs>
                <w:tab w:pos="891"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(1,248,336)</w:t>
            </w:r>
            <w:r>
              <w:rPr>
                <w:rFonts w:ascii="Arial"/>
                <w:w w:val="95"/>
                <w:sz w:val="22"/>
              </w:rPr>
            </w:r>
            <w:r>
              <w:rPr>
                <w:rFonts w:ascii="Arial"/>
                <w:sz w:val="22"/>
              </w:rPr>
            </w:r>
          </w:p>
        </w:tc>
      </w:tr>
      <w:tr>
        <w:trPr>
          <w:trHeight w:val="430" w:hRule="exact"/>
        </w:trPr>
        <w:tc>
          <w:tcPr>
            <w:tcW w:w="5038" w:type="dxa"/>
            <w:tcBorders>
              <w:top w:val="nil" w:sz="6" w:space="0" w:color="auto"/>
              <w:left w:val="nil" w:sz="6" w:space="0" w:color="auto"/>
              <w:bottom w:val="single" w:sz="17" w:space="0" w:color="000000"/>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988"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42"/>
              <w:jc w:val="right"/>
              <w:rPr>
                <w:rFonts w:ascii="Arial" w:hAnsi="Arial" w:cs="Arial" w:eastAsia="Arial" w:hint="default"/>
                <w:sz w:val="22"/>
                <w:szCs w:val="22"/>
              </w:rPr>
            </w:pPr>
            <w:r>
              <w:rPr>
                <w:rFonts w:ascii="Arial"/>
                <w:w w:val="95"/>
                <w:sz w:val="22"/>
              </w:rPr>
              <w:t>417,326,751</w:t>
            </w:r>
            <w:r>
              <w:rPr>
                <w:rFonts w:ascii="Arial"/>
                <w:sz w:val="22"/>
              </w:rPr>
            </w:r>
          </w:p>
        </w:tc>
        <w:tc>
          <w:tcPr>
            <w:tcW w:w="116"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59"/>
              <w:jc w:val="right"/>
              <w:rPr>
                <w:rFonts w:ascii="Arial" w:hAnsi="Arial" w:cs="Arial" w:eastAsia="Arial" w:hint="default"/>
                <w:sz w:val="22"/>
                <w:szCs w:val="22"/>
              </w:rPr>
            </w:pPr>
            <w:r>
              <w:rPr>
                <w:rFonts w:ascii="Arial"/>
                <w:w w:val="95"/>
                <w:sz w:val="22"/>
              </w:rPr>
              <w:t>866,240,576</w:t>
            </w:r>
            <w:r>
              <w:rPr>
                <w:rFonts w:ascii="Arial"/>
                <w:sz w:val="22"/>
              </w:rPr>
            </w:r>
          </w:p>
        </w:tc>
      </w:tr>
    </w:tbl>
    <w:p>
      <w:pPr>
        <w:spacing w:after="0" w:line="240" w:lineRule="auto"/>
        <w:jc w:val="right"/>
        <w:rPr>
          <w:rFonts w:ascii="Arial" w:hAnsi="Arial" w:cs="Arial" w:eastAsia="Arial" w:hint="default"/>
          <w:sz w:val="22"/>
          <w:szCs w:val="22"/>
        </w:rPr>
        <w:sectPr>
          <w:headerReference w:type="default" r:id="rId119"/>
          <w:pgSz w:w="11910" w:h="16840"/>
          <w:pgMar w:header="1184" w:footer="457" w:top="3040" w:bottom="640" w:left="1280" w:right="940"/>
        </w:sectPr>
      </w:pPr>
    </w:p>
    <w:p>
      <w:pPr>
        <w:spacing w:line="240" w:lineRule="auto" w:before="12"/>
        <w:rPr>
          <w:rFonts w:ascii="宋体" w:hAnsi="宋体" w:cs="宋体" w:eastAsia="宋体" w:hint="default"/>
          <w:sz w:val="14"/>
          <w:szCs w:val="14"/>
        </w:rPr>
      </w:pPr>
    </w:p>
    <w:p>
      <w:pPr>
        <w:pStyle w:val="BodyText"/>
        <w:spacing w:line="240" w:lineRule="auto" w:before="31"/>
        <w:ind w:left="102" w:right="122"/>
        <w:jc w:val="left"/>
      </w:pPr>
      <w:r>
        <w:rPr>
          <w:rFonts w:ascii="Arial" w:hAnsi="Arial" w:cs="Arial" w:eastAsia="Arial" w:hint="default"/>
        </w:rPr>
        <w:t>41</w:t>
      </w:r>
      <w:r>
        <w:rPr/>
        <w:t>、投资收益（续）</w:t>
      </w:r>
    </w:p>
    <w:p>
      <w:pPr>
        <w:spacing w:line="240" w:lineRule="auto" w:before="2"/>
        <w:rPr>
          <w:rFonts w:ascii="宋体" w:hAnsi="宋体" w:cs="宋体" w:eastAsia="宋体" w:hint="default"/>
          <w:sz w:val="16"/>
          <w:szCs w:val="16"/>
        </w:rPr>
      </w:pPr>
    </w:p>
    <w:p>
      <w:pPr>
        <w:pStyle w:val="BodyText"/>
        <w:spacing w:line="295" w:lineRule="exact"/>
        <w:ind w:left="552" w:right="122"/>
        <w:jc w:val="left"/>
        <w:rPr>
          <w:rFonts w:ascii="Arial" w:hAnsi="Arial" w:cs="Arial" w:eastAsia="Arial" w:hint="default"/>
        </w:rPr>
      </w:pPr>
      <w:r>
        <w:rPr>
          <w:spacing w:val="-7"/>
        </w:rPr>
        <w:t>注：于</w:t>
      </w:r>
      <w:r>
        <w:rPr>
          <w:spacing w:val="-67"/>
        </w:rPr>
        <w:t> </w:t>
      </w:r>
      <w:r>
        <w:rPr>
          <w:rFonts w:ascii="Arial" w:hAnsi="Arial" w:cs="Arial" w:eastAsia="Arial" w:hint="default"/>
        </w:rPr>
        <w:t>2012</w:t>
      </w:r>
      <w:r>
        <w:rPr>
          <w:rFonts w:ascii="Arial" w:hAnsi="Arial" w:cs="Arial" w:eastAsia="Arial" w:hint="default"/>
          <w:spacing w:val="-18"/>
        </w:rPr>
        <w:t> </w:t>
      </w:r>
      <w:r>
        <w:rPr/>
        <w:t>年度，本公司所属子公司联通红筹公司收到西班牙电信宣布派发的约人民币</w:t>
      </w:r>
      <w:r>
        <w:rPr>
          <w:spacing w:val="-63"/>
        </w:rPr>
        <w:t> </w:t>
      </w:r>
      <w:r>
        <w:rPr>
          <w:rFonts w:ascii="Arial" w:hAnsi="Arial" w:cs="Arial" w:eastAsia="Arial" w:hint="default"/>
        </w:rPr>
        <w:t>2.66</w:t>
      </w:r>
    </w:p>
    <w:p>
      <w:pPr>
        <w:pStyle w:val="BodyText"/>
        <w:spacing w:line="410" w:lineRule="auto"/>
        <w:ind w:left="552" w:right="1109" w:firstLine="450"/>
        <w:jc w:val="left"/>
      </w:pPr>
      <w:r>
        <w:rPr/>
        <w:t>亿元的现金股利以及公允价值约人民币</w:t>
      </w:r>
      <w:r>
        <w:rPr>
          <w:spacing w:val="-59"/>
        </w:rPr>
        <w:t> </w:t>
      </w:r>
      <w:r>
        <w:rPr>
          <w:rFonts w:ascii="Arial" w:hAnsi="Arial" w:cs="Arial" w:eastAsia="Arial" w:hint="default"/>
        </w:rPr>
        <w:t>1.46</w:t>
      </w:r>
      <w:r>
        <w:rPr>
          <w:rFonts w:ascii="Arial" w:hAnsi="Arial" w:cs="Arial" w:eastAsia="Arial" w:hint="default"/>
          <w:spacing w:val="-12"/>
        </w:rPr>
        <w:t> </w:t>
      </w:r>
      <w:r>
        <w:rPr/>
        <w:t>亿元的股票股利（见附注五</w:t>
      </w:r>
      <w:r>
        <w:rPr>
          <w:rFonts w:ascii="Arial" w:hAnsi="Arial" w:cs="Arial" w:eastAsia="Arial" w:hint="default"/>
        </w:rPr>
        <w:t>(8)</w:t>
      </w:r>
      <w:r>
        <w:rPr/>
        <w:t>）。</w:t>
      </w:r>
      <w:r>
        <w:rPr>
          <w:w w:val="99"/>
        </w:rPr>
        <w:t> </w:t>
      </w:r>
      <w:r>
        <w:rPr/>
        <w:t>本集团不存在投资收益汇回的重大限制</w:t>
      </w:r>
      <w:r>
        <w:rPr>
          <w:sz w:val="24"/>
          <w:szCs w:val="24"/>
        </w:rPr>
        <w:t>。</w:t>
      </w:r>
      <w:r>
        <w:rPr>
          <w:sz w:val="24"/>
          <w:szCs w:val="24"/>
        </w:rPr>
        <w:t> </w:t>
      </w:r>
      <w:r>
        <w:rPr/>
        <w:t>无权益法核算的长期股权投资投资收益占本集团利润总额</w:t>
      </w:r>
      <w:r>
        <w:rPr>
          <w:spacing w:val="-66"/>
        </w:rPr>
        <w:t> </w:t>
      </w:r>
      <w:r>
        <w:rPr>
          <w:rFonts w:ascii="Arial" w:hAnsi="Arial" w:cs="Arial" w:eastAsia="Arial" w:hint="default"/>
        </w:rPr>
        <w:t>5%</w:t>
      </w:r>
      <w:r>
        <w:rPr/>
        <w:t>以上的被投资单位。</w:t>
      </w:r>
    </w:p>
    <w:p>
      <w:pPr>
        <w:pStyle w:val="BodyText"/>
        <w:spacing w:line="240" w:lineRule="auto" w:before="36"/>
        <w:ind w:left="102" w:right="122"/>
        <w:jc w:val="left"/>
      </w:pPr>
      <w:r>
        <w:rPr>
          <w:rFonts w:ascii="Arial" w:hAnsi="Arial" w:cs="Arial" w:eastAsia="Arial" w:hint="default"/>
        </w:rPr>
        <w:t>42</w:t>
      </w:r>
      <w:r>
        <w:rPr/>
        <w:t>、资产减值损失</w:t>
      </w:r>
    </w:p>
    <w:p>
      <w:pPr>
        <w:spacing w:line="240" w:lineRule="auto" w:before="6"/>
        <w:rPr>
          <w:rFonts w:ascii="宋体" w:hAnsi="宋体" w:cs="宋体" w:eastAsia="宋体" w:hint="default"/>
          <w:sz w:val="21"/>
          <w:szCs w:val="21"/>
        </w:rPr>
      </w:pPr>
    </w:p>
    <w:tbl>
      <w:tblPr>
        <w:tblW w:w="0" w:type="auto"/>
        <w:jc w:val="left"/>
        <w:tblInd w:w="351" w:type="dxa"/>
        <w:tblLayout w:type="fixed"/>
        <w:tblCellMar>
          <w:top w:w="0" w:type="dxa"/>
          <w:left w:w="0" w:type="dxa"/>
          <w:bottom w:w="0" w:type="dxa"/>
          <w:right w:w="0" w:type="dxa"/>
        </w:tblCellMar>
        <w:tblLook w:val="01E0"/>
      </w:tblPr>
      <w:tblGrid>
        <w:gridCol w:w="5062"/>
        <w:gridCol w:w="2026"/>
        <w:gridCol w:w="173"/>
        <w:gridCol w:w="2032"/>
      </w:tblGrid>
      <w:tr>
        <w:trPr>
          <w:trHeight w:val="260" w:hRule="exact"/>
        </w:trPr>
        <w:tc>
          <w:tcPr>
            <w:tcW w:w="5062"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single" w:sz="6" w:space="0" w:color="000000"/>
              <w:right w:val="nil" w:sz="6" w:space="0" w:color="auto"/>
            </w:tcBorders>
          </w:tcPr>
          <w:p>
            <w:pPr>
              <w:pStyle w:val="TableParagraph"/>
              <w:spacing w:line="235" w:lineRule="exact"/>
              <w:ind w:right="71"/>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73"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single" w:sz="6" w:space="0" w:color="000000"/>
              <w:right w:val="nil" w:sz="6" w:space="0" w:color="auto"/>
            </w:tcBorders>
          </w:tcPr>
          <w:p>
            <w:pPr>
              <w:pStyle w:val="TableParagraph"/>
              <w:spacing w:line="235" w:lineRule="exact"/>
              <w:ind w:right="71"/>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59"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坏账准备</w:t>
            </w:r>
          </w:p>
        </w:tc>
        <w:tc>
          <w:tcPr>
            <w:tcW w:w="2026"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8"/>
              <w:jc w:val="right"/>
              <w:rPr>
                <w:rFonts w:ascii="Arial" w:hAnsi="Arial" w:cs="Arial" w:eastAsia="Arial" w:hint="default"/>
                <w:sz w:val="22"/>
                <w:szCs w:val="22"/>
              </w:rPr>
            </w:pPr>
            <w:r>
              <w:rPr>
                <w:rFonts w:ascii="Arial"/>
                <w:spacing w:val="-1"/>
                <w:sz w:val="22"/>
              </w:rPr>
              <w:t>3,150,093,833</w:t>
            </w:r>
          </w:p>
        </w:tc>
        <w:tc>
          <w:tcPr>
            <w:tcW w:w="173" w:type="dxa"/>
            <w:tcBorders>
              <w:top w:val="nil" w:sz="6" w:space="0" w:color="auto"/>
              <w:left w:val="nil" w:sz="6" w:space="0" w:color="auto"/>
              <w:bottom w:val="nil" w:sz="6" w:space="0" w:color="auto"/>
              <w:right w:val="nil" w:sz="6" w:space="0" w:color="auto"/>
            </w:tcBorders>
          </w:tcPr>
          <w:p>
            <w:pPr/>
          </w:p>
        </w:tc>
        <w:tc>
          <w:tcPr>
            <w:tcW w:w="2032"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70"/>
              <w:jc w:val="right"/>
              <w:rPr>
                <w:rFonts w:ascii="Arial" w:hAnsi="Arial" w:cs="Arial" w:eastAsia="Arial" w:hint="default"/>
                <w:sz w:val="22"/>
                <w:szCs w:val="22"/>
              </w:rPr>
            </w:pPr>
            <w:r>
              <w:rPr>
                <w:rFonts w:ascii="Arial"/>
                <w:spacing w:val="-1"/>
                <w:sz w:val="22"/>
              </w:rPr>
              <w:t>2,644,621,956</w:t>
            </w:r>
          </w:p>
        </w:tc>
      </w:tr>
      <w:tr>
        <w:trPr>
          <w:trHeight w:val="285"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存货跌价准备</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2"/>
                <w:szCs w:val="22"/>
              </w:rPr>
            </w:pPr>
            <w:r>
              <w:rPr>
                <w:rFonts w:ascii="Arial"/>
                <w:w w:val="95"/>
                <w:sz w:val="22"/>
              </w:rPr>
              <w:t>141,844,654</w:t>
            </w:r>
            <w:r>
              <w:rPr>
                <w:rFonts w:ascii="Arial"/>
                <w:sz w:val="22"/>
              </w:rPr>
            </w:r>
          </w:p>
        </w:tc>
        <w:tc>
          <w:tcPr>
            <w:tcW w:w="173"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8"/>
              <w:jc w:val="right"/>
              <w:rPr>
                <w:rFonts w:ascii="Arial" w:hAnsi="Arial" w:cs="Arial" w:eastAsia="Arial" w:hint="default"/>
                <w:sz w:val="22"/>
                <w:szCs w:val="22"/>
              </w:rPr>
            </w:pPr>
            <w:r>
              <w:rPr>
                <w:rFonts w:ascii="Arial"/>
                <w:w w:val="95"/>
                <w:sz w:val="22"/>
              </w:rPr>
              <w:t>126,591,113</w:t>
            </w:r>
            <w:r>
              <w:rPr>
                <w:rFonts w:ascii="Arial"/>
                <w:sz w:val="22"/>
              </w:rPr>
            </w:r>
          </w:p>
        </w:tc>
      </w:tr>
      <w:tr>
        <w:trPr>
          <w:trHeight w:val="419"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在建工程减值准备</w:t>
            </w:r>
          </w:p>
        </w:tc>
        <w:tc>
          <w:tcPr>
            <w:tcW w:w="2026" w:type="dxa"/>
            <w:tcBorders>
              <w:top w:val="nil" w:sz="6" w:space="0" w:color="auto"/>
              <w:left w:val="nil" w:sz="6" w:space="0" w:color="auto"/>
              <w:bottom w:val="nil" w:sz="6" w:space="0" w:color="auto"/>
              <w:right w:val="nil" w:sz="6" w:space="0" w:color="auto"/>
            </w:tcBorders>
          </w:tcPr>
          <w:p>
            <w:pPr>
              <w:pStyle w:val="TableParagraph"/>
              <w:tabs>
                <w:tab w:pos="936" w:val="left" w:leader="none"/>
                <w:tab w:pos="2025"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2,188,067</w:t>
            </w:r>
            <w:r>
              <w:rPr>
                <w:rFonts w:ascii="Arial"/>
                <w:sz w:val="22"/>
                <w:u w:val="single" w:color="000000"/>
              </w:rPr>
              <w:tab/>
            </w:r>
            <w:r>
              <w:rPr>
                <w:rFonts w:ascii="Arial"/>
                <w:sz w:val="22"/>
              </w:rPr>
            </w:r>
          </w:p>
        </w:tc>
        <w:tc>
          <w:tcPr>
            <w:tcW w:w="173"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tabs>
                <w:tab w:pos="1879" w:val="left" w:leader="none"/>
                <w:tab w:pos="2024"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sz w:val="22"/>
                <w:u w:val="single" w:color="000000"/>
              </w:rPr>
              <w:tab/>
            </w:r>
            <w:r>
              <w:rPr>
                <w:rFonts w:ascii="Arial"/>
                <w:sz w:val="22"/>
              </w:rPr>
            </w:r>
          </w:p>
        </w:tc>
      </w:tr>
      <w:tr>
        <w:trPr>
          <w:trHeight w:val="430" w:hRule="exact"/>
        </w:trPr>
        <w:tc>
          <w:tcPr>
            <w:tcW w:w="506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026"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08"/>
              <w:jc w:val="right"/>
              <w:rPr>
                <w:rFonts w:ascii="Arial" w:hAnsi="Arial" w:cs="Arial" w:eastAsia="Arial" w:hint="default"/>
                <w:sz w:val="22"/>
                <w:szCs w:val="22"/>
              </w:rPr>
            </w:pPr>
            <w:r>
              <w:rPr>
                <w:rFonts w:ascii="Arial"/>
                <w:spacing w:val="-1"/>
                <w:sz w:val="22"/>
              </w:rPr>
              <w:t>3,294,126,554</w:t>
            </w:r>
          </w:p>
        </w:tc>
        <w:tc>
          <w:tcPr>
            <w:tcW w:w="173"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70"/>
              <w:jc w:val="right"/>
              <w:rPr>
                <w:rFonts w:ascii="Arial" w:hAnsi="Arial" w:cs="Arial" w:eastAsia="Arial" w:hint="default"/>
                <w:sz w:val="22"/>
                <w:szCs w:val="22"/>
              </w:rPr>
            </w:pPr>
            <w:r>
              <w:rPr>
                <w:rFonts w:ascii="Arial"/>
                <w:spacing w:val="-1"/>
                <w:sz w:val="22"/>
              </w:rPr>
              <w:t>2,771,213,069</w:t>
            </w:r>
          </w:p>
        </w:tc>
      </w:tr>
    </w:tbl>
    <w:p>
      <w:pPr>
        <w:spacing w:line="240" w:lineRule="auto" w:before="2"/>
        <w:rPr>
          <w:rFonts w:ascii="宋体" w:hAnsi="宋体" w:cs="宋体" w:eastAsia="宋体" w:hint="default"/>
          <w:sz w:val="14"/>
          <w:szCs w:val="14"/>
        </w:rPr>
      </w:pPr>
    </w:p>
    <w:p>
      <w:pPr>
        <w:pStyle w:val="BodyText"/>
        <w:spacing w:line="240" w:lineRule="auto" w:before="31"/>
        <w:ind w:left="102" w:right="122"/>
        <w:jc w:val="left"/>
      </w:pPr>
      <w:r>
        <w:rPr>
          <w:rFonts w:ascii="Arial" w:hAnsi="Arial" w:cs="Arial" w:eastAsia="Arial" w:hint="default"/>
        </w:rPr>
        <w:t>43</w:t>
      </w:r>
      <w:r>
        <w:rPr/>
        <w:t>、营业外收入</w:t>
      </w:r>
    </w:p>
    <w:p>
      <w:pPr>
        <w:spacing w:line="240" w:lineRule="auto" w:before="2"/>
        <w:rPr>
          <w:rFonts w:ascii="宋体" w:hAnsi="宋体" w:cs="宋体" w:eastAsia="宋体" w:hint="default"/>
          <w:sz w:val="23"/>
          <w:szCs w:val="23"/>
        </w:rPr>
      </w:pPr>
    </w:p>
    <w:tbl>
      <w:tblPr>
        <w:tblW w:w="0" w:type="auto"/>
        <w:jc w:val="left"/>
        <w:tblInd w:w="650" w:type="dxa"/>
        <w:tblLayout w:type="fixed"/>
        <w:tblCellMar>
          <w:top w:w="0" w:type="dxa"/>
          <w:left w:w="0" w:type="dxa"/>
          <w:bottom w:w="0" w:type="dxa"/>
          <w:right w:w="0" w:type="dxa"/>
        </w:tblCellMar>
        <w:tblLook w:val="01E0"/>
      </w:tblPr>
      <w:tblGrid>
        <w:gridCol w:w="2892"/>
        <w:gridCol w:w="1800"/>
        <w:gridCol w:w="1935"/>
        <w:gridCol w:w="2270"/>
      </w:tblGrid>
      <w:tr>
        <w:trPr>
          <w:trHeight w:val="545" w:hRule="exact"/>
        </w:trPr>
        <w:tc>
          <w:tcPr>
            <w:tcW w:w="2892"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44" w:right="0"/>
              <w:jc w:val="lef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935"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689"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2270" w:type="dxa"/>
            <w:tcBorders>
              <w:top w:val="nil" w:sz="6" w:space="0" w:color="auto"/>
              <w:left w:val="nil" w:sz="6" w:space="0" w:color="auto"/>
              <w:bottom w:val="single" w:sz="6" w:space="0" w:color="000000"/>
              <w:right w:val="nil" w:sz="6" w:space="0" w:color="auto"/>
            </w:tcBorders>
          </w:tcPr>
          <w:p>
            <w:pPr>
              <w:pStyle w:val="TableParagraph"/>
              <w:spacing w:line="226" w:lineRule="exact"/>
              <w:ind w:left="261" w:right="0" w:firstLine="500"/>
              <w:jc w:val="left"/>
              <w:rPr>
                <w:rFonts w:ascii="宋体" w:hAnsi="宋体" w:cs="宋体" w:eastAsia="宋体" w:hint="default"/>
                <w:sz w:val="22"/>
                <w:szCs w:val="22"/>
              </w:rPr>
            </w:pPr>
            <w:r>
              <w:rPr>
                <w:rFonts w:ascii="宋体" w:hAnsi="宋体" w:cs="宋体" w:eastAsia="宋体" w:hint="default"/>
                <w:sz w:val="22"/>
                <w:szCs w:val="22"/>
              </w:rPr>
              <w:t>计入</w:t>
            </w:r>
            <w:r>
              <w:rPr>
                <w:rFonts w:ascii="宋体" w:hAnsi="宋体" w:cs="宋体" w:eastAsia="宋体" w:hint="default"/>
                <w:spacing w:val="-57"/>
                <w:sz w:val="22"/>
                <w:szCs w:val="22"/>
              </w:rPr>
              <w:t> </w:t>
            </w: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年度</w:t>
            </w:r>
          </w:p>
          <w:p>
            <w:pPr>
              <w:pStyle w:val="TableParagraph"/>
              <w:spacing w:line="279" w:lineRule="exact"/>
              <w:ind w:left="261" w:right="0"/>
              <w:jc w:val="left"/>
              <w:rPr>
                <w:rFonts w:ascii="宋体" w:hAnsi="宋体" w:cs="宋体" w:eastAsia="宋体" w:hint="default"/>
                <w:sz w:val="22"/>
                <w:szCs w:val="22"/>
              </w:rPr>
            </w:pPr>
            <w:r>
              <w:rPr>
                <w:rFonts w:ascii="宋体" w:hAnsi="宋体" w:cs="宋体" w:eastAsia="宋体" w:hint="default"/>
                <w:sz w:val="22"/>
                <w:szCs w:val="22"/>
              </w:rPr>
              <w:t>非经常性损益的金额</w:t>
            </w:r>
          </w:p>
        </w:tc>
      </w:tr>
      <w:tr>
        <w:trPr>
          <w:trHeight w:val="553" w:hRule="exact"/>
        </w:trPr>
        <w:tc>
          <w:tcPr>
            <w:tcW w:w="2892" w:type="dxa"/>
            <w:tcBorders>
              <w:top w:val="nil" w:sz="6" w:space="0" w:color="auto"/>
              <w:left w:val="nil" w:sz="6" w:space="0" w:color="auto"/>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8" w:right="0"/>
              <w:jc w:val="left"/>
              <w:rPr>
                <w:rFonts w:ascii="宋体" w:hAnsi="宋体" w:cs="宋体" w:eastAsia="宋体" w:hint="default"/>
                <w:sz w:val="22"/>
                <w:szCs w:val="22"/>
              </w:rPr>
            </w:pPr>
            <w:r>
              <w:rPr>
                <w:rFonts w:ascii="宋体" w:hAnsi="宋体" w:cs="宋体" w:eastAsia="宋体" w:hint="default"/>
                <w:sz w:val="22"/>
                <w:szCs w:val="22"/>
              </w:rPr>
              <w:t>非流动资产处置利得（注</w:t>
            </w:r>
            <w:r>
              <w:rPr>
                <w:rFonts w:ascii="宋体" w:hAnsi="宋体" w:cs="宋体" w:eastAsia="宋体" w:hint="default"/>
                <w:spacing w:val="-58"/>
                <w:sz w:val="22"/>
                <w:szCs w:val="22"/>
              </w:rPr>
              <w:t> </w:t>
            </w:r>
            <w:r>
              <w:rPr>
                <w:rFonts w:ascii="Arial" w:hAnsi="Arial" w:cs="Arial" w:eastAsia="Arial" w:hint="default"/>
                <w:sz w:val="22"/>
                <w:szCs w:val="22"/>
              </w:rPr>
              <w:t>1</w:t>
            </w:r>
            <w:r>
              <w:rPr>
                <w:rFonts w:ascii="宋体" w:hAnsi="宋体" w:cs="宋体" w:eastAsia="宋体" w:hint="default"/>
                <w:sz w:val="22"/>
                <w:szCs w:val="22"/>
              </w:rPr>
              <w:t>）</w:t>
            </w:r>
          </w:p>
        </w:tc>
        <w:tc>
          <w:tcPr>
            <w:tcW w:w="1800"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68" w:right="0"/>
              <w:jc w:val="left"/>
              <w:rPr>
                <w:rFonts w:ascii="Arial" w:hAnsi="Arial" w:cs="Arial" w:eastAsia="Arial" w:hint="default"/>
                <w:sz w:val="22"/>
                <w:szCs w:val="22"/>
              </w:rPr>
            </w:pPr>
            <w:r>
              <w:rPr>
                <w:rFonts w:ascii="Arial"/>
                <w:sz w:val="22"/>
              </w:rPr>
              <w:t>1,049,939,286</w:t>
            </w:r>
          </w:p>
        </w:tc>
        <w:tc>
          <w:tcPr>
            <w:tcW w:w="1935"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04" w:right="0"/>
              <w:jc w:val="left"/>
              <w:rPr>
                <w:rFonts w:ascii="Arial" w:hAnsi="Arial" w:cs="Arial" w:eastAsia="Arial" w:hint="default"/>
                <w:sz w:val="22"/>
                <w:szCs w:val="22"/>
              </w:rPr>
            </w:pPr>
            <w:r>
              <w:rPr>
                <w:rFonts w:ascii="Arial"/>
                <w:sz w:val="22"/>
              </w:rPr>
              <w:t>1,173,883,362</w:t>
            </w:r>
          </w:p>
        </w:tc>
        <w:tc>
          <w:tcPr>
            <w:tcW w:w="2270"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8"/>
              <w:jc w:val="right"/>
              <w:rPr>
                <w:rFonts w:ascii="Arial" w:hAnsi="Arial" w:cs="Arial" w:eastAsia="Arial" w:hint="default"/>
                <w:sz w:val="22"/>
                <w:szCs w:val="22"/>
              </w:rPr>
            </w:pPr>
            <w:r>
              <w:rPr>
                <w:rFonts w:ascii="Arial"/>
                <w:spacing w:val="-1"/>
                <w:sz w:val="22"/>
              </w:rPr>
              <w:t>1,049,939,286</w:t>
            </w:r>
          </w:p>
        </w:tc>
      </w:tr>
      <w:tr>
        <w:trPr>
          <w:trHeight w:val="306" w:hRule="exact"/>
        </w:trPr>
        <w:tc>
          <w:tcPr>
            <w:tcW w:w="2892" w:type="dxa"/>
            <w:tcBorders>
              <w:top w:val="single" w:sz="6" w:space="0" w:color="000000"/>
              <w:left w:val="single" w:sz="6" w:space="0" w:color="000000"/>
              <w:bottom w:val="nil" w:sz="6" w:space="0" w:color="auto"/>
              <w:right w:val="nil" w:sz="6" w:space="0" w:color="auto"/>
            </w:tcBorders>
          </w:tcPr>
          <w:p>
            <w:pPr>
              <w:pStyle w:val="TableParagraph"/>
              <w:spacing w:line="253" w:lineRule="exact"/>
              <w:ind w:left="48" w:right="0"/>
              <w:jc w:val="left"/>
              <w:rPr>
                <w:rFonts w:ascii="宋体" w:hAnsi="宋体" w:cs="宋体" w:eastAsia="宋体" w:hint="default"/>
                <w:sz w:val="22"/>
                <w:szCs w:val="22"/>
              </w:rPr>
            </w:pPr>
            <w:r>
              <w:rPr>
                <w:rFonts w:ascii="宋体" w:hAnsi="宋体" w:cs="宋体" w:eastAsia="宋体" w:hint="default"/>
                <w:sz w:val="22"/>
                <w:szCs w:val="22"/>
              </w:rPr>
              <w:t>其中：固定资产处置利得</w:t>
            </w:r>
          </w:p>
        </w:tc>
        <w:tc>
          <w:tcPr>
            <w:tcW w:w="1800" w:type="dxa"/>
            <w:tcBorders>
              <w:top w:val="single" w:sz="6" w:space="0" w:color="000000"/>
              <w:left w:val="nil" w:sz="6" w:space="0" w:color="auto"/>
              <w:bottom w:val="nil" w:sz="6" w:space="0" w:color="auto"/>
              <w:right w:val="nil" w:sz="6" w:space="0" w:color="auto"/>
            </w:tcBorders>
          </w:tcPr>
          <w:p>
            <w:pPr>
              <w:pStyle w:val="TableParagraph"/>
              <w:spacing w:line="240" w:lineRule="auto" w:before="31"/>
              <w:ind w:left="268" w:right="0"/>
              <w:jc w:val="left"/>
              <w:rPr>
                <w:rFonts w:ascii="Arial" w:hAnsi="Arial" w:cs="Arial" w:eastAsia="Arial" w:hint="default"/>
                <w:sz w:val="22"/>
                <w:szCs w:val="22"/>
              </w:rPr>
            </w:pPr>
            <w:r>
              <w:rPr>
                <w:rFonts w:ascii="Arial"/>
                <w:sz w:val="22"/>
              </w:rPr>
              <w:t>1,044,461,256</w:t>
            </w:r>
          </w:p>
        </w:tc>
        <w:tc>
          <w:tcPr>
            <w:tcW w:w="1935" w:type="dxa"/>
            <w:tcBorders>
              <w:top w:val="single" w:sz="6" w:space="0" w:color="000000"/>
              <w:left w:val="nil" w:sz="6" w:space="0" w:color="auto"/>
              <w:bottom w:val="nil" w:sz="6" w:space="0" w:color="auto"/>
              <w:right w:val="nil" w:sz="6" w:space="0" w:color="auto"/>
            </w:tcBorders>
          </w:tcPr>
          <w:p>
            <w:pPr>
              <w:pStyle w:val="TableParagraph"/>
              <w:spacing w:line="240" w:lineRule="auto" w:before="31"/>
              <w:ind w:left="204" w:right="0"/>
              <w:jc w:val="left"/>
              <w:rPr>
                <w:rFonts w:ascii="Arial" w:hAnsi="Arial" w:cs="Arial" w:eastAsia="Arial" w:hint="default"/>
                <w:sz w:val="22"/>
                <w:szCs w:val="22"/>
              </w:rPr>
            </w:pPr>
            <w:r>
              <w:rPr>
                <w:rFonts w:ascii="Arial"/>
                <w:sz w:val="22"/>
              </w:rPr>
              <w:t>1,167,570,831</w:t>
            </w:r>
          </w:p>
        </w:tc>
        <w:tc>
          <w:tcPr>
            <w:tcW w:w="2270" w:type="dxa"/>
            <w:tcBorders>
              <w:top w:val="single" w:sz="6" w:space="0" w:color="000000"/>
              <w:left w:val="nil" w:sz="6" w:space="0" w:color="auto"/>
              <w:bottom w:val="nil" w:sz="6" w:space="0" w:color="auto"/>
              <w:right w:val="single" w:sz="6" w:space="0" w:color="000000"/>
            </w:tcBorders>
          </w:tcPr>
          <w:p>
            <w:pPr>
              <w:pStyle w:val="TableParagraph"/>
              <w:spacing w:line="240" w:lineRule="auto" w:before="31"/>
              <w:ind w:right="101"/>
              <w:jc w:val="right"/>
              <w:rPr>
                <w:rFonts w:ascii="Arial" w:hAnsi="Arial" w:cs="Arial" w:eastAsia="Arial" w:hint="default"/>
                <w:sz w:val="22"/>
                <w:szCs w:val="22"/>
              </w:rPr>
            </w:pPr>
            <w:r>
              <w:rPr>
                <w:rFonts w:ascii="Arial"/>
                <w:spacing w:val="-1"/>
                <w:sz w:val="22"/>
              </w:rPr>
              <w:t>1,044,461,256</w:t>
            </w:r>
          </w:p>
        </w:tc>
      </w:tr>
      <w:tr>
        <w:trPr>
          <w:trHeight w:val="279" w:hRule="exact"/>
        </w:trPr>
        <w:tc>
          <w:tcPr>
            <w:tcW w:w="2892" w:type="dxa"/>
            <w:tcBorders>
              <w:top w:val="nil" w:sz="6" w:space="0" w:color="auto"/>
              <w:left w:val="single" w:sz="6" w:space="0" w:color="000000"/>
              <w:bottom w:val="single" w:sz="6" w:space="0" w:color="000000"/>
              <w:right w:val="nil" w:sz="6" w:space="0" w:color="auto"/>
            </w:tcBorders>
          </w:tcPr>
          <w:p>
            <w:pPr>
              <w:pStyle w:val="TableParagraph"/>
              <w:spacing w:line="239" w:lineRule="exact"/>
              <w:ind w:left="724" w:right="0"/>
              <w:jc w:val="left"/>
              <w:rPr>
                <w:rFonts w:ascii="宋体" w:hAnsi="宋体" w:cs="宋体" w:eastAsia="宋体" w:hint="default"/>
                <w:sz w:val="22"/>
                <w:szCs w:val="22"/>
              </w:rPr>
            </w:pPr>
            <w:r>
              <w:rPr>
                <w:rFonts w:ascii="宋体" w:hAnsi="宋体" w:cs="宋体" w:eastAsia="宋体" w:hint="default"/>
                <w:sz w:val="22"/>
                <w:szCs w:val="22"/>
              </w:rPr>
              <w:t>无形资产处置利得</w:t>
            </w:r>
          </w:p>
        </w:tc>
        <w:tc>
          <w:tcPr>
            <w:tcW w:w="1800" w:type="dxa"/>
            <w:tcBorders>
              <w:top w:val="nil" w:sz="6" w:space="0" w:color="auto"/>
              <w:left w:val="nil" w:sz="6" w:space="0" w:color="auto"/>
              <w:bottom w:val="single" w:sz="6" w:space="0" w:color="000000"/>
              <w:right w:val="nil" w:sz="6" w:space="0" w:color="auto"/>
            </w:tcBorders>
          </w:tcPr>
          <w:p>
            <w:pPr>
              <w:pStyle w:val="TableParagraph"/>
              <w:spacing w:line="240" w:lineRule="auto" w:before="17"/>
              <w:ind w:left="695" w:right="0"/>
              <w:jc w:val="left"/>
              <w:rPr>
                <w:rFonts w:ascii="Arial" w:hAnsi="Arial" w:cs="Arial" w:eastAsia="Arial" w:hint="default"/>
                <w:sz w:val="22"/>
                <w:szCs w:val="22"/>
              </w:rPr>
            </w:pPr>
            <w:r>
              <w:rPr>
                <w:rFonts w:ascii="Arial"/>
                <w:sz w:val="22"/>
              </w:rPr>
              <w:t>5,478,030</w:t>
            </w:r>
          </w:p>
        </w:tc>
        <w:tc>
          <w:tcPr>
            <w:tcW w:w="1935" w:type="dxa"/>
            <w:tcBorders>
              <w:top w:val="nil" w:sz="6" w:space="0" w:color="auto"/>
              <w:left w:val="nil" w:sz="6" w:space="0" w:color="auto"/>
              <w:bottom w:val="single" w:sz="6" w:space="0" w:color="000000"/>
              <w:right w:val="nil" w:sz="6" w:space="0" w:color="auto"/>
            </w:tcBorders>
          </w:tcPr>
          <w:p>
            <w:pPr>
              <w:pStyle w:val="TableParagraph"/>
              <w:spacing w:line="240" w:lineRule="auto" w:before="17"/>
              <w:ind w:left="631" w:right="0"/>
              <w:jc w:val="left"/>
              <w:rPr>
                <w:rFonts w:ascii="Arial" w:hAnsi="Arial" w:cs="Arial" w:eastAsia="Arial" w:hint="default"/>
                <w:sz w:val="22"/>
                <w:szCs w:val="22"/>
              </w:rPr>
            </w:pPr>
            <w:r>
              <w:rPr>
                <w:rFonts w:ascii="Arial"/>
                <w:sz w:val="22"/>
              </w:rPr>
              <w:t>6,312,531</w:t>
            </w:r>
          </w:p>
        </w:tc>
        <w:tc>
          <w:tcPr>
            <w:tcW w:w="2270" w:type="dxa"/>
            <w:tcBorders>
              <w:top w:val="nil" w:sz="6" w:space="0" w:color="auto"/>
              <w:left w:val="nil" w:sz="6" w:space="0" w:color="auto"/>
              <w:bottom w:val="single" w:sz="6" w:space="0" w:color="000000"/>
              <w:right w:val="single" w:sz="6" w:space="0" w:color="000000"/>
            </w:tcBorders>
          </w:tcPr>
          <w:p>
            <w:pPr>
              <w:pStyle w:val="TableParagraph"/>
              <w:spacing w:line="240" w:lineRule="auto" w:before="17"/>
              <w:ind w:right="100"/>
              <w:jc w:val="right"/>
              <w:rPr>
                <w:rFonts w:ascii="Arial" w:hAnsi="Arial" w:cs="Arial" w:eastAsia="Arial" w:hint="default"/>
                <w:sz w:val="22"/>
                <w:szCs w:val="22"/>
              </w:rPr>
            </w:pPr>
            <w:r>
              <w:rPr>
                <w:rFonts w:ascii="Arial"/>
                <w:w w:val="95"/>
                <w:sz w:val="22"/>
              </w:rPr>
              <w:t>5,478,030</w:t>
            </w:r>
            <w:r>
              <w:rPr>
                <w:rFonts w:ascii="Arial"/>
                <w:sz w:val="22"/>
              </w:rPr>
            </w:r>
          </w:p>
        </w:tc>
      </w:tr>
      <w:tr>
        <w:trPr>
          <w:trHeight w:val="307" w:hRule="exact"/>
        </w:trPr>
        <w:tc>
          <w:tcPr>
            <w:tcW w:w="2892" w:type="dxa"/>
            <w:tcBorders>
              <w:top w:val="single" w:sz="6" w:space="0" w:color="000000"/>
              <w:left w:val="nil" w:sz="6" w:space="0" w:color="auto"/>
              <w:bottom w:val="nil" w:sz="6" w:space="0" w:color="auto"/>
              <w:right w:val="nil" w:sz="6" w:space="0" w:color="auto"/>
            </w:tcBorders>
          </w:tcPr>
          <w:p>
            <w:pPr>
              <w:pStyle w:val="TableParagraph"/>
              <w:spacing w:line="253" w:lineRule="exact"/>
              <w:ind w:left="48" w:right="0"/>
              <w:jc w:val="left"/>
              <w:rPr>
                <w:rFonts w:ascii="宋体" w:hAnsi="宋体" w:cs="宋体" w:eastAsia="宋体" w:hint="default"/>
                <w:sz w:val="22"/>
                <w:szCs w:val="22"/>
              </w:rPr>
            </w:pPr>
            <w:r>
              <w:rPr>
                <w:rFonts w:ascii="宋体" w:hAnsi="宋体" w:cs="宋体" w:eastAsia="宋体" w:hint="default"/>
                <w:sz w:val="22"/>
                <w:szCs w:val="22"/>
              </w:rPr>
              <w:t>违约赔款收入</w:t>
            </w:r>
          </w:p>
        </w:tc>
        <w:tc>
          <w:tcPr>
            <w:tcW w:w="1800" w:type="dxa"/>
            <w:tcBorders>
              <w:top w:val="single" w:sz="6" w:space="0" w:color="000000"/>
              <w:left w:val="nil" w:sz="6" w:space="0" w:color="auto"/>
              <w:bottom w:val="nil" w:sz="6" w:space="0" w:color="auto"/>
              <w:right w:val="nil" w:sz="6" w:space="0" w:color="auto"/>
            </w:tcBorders>
          </w:tcPr>
          <w:p>
            <w:pPr>
              <w:pStyle w:val="TableParagraph"/>
              <w:spacing w:line="240" w:lineRule="auto" w:before="31"/>
              <w:ind w:left="452" w:right="0"/>
              <w:jc w:val="left"/>
              <w:rPr>
                <w:rFonts w:ascii="Arial" w:hAnsi="Arial" w:cs="Arial" w:eastAsia="Arial" w:hint="default"/>
                <w:sz w:val="22"/>
                <w:szCs w:val="22"/>
              </w:rPr>
            </w:pPr>
            <w:r>
              <w:rPr>
                <w:rFonts w:ascii="Arial"/>
                <w:sz w:val="22"/>
              </w:rPr>
              <w:t>411,741,453</w:t>
            </w:r>
          </w:p>
        </w:tc>
        <w:tc>
          <w:tcPr>
            <w:tcW w:w="1935" w:type="dxa"/>
            <w:tcBorders>
              <w:top w:val="single" w:sz="6" w:space="0" w:color="000000"/>
              <w:left w:val="nil" w:sz="6" w:space="0" w:color="auto"/>
              <w:bottom w:val="nil" w:sz="6" w:space="0" w:color="auto"/>
              <w:right w:val="nil" w:sz="6" w:space="0" w:color="auto"/>
            </w:tcBorders>
          </w:tcPr>
          <w:p>
            <w:pPr>
              <w:pStyle w:val="TableParagraph"/>
              <w:spacing w:line="240" w:lineRule="auto" w:before="31"/>
              <w:ind w:left="388" w:right="0"/>
              <w:jc w:val="left"/>
              <w:rPr>
                <w:rFonts w:ascii="Arial" w:hAnsi="Arial" w:cs="Arial" w:eastAsia="Arial" w:hint="default"/>
                <w:sz w:val="22"/>
                <w:szCs w:val="22"/>
              </w:rPr>
            </w:pPr>
            <w:r>
              <w:rPr>
                <w:rFonts w:ascii="Arial"/>
                <w:sz w:val="22"/>
              </w:rPr>
              <w:t>283,366,673</w:t>
            </w:r>
          </w:p>
        </w:tc>
        <w:tc>
          <w:tcPr>
            <w:tcW w:w="2270" w:type="dxa"/>
            <w:tcBorders>
              <w:top w:val="single" w:sz="6" w:space="0" w:color="000000"/>
              <w:left w:val="nil" w:sz="6" w:space="0" w:color="auto"/>
              <w:bottom w:val="nil" w:sz="6" w:space="0" w:color="auto"/>
              <w:right w:val="nil" w:sz="6" w:space="0" w:color="auto"/>
            </w:tcBorders>
          </w:tcPr>
          <w:p>
            <w:pPr>
              <w:pStyle w:val="TableParagraph"/>
              <w:spacing w:line="240" w:lineRule="auto" w:before="31"/>
              <w:ind w:right="106"/>
              <w:jc w:val="right"/>
              <w:rPr>
                <w:rFonts w:ascii="Arial" w:hAnsi="Arial" w:cs="Arial" w:eastAsia="Arial" w:hint="default"/>
                <w:sz w:val="22"/>
                <w:szCs w:val="22"/>
              </w:rPr>
            </w:pPr>
            <w:r>
              <w:rPr>
                <w:rFonts w:ascii="Arial"/>
                <w:w w:val="95"/>
                <w:sz w:val="22"/>
              </w:rPr>
              <w:t>411,741,453</w:t>
            </w:r>
            <w:r>
              <w:rPr>
                <w:rFonts w:ascii="Arial"/>
                <w:sz w:val="22"/>
              </w:rPr>
            </w:r>
          </w:p>
        </w:tc>
      </w:tr>
      <w:tr>
        <w:trPr>
          <w:trHeight w:val="285" w:hRule="exact"/>
        </w:trPr>
        <w:tc>
          <w:tcPr>
            <w:tcW w:w="2892" w:type="dxa"/>
            <w:tcBorders>
              <w:top w:val="nil" w:sz="6" w:space="0" w:color="auto"/>
              <w:left w:val="nil" w:sz="6" w:space="0" w:color="auto"/>
              <w:bottom w:val="nil" w:sz="6" w:space="0" w:color="auto"/>
              <w:right w:val="nil" w:sz="6" w:space="0" w:color="auto"/>
            </w:tcBorders>
          </w:tcPr>
          <w:p>
            <w:pPr>
              <w:pStyle w:val="TableParagraph"/>
              <w:spacing w:line="255" w:lineRule="exact"/>
              <w:ind w:left="48" w:right="0"/>
              <w:jc w:val="left"/>
              <w:rPr>
                <w:rFonts w:ascii="宋体" w:hAnsi="宋体" w:cs="宋体" w:eastAsia="宋体" w:hint="default"/>
                <w:sz w:val="22"/>
                <w:szCs w:val="22"/>
              </w:rPr>
            </w:pPr>
            <w:r>
              <w:rPr>
                <w:rFonts w:ascii="宋体" w:hAnsi="宋体" w:cs="宋体" w:eastAsia="宋体" w:hint="default"/>
                <w:sz w:val="22"/>
                <w:szCs w:val="22"/>
              </w:rPr>
              <w:t>无法支付的应付账款（注</w:t>
            </w:r>
            <w:r>
              <w:rPr>
                <w:rFonts w:ascii="宋体" w:hAnsi="宋体" w:cs="宋体" w:eastAsia="宋体" w:hint="default"/>
                <w:spacing w:val="-60"/>
                <w:sz w:val="22"/>
                <w:szCs w:val="22"/>
              </w:rPr>
              <w:t> </w:t>
            </w:r>
            <w:r>
              <w:rPr>
                <w:rFonts w:ascii="Arial" w:hAnsi="Arial" w:cs="Arial" w:eastAsia="Arial" w:hint="default"/>
                <w:sz w:val="22"/>
                <w:szCs w:val="22"/>
              </w:rPr>
              <w:t>2</w:t>
            </w:r>
            <w:r>
              <w:rPr>
                <w:rFonts w:ascii="宋体" w:hAnsi="宋体" w:cs="宋体" w:eastAsia="宋体" w:hint="default"/>
                <w:sz w:val="22"/>
                <w:szCs w:val="22"/>
              </w:rPr>
              <w:t>）</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52" w:right="0"/>
              <w:jc w:val="left"/>
              <w:rPr>
                <w:rFonts w:ascii="Arial" w:hAnsi="Arial" w:cs="Arial" w:eastAsia="Arial" w:hint="default"/>
                <w:sz w:val="22"/>
                <w:szCs w:val="22"/>
              </w:rPr>
            </w:pPr>
            <w:r>
              <w:rPr>
                <w:rFonts w:ascii="Arial"/>
                <w:sz w:val="22"/>
              </w:rPr>
              <w:t>245,345,277</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88" w:right="0"/>
              <w:jc w:val="left"/>
              <w:rPr>
                <w:rFonts w:ascii="Arial" w:hAnsi="Arial" w:cs="Arial" w:eastAsia="Arial" w:hint="default"/>
                <w:sz w:val="22"/>
                <w:szCs w:val="22"/>
              </w:rPr>
            </w:pPr>
            <w:r>
              <w:rPr>
                <w:rFonts w:ascii="Arial"/>
                <w:sz w:val="22"/>
              </w:rPr>
              <w:t>124,970,378</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2"/>
                <w:szCs w:val="22"/>
              </w:rPr>
            </w:pPr>
            <w:r>
              <w:rPr>
                <w:rFonts w:ascii="Arial"/>
                <w:w w:val="95"/>
                <w:sz w:val="22"/>
              </w:rPr>
              <w:t>245,345,277</w:t>
            </w:r>
            <w:r>
              <w:rPr>
                <w:rFonts w:ascii="Arial"/>
                <w:sz w:val="22"/>
              </w:rPr>
            </w:r>
          </w:p>
        </w:tc>
      </w:tr>
      <w:tr>
        <w:trPr>
          <w:trHeight w:val="285" w:hRule="exact"/>
        </w:trPr>
        <w:tc>
          <w:tcPr>
            <w:tcW w:w="2892" w:type="dxa"/>
            <w:tcBorders>
              <w:top w:val="nil" w:sz="6" w:space="0" w:color="auto"/>
              <w:left w:val="nil" w:sz="6" w:space="0" w:color="auto"/>
              <w:bottom w:val="nil" w:sz="6" w:space="0" w:color="auto"/>
              <w:right w:val="nil" w:sz="6" w:space="0" w:color="auto"/>
            </w:tcBorders>
          </w:tcPr>
          <w:p>
            <w:pPr>
              <w:pStyle w:val="TableParagraph"/>
              <w:spacing w:line="255" w:lineRule="exact"/>
              <w:ind w:left="48" w:right="0"/>
              <w:jc w:val="left"/>
              <w:rPr>
                <w:rFonts w:ascii="宋体" w:hAnsi="宋体" w:cs="宋体" w:eastAsia="宋体" w:hint="default"/>
                <w:sz w:val="22"/>
                <w:szCs w:val="22"/>
              </w:rPr>
            </w:pPr>
            <w:r>
              <w:rPr>
                <w:rFonts w:ascii="宋体" w:hAnsi="宋体" w:cs="宋体" w:eastAsia="宋体" w:hint="default"/>
                <w:sz w:val="22"/>
                <w:szCs w:val="22"/>
              </w:rPr>
              <w:t>政府补助（注</w:t>
            </w:r>
            <w:r>
              <w:rPr>
                <w:rFonts w:ascii="宋体" w:hAnsi="宋体" w:cs="宋体" w:eastAsia="宋体" w:hint="default"/>
                <w:spacing w:val="-57"/>
                <w:sz w:val="22"/>
                <w:szCs w:val="22"/>
              </w:rPr>
              <w:t> </w:t>
            </w:r>
            <w:r>
              <w:rPr>
                <w:rFonts w:ascii="Arial" w:hAnsi="Arial" w:cs="Arial" w:eastAsia="Arial" w:hint="default"/>
                <w:sz w:val="22"/>
                <w:szCs w:val="22"/>
              </w:rPr>
              <w:t>3</w:t>
            </w:r>
            <w:r>
              <w:rPr>
                <w:rFonts w:ascii="宋体" w:hAnsi="宋体" w:cs="宋体" w:eastAsia="宋体" w:hint="default"/>
                <w:sz w:val="22"/>
                <w:szCs w:val="22"/>
              </w:rPr>
              <w:t>）</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52" w:right="0"/>
              <w:jc w:val="left"/>
              <w:rPr>
                <w:rFonts w:ascii="Arial" w:hAnsi="Arial" w:cs="Arial" w:eastAsia="Arial" w:hint="default"/>
                <w:sz w:val="22"/>
                <w:szCs w:val="22"/>
              </w:rPr>
            </w:pPr>
            <w:r>
              <w:rPr>
                <w:rFonts w:ascii="Arial"/>
                <w:sz w:val="22"/>
              </w:rPr>
              <w:t>122,835,640</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88" w:right="0"/>
              <w:jc w:val="left"/>
              <w:rPr>
                <w:rFonts w:ascii="Arial" w:hAnsi="Arial" w:cs="Arial" w:eastAsia="Arial" w:hint="default"/>
                <w:sz w:val="22"/>
                <w:szCs w:val="22"/>
              </w:rPr>
            </w:pPr>
            <w:r>
              <w:rPr>
                <w:rFonts w:ascii="Arial"/>
                <w:sz w:val="22"/>
              </w:rPr>
              <w:t>118,003,663</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2"/>
                <w:szCs w:val="22"/>
              </w:rPr>
            </w:pPr>
            <w:r>
              <w:rPr>
                <w:rFonts w:ascii="Arial"/>
                <w:w w:val="95"/>
                <w:sz w:val="22"/>
              </w:rPr>
              <w:t>122,835,640</w:t>
            </w:r>
            <w:r>
              <w:rPr>
                <w:rFonts w:ascii="Arial"/>
                <w:sz w:val="22"/>
              </w:rPr>
            </w:r>
          </w:p>
        </w:tc>
      </w:tr>
      <w:tr>
        <w:trPr>
          <w:trHeight w:val="419" w:hRule="exact"/>
        </w:trPr>
        <w:tc>
          <w:tcPr>
            <w:tcW w:w="2892" w:type="dxa"/>
            <w:tcBorders>
              <w:top w:val="nil" w:sz="6" w:space="0" w:color="auto"/>
              <w:left w:val="nil" w:sz="6" w:space="0" w:color="auto"/>
              <w:bottom w:val="nil" w:sz="6" w:space="0" w:color="auto"/>
              <w:right w:val="nil" w:sz="6" w:space="0" w:color="auto"/>
            </w:tcBorders>
          </w:tcPr>
          <w:p>
            <w:pPr>
              <w:pStyle w:val="TableParagraph"/>
              <w:spacing w:line="239" w:lineRule="exact"/>
              <w:ind w:left="48"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800" w:type="dxa"/>
            <w:tcBorders>
              <w:top w:val="nil" w:sz="6" w:space="0" w:color="auto"/>
              <w:left w:val="nil" w:sz="6" w:space="0" w:color="auto"/>
              <w:bottom w:val="nil" w:sz="6" w:space="0" w:color="auto"/>
              <w:right w:val="nil" w:sz="6" w:space="0" w:color="auto"/>
            </w:tcBorders>
          </w:tcPr>
          <w:p>
            <w:pPr>
              <w:pStyle w:val="TableParagraph"/>
              <w:tabs>
                <w:tab w:pos="452" w:val="left" w:leader="none"/>
                <w:tab w:pos="1799" w:val="left" w:leader="none"/>
              </w:tabs>
              <w:spacing w:line="240" w:lineRule="auto" w:before="17"/>
              <w:ind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223,326,962</w:t>
              <w:tab/>
            </w:r>
            <w:r>
              <w:rPr>
                <w:rFonts w:ascii="Arial"/>
                <w:sz w:val="22"/>
              </w:rPr>
            </w:r>
          </w:p>
        </w:tc>
        <w:tc>
          <w:tcPr>
            <w:tcW w:w="1935" w:type="dxa"/>
            <w:tcBorders>
              <w:top w:val="nil" w:sz="6" w:space="0" w:color="auto"/>
              <w:left w:val="nil" w:sz="6" w:space="0" w:color="auto"/>
              <w:bottom w:val="nil" w:sz="6" w:space="0" w:color="auto"/>
              <w:right w:val="nil" w:sz="6" w:space="0" w:color="auto"/>
            </w:tcBorders>
          </w:tcPr>
          <w:p>
            <w:pPr>
              <w:pStyle w:val="TableParagraph"/>
              <w:tabs>
                <w:tab w:pos="387" w:val="left" w:leader="none"/>
                <w:tab w:pos="2871" w:val="left" w:leader="none"/>
              </w:tabs>
              <w:spacing w:line="240" w:lineRule="auto" w:before="17"/>
              <w:ind w:left="80" w:right="-938"/>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174,225,618</w:t>
            </w:r>
            <w:r>
              <w:rPr>
                <w:rFonts w:ascii="Arial"/>
                <w:spacing w:val="27"/>
                <w:sz w:val="22"/>
                <w:u w:val="single" w:color="000000"/>
              </w:rPr>
              <w:t> </w:t>
            </w:r>
            <w:r>
              <w:rPr>
                <w:rFonts w:ascii="Arial"/>
                <w:spacing w:val="27"/>
                <w:sz w:val="22"/>
              </w:rPr>
            </w:r>
            <w:r>
              <w:rPr>
                <w:rFonts w:ascii="Arial"/>
                <w:spacing w:val="10"/>
                <w:sz w:val="22"/>
              </w:rPr>
              <w:t> </w:t>
            </w:r>
            <w:r>
              <w:rPr>
                <w:rFonts w:ascii="Arial"/>
                <w:spacing w:val="10"/>
                <w:w w:val="99"/>
                <w:sz w:val="22"/>
              </w:rPr>
            </w:r>
            <w:r>
              <w:rPr>
                <w:rFonts w:ascii="Arial"/>
                <w:w w:val="99"/>
                <w:sz w:val="22"/>
                <w:u w:val="single" w:color="000000"/>
              </w:rPr>
              <w:t> </w:t>
            </w:r>
            <w:r>
              <w:rPr>
                <w:rFonts w:ascii="Arial"/>
                <w:sz w:val="22"/>
                <w:u w:val="single" w:color="000000"/>
              </w:rPr>
              <w:tab/>
            </w:r>
            <w:r>
              <w:rPr>
                <w:rFonts w:ascii="Arial"/>
                <w:sz w:val="22"/>
              </w:rPr>
            </w:r>
          </w:p>
        </w:tc>
        <w:tc>
          <w:tcPr>
            <w:tcW w:w="2270" w:type="dxa"/>
            <w:tcBorders>
              <w:top w:val="nil" w:sz="6" w:space="0" w:color="auto"/>
              <w:left w:val="nil" w:sz="6" w:space="0" w:color="auto"/>
              <w:bottom w:val="nil" w:sz="6" w:space="0" w:color="auto"/>
              <w:right w:val="nil" w:sz="6" w:space="0" w:color="auto"/>
            </w:tcBorders>
          </w:tcPr>
          <w:p>
            <w:pPr>
              <w:pStyle w:val="TableParagraph"/>
              <w:tabs>
                <w:tab w:pos="1333"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5"/>
                <w:sz w:val="22"/>
                <w:u w:val="single" w:color="000000"/>
              </w:rPr>
              <w:t>223,326,962</w:t>
            </w:r>
            <w:r>
              <w:rPr>
                <w:rFonts w:ascii="Arial"/>
                <w:sz w:val="22"/>
                <w:u w:val="single" w:color="000000"/>
              </w:rPr>
              <w:tab/>
            </w:r>
            <w:r>
              <w:rPr>
                <w:rFonts w:ascii="Arial"/>
                <w:sz w:val="22"/>
              </w:rPr>
            </w:r>
          </w:p>
        </w:tc>
      </w:tr>
      <w:tr>
        <w:trPr>
          <w:trHeight w:val="431" w:hRule="exact"/>
        </w:trPr>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8"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800"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268" w:right="0"/>
              <w:jc w:val="left"/>
              <w:rPr>
                <w:rFonts w:ascii="Arial" w:hAnsi="Arial" w:cs="Arial" w:eastAsia="Arial" w:hint="default"/>
                <w:sz w:val="22"/>
                <w:szCs w:val="22"/>
              </w:rPr>
            </w:pPr>
            <w:r>
              <w:rPr>
                <w:rFonts w:ascii="Arial"/>
                <w:sz w:val="22"/>
              </w:rPr>
              <w:t>2,053,188,618</w:t>
            </w:r>
          </w:p>
        </w:tc>
        <w:tc>
          <w:tcPr>
            <w:tcW w:w="1935"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204" w:right="0"/>
              <w:jc w:val="left"/>
              <w:rPr>
                <w:rFonts w:ascii="Arial" w:hAnsi="Arial" w:cs="Arial" w:eastAsia="Arial" w:hint="default"/>
                <w:sz w:val="22"/>
                <w:szCs w:val="22"/>
              </w:rPr>
            </w:pPr>
            <w:r>
              <w:rPr>
                <w:rFonts w:ascii="Arial"/>
                <w:sz w:val="22"/>
              </w:rPr>
              <w:t>1,874,449,694</w:t>
            </w:r>
          </w:p>
        </w:tc>
        <w:tc>
          <w:tcPr>
            <w:tcW w:w="2270"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08"/>
              <w:jc w:val="right"/>
              <w:rPr>
                <w:rFonts w:ascii="Arial" w:hAnsi="Arial" w:cs="Arial" w:eastAsia="Arial" w:hint="default"/>
                <w:sz w:val="22"/>
                <w:szCs w:val="22"/>
              </w:rPr>
            </w:pPr>
            <w:r>
              <w:rPr>
                <w:rFonts w:ascii="Arial"/>
                <w:spacing w:val="-1"/>
                <w:sz w:val="22"/>
              </w:rPr>
              <w:t>2,053,188,618</w:t>
            </w:r>
          </w:p>
        </w:tc>
      </w:tr>
    </w:tbl>
    <w:p>
      <w:pPr>
        <w:spacing w:line="240" w:lineRule="auto" w:before="1"/>
        <w:rPr>
          <w:rFonts w:ascii="宋体" w:hAnsi="宋体" w:cs="宋体" w:eastAsia="宋体" w:hint="default"/>
          <w:sz w:val="14"/>
          <w:szCs w:val="14"/>
        </w:rPr>
      </w:pPr>
    </w:p>
    <w:p>
      <w:pPr>
        <w:pStyle w:val="BodyText"/>
        <w:spacing w:line="286" w:lineRule="exact" w:before="60"/>
        <w:ind w:left="1236" w:right="163" w:hanging="645"/>
        <w:jc w:val="left"/>
      </w:pPr>
      <w:r>
        <w:rPr/>
        <w:t>注</w:t>
      </w:r>
      <w:r>
        <w:rPr>
          <w:spacing w:val="-36"/>
        </w:rPr>
        <w:t> </w:t>
      </w:r>
      <w:r>
        <w:rPr>
          <w:rFonts w:ascii="Arial" w:hAnsi="Arial" w:cs="Arial" w:eastAsia="Arial" w:hint="default"/>
        </w:rPr>
        <w:t>1</w:t>
      </w:r>
      <w:r>
        <w:rPr/>
        <w:t>：于</w:t>
      </w:r>
      <w:r>
        <w:rPr>
          <w:spacing w:val="-36"/>
        </w:rPr>
        <w:t> </w:t>
      </w:r>
      <w:r>
        <w:rPr>
          <w:rFonts w:ascii="Arial" w:hAnsi="Arial" w:cs="Arial" w:eastAsia="Arial" w:hint="default"/>
        </w:rPr>
        <w:t>2012</w:t>
      </w:r>
      <w:r>
        <w:rPr>
          <w:rFonts w:ascii="Arial" w:hAnsi="Arial" w:cs="Arial" w:eastAsia="Arial" w:hint="default"/>
          <w:spacing w:val="13"/>
        </w:rPr>
        <w:t> </w:t>
      </w:r>
      <w:r>
        <w:rPr/>
        <w:t>年度，本集团对已达到使用期限或无使用价值的固定资产及无形资产进行了处</w:t>
      </w:r>
      <w:r>
        <w:rPr>
          <w:w w:val="99"/>
        </w:rPr>
        <w:t> </w:t>
      </w:r>
      <w:r>
        <w:rPr/>
        <w:t>置。</w:t>
      </w:r>
    </w:p>
    <w:p>
      <w:pPr>
        <w:spacing w:line="240" w:lineRule="auto" w:before="6"/>
        <w:rPr>
          <w:rFonts w:ascii="宋体" w:hAnsi="宋体" w:cs="宋体" w:eastAsia="宋体" w:hint="default"/>
          <w:sz w:val="19"/>
          <w:szCs w:val="19"/>
        </w:rPr>
      </w:pPr>
    </w:p>
    <w:p>
      <w:pPr>
        <w:pStyle w:val="BodyText"/>
        <w:spacing w:line="284" w:lineRule="exact"/>
        <w:ind w:left="1236" w:right="166" w:hanging="645"/>
        <w:jc w:val="left"/>
      </w:pPr>
      <w:r>
        <w:rPr/>
        <w:t>注</w:t>
      </w:r>
      <w:r>
        <w:rPr>
          <w:spacing w:val="-37"/>
        </w:rPr>
        <w:t> </w:t>
      </w:r>
      <w:r>
        <w:rPr>
          <w:rFonts w:ascii="Arial" w:hAnsi="Arial" w:cs="Arial" w:eastAsia="Arial" w:hint="default"/>
        </w:rPr>
        <w:t>2</w:t>
      </w:r>
      <w:r>
        <w:rPr/>
        <w:t>：于</w:t>
      </w:r>
      <w:r>
        <w:rPr>
          <w:spacing w:val="-37"/>
        </w:rPr>
        <w:t> </w:t>
      </w:r>
      <w:r>
        <w:rPr>
          <w:rFonts w:ascii="Arial" w:hAnsi="Arial" w:cs="Arial" w:eastAsia="Arial" w:hint="default"/>
        </w:rPr>
        <w:t>2012</w:t>
      </w:r>
      <w:r>
        <w:rPr>
          <w:rFonts w:ascii="Arial" w:hAnsi="Arial" w:cs="Arial" w:eastAsia="Arial" w:hint="default"/>
          <w:spacing w:val="12"/>
        </w:rPr>
        <w:t> </w:t>
      </w:r>
      <w:r>
        <w:rPr/>
        <w:t>年度，本集团对账龄较长且已无法支付的应付款项进行清理后转入营业外收入</w:t>
      </w:r>
      <w:r>
        <w:rPr>
          <w:w w:val="99"/>
        </w:rPr>
        <w:t> </w:t>
      </w:r>
      <w:r>
        <w:rPr/>
        <w:t>约人民币</w:t>
      </w:r>
      <w:r>
        <w:rPr>
          <w:spacing w:val="-57"/>
        </w:rPr>
        <w:t> </w:t>
      </w:r>
      <w:r>
        <w:rPr>
          <w:rFonts w:ascii="Arial" w:hAnsi="Arial" w:cs="Arial" w:eastAsia="Arial" w:hint="default"/>
        </w:rPr>
        <w:t>2.45</w:t>
      </w:r>
      <w:r>
        <w:rPr>
          <w:rFonts w:ascii="Arial" w:hAnsi="Arial" w:cs="Arial" w:eastAsia="Arial" w:hint="default"/>
          <w:spacing w:val="-8"/>
        </w:rPr>
        <w:t> </w:t>
      </w:r>
      <w:r>
        <w:rPr/>
        <w:t>亿元（</w:t>
      </w:r>
      <w:r>
        <w:rPr>
          <w:rFonts w:ascii="Arial" w:hAnsi="Arial" w:cs="Arial" w:eastAsia="Arial" w:hint="default"/>
        </w:rPr>
        <w:t>2011</w:t>
      </w:r>
      <w:r>
        <w:rPr>
          <w:rFonts w:ascii="Arial" w:hAnsi="Arial" w:cs="Arial" w:eastAsia="Arial" w:hint="default"/>
          <w:spacing w:val="-8"/>
        </w:rPr>
        <w:t> </w:t>
      </w:r>
      <w:r>
        <w:rPr/>
        <w:t>年：约人民币</w:t>
      </w:r>
      <w:r>
        <w:rPr>
          <w:spacing w:val="-57"/>
        </w:rPr>
        <w:t> </w:t>
      </w:r>
      <w:r>
        <w:rPr>
          <w:rFonts w:ascii="Arial" w:hAnsi="Arial" w:cs="Arial" w:eastAsia="Arial" w:hint="default"/>
        </w:rPr>
        <w:t>1.25</w:t>
      </w:r>
      <w:r>
        <w:rPr>
          <w:rFonts w:ascii="Arial" w:hAnsi="Arial" w:cs="Arial" w:eastAsia="Arial" w:hint="default"/>
          <w:spacing w:val="-8"/>
        </w:rPr>
        <w:t> </w:t>
      </w:r>
      <w:r>
        <w:rPr/>
        <w:t>亿元）。</w:t>
      </w:r>
    </w:p>
    <w:p>
      <w:pPr>
        <w:spacing w:after="0" w:line="284" w:lineRule="exact"/>
        <w:jc w:val="left"/>
        <w:sectPr>
          <w:headerReference w:type="default" r:id="rId120"/>
          <w:pgSz w:w="11910" w:h="16840"/>
          <w:pgMar w:header="1184" w:footer="457" w:top="3040" w:bottom="640" w:left="1280" w:right="880"/>
        </w:sectPr>
      </w:pPr>
    </w:p>
    <w:p>
      <w:pPr>
        <w:spacing w:line="240" w:lineRule="auto" w:before="12"/>
        <w:rPr>
          <w:rFonts w:ascii="宋体" w:hAnsi="宋体" w:cs="宋体" w:eastAsia="宋体" w:hint="default"/>
          <w:sz w:val="14"/>
          <w:szCs w:val="14"/>
        </w:rPr>
      </w:pPr>
    </w:p>
    <w:p>
      <w:pPr>
        <w:pStyle w:val="BodyText"/>
        <w:spacing w:line="427" w:lineRule="auto" w:before="31"/>
        <w:ind w:left="591" w:right="7164" w:hanging="490"/>
        <w:jc w:val="left"/>
      </w:pPr>
      <w:r>
        <w:rPr>
          <w:rFonts w:ascii="Arial" w:hAnsi="Arial" w:cs="Arial" w:eastAsia="Arial" w:hint="default"/>
        </w:rPr>
        <w:t>43</w:t>
      </w:r>
      <w:r>
        <w:rPr/>
        <w:t>、营业外收入（续）</w:t>
      </w:r>
      <w:r>
        <w:rPr>
          <w:w w:val="99"/>
        </w:rPr>
        <w:t> </w:t>
      </w:r>
      <w:r>
        <w:rPr/>
        <w:t>注</w:t>
      </w:r>
      <w:r>
        <w:rPr>
          <w:spacing w:val="-59"/>
        </w:rPr>
        <w:t> </w:t>
      </w:r>
      <w:r>
        <w:rPr>
          <w:rFonts w:ascii="Arial" w:hAnsi="Arial" w:cs="Arial" w:eastAsia="Arial" w:hint="default"/>
        </w:rPr>
        <w:t>3</w:t>
      </w:r>
      <w:r>
        <w:rPr/>
        <w:t>：政府补助明细</w:t>
      </w:r>
    </w:p>
    <w:p>
      <w:pPr>
        <w:spacing w:line="240" w:lineRule="auto" w:before="3"/>
        <w:rPr>
          <w:rFonts w:ascii="宋体" w:hAnsi="宋体" w:cs="宋体" w:eastAsia="宋体" w:hint="default"/>
          <w:sz w:val="8"/>
          <w:szCs w:val="8"/>
        </w:rPr>
      </w:pPr>
    </w:p>
    <w:tbl>
      <w:tblPr>
        <w:tblW w:w="0" w:type="auto"/>
        <w:jc w:val="left"/>
        <w:tblInd w:w="1058" w:type="dxa"/>
        <w:tblLayout w:type="fixed"/>
        <w:tblCellMar>
          <w:top w:w="0" w:type="dxa"/>
          <w:left w:w="0" w:type="dxa"/>
          <w:bottom w:w="0" w:type="dxa"/>
          <w:right w:w="0" w:type="dxa"/>
        </w:tblCellMar>
        <w:tblLook w:val="01E0"/>
      </w:tblPr>
      <w:tblGrid>
        <w:gridCol w:w="2096"/>
        <w:gridCol w:w="1568"/>
        <w:gridCol w:w="1336"/>
        <w:gridCol w:w="141"/>
        <w:gridCol w:w="3402"/>
      </w:tblGrid>
      <w:tr>
        <w:trPr>
          <w:trHeight w:val="237" w:hRule="exact"/>
        </w:trPr>
        <w:tc>
          <w:tcPr>
            <w:tcW w:w="2096"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single" w:sz="6" w:space="0" w:color="000000"/>
              <w:right w:val="nil" w:sz="6" w:space="0" w:color="auto"/>
            </w:tcBorders>
          </w:tcPr>
          <w:p>
            <w:pPr>
              <w:pStyle w:val="TableParagraph"/>
              <w:spacing w:line="215" w:lineRule="exact"/>
              <w:ind w:left="450"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年度</w:t>
            </w:r>
          </w:p>
        </w:tc>
        <w:tc>
          <w:tcPr>
            <w:tcW w:w="1336" w:type="dxa"/>
            <w:tcBorders>
              <w:top w:val="nil" w:sz="6" w:space="0" w:color="auto"/>
              <w:left w:val="nil" w:sz="6" w:space="0" w:color="auto"/>
              <w:bottom w:val="single" w:sz="6" w:space="0" w:color="000000"/>
              <w:right w:val="nil" w:sz="6" w:space="0" w:color="auto"/>
            </w:tcBorders>
          </w:tcPr>
          <w:p>
            <w:pPr>
              <w:pStyle w:val="TableParagraph"/>
              <w:spacing w:line="215" w:lineRule="exact"/>
              <w:ind w:right="26"/>
              <w:jc w:val="righ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年度</w:t>
            </w:r>
          </w:p>
        </w:tc>
        <w:tc>
          <w:tcPr>
            <w:tcW w:w="141" w:type="dxa"/>
            <w:tcBorders>
              <w:top w:val="nil" w:sz="6" w:space="0" w:color="auto"/>
              <w:left w:val="nil" w:sz="6" w:space="0" w:color="auto"/>
              <w:bottom w:val="nil" w:sz="6" w:space="0" w:color="auto"/>
              <w:right w:val="nil" w:sz="6" w:space="0" w:color="auto"/>
            </w:tcBorders>
          </w:tcPr>
          <w:p>
            <w:pPr/>
          </w:p>
        </w:tc>
        <w:tc>
          <w:tcPr>
            <w:tcW w:w="3402" w:type="dxa"/>
            <w:tcBorders>
              <w:top w:val="nil" w:sz="6" w:space="0" w:color="auto"/>
              <w:left w:val="nil" w:sz="6" w:space="0" w:color="auto"/>
              <w:bottom w:val="single" w:sz="6" w:space="0" w:color="000000"/>
              <w:right w:val="nil" w:sz="6" w:space="0" w:color="auto"/>
            </w:tcBorders>
          </w:tcPr>
          <w:p>
            <w:pPr>
              <w:pStyle w:val="TableParagraph"/>
              <w:spacing w:line="200" w:lineRule="exact"/>
              <w:ind w:left="1" w:right="0"/>
              <w:jc w:val="center"/>
              <w:rPr>
                <w:rFonts w:ascii="宋体" w:hAnsi="宋体" w:cs="宋体" w:eastAsia="宋体" w:hint="default"/>
                <w:sz w:val="20"/>
                <w:szCs w:val="20"/>
              </w:rPr>
            </w:pPr>
            <w:r>
              <w:rPr>
                <w:rFonts w:ascii="宋体" w:hAnsi="宋体" w:cs="宋体" w:eastAsia="宋体" w:hint="default"/>
                <w:sz w:val="20"/>
                <w:szCs w:val="20"/>
              </w:rPr>
              <w:t>说明</w:t>
            </w:r>
          </w:p>
        </w:tc>
      </w:tr>
      <w:tr>
        <w:trPr>
          <w:trHeight w:val="509" w:hRule="exact"/>
        </w:trPr>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20"/>
                <w:szCs w:val="20"/>
              </w:rPr>
            </w:pPr>
            <w:r>
              <w:rPr>
                <w:rFonts w:ascii="宋体" w:hAnsi="宋体" w:cs="宋体" w:eastAsia="宋体" w:hint="default"/>
                <w:sz w:val="20"/>
                <w:szCs w:val="20"/>
              </w:rPr>
              <w:t>电信服务补贴</w:t>
            </w:r>
          </w:p>
        </w:tc>
        <w:tc>
          <w:tcPr>
            <w:tcW w:w="1568"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44" w:right="0"/>
              <w:jc w:val="left"/>
              <w:rPr>
                <w:rFonts w:ascii="Arial" w:hAnsi="Arial" w:cs="Arial" w:eastAsia="Arial" w:hint="default"/>
                <w:sz w:val="20"/>
                <w:szCs w:val="20"/>
              </w:rPr>
            </w:pPr>
            <w:r>
              <w:rPr>
                <w:rFonts w:ascii="Arial"/>
                <w:sz w:val="20"/>
              </w:rPr>
              <w:t>40,800,000</w:t>
            </w:r>
          </w:p>
        </w:tc>
        <w:tc>
          <w:tcPr>
            <w:tcW w:w="1336"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right"/>
              <w:rPr>
                <w:rFonts w:ascii="Arial" w:hAnsi="Arial" w:cs="Arial" w:eastAsia="Arial" w:hint="default"/>
                <w:sz w:val="20"/>
                <w:szCs w:val="20"/>
              </w:rPr>
            </w:pPr>
            <w:r>
              <w:rPr>
                <w:rFonts w:ascii="Arial"/>
                <w:spacing w:val="-1"/>
                <w:sz w:val="20"/>
              </w:rPr>
              <w:t>42,000,000</w:t>
            </w:r>
          </w:p>
        </w:tc>
        <w:tc>
          <w:tcPr>
            <w:tcW w:w="141" w:type="dxa"/>
            <w:tcBorders>
              <w:top w:val="nil" w:sz="6" w:space="0" w:color="auto"/>
              <w:left w:val="nil" w:sz="6" w:space="0" w:color="auto"/>
              <w:bottom w:val="nil" w:sz="6" w:space="0" w:color="auto"/>
              <w:right w:val="nil" w:sz="6" w:space="0" w:color="auto"/>
            </w:tcBorders>
          </w:tcPr>
          <w:p>
            <w:pPr/>
          </w:p>
        </w:tc>
        <w:tc>
          <w:tcPr>
            <w:tcW w:w="3402"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20"/>
                <w:szCs w:val="20"/>
              </w:rPr>
            </w:pPr>
            <w:r>
              <w:rPr>
                <w:rFonts w:ascii="宋体" w:hAnsi="宋体" w:cs="宋体" w:eastAsia="宋体" w:hint="default"/>
                <w:sz w:val="20"/>
                <w:szCs w:val="20"/>
              </w:rPr>
              <w:t>村村通电信服务补贴</w:t>
            </w:r>
          </w:p>
        </w:tc>
      </w:tr>
      <w:tr>
        <w:trPr>
          <w:trHeight w:val="259" w:hRule="exact"/>
        </w:trPr>
        <w:tc>
          <w:tcPr>
            <w:tcW w:w="2096" w:type="dxa"/>
            <w:tcBorders>
              <w:top w:val="nil" w:sz="6" w:space="0" w:color="auto"/>
              <w:left w:val="nil" w:sz="6" w:space="0" w:color="auto"/>
              <w:bottom w:val="nil" w:sz="6" w:space="0" w:color="auto"/>
              <w:right w:val="nil" w:sz="6" w:space="0" w:color="auto"/>
            </w:tcBorders>
          </w:tcPr>
          <w:p>
            <w:pPr>
              <w:pStyle w:val="TableParagraph"/>
              <w:spacing w:line="219" w:lineRule="exact"/>
              <w:ind w:left="200" w:right="0"/>
              <w:jc w:val="left"/>
              <w:rPr>
                <w:rFonts w:ascii="宋体" w:hAnsi="宋体" w:cs="宋体" w:eastAsia="宋体" w:hint="default"/>
                <w:sz w:val="20"/>
                <w:szCs w:val="20"/>
              </w:rPr>
            </w:pPr>
            <w:r>
              <w:rPr>
                <w:rFonts w:ascii="宋体" w:hAnsi="宋体" w:cs="宋体" w:eastAsia="宋体" w:hint="default"/>
                <w:sz w:val="20"/>
                <w:szCs w:val="20"/>
              </w:rPr>
              <w:t>战备应急补贴</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44" w:right="0"/>
              <w:jc w:val="left"/>
              <w:rPr>
                <w:rFonts w:ascii="Arial" w:hAnsi="Arial" w:cs="Arial" w:eastAsia="Arial" w:hint="default"/>
                <w:sz w:val="20"/>
                <w:szCs w:val="20"/>
              </w:rPr>
            </w:pPr>
            <w:r>
              <w:rPr>
                <w:rFonts w:ascii="Arial"/>
                <w:sz w:val="20"/>
              </w:rPr>
              <w:t>19,080,000</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right"/>
              <w:rPr>
                <w:rFonts w:ascii="Arial" w:hAnsi="Arial" w:cs="Arial" w:eastAsia="Arial" w:hint="default"/>
                <w:sz w:val="20"/>
                <w:szCs w:val="20"/>
              </w:rPr>
            </w:pPr>
            <w:r>
              <w:rPr>
                <w:rFonts w:ascii="Arial"/>
                <w:spacing w:val="-1"/>
                <w:sz w:val="20"/>
              </w:rPr>
              <w:t>19,800,000</w:t>
            </w:r>
          </w:p>
        </w:tc>
        <w:tc>
          <w:tcPr>
            <w:tcW w:w="141" w:type="dxa"/>
            <w:tcBorders>
              <w:top w:val="nil" w:sz="6" w:space="0" w:color="auto"/>
              <w:left w:val="nil" w:sz="6" w:space="0" w:color="auto"/>
              <w:bottom w:val="nil" w:sz="6" w:space="0" w:color="auto"/>
              <w:right w:val="nil" w:sz="6" w:space="0" w:color="auto"/>
            </w:tcBorders>
          </w:tcPr>
          <w:p>
            <w:pPr/>
          </w:p>
        </w:tc>
        <w:tc>
          <w:tcPr>
            <w:tcW w:w="3402" w:type="dxa"/>
            <w:tcBorders>
              <w:top w:val="nil" w:sz="6" w:space="0" w:color="auto"/>
              <w:left w:val="nil" w:sz="6" w:space="0" w:color="auto"/>
              <w:bottom w:val="nil" w:sz="6" w:space="0" w:color="auto"/>
              <w:right w:val="nil" w:sz="6" w:space="0" w:color="auto"/>
            </w:tcBorders>
          </w:tcPr>
          <w:p>
            <w:pPr>
              <w:pStyle w:val="TableParagraph"/>
              <w:spacing w:line="219" w:lineRule="exact"/>
              <w:ind w:left="62" w:right="0"/>
              <w:jc w:val="left"/>
              <w:rPr>
                <w:rFonts w:ascii="宋体" w:hAnsi="宋体" w:cs="宋体" w:eastAsia="宋体" w:hint="default"/>
                <w:sz w:val="20"/>
                <w:szCs w:val="20"/>
              </w:rPr>
            </w:pPr>
            <w:r>
              <w:rPr>
                <w:rFonts w:ascii="宋体" w:hAnsi="宋体" w:cs="宋体" w:eastAsia="宋体" w:hint="default"/>
                <w:sz w:val="20"/>
                <w:szCs w:val="20"/>
              </w:rPr>
              <w:t>战备应急通信运营维护专项经费</w:t>
            </w:r>
          </w:p>
        </w:tc>
      </w:tr>
      <w:tr>
        <w:trPr>
          <w:trHeight w:val="259" w:hRule="exact"/>
        </w:trPr>
        <w:tc>
          <w:tcPr>
            <w:tcW w:w="2096" w:type="dxa"/>
            <w:tcBorders>
              <w:top w:val="nil" w:sz="6" w:space="0" w:color="auto"/>
              <w:left w:val="nil" w:sz="6" w:space="0" w:color="auto"/>
              <w:bottom w:val="nil" w:sz="6" w:space="0" w:color="auto"/>
              <w:right w:val="nil" w:sz="6" w:space="0" w:color="auto"/>
            </w:tcBorders>
          </w:tcPr>
          <w:p>
            <w:pPr>
              <w:pStyle w:val="TableParagraph"/>
              <w:spacing w:line="219" w:lineRule="exact"/>
              <w:ind w:left="200" w:right="0"/>
              <w:jc w:val="left"/>
              <w:rPr>
                <w:rFonts w:ascii="宋体" w:hAnsi="宋体" w:cs="宋体" w:eastAsia="宋体" w:hint="default"/>
                <w:sz w:val="20"/>
                <w:szCs w:val="20"/>
              </w:rPr>
            </w:pPr>
            <w:r>
              <w:rPr>
                <w:rFonts w:ascii="宋体" w:hAnsi="宋体" w:cs="宋体" w:eastAsia="宋体" w:hint="default"/>
                <w:sz w:val="20"/>
                <w:szCs w:val="20"/>
              </w:rPr>
              <w:t>增值税退税（注）</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44" w:right="0"/>
              <w:jc w:val="left"/>
              <w:rPr>
                <w:rFonts w:ascii="Arial" w:hAnsi="Arial" w:cs="Arial" w:eastAsia="Arial" w:hint="default"/>
                <w:sz w:val="20"/>
                <w:szCs w:val="20"/>
              </w:rPr>
            </w:pPr>
            <w:r>
              <w:rPr>
                <w:rFonts w:ascii="Arial"/>
                <w:sz w:val="20"/>
              </w:rPr>
              <w:t>12,774,336</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right"/>
              <w:rPr>
                <w:rFonts w:ascii="Arial" w:hAnsi="Arial" w:cs="Arial" w:eastAsia="Arial" w:hint="default"/>
                <w:sz w:val="20"/>
                <w:szCs w:val="20"/>
              </w:rPr>
            </w:pPr>
            <w:r>
              <w:rPr>
                <w:rFonts w:ascii="Arial"/>
                <w:spacing w:val="-1"/>
                <w:sz w:val="20"/>
              </w:rPr>
              <w:t>25,181,540</w:t>
            </w:r>
          </w:p>
        </w:tc>
        <w:tc>
          <w:tcPr>
            <w:tcW w:w="141" w:type="dxa"/>
            <w:tcBorders>
              <w:top w:val="nil" w:sz="6" w:space="0" w:color="auto"/>
              <w:left w:val="nil" w:sz="6" w:space="0" w:color="auto"/>
              <w:bottom w:val="nil" w:sz="6" w:space="0" w:color="auto"/>
              <w:right w:val="nil" w:sz="6" w:space="0" w:color="auto"/>
            </w:tcBorders>
          </w:tcPr>
          <w:p>
            <w:pPr/>
          </w:p>
        </w:tc>
        <w:tc>
          <w:tcPr>
            <w:tcW w:w="3402" w:type="dxa"/>
            <w:tcBorders>
              <w:top w:val="nil" w:sz="6" w:space="0" w:color="auto"/>
              <w:left w:val="nil" w:sz="6" w:space="0" w:color="auto"/>
              <w:bottom w:val="nil" w:sz="6" w:space="0" w:color="auto"/>
              <w:right w:val="nil" w:sz="6" w:space="0" w:color="auto"/>
            </w:tcBorders>
          </w:tcPr>
          <w:p>
            <w:pPr>
              <w:pStyle w:val="TableParagraph"/>
              <w:spacing w:line="219" w:lineRule="exact"/>
              <w:ind w:left="62" w:right="0"/>
              <w:jc w:val="left"/>
              <w:rPr>
                <w:rFonts w:ascii="宋体" w:hAnsi="宋体" w:cs="宋体" w:eastAsia="宋体" w:hint="default"/>
                <w:sz w:val="20"/>
                <w:szCs w:val="20"/>
              </w:rPr>
            </w:pPr>
            <w:r>
              <w:rPr>
                <w:rFonts w:ascii="宋体" w:hAnsi="宋体" w:cs="宋体" w:eastAsia="宋体" w:hint="default"/>
                <w:sz w:val="20"/>
                <w:szCs w:val="20"/>
              </w:rPr>
              <w:t>软件销售的增值税即征即退</w:t>
            </w:r>
          </w:p>
        </w:tc>
      </w:tr>
      <w:tr>
        <w:trPr>
          <w:trHeight w:val="259" w:hRule="exact"/>
        </w:trPr>
        <w:tc>
          <w:tcPr>
            <w:tcW w:w="2096" w:type="dxa"/>
            <w:tcBorders>
              <w:top w:val="nil" w:sz="6" w:space="0" w:color="auto"/>
              <w:left w:val="nil" w:sz="6" w:space="0" w:color="auto"/>
              <w:bottom w:val="nil" w:sz="6" w:space="0" w:color="auto"/>
              <w:right w:val="nil" w:sz="6" w:space="0" w:color="auto"/>
            </w:tcBorders>
          </w:tcPr>
          <w:p>
            <w:pPr>
              <w:pStyle w:val="TableParagraph"/>
              <w:spacing w:line="219" w:lineRule="exact"/>
              <w:ind w:left="200" w:right="0"/>
              <w:jc w:val="left"/>
              <w:rPr>
                <w:rFonts w:ascii="宋体" w:hAnsi="宋体" w:cs="宋体" w:eastAsia="宋体" w:hint="default"/>
                <w:sz w:val="20"/>
                <w:szCs w:val="20"/>
              </w:rPr>
            </w:pPr>
            <w:r>
              <w:rPr>
                <w:rFonts w:ascii="宋体" w:hAnsi="宋体" w:cs="宋体" w:eastAsia="宋体" w:hint="default"/>
                <w:sz w:val="20"/>
                <w:szCs w:val="20"/>
              </w:rPr>
              <w:t>系统开发补贴</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56" w:right="0"/>
              <w:jc w:val="left"/>
              <w:rPr>
                <w:rFonts w:ascii="Arial" w:hAnsi="Arial" w:cs="Arial" w:eastAsia="Arial" w:hint="default"/>
                <w:sz w:val="20"/>
                <w:szCs w:val="20"/>
              </w:rPr>
            </w:pPr>
            <w:r>
              <w:rPr>
                <w:rFonts w:ascii="Arial"/>
                <w:sz w:val="20"/>
              </w:rPr>
              <w:t>6,406,000</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right"/>
              <w:rPr>
                <w:rFonts w:ascii="Arial" w:hAnsi="Arial" w:cs="Arial" w:eastAsia="Arial" w:hint="default"/>
                <w:sz w:val="20"/>
                <w:szCs w:val="20"/>
              </w:rPr>
            </w:pPr>
            <w:r>
              <w:rPr>
                <w:rFonts w:ascii="Arial"/>
                <w:w w:val="100"/>
                <w:sz w:val="20"/>
              </w:rPr>
              <w:t>-</w:t>
            </w:r>
          </w:p>
        </w:tc>
        <w:tc>
          <w:tcPr>
            <w:tcW w:w="141" w:type="dxa"/>
            <w:tcBorders>
              <w:top w:val="nil" w:sz="6" w:space="0" w:color="auto"/>
              <w:left w:val="nil" w:sz="6" w:space="0" w:color="auto"/>
              <w:bottom w:val="nil" w:sz="6" w:space="0" w:color="auto"/>
              <w:right w:val="nil" w:sz="6" w:space="0" w:color="auto"/>
            </w:tcBorders>
          </w:tcPr>
          <w:p>
            <w:pPr/>
          </w:p>
        </w:tc>
        <w:tc>
          <w:tcPr>
            <w:tcW w:w="3402" w:type="dxa"/>
            <w:tcBorders>
              <w:top w:val="nil" w:sz="6" w:space="0" w:color="auto"/>
              <w:left w:val="nil" w:sz="6" w:space="0" w:color="auto"/>
              <w:bottom w:val="nil" w:sz="6" w:space="0" w:color="auto"/>
              <w:right w:val="nil" w:sz="6" w:space="0" w:color="auto"/>
            </w:tcBorders>
          </w:tcPr>
          <w:p>
            <w:pPr>
              <w:pStyle w:val="TableParagraph"/>
              <w:spacing w:line="219" w:lineRule="exact"/>
              <w:ind w:left="62" w:right="0"/>
              <w:jc w:val="left"/>
              <w:rPr>
                <w:rFonts w:ascii="宋体" w:hAnsi="宋体" w:cs="宋体" w:eastAsia="宋体" w:hint="default"/>
                <w:sz w:val="20"/>
                <w:szCs w:val="20"/>
              </w:rPr>
            </w:pPr>
            <w:r>
              <w:rPr>
                <w:rFonts w:ascii="宋体" w:hAnsi="宋体" w:cs="宋体" w:eastAsia="宋体" w:hint="default"/>
                <w:sz w:val="20"/>
                <w:szCs w:val="20"/>
              </w:rPr>
              <w:t>总部系统开发与示范应用项目经费</w:t>
            </w:r>
          </w:p>
        </w:tc>
      </w:tr>
      <w:tr>
        <w:trPr>
          <w:trHeight w:val="519" w:hRule="exact"/>
        </w:trPr>
        <w:tc>
          <w:tcPr>
            <w:tcW w:w="2096" w:type="dxa"/>
            <w:tcBorders>
              <w:top w:val="nil" w:sz="6" w:space="0" w:color="auto"/>
              <w:left w:val="nil" w:sz="6" w:space="0" w:color="auto"/>
              <w:bottom w:val="nil" w:sz="6" w:space="0" w:color="auto"/>
              <w:right w:val="nil" w:sz="6" w:space="0" w:color="auto"/>
            </w:tcBorders>
          </w:tcPr>
          <w:p>
            <w:pPr>
              <w:pStyle w:val="TableParagraph"/>
              <w:spacing w:line="218" w:lineRule="exact"/>
              <w:ind w:left="207" w:right="0"/>
              <w:jc w:val="left"/>
              <w:rPr>
                <w:rFonts w:ascii="宋体" w:hAnsi="宋体" w:cs="宋体" w:eastAsia="宋体" w:hint="default"/>
                <w:sz w:val="20"/>
                <w:szCs w:val="20"/>
              </w:rPr>
            </w:pPr>
            <w:r>
              <w:rPr>
                <w:rFonts w:ascii="宋体" w:hAnsi="宋体" w:cs="宋体" w:eastAsia="宋体" w:hint="default"/>
                <w:sz w:val="20"/>
                <w:szCs w:val="20"/>
              </w:rPr>
              <w:t>信息化村和宽带</w:t>
            </w:r>
          </w:p>
          <w:p>
            <w:pPr>
              <w:pStyle w:val="TableParagraph"/>
              <w:spacing w:line="260" w:lineRule="exact"/>
              <w:ind w:left="422" w:right="0"/>
              <w:jc w:val="left"/>
              <w:rPr>
                <w:rFonts w:ascii="宋体" w:hAnsi="宋体" w:cs="宋体" w:eastAsia="宋体" w:hint="default"/>
                <w:sz w:val="20"/>
                <w:szCs w:val="20"/>
              </w:rPr>
            </w:pPr>
            <w:r>
              <w:rPr>
                <w:rFonts w:ascii="宋体" w:hAnsi="宋体" w:cs="宋体" w:eastAsia="宋体" w:hint="default"/>
                <w:sz w:val="20"/>
                <w:szCs w:val="20"/>
              </w:rPr>
              <w:t>小区补贴</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20"/>
              <w:jc w:val="right"/>
              <w:rPr>
                <w:rFonts w:ascii="Arial" w:hAnsi="Arial" w:cs="Arial" w:eastAsia="Arial" w:hint="default"/>
                <w:sz w:val="20"/>
                <w:szCs w:val="20"/>
              </w:rPr>
            </w:pPr>
            <w:r>
              <w:rPr>
                <w:rFonts w:ascii="Arial"/>
                <w:w w:val="100"/>
                <w:sz w:val="20"/>
              </w:rPr>
              <w:t>-</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right"/>
              <w:rPr>
                <w:rFonts w:ascii="Arial" w:hAnsi="Arial" w:cs="Arial" w:eastAsia="Arial" w:hint="default"/>
                <w:sz w:val="20"/>
                <w:szCs w:val="20"/>
              </w:rPr>
            </w:pPr>
            <w:r>
              <w:rPr>
                <w:rFonts w:ascii="Arial"/>
                <w:spacing w:val="-1"/>
                <w:sz w:val="20"/>
              </w:rPr>
              <w:t>5,431,150</w:t>
            </w:r>
          </w:p>
        </w:tc>
        <w:tc>
          <w:tcPr>
            <w:tcW w:w="141" w:type="dxa"/>
            <w:tcBorders>
              <w:top w:val="nil" w:sz="6" w:space="0" w:color="auto"/>
              <w:left w:val="nil" w:sz="6" w:space="0" w:color="auto"/>
              <w:bottom w:val="nil" w:sz="6" w:space="0" w:color="auto"/>
              <w:right w:val="nil" w:sz="6" w:space="0" w:color="auto"/>
            </w:tcBorders>
          </w:tcPr>
          <w:p>
            <w:pPr/>
          </w:p>
        </w:tc>
        <w:tc>
          <w:tcPr>
            <w:tcW w:w="3402" w:type="dxa"/>
            <w:tcBorders>
              <w:top w:val="nil" w:sz="6" w:space="0" w:color="auto"/>
              <w:left w:val="nil" w:sz="6" w:space="0" w:color="auto"/>
              <w:bottom w:val="nil" w:sz="6" w:space="0" w:color="auto"/>
              <w:right w:val="nil" w:sz="6" w:space="0" w:color="auto"/>
            </w:tcBorders>
          </w:tcPr>
          <w:p>
            <w:pPr>
              <w:pStyle w:val="TableParagraph"/>
              <w:spacing w:line="218" w:lineRule="exact"/>
              <w:ind w:left="62" w:right="0"/>
              <w:jc w:val="left"/>
              <w:rPr>
                <w:rFonts w:ascii="宋体" w:hAnsi="宋体" w:cs="宋体" w:eastAsia="宋体" w:hint="default"/>
                <w:sz w:val="20"/>
                <w:szCs w:val="20"/>
              </w:rPr>
            </w:pPr>
            <w:r>
              <w:rPr>
                <w:rFonts w:ascii="宋体" w:hAnsi="宋体" w:cs="宋体" w:eastAsia="宋体" w:hint="default"/>
                <w:spacing w:val="6"/>
                <w:sz w:val="20"/>
                <w:szCs w:val="20"/>
              </w:rPr>
              <w:t>北京市经济和信息化委员会拨付信息</w:t>
            </w:r>
          </w:p>
          <w:p>
            <w:pPr>
              <w:pStyle w:val="TableParagraph"/>
              <w:spacing w:line="260" w:lineRule="exact"/>
              <w:ind w:left="261" w:right="0"/>
              <w:jc w:val="left"/>
              <w:rPr>
                <w:rFonts w:ascii="宋体" w:hAnsi="宋体" w:cs="宋体" w:eastAsia="宋体" w:hint="default"/>
                <w:sz w:val="20"/>
                <w:szCs w:val="20"/>
              </w:rPr>
            </w:pPr>
            <w:r>
              <w:rPr>
                <w:rFonts w:ascii="宋体" w:hAnsi="宋体" w:cs="宋体" w:eastAsia="宋体" w:hint="default"/>
                <w:sz w:val="20"/>
                <w:szCs w:val="20"/>
              </w:rPr>
              <w:t>化村和宽带小区政府补助</w:t>
            </w:r>
          </w:p>
        </w:tc>
      </w:tr>
      <w:tr>
        <w:trPr>
          <w:trHeight w:val="519" w:hRule="exact"/>
        </w:trPr>
        <w:tc>
          <w:tcPr>
            <w:tcW w:w="2096" w:type="dxa"/>
            <w:tcBorders>
              <w:top w:val="nil" w:sz="6" w:space="0" w:color="auto"/>
              <w:left w:val="nil" w:sz="6" w:space="0" w:color="auto"/>
              <w:bottom w:val="nil" w:sz="6" w:space="0" w:color="auto"/>
              <w:right w:val="nil" w:sz="6" w:space="0" w:color="auto"/>
            </w:tcBorders>
          </w:tcPr>
          <w:p>
            <w:pPr>
              <w:pStyle w:val="TableParagraph"/>
              <w:spacing w:line="218" w:lineRule="exact"/>
              <w:ind w:left="395" w:right="0" w:hanging="196"/>
              <w:jc w:val="left"/>
              <w:rPr>
                <w:rFonts w:ascii="宋体" w:hAnsi="宋体" w:cs="宋体" w:eastAsia="宋体" w:hint="default"/>
                <w:sz w:val="20"/>
                <w:szCs w:val="20"/>
              </w:rPr>
            </w:pPr>
            <w:r>
              <w:rPr>
                <w:rFonts w:ascii="宋体" w:hAnsi="宋体" w:cs="宋体" w:eastAsia="宋体" w:hint="default"/>
                <w:sz w:val="20"/>
                <w:szCs w:val="20"/>
              </w:rPr>
              <w:t>公益通和学校通</w:t>
            </w:r>
          </w:p>
          <w:p>
            <w:pPr>
              <w:pStyle w:val="TableParagraph"/>
              <w:spacing w:line="261" w:lineRule="exact"/>
              <w:ind w:left="395" w:right="0"/>
              <w:jc w:val="left"/>
              <w:rPr>
                <w:rFonts w:ascii="宋体" w:hAnsi="宋体" w:cs="宋体" w:eastAsia="宋体" w:hint="default"/>
                <w:sz w:val="20"/>
                <w:szCs w:val="20"/>
              </w:rPr>
            </w:pPr>
            <w:r>
              <w:rPr>
                <w:rFonts w:ascii="宋体" w:hAnsi="宋体" w:cs="宋体" w:eastAsia="宋体" w:hint="default"/>
                <w:sz w:val="20"/>
                <w:szCs w:val="20"/>
              </w:rPr>
              <w:t>宽带计划补贴</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456" w:right="0"/>
              <w:jc w:val="left"/>
              <w:rPr>
                <w:rFonts w:ascii="Arial" w:hAnsi="Arial" w:cs="Arial" w:eastAsia="Arial" w:hint="default"/>
                <w:sz w:val="20"/>
                <w:szCs w:val="20"/>
              </w:rPr>
            </w:pPr>
            <w:r>
              <w:rPr>
                <w:rFonts w:ascii="Arial"/>
                <w:sz w:val="20"/>
              </w:rPr>
              <w:t>4,900,000</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0"/>
              <w:jc w:val="right"/>
              <w:rPr>
                <w:rFonts w:ascii="Arial" w:hAnsi="Arial" w:cs="Arial" w:eastAsia="Arial" w:hint="default"/>
                <w:sz w:val="20"/>
                <w:szCs w:val="20"/>
              </w:rPr>
            </w:pPr>
            <w:r>
              <w:rPr>
                <w:rFonts w:ascii="Arial"/>
                <w:w w:val="100"/>
                <w:sz w:val="20"/>
              </w:rPr>
              <w:t>-</w:t>
            </w:r>
          </w:p>
        </w:tc>
        <w:tc>
          <w:tcPr>
            <w:tcW w:w="141" w:type="dxa"/>
            <w:tcBorders>
              <w:top w:val="nil" w:sz="6" w:space="0" w:color="auto"/>
              <w:left w:val="nil" w:sz="6" w:space="0" w:color="auto"/>
              <w:bottom w:val="nil" w:sz="6" w:space="0" w:color="auto"/>
              <w:right w:val="nil" w:sz="6" w:space="0" w:color="auto"/>
            </w:tcBorders>
          </w:tcPr>
          <w:p>
            <w:pPr/>
          </w:p>
        </w:tc>
        <w:tc>
          <w:tcPr>
            <w:tcW w:w="3402" w:type="dxa"/>
            <w:tcBorders>
              <w:top w:val="nil" w:sz="6" w:space="0" w:color="auto"/>
              <w:left w:val="nil" w:sz="6" w:space="0" w:color="auto"/>
              <w:bottom w:val="nil" w:sz="6" w:space="0" w:color="auto"/>
              <w:right w:val="nil" w:sz="6" w:space="0" w:color="auto"/>
            </w:tcBorders>
          </w:tcPr>
          <w:p>
            <w:pPr>
              <w:pStyle w:val="TableParagraph"/>
              <w:spacing w:line="218" w:lineRule="exact"/>
              <w:ind w:left="62" w:right="0"/>
              <w:jc w:val="left"/>
              <w:rPr>
                <w:rFonts w:ascii="宋体" w:hAnsi="宋体" w:cs="宋体" w:eastAsia="宋体" w:hint="default"/>
                <w:sz w:val="20"/>
                <w:szCs w:val="20"/>
              </w:rPr>
            </w:pPr>
            <w:r>
              <w:rPr>
                <w:rFonts w:ascii="宋体" w:hAnsi="宋体" w:cs="宋体" w:eastAsia="宋体" w:hint="default"/>
                <w:spacing w:val="-5"/>
                <w:sz w:val="20"/>
                <w:szCs w:val="20"/>
              </w:rPr>
              <w:t>工信部山西、内蒙古和云南公益通和学</w:t>
            </w:r>
          </w:p>
          <w:p>
            <w:pPr>
              <w:pStyle w:val="TableParagraph"/>
              <w:spacing w:line="261" w:lineRule="exact"/>
              <w:ind w:left="261" w:right="0"/>
              <w:jc w:val="left"/>
              <w:rPr>
                <w:rFonts w:ascii="宋体" w:hAnsi="宋体" w:cs="宋体" w:eastAsia="宋体" w:hint="default"/>
                <w:sz w:val="20"/>
                <w:szCs w:val="20"/>
              </w:rPr>
            </w:pPr>
            <w:r>
              <w:rPr>
                <w:rFonts w:ascii="宋体" w:hAnsi="宋体" w:cs="宋体" w:eastAsia="宋体" w:hint="default"/>
                <w:sz w:val="20"/>
                <w:szCs w:val="20"/>
              </w:rPr>
              <w:t>校通宽带计划补贴资金</w:t>
            </w:r>
          </w:p>
        </w:tc>
      </w:tr>
      <w:tr>
        <w:trPr>
          <w:trHeight w:val="518" w:hRule="exact"/>
        </w:trPr>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0"/>
                <w:szCs w:val="20"/>
              </w:rPr>
            </w:pPr>
            <w:r>
              <w:rPr>
                <w:rFonts w:ascii="宋体" w:hAnsi="宋体" w:cs="宋体" w:eastAsia="宋体" w:hint="default"/>
                <w:sz w:val="20"/>
                <w:szCs w:val="20"/>
              </w:rPr>
              <w:t>开发区扶持补贴</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20"/>
              <w:jc w:val="right"/>
              <w:rPr>
                <w:rFonts w:ascii="Arial" w:hAnsi="Arial" w:cs="Arial" w:eastAsia="Arial" w:hint="default"/>
                <w:sz w:val="20"/>
                <w:szCs w:val="20"/>
              </w:rPr>
            </w:pPr>
            <w:r>
              <w:rPr>
                <w:rFonts w:ascii="Arial"/>
                <w:w w:val="100"/>
                <w:sz w:val="20"/>
              </w:rPr>
              <w:t>-</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right"/>
              <w:rPr>
                <w:rFonts w:ascii="Arial" w:hAnsi="Arial" w:cs="Arial" w:eastAsia="Arial" w:hint="default"/>
                <w:sz w:val="20"/>
                <w:szCs w:val="20"/>
              </w:rPr>
            </w:pPr>
            <w:r>
              <w:rPr>
                <w:rFonts w:ascii="Arial"/>
                <w:spacing w:val="-1"/>
                <w:sz w:val="20"/>
              </w:rPr>
              <w:t>3,502,953</w:t>
            </w:r>
          </w:p>
        </w:tc>
        <w:tc>
          <w:tcPr>
            <w:tcW w:w="141" w:type="dxa"/>
            <w:tcBorders>
              <w:top w:val="nil" w:sz="6" w:space="0" w:color="auto"/>
              <w:left w:val="nil" w:sz="6" w:space="0" w:color="auto"/>
              <w:bottom w:val="nil" w:sz="6" w:space="0" w:color="auto"/>
              <w:right w:val="nil" w:sz="6" w:space="0" w:color="auto"/>
            </w:tcBorders>
          </w:tcPr>
          <w:p>
            <w:pPr/>
          </w:p>
        </w:tc>
        <w:tc>
          <w:tcPr>
            <w:tcW w:w="3402" w:type="dxa"/>
            <w:tcBorders>
              <w:top w:val="nil" w:sz="6" w:space="0" w:color="auto"/>
              <w:left w:val="nil" w:sz="6" w:space="0" w:color="auto"/>
              <w:bottom w:val="nil" w:sz="6" w:space="0" w:color="auto"/>
              <w:right w:val="nil" w:sz="6" w:space="0" w:color="auto"/>
            </w:tcBorders>
          </w:tcPr>
          <w:p>
            <w:pPr>
              <w:pStyle w:val="TableParagraph"/>
              <w:spacing w:line="218" w:lineRule="exact"/>
              <w:ind w:left="62" w:right="0"/>
              <w:jc w:val="left"/>
              <w:rPr>
                <w:rFonts w:ascii="宋体" w:hAnsi="宋体" w:cs="宋体" w:eastAsia="宋体" w:hint="default"/>
                <w:sz w:val="20"/>
                <w:szCs w:val="20"/>
              </w:rPr>
            </w:pPr>
            <w:r>
              <w:rPr>
                <w:rFonts w:ascii="宋体" w:hAnsi="宋体" w:cs="宋体" w:eastAsia="宋体" w:hint="default"/>
                <w:spacing w:val="6"/>
                <w:sz w:val="20"/>
                <w:szCs w:val="20"/>
              </w:rPr>
              <w:t>内蒙古包头市财政局拨付开发区扶持</w:t>
            </w:r>
          </w:p>
          <w:p>
            <w:pPr>
              <w:pStyle w:val="TableParagraph"/>
              <w:spacing w:line="260" w:lineRule="exact"/>
              <w:ind w:left="261" w:right="0"/>
              <w:jc w:val="left"/>
              <w:rPr>
                <w:rFonts w:ascii="宋体" w:hAnsi="宋体" w:cs="宋体" w:eastAsia="宋体" w:hint="default"/>
                <w:sz w:val="20"/>
                <w:szCs w:val="20"/>
              </w:rPr>
            </w:pPr>
            <w:r>
              <w:rPr>
                <w:rFonts w:ascii="宋体" w:hAnsi="宋体" w:cs="宋体" w:eastAsia="宋体" w:hint="default"/>
                <w:sz w:val="20"/>
                <w:szCs w:val="20"/>
              </w:rPr>
              <w:t>资金</w:t>
            </w:r>
          </w:p>
        </w:tc>
      </w:tr>
      <w:tr>
        <w:trPr>
          <w:trHeight w:val="519" w:hRule="exact"/>
        </w:trPr>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0"/>
                <w:szCs w:val="20"/>
              </w:rPr>
            </w:pPr>
            <w:r>
              <w:rPr>
                <w:rFonts w:ascii="宋体" w:hAnsi="宋体" w:cs="宋体" w:eastAsia="宋体" w:hint="default"/>
                <w:sz w:val="20"/>
                <w:szCs w:val="20"/>
              </w:rPr>
              <w:t>税收返还</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456" w:right="0"/>
              <w:jc w:val="left"/>
              <w:rPr>
                <w:rFonts w:ascii="Arial" w:hAnsi="Arial" w:cs="Arial" w:eastAsia="Arial" w:hint="default"/>
                <w:sz w:val="20"/>
                <w:szCs w:val="20"/>
              </w:rPr>
            </w:pPr>
            <w:r>
              <w:rPr>
                <w:rFonts w:ascii="Arial"/>
                <w:sz w:val="20"/>
              </w:rPr>
              <w:t>3,122,000</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right"/>
              <w:rPr>
                <w:rFonts w:ascii="Arial" w:hAnsi="Arial" w:cs="Arial" w:eastAsia="Arial" w:hint="default"/>
                <w:sz w:val="20"/>
                <w:szCs w:val="20"/>
              </w:rPr>
            </w:pPr>
            <w:r>
              <w:rPr>
                <w:rFonts w:ascii="Arial"/>
                <w:w w:val="100"/>
                <w:sz w:val="20"/>
              </w:rPr>
              <w:t>-</w:t>
            </w:r>
          </w:p>
        </w:tc>
        <w:tc>
          <w:tcPr>
            <w:tcW w:w="141" w:type="dxa"/>
            <w:tcBorders>
              <w:top w:val="nil" w:sz="6" w:space="0" w:color="auto"/>
              <w:left w:val="nil" w:sz="6" w:space="0" w:color="auto"/>
              <w:bottom w:val="nil" w:sz="6" w:space="0" w:color="auto"/>
              <w:right w:val="nil" w:sz="6" w:space="0" w:color="auto"/>
            </w:tcBorders>
          </w:tcPr>
          <w:p>
            <w:pPr/>
          </w:p>
        </w:tc>
        <w:tc>
          <w:tcPr>
            <w:tcW w:w="3402" w:type="dxa"/>
            <w:tcBorders>
              <w:top w:val="nil" w:sz="6" w:space="0" w:color="auto"/>
              <w:left w:val="nil" w:sz="6" w:space="0" w:color="auto"/>
              <w:bottom w:val="nil" w:sz="6" w:space="0" w:color="auto"/>
              <w:right w:val="nil" w:sz="6" w:space="0" w:color="auto"/>
            </w:tcBorders>
          </w:tcPr>
          <w:p>
            <w:pPr>
              <w:pStyle w:val="TableParagraph"/>
              <w:spacing w:line="218" w:lineRule="exact"/>
              <w:ind w:left="62" w:right="0"/>
              <w:jc w:val="left"/>
              <w:rPr>
                <w:rFonts w:ascii="宋体" w:hAnsi="宋体" w:cs="宋体" w:eastAsia="宋体" w:hint="default"/>
                <w:sz w:val="20"/>
                <w:szCs w:val="20"/>
              </w:rPr>
            </w:pPr>
            <w:r>
              <w:rPr>
                <w:rFonts w:ascii="宋体" w:hAnsi="宋体" w:cs="宋体" w:eastAsia="宋体" w:hint="default"/>
                <w:spacing w:val="-5"/>
                <w:sz w:val="20"/>
                <w:szCs w:val="20"/>
              </w:rPr>
              <w:t>重庆市北部新区增值税、营业税和企业</w:t>
            </w:r>
          </w:p>
          <w:p>
            <w:pPr>
              <w:pStyle w:val="TableParagraph"/>
              <w:spacing w:line="260" w:lineRule="exact"/>
              <w:ind w:left="261" w:right="0"/>
              <w:jc w:val="left"/>
              <w:rPr>
                <w:rFonts w:ascii="宋体" w:hAnsi="宋体" w:cs="宋体" w:eastAsia="宋体" w:hint="default"/>
                <w:sz w:val="20"/>
                <w:szCs w:val="20"/>
              </w:rPr>
            </w:pPr>
            <w:r>
              <w:rPr>
                <w:rFonts w:ascii="宋体" w:hAnsi="宋体" w:cs="宋体" w:eastAsia="宋体" w:hint="default"/>
                <w:sz w:val="20"/>
                <w:szCs w:val="20"/>
              </w:rPr>
              <w:t>所得税税收返还</w:t>
            </w:r>
          </w:p>
        </w:tc>
      </w:tr>
      <w:tr>
        <w:trPr>
          <w:trHeight w:val="519" w:hRule="exact"/>
        </w:trPr>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0"/>
                <w:szCs w:val="20"/>
              </w:rPr>
            </w:pPr>
            <w:r>
              <w:rPr>
                <w:rFonts w:ascii="宋体" w:hAnsi="宋体" w:cs="宋体" w:eastAsia="宋体" w:hint="default"/>
                <w:sz w:val="20"/>
                <w:szCs w:val="20"/>
              </w:rPr>
              <w:t>产业发展补贴</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456" w:right="0"/>
              <w:jc w:val="left"/>
              <w:rPr>
                <w:rFonts w:ascii="Arial" w:hAnsi="Arial" w:cs="Arial" w:eastAsia="Arial" w:hint="default"/>
                <w:sz w:val="20"/>
                <w:szCs w:val="20"/>
              </w:rPr>
            </w:pPr>
            <w:r>
              <w:rPr>
                <w:rFonts w:ascii="Arial"/>
                <w:sz w:val="20"/>
              </w:rPr>
              <w:t>3,000,000</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0"/>
              <w:jc w:val="right"/>
              <w:rPr>
                <w:rFonts w:ascii="Arial" w:hAnsi="Arial" w:cs="Arial" w:eastAsia="Arial" w:hint="default"/>
                <w:sz w:val="20"/>
                <w:szCs w:val="20"/>
              </w:rPr>
            </w:pPr>
            <w:r>
              <w:rPr>
                <w:rFonts w:ascii="Arial"/>
                <w:w w:val="100"/>
                <w:sz w:val="20"/>
              </w:rPr>
              <w:t>-</w:t>
            </w:r>
          </w:p>
        </w:tc>
        <w:tc>
          <w:tcPr>
            <w:tcW w:w="141" w:type="dxa"/>
            <w:tcBorders>
              <w:top w:val="nil" w:sz="6" w:space="0" w:color="auto"/>
              <w:left w:val="nil" w:sz="6" w:space="0" w:color="auto"/>
              <w:bottom w:val="nil" w:sz="6" w:space="0" w:color="auto"/>
              <w:right w:val="nil" w:sz="6" w:space="0" w:color="auto"/>
            </w:tcBorders>
          </w:tcPr>
          <w:p>
            <w:pPr/>
          </w:p>
        </w:tc>
        <w:tc>
          <w:tcPr>
            <w:tcW w:w="3402" w:type="dxa"/>
            <w:tcBorders>
              <w:top w:val="nil" w:sz="6" w:space="0" w:color="auto"/>
              <w:left w:val="nil" w:sz="6" w:space="0" w:color="auto"/>
              <w:bottom w:val="nil" w:sz="6" w:space="0" w:color="auto"/>
              <w:right w:val="nil" w:sz="6" w:space="0" w:color="auto"/>
            </w:tcBorders>
          </w:tcPr>
          <w:p>
            <w:pPr>
              <w:pStyle w:val="TableParagraph"/>
              <w:spacing w:line="217" w:lineRule="exact"/>
              <w:ind w:left="62" w:right="0"/>
              <w:jc w:val="left"/>
              <w:rPr>
                <w:rFonts w:ascii="宋体" w:hAnsi="宋体" w:cs="宋体" w:eastAsia="宋体" w:hint="default"/>
                <w:sz w:val="20"/>
                <w:szCs w:val="20"/>
              </w:rPr>
            </w:pPr>
            <w:r>
              <w:rPr>
                <w:rFonts w:ascii="宋体" w:hAnsi="宋体" w:cs="宋体" w:eastAsia="宋体" w:hint="default"/>
                <w:spacing w:val="7"/>
                <w:sz w:val="20"/>
                <w:szCs w:val="20"/>
              </w:rPr>
              <w:t>广东省深圳市支持百栋商务楼宇移动</w:t>
            </w:r>
          </w:p>
          <w:p>
            <w:pPr>
              <w:pStyle w:val="TableParagraph"/>
              <w:spacing w:line="260" w:lineRule="exact"/>
              <w:ind w:left="261" w:right="0"/>
              <w:jc w:val="left"/>
              <w:rPr>
                <w:rFonts w:ascii="宋体" w:hAnsi="宋体" w:cs="宋体" w:eastAsia="宋体" w:hint="default"/>
                <w:sz w:val="20"/>
                <w:szCs w:val="20"/>
              </w:rPr>
            </w:pPr>
            <w:r>
              <w:rPr>
                <w:rFonts w:ascii="宋体" w:hAnsi="宋体" w:cs="宋体" w:eastAsia="宋体" w:hint="default"/>
                <w:sz w:val="20"/>
                <w:szCs w:val="20"/>
              </w:rPr>
              <w:t>通信扩容升级产业发展专项基金</w:t>
            </w:r>
          </w:p>
        </w:tc>
      </w:tr>
      <w:tr>
        <w:trPr>
          <w:trHeight w:val="382" w:hRule="exact"/>
        </w:trPr>
        <w:tc>
          <w:tcPr>
            <w:tcW w:w="2096" w:type="dxa"/>
            <w:tcBorders>
              <w:top w:val="nil" w:sz="6" w:space="0" w:color="auto"/>
              <w:left w:val="nil" w:sz="6" w:space="0" w:color="auto"/>
              <w:bottom w:val="nil" w:sz="6" w:space="0" w:color="auto"/>
              <w:right w:val="nil" w:sz="6" w:space="0" w:color="auto"/>
            </w:tcBorders>
          </w:tcPr>
          <w:p>
            <w:pPr>
              <w:pStyle w:val="TableParagraph"/>
              <w:spacing w:line="219" w:lineRule="exact"/>
              <w:ind w:left="200"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568" w:type="dxa"/>
            <w:tcBorders>
              <w:top w:val="nil" w:sz="6" w:space="0" w:color="auto"/>
              <w:left w:val="nil" w:sz="6" w:space="0" w:color="auto"/>
              <w:bottom w:val="nil" w:sz="6" w:space="0" w:color="auto"/>
              <w:right w:val="nil" w:sz="6" w:space="0" w:color="auto"/>
            </w:tcBorders>
          </w:tcPr>
          <w:p>
            <w:pPr>
              <w:pStyle w:val="TableParagraph"/>
              <w:tabs>
                <w:tab w:pos="344" w:val="left" w:leader="none"/>
                <w:tab w:pos="1490" w:val="left" w:leader="none"/>
              </w:tabs>
              <w:spacing w:line="240" w:lineRule="auto" w:before="15"/>
              <w:ind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32,753,304</w:t>
              <w:tab/>
            </w:r>
            <w:r>
              <w:rPr>
                <w:rFonts w:ascii="Arial"/>
                <w:sz w:val="20"/>
              </w:rPr>
            </w:r>
          </w:p>
        </w:tc>
        <w:tc>
          <w:tcPr>
            <w:tcW w:w="1336" w:type="dxa"/>
            <w:tcBorders>
              <w:top w:val="nil" w:sz="6" w:space="0" w:color="auto"/>
              <w:left w:val="nil" w:sz="6" w:space="0" w:color="auto"/>
              <w:bottom w:val="nil" w:sz="6" w:space="0" w:color="auto"/>
              <w:right w:val="nil" w:sz="6" w:space="0" w:color="auto"/>
            </w:tcBorders>
          </w:tcPr>
          <w:p>
            <w:pPr>
              <w:pStyle w:val="TableParagraph"/>
              <w:tabs>
                <w:tab w:pos="333" w:val="left" w:leader="none"/>
              </w:tabs>
              <w:spacing w:line="240" w:lineRule="auto" w:before="15"/>
              <w:ind w:left="-13" w:right="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22,088,020</w:t>
            </w:r>
            <w:r>
              <w:rPr>
                <w:rFonts w:ascii="Arial"/>
                <w:spacing w:val="-1"/>
                <w:sz w:val="20"/>
              </w:rPr>
            </w:r>
          </w:p>
        </w:tc>
        <w:tc>
          <w:tcPr>
            <w:tcW w:w="141" w:type="dxa"/>
            <w:tcBorders>
              <w:top w:val="nil" w:sz="6" w:space="0" w:color="auto"/>
              <w:left w:val="nil" w:sz="6" w:space="0" w:color="auto"/>
              <w:bottom w:val="nil" w:sz="6" w:space="0" w:color="auto"/>
              <w:right w:val="nil" w:sz="6" w:space="0" w:color="auto"/>
            </w:tcBorders>
          </w:tcPr>
          <w:p>
            <w:pPr/>
          </w:p>
        </w:tc>
        <w:tc>
          <w:tcPr>
            <w:tcW w:w="3402" w:type="dxa"/>
            <w:tcBorders>
              <w:top w:val="nil" w:sz="6" w:space="0" w:color="auto"/>
              <w:left w:val="nil" w:sz="6" w:space="0" w:color="auto"/>
              <w:bottom w:val="nil" w:sz="6" w:space="0" w:color="auto"/>
              <w:right w:val="nil" w:sz="6" w:space="0" w:color="auto"/>
            </w:tcBorders>
          </w:tcPr>
          <w:p>
            <w:pPr/>
          </w:p>
        </w:tc>
      </w:tr>
      <w:tr>
        <w:trPr>
          <w:trHeight w:val="395" w:hRule="exact"/>
        </w:trPr>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00"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568" w:type="dxa"/>
            <w:tcBorders>
              <w:top w:val="nil" w:sz="6" w:space="0" w:color="auto"/>
              <w:left w:val="nil" w:sz="6" w:space="0" w:color="auto"/>
              <w:bottom w:val="single" w:sz="17" w:space="0" w:color="000000"/>
              <w:right w:val="nil" w:sz="6" w:space="0" w:color="auto"/>
            </w:tcBorders>
          </w:tcPr>
          <w:p>
            <w:pPr>
              <w:pStyle w:val="TableParagraph"/>
              <w:spacing w:line="240" w:lineRule="auto" w:before="137"/>
              <w:ind w:left="232" w:right="0"/>
              <w:jc w:val="left"/>
              <w:rPr>
                <w:rFonts w:ascii="Arial" w:hAnsi="Arial" w:cs="Arial" w:eastAsia="Arial" w:hint="default"/>
                <w:sz w:val="20"/>
                <w:szCs w:val="20"/>
              </w:rPr>
            </w:pPr>
            <w:r>
              <w:rPr>
                <w:rFonts w:ascii="Arial"/>
                <w:sz w:val="20"/>
              </w:rPr>
              <w:t>122,835,640</w:t>
            </w:r>
          </w:p>
        </w:tc>
        <w:tc>
          <w:tcPr>
            <w:tcW w:w="1336" w:type="dxa"/>
            <w:tcBorders>
              <w:top w:val="nil" w:sz="6" w:space="0" w:color="auto"/>
              <w:left w:val="nil" w:sz="6" w:space="0" w:color="auto"/>
              <w:bottom w:val="single" w:sz="17" w:space="0" w:color="000000"/>
              <w:right w:val="nil" w:sz="6" w:space="0" w:color="auto"/>
            </w:tcBorders>
          </w:tcPr>
          <w:p>
            <w:pPr>
              <w:pStyle w:val="TableParagraph"/>
              <w:spacing w:line="240" w:lineRule="auto" w:before="137"/>
              <w:ind w:right="0"/>
              <w:jc w:val="right"/>
              <w:rPr>
                <w:rFonts w:ascii="Arial" w:hAnsi="Arial" w:cs="Arial" w:eastAsia="Arial" w:hint="default"/>
                <w:sz w:val="20"/>
                <w:szCs w:val="20"/>
              </w:rPr>
            </w:pPr>
            <w:r>
              <w:rPr>
                <w:rFonts w:ascii="Arial"/>
                <w:spacing w:val="-1"/>
                <w:sz w:val="20"/>
              </w:rPr>
              <w:t>118,003,663</w:t>
            </w:r>
          </w:p>
        </w:tc>
        <w:tc>
          <w:tcPr>
            <w:tcW w:w="141" w:type="dxa"/>
            <w:tcBorders>
              <w:top w:val="nil" w:sz="6" w:space="0" w:color="auto"/>
              <w:left w:val="nil" w:sz="6" w:space="0" w:color="auto"/>
              <w:bottom w:val="nil" w:sz="6" w:space="0" w:color="auto"/>
              <w:right w:val="nil" w:sz="6" w:space="0" w:color="auto"/>
            </w:tcBorders>
          </w:tcPr>
          <w:p>
            <w:pPr/>
          </w:p>
        </w:tc>
        <w:tc>
          <w:tcPr>
            <w:tcW w:w="3402"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14"/>
          <w:szCs w:val="14"/>
        </w:rPr>
      </w:pPr>
    </w:p>
    <w:p>
      <w:pPr>
        <w:pStyle w:val="BodyText"/>
        <w:spacing w:line="286" w:lineRule="exact" w:before="60"/>
        <w:ind w:left="1194" w:right="126" w:hanging="589"/>
        <w:jc w:val="both"/>
      </w:pPr>
      <w:r>
        <w:rPr/>
        <w:t>注： 于 </w:t>
      </w:r>
      <w:r>
        <w:rPr>
          <w:rFonts w:ascii="Arial" w:hAnsi="Arial" w:cs="Arial" w:eastAsia="Arial" w:hint="default"/>
        </w:rPr>
        <w:t>2012</w:t>
      </w:r>
      <w:r>
        <w:rPr>
          <w:rFonts w:ascii="Arial" w:hAnsi="Arial" w:cs="Arial" w:eastAsia="Arial" w:hint="default"/>
          <w:spacing w:val="45"/>
        </w:rPr>
        <w:t> </w:t>
      </w:r>
      <w:r>
        <w:rPr/>
        <w:t>年度，本公司子公司联通兴业等根据《中华人民共和国增值税暂行条例》享受</w:t>
      </w:r>
      <w:r>
        <w:rPr>
          <w:w w:val="99"/>
        </w:rPr>
        <w:t> </w:t>
      </w:r>
      <w:r>
        <w:rPr/>
        <w:t>软件销售的增值税即征即退优惠政策收到主管税务机关返还的增值税款约人民币</w:t>
      </w:r>
      <w:r>
        <w:rPr>
          <w:spacing w:val="14"/>
        </w:rPr>
        <w:t> </w:t>
      </w:r>
      <w:r>
        <w:rPr>
          <w:rFonts w:ascii="Arial" w:hAnsi="Arial" w:cs="Arial" w:eastAsia="Arial" w:hint="default"/>
        </w:rPr>
        <w:t>1,277</w:t>
      </w:r>
      <w:r>
        <w:rPr>
          <w:rFonts w:ascii="Arial" w:hAnsi="Arial" w:cs="Arial" w:eastAsia="Arial" w:hint="default"/>
          <w:w w:val="99"/>
        </w:rPr>
        <w:t> </w:t>
      </w:r>
      <w:r>
        <w:rPr/>
        <w:t>万元。</w:t>
      </w:r>
    </w:p>
    <w:p>
      <w:pPr>
        <w:spacing w:line="240" w:lineRule="auto" w:before="5"/>
        <w:rPr>
          <w:rFonts w:ascii="宋体" w:hAnsi="宋体" w:cs="宋体" w:eastAsia="宋体" w:hint="default"/>
          <w:sz w:val="15"/>
          <w:szCs w:val="15"/>
        </w:rPr>
      </w:pPr>
    </w:p>
    <w:p>
      <w:pPr>
        <w:pStyle w:val="BodyText"/>
        <w:spacing w:line="240" w:lineRule="auto"/>
        <w:ind w:left="102" w:right="0"/>
        <w:jc w:val="left"/>
      </w:pPr>
      <w:r>
        <w:rPr>
          <w:rFonts w:ascii="Arial" w:hAnsi="Arial" w:cs="Arial" w:eastAsia="Arial" w:hint="default"/>
        </w:rPr>
        <w:t>44</w:t>
      </w:r>
      <w:r>
        <w:rPr/>
        <w:t>、营业外支出</w:t>
      </w:r>
    </w:p>
    <w:p>
      <w:pPr>
        <w:spacing w:line="240" w:lineRule="auto" w:before="11"/>
        <w:rPr>
          <w:rFonts w:ascii="宋体" w:hAnsi="宋体" w:cs="宋体" w:eastAsia="宋体" w:hint="default"/>
          <w:sz w:val="17"/>
          <w:szCs w:val="17"/>
        </w:rPr>
      </w:pPr>
    </w:p>
    <w:tbl>
      <w:tblPr>
        <w:tblW w:w="0" w:type="auto"/>
        <w:jc w:val="left"/>
        <w:tblInd w:w="545" w:type="dxa"/>
        <w:tblLayout w:type="fixed"/>
        <w:tblCellMar>
          <w:top w:w="0" w:type="dxa"/>
          <w:left w:w="0" w:type="dxa"/>
          <w:bottom w:w="0" w:type="dxa"/>
          <w:right w:w="0" w:type="dxa"/>
        </w:tblCellMar>
        <w:tblLook w:val="01E0"/>
      </w:tblPr>
      <w:tblGrid>
        <w:gridCol w:w="3132"/>
        <w:gridCol w:w="1666"/>
        <w:gridCol w:w="108"/>
        <w:gridCol w:w="1620"/>
        <w:gridCol w:w="2495"/>
      </w:tblGrid>
      <w:tr>
        <w:trPr>
          <w:trHeight w:val="546" w:hRule="exact"/>
        </w:trPr>
        <w:tc>
          <w:tcPr>
            <w:tcW w:w="3132"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1"/>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08"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5"/>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2495" w:type="dxa"/>
            <w:tcBorders>
              <w:top w:val="nil" w:sz="6" w:space="0" w:color="auto"/>
              <w:left w:val="nil" w:sz="6" w:space="0" w:color="auto"/>
              <w:bottom w:val="single" w:sz="6" w:space="0" w:color="000000"/>
              <w:right w:val="nil" w:sz="6" w:space="0" w:color="auto"/>
            </w:tcBorders>
          </w:tcPr>
          <w:p>
            <w:pPr>
              <w:pStyle w:val="TableParagraph"/>
              <w:spacing w:line="226" w:lineRule="exact"/>
              <w:ind w:left="486" w:right="0" w:firstLine="500"/>
              <w:jc w:val="left"/>
              <w:rPr>
                <w:rFonts w:ascii="宋体" w:hAnsi="宋体" w:cs="宋体" w:eastAsia="宋体" w:hint="default"/>
                <w:sz w:val="22"/>
                <w:szCs w:val="22"/>
              </w:rPr>
            </w:pPr>
            <w:r>
              <w:rPr>
                <w:rFonts w:ascii="宋体" w:hAnsi="宋体" w:cs="宋体" w:eastAsia="宋体" w:hint="default"/>
                <w:sz w:val="22"/>
                <w:szCs w:val="22"/>
              </w:rPr>
              <w:t>计入</w:t>
            </w:r>
            <w:r>
              <w:rPr>
                <w:rFonts w:ascii="宋体" w:hAnsi="宋体" w:cs="宋体" w:eastAsia="宋体" w:hint="default"/>
                <w:spacing w:val="-57"/>
                <w:sz w:val="22"/>
                <w:szCs w:val="22"/>
              </w:rPr>
              <w:t> </w:t>
            </w: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年度</w:t>
            </w:r>
          </w:p>
          <w:p>
            <w:pPr>
              <w:pStyle w:val="TableParagraph"/>
              <w:spacing w:line="279" w:lineRule="exact"/>
              <w:ind w:left="486" w:right="0"/>
              <w:jc w:val="left"/>
              <w:rPr>
                <w:rFonts w:ascii="宋体" w:hAnsi="宋体" w:cs="宋体" w:eastAsia="宋体" w:hint="default"/>
                <w:sz w:val="22"/>
                <w:szCs w:val="22"/>
              </w:rPr>
            </w:pPr>
            <w:r>
              <w:rPr>
                <w:rFonts w:ascii="宋体" w:hAnsi="宋体" w:cs="宋体" w:eastAsia="宋体" w:hint="default"/>
                <w:sz w:val="22"/>
                <w:szCs w:val="22"/>
              </w:rPr>
              <w:t>非经常性损益的金额</w:t>
            </w:r>
          </w:p>
        </w:tc>
      </w:tr>
      <w:tr>
        <w:trPr>
          <w:trHeight w:val="553" w:hRule="exact"/>
        </w:trPr>
        <w:tc>
          <w:tcPr>
            <w:tcW w:w="3132" w:type="dxa"/>
            <w:tcBorders>
              <w:top w:val="nil" w:sz="6" w:space="0" w:color="auto"/>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left"/>
              <w:rPr>
                <w:rFonts w:ascii="宋体" w:hAnsi="宋体" w:cs="宋体" w:eastAsia="宋体" w:hint="default"/>
                <w:sz w:val="22"/>
                <w:szCs w:val="22"/>
              </w:rPr>
            </w:pPr>
            <w:r>
              <w:rPr>
                <w:rFonts w:ascii="宋体" w:hAnsi="宋体" w:cs="宋体" w:eastAsia="宋体" w:hint="default"/>
                <w:sz w:val="22"/>
                <w:szCs w:val="22"/>
              </w:rPr>
              <w:t>非流动资产处置损失</w:t>
            </w:r>
          </w:p>
        </w:tc>
        <w:tc>
          <w:tcPr>
            <w:tcW w:w="1666"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17" w:right="0"/>
              <w:jc w:val="left"/>
              <w:rPr>
                <w:rFonts w:ascii="Arial" w:hAnsi="Arial" w:cs="Arial" w:eastAsia="Arial" w:hint="default"/>
                <w:sz w:val="22"/>
                <w:szCs w:val="22"/>
              </w:rPr>
            </w:pPr>
            <w:r>
              <w:rPr>
                <w:rFonts w:ascii="Arial"/>
                <w:sz w:val="22"/>
              </w:rPr>
              <w:t>418,956,409</w:t>
            </w:r>
          </w:p>
        </w:tc>
        <w:tc>
          <w:tcPr>
            <w:tcW w:w="108" w:type="dxa"/>
            <w:tcBorders>
              <w:top w:val="nil" w:sz="6" w:space="0" w:color="auto"/>
              <w:left w:val="nil" w:sz="6" w:space="0" w:color="auto"/>
              <w:bottom w:val="single" w:sz="6" w:space="0" w:color="000000"/>
              <w:right w:val="nil" w:sz="6" w:space="0" w:color="auto"/>
            </w:tcBorders>
          </w:tcPr>
          <w:p>
            <w:pPr/>
          </w:p>
        </w:tc>
        <w:tc>
          <w:tcPr>
            <w:tcW w:w="1620"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07" w:right="0"/>
              <w:jc w:val="left"/>
              <w:rPr>
                <w:rFonts w:ascii="Arial" w:hAnsi="Arial" w:cs="Arial" w:eastAsia="Arial" w:hint="default"/>
                <w:sz w:val="22"/>
                <w:szCs w:val="22"/>
              </w:rPr>
            </w:pPr>
            <w:r>
              <w:rPr>
                <w:rFonts w:ascii="Arial"/>
                <w:sz w:val="22"/>
              </w:rPr>
              <w:t>740,422,684</w:t>
            </w:r>
          </w:p>
        </w:tc>
        <w:tc>
          <w:tcPr>
            <w:tcW w:w="2495"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62" w:right="0"/>
              <w:jc w:val="left"/>
              <w:rPr>
                <w:rFonts w:ascii="Arial" w:hAnsi="Arial" w:cs="Arial" w:eastAsia="Arial" w:hint="default"/>
                <w:sz w:val="22"/>
                <w:szCs w:val="22"/>
              </w:rPr>
            </w:pPr>
            <w:r>
              <w:rPr>
                <w:rFonts w:ascii="Arial"/>
                <w:sz w:val="22"/>
              </w:rPr>
              <w:t>418,956,409</w:t>
            </w:r>
          </w:p>
        </w:tc>
      </w:tr>
      <w:tr>
        <w:trPr>
          <w:trHeight w:val="305" w:hRule="exact"/>
        </w:trPr>
        <w:tc>
          <w:tcPr>
            <w:tcW w:w="3132" w:type="dxa"/>
            <w:tcBorders>
              <w:top w:val="single" w:sz="6" w:space="0" w:color="000000"/>
              <w:left w:val="single" w:sz="6" w:space="0" w:color="000000"/>
              <w:bottom w:val="nil" w:sz="6" w:space="0" w:color="auto"/>
              <w:right w:val="nil" w:sz="6" w:space="0" w:color="auto"/>
            </w:tcBorders>
          </w:tcPr>
          <w:p>
            <w:pPr>
              <w:pStyle w:val="TableParagraph"/>
              <w:spacing w:line="252" w:lineRule="exact"/>
              <w:ind w:right="0"/>
              <w:jc w:val="left"/>
              <w:rPr>
                <w:rFonts w:ascii="宋体" w:hAnsi="宋体" w:cs="宋体" w:eastAsia="宋体" w:hint="default"/>
                <w:sz w:val="22"/>
                <w:szCs w:val="22"/>
              </w:rPr>
            </w:pPr>
            <w:r>
              <w:rPr>
                <w:rFonts w:ascii="宋体" w:hAnsi="宋体" w:cs="宋体" w:eastAsia="宋体" w:hint="default"/>
                <w:sz w:val="22"/>
                <w:szCs w:val="22"/>
              </w:rPr>
              <w:t>其中：固定资产处置损失</w:t>
            </w:r>
          </w:p>
        </w:tc>
        <w:tc>
          <w:tcPr>
            <w:tcW w:w="1666"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left="317" w:right="0"/>
              <w:jc w:val="left"/>
              <w:rPr>
                <w:rFonts w:ascii="Arial" w:hAnsi="Arial" w:cs="Arial" w:eastAsia="Arial" w:hint="default"/>
                <w:sz w:val="22"/>
                <w:szCs w:val="22"/>
              </w:rPr>
            </w:pPr>
            <w:r>
              <w:rPr>
                <w:rFonts w:ascii="Arial"/>
                <w:sz w:val="22"/>
              </w:rPr>
              <w:t>418,802,220</w:t>
            </w:r>
          </w:p>
        </w:tc>
        <w:tc>
          <w:tcPr>
            <w:tcW w:w="108" w:type="dxa"/>
            <w:tcBorders>
              <w:top w:val="single" w:sz="6" w:space="0" w:color="000000"/>
              <w:left w:val="nil" w:sz="6" w:space="0" w:color="auto"/>
              <w:bottom w:val="nil" w:sz="6" w:space="0" w:color="auto"/>
              <w:right w:val="nil" w:sz="6" w:space="0" w:color="auto"/>
            </w:tcBorders>
          </w:tcPr>
          <w:p>
            <w:pPr/>
          </w:p>
        </w:tc>
        <w:tc>
          <w:tcPr>
            <w:tcW w:w="1620"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left="307" w:right="0"/>
              <w:jc w:val="left"/>
              <w:rPr>
                <w:rFonts w:ascii="Arial" w:hAnsi="Arial" w:cs="Arial" w:eastAsia="Arial" w:hint="default"/>
                <w:sz w:val="22"/>
                <w:szCs w:val="22"/>
              </w:rPr>
            </w:pPr>
            <w:r>
              <w:rPr>
                <w:rFonts w:ascii="Arial"/>
                <w:sz w:val="22"/>
              </w:rPr>
              <w:t>738,484,295</w:t>
            </w:r>
          </w:p>
        </w:tc>
        <w:tc>
          <w:tcPr>
            <w:tcW w:w="2495" w:type="dxa"/>
            <w:tcBorders>
              <w:top w:val="single" w:sz="6" w:space="0" w:color="000000"/>
              <w:left w:val="nil" w:sz="6" w:space="0" w:color="auto"/>
              <w:bottom w:val="nil" w:sz="6" w:space="0" w:color="auto"/>
              <w:right w:val="single" w:sz="6" w:space="0" w:color="000000"/>
            </w:tcBorders>
          </w:tcPr>
          <w:p>
            <w:pPr>
              <w:pStyle w:val="TableParagraph"/>
              <w:spacing w:line="240" w:lineRule="auto" w:before="30"/>
              <w:ind w:left="1162" w:right="0"/>
              <w:jc w:val="left"/>
              <w:rPr>
                <w:rFonts w:ascii="Arial" w:hAnsi="Arial" w:cs="Arial" w:eastAsia="Arial" w:hint="default"/>
                <w:sz w:val="22"/>
                <w:szCs w:val="22"/>
              </w:rPr>
            </w:pPr>
            <w:r>
              <w:rPr>
                <w:rFonts w:ascii="Arial"/>
                <w:sz w:val="22"/>
              </w:rPr>
              <w:t>418,802,220</w:t>
            </w:r>
          </w:p>
        </w:tc>
      </w:tr>
      <w:tr>
        <w:trPr>
          <w:trHeight w:val="281" w:hRule="exact"/>
        </w:trPr>
        <w:tc>
          <w:tcPr>
            <w:tcW w:w="3132" w:type="dxa"/>
            <w:tcBorders>
              <w:top w:val="nil" w:sz="6" w:space="0" w:color="auto"/>
              <w:left w:val="single" w:sz="6" w:space="0" w:color="000000"/>
              <w:bottom w:val="single" w:sz="6" w:space="0" w:color="000000"/>
              <w:right w:val="nil" w:sz="6" w:space="0" w:color="auto"/>
            </w:tcBorders>
          </w:tcPr>
          <w:p>
            <w:pPr>
              <w:pStyle w:val="TableParagraph"/>
              <w:spacing w:line="239" w:lineRule="exact"/>
              <w:ind w:left="692" w:right="0"/>
              <w:jc w:val="left"/>
              <w:rPr>
                <w:rFonts w:ascii="宋体" w:hAnsi="宋体" w:cs="宋体" w:eastAsia="宋体" w:hint="default"/>
                <w:sz w:val="22"/>
                <w:szCs w:val="22"/>
              </w:rPr>
            </w:pPr>
            <w:r>
              <w:rPr>
                <w:rFonts w:ascii="宋体" w:hAnsi="宋体" w:cs="宋体" w:eastAsia="宋体" w:hint="default"/>
                <w:sz w:val="22"/>
                <w:szCs w:val="22"/>
              </w:rPr>
              <w:t>无形资产处置损失</w:t>
            </w:r>
          </w:p>
        </w:tc>
        <w:tc>
          <w:tcPr>
            <w:tcW w:w="1666" w:type="dxa"/>
            <w:tcBorders>
              <w:top w:val="nil" w:sz="6" w:space="0" w:color="auto"/>
              <w:left w:val="nil" w:sz="6" w:space="0" w:color="auto"/>
              <w:bottom w:val="single" w:sz="6" w:space="0" w:color="000000"/>
              <w:right w:val="nil" w:sz="6" w:space="0" w:color="auto"/>
            </w:tcBorders>
          </w:tcPr>
          <w:p>
            <w:pPr>
              <w:pStyle w:val="TableParagraph"/>
              <w:spacing w:line="240" w:lineRule="auto" w:before="17"/>
              <w:ind w:right="122"/>
              <w:jc w:val="right"/>
              <w:rPr>
                <w:rFonts w:ascii="Arial" w:hAnsi="Arial" w:cs="Arial" w:eastAsia="Arial" w:hint="default"/>
                <w:sz w:val="22"/>
                <w:szCs w:val="22"/>
              </w:rPr>
            </w:pPr>
            <w:r>
              <w:rPr>
                <w:rFonts w:ascii="Arial"/>
                <w:w w:val="95"/>
                <w:sz w:val="22"/>
              </w:rPr>
              <w:t>154,189</w:t>
            </w:r>
            <w:r>
              <w:rPr>
                <w:rFonts w:ascii="Arial"/>
                <w:sz w:val="22"/>
              </w:rPr>
            </w:r>
          </w:p>
        </w:tc>
        <w:tc>
          <w:tcPr>
            <w:tcW w:w="108" w:type="dxa"/>
            <w:tcBorders>
              <w:top w:val="nil" w:sz="6" w:space="0" w:color="auto"/>
              <w:left w:val="nil" w:sz="6" w:space="0" w:color="auto"/>
              <w:bottom w:val="single" w:sz="6" w:space="0" w:color="000000"/>
              <w:right w:val="nil" w:sz="6" w:space="0" w:color="auto"/>
            </w:tcBorders>
          </w:tcPr>
          <w:p>
            <w:pPr/>
          </w:p>
        </w:tc>
        <w:tc>
          <w:tcPr>
            <w:tcW w:w="1620" w:type="dxa"/>
            <w:tcBorders>
              <w:top w:val="nil" w:sz="6" w:space="0" w:color="auto"/>
              <w:left w:val="nil" w:sz="6" w:space="0" w:color="auto"/>
              <w:bottom w:val="single" w:sz="6" w:space="0" w:color="000000"/>
              <w:right w:val="nil" w:sz="6" w:space="0" w:color="auto"/>
            </w:tcBorders>
          </w:tcPr>
          <w:p>
            <w:pPr>
              <w:pStyle w:val="TableParagraph"/>
              <w:spacing w:line="240" w:lineRule="auto" w:before="17"/>
              <w:ind w:right="87"/>
              <w:jc w:val="right"/>
              <w:rPr>
                <w:rFonts w:ascii="Arial" w:hAnsi="Arial" w:cs="Arial" w:eastAsia="Arial" w:hint="default"/>
                <w:sz w:val="22"/>
                <w:szCs w:val="22"/>
              </w:rPr>
            </w:pPr>
            <w:r>
              <w:rPr>
                <w:rFonts w:ascii="Arial"/>
                <w:w w:val="95"/>
                <w:sz w:val="22"/>
              </w:rPr>
              <w:t>1,938,389</w:t>
            </w:r>
            <w:r>
              <w:rPr>
                <w:rFonts w:ascii="Arial"/>
                <w:sz w:val="22"/>
              </w:rPr>
            </w:r>
          </w:p>
        </w:tc>
        <w:tc>
          <w:tcPr>
            <w:tcW w:w="2495" w:type="dxa"/>
            <w:tcBorders>
              <w:top w:val="nil" w:sz="6" w:space="0" w:color="auto"/>
              <w:left w:val="nil" w:sz="6" w:space="0" w:color="auto"/>
              <w:bottom w:val="single" w:sz="6" w:space="0" w:color="000000"/>
              <w:right w:val="single" w:sz="6" w:space="0" w:color="000000"/>
            </w:tcBorders>
          </w:tcPr>
          <w:p>
            <w:pPr>
              <w:pStyle w:val="TableParagraph"/>
              <w:spacing w:line="240" w:lineRule="auto" w:before="17"/>
              <w:ind w:left="1590" w:right="0"/>
              <w:jc w:val="left"/>
              <w:rPr>
                <w:rFonts w:ascii="Arial" w:hAnsi="Arial" w:cs="Arial" w:eastAsia="Arial" w:hint="default"/>
                <w:sz w:val="22"/>
                <w:szCs w:val="22"/>
              </w:rPr>
            </w:pPr>
            <w:r>
              <w:rPr>
                <w:rFonts w:ascii="Arial"/>
                <w:sz w:val="22"/>
              </w:rPr>
              <w:t>154,189</w:t>
            </w:r>
          </w:p>
        </w:tc>
      </w:tr>
      <w:tr>
        <w:trPr>
          <w:trHeight w:val="305" w:hRule="exact"/>
        </w:trPr>
        <w:tc>
          <w:tcPr>
            <w:tcW w:w="3132" w:type="dxa"/>
            <w:tcBorders>
              <w:top w:val="single" w:sz="6" w:space="0" w:color="000000"/>
              <w:left w:val="nil" w:sz="6" w:space="0" w:color="auto"/>
              <w:bottom w:val="nil" w:sz="6" w:space="0" w:color="auto"/>
              <w:right w:val="nil" w:sz="6" w:space="0" w:color="auto"/>
            </w:tcBorders>
          </w:tcPr>
          <w:p>
            <w:pPr>
              <w:pStyle w:val="TableParagraph"/>
              <w:spacing w:line="252" w:lineRule="exact"/>
              <w:ind w:right="0"/>
              <w:jc w:val="left"/>
              <w:rPr>
                <w:rFonts w:ascii="宋体" w:hAnsi="宋体" w:cs="宋体" w:eastAsia="宋体" w:hint="default"/>
                <w:sz w:val="22"/>
                <w:szCs w:val="22"/>
              </w:rPr>
            </w:pPr>
            <w:r>
              <w:rPr>
                <w:rFonts w:ascii="宋体" w:hAnsi="宋体" w:cs="宋体" w:eastAsia="宋体" w:hint="default"/>
                <w:sz w:val="22"/>
                <w:szCs w:val="22"/>
              </w:rPr>
              <w:t>违约赔偿支出</w:t>
            </w:r>
          </w:p>
        </w:tc>
        <w:tc>
          <w:tcPr>
            <w:tcW w:w="1666"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right="122"/>
              <w:jc w:val="right"/>
              <w:rPr>
                <w:rFonts w:ascii="Arial" w:hAnsi="Arial" w:cs="Arial" w:eastAsia="Arial" w:hint="default"/>
                <w:sz w:val="22"/>
                <w:szCs w:val="22"/>
              </w:rPr>
            </w:pPr>
            <w:r>
              <w:rPr>
                <w:rFonts w:ascii="Arial"/>
                <w:w w:val="95"/>
                <w:sz w:val="22"/>
              </w:rPr>
              <w:t>19,919,798</w:t>
            </w:r>
            <w:r>
              <w:rPr>
                <w:rFonts w:ascii="Arial"/>
                <w:sz w:val="22"/>
              </w:rPr>
            </w:r>
          </w:p>
        </w:tc>
        <w:tc>
          <w:tcPr>
            <w:tcW w:w="108" w:type="dxa"/>
            <w:tcBorders>
              <w:top w:val="single" w:sz="6" w:space="0" w:color="000000"/>
              <w:left w:val="nil" w:sz="6" w:space="0" w:color="auto"/>
              <w:bottom w:val="nil" w:sz="6" w:space="0" w:color="auto"/>
              <w:right w:val="nil" w:sz="6" w:space="0" w:color="auto"/>
            </w:tcBorders>
          </w:tcPr>
          <w:p>
            <w:pPr/>
          </w:p>
        </w:tc>
        <w:tc>
          <w:tcPr>
            <w:tcW w:w="1620"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right="87"/>
              <w:jc w:val="right"/>
              <w:rPr>
                <w:rFonts w:ascii="Arial" w:hAnsi="Arial" w:cs="Arial" w:eastAsia="Arial" w:hint="default"/>
                <w:sz w:val="22"/>
                <w:szCs w:val="22"/>
              </w:rPr>
            </w:pPr>
            <w:r>
              <w:rPr>
                <w:rFonts w:ascii="Arial"/>
                <w:w w:val="95"/>
                <w:sz w:val="22"/>
              </w:rPr>
              <w:t>17,113,815</w:t>
            </w:r>
            <w:r>
              <w:rPr>
                <w:rFonts w:ascii="Arial"/>
                <w:sz w:val="22"/>
              </w:rPr>
            </w:r>
          </w:p>
        </w:tc>
        <w:tc>
          <w:tcPr>
            <w:tcW w:w="2495"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left="1283" w:right="0"/>
              <w:jc w:val="left"/>
              <w:rPr>
                <w:rFonts w:ascii="Arial" w:hAnsi="Arial" w:cs="Arial" w:eastAsia="Arial" w:hint="default"/>
                <w:sz w:val="22"/>
                <w:szCs w:val="22"/>
              </w:rPr>
            </w:pPr>
            <w:r>
              <w:rPr>
                <w:rFonts w:ascii="Arial"/>
                <w:sz w:val="22"/>
              </w:rPr>
              <w:t>19,919,798</w:t>
            </w:r>
          </w:p>
        </w:tc>
      </w:tr>
      <w:tr>
        <w:trPr>
          <w:trHeight w:val="286"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39" w:lineRule="exact"/>
              <w:ind w:right="0"/>
              <w:jc w:val="left"/>
              <w:rPr>
                <w:rFonts w:ascii="宋体" w:hAnsi="宋体" w:cs="宋体" w:eastAsia="宋体" w:hint="default"/>
                <w:sz w:val="22"/>
                <w:szCs w:val="22"/>
              </w:rPr>
            </w:pPr>
            <w:r>
              <w:rPr>
                <w:rFonts w:ascii="宋体" w:hAnsi="宋体" w:cs="宋体" w:eastAsia="宋体" w:hint="default"/>
                <w:sz w:val="22"/>
                <w:szCs w:val="22"/>
              </w:rPr>
              <w:t>捐赠支出</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2"/>
              <w:jc w:val="right"/>
              <w:rPr>
                <w:rFonts w:ascii="Arial" w:hAnsi="Arial" w:cs="Arial" w:eastAsia="Arial" w:hint="default"/>
                <w:sz w:val="22"/>
                <w:szCs w:val="22"/>
              </w:rPr>
            </w:pPr>
            <w:r>
              <w:rPr>
                <w:rFonts w:ascii="Arial"/>
                <w:w w:val="95"/>
                <w:sz w:val="22"/>
              </w:rPr>
              <w:t>8,373,924</w:t>
            </w:r>
            <w:r>
              <w:rPr>
                <w:rFonts w:ascii="Arial"/>
                <w:sz w:val="22"/>
              </w:rPr>
            </w:r>
          </w:p>
        </w:tc>
        <w:tc>
          <w:tcPr>
            <w:tcW w:w="108"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7"/>
              <w:jc w:val="right"/>
              <w:rPr>
                <w:rFonts w:ascii="Arial" w:hAnsi="Arial" w:cs="Arial" w:eastAsia="Arial" w:hint="default"/>
                <w:sz w:val="22"/>
                <w:szCs w:val="22"/>
              </w:rPr>
            </w:pPr>
            <w:r>
              <w:rPr>
                <w:rFonts w:ascii="Arial"/>
                <w:w w:val="95"/>
                <w:sz w:val="22"/>
              </w:rPr>
              <w:t>7,253,765</w:t>
            </w:r>
            <w:r>
              <w:rPr>
                <w:rFonts w:ascii="Arial"/>
                <w:sz w:val="22"/>
              </w:rPr>
            </w:r>
          </w:p>
        </w:tc>
        <w:tc>
          <w:tcPr>
            <w:tcW w:w="249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406" w:right="0"/>
              <w:jc w:val="left"/>
              <w:rPr>
                <w:rFonts w:ascii="Arial" w:hAnsi="Arial" w:cs="Arial" w:eastAsia="Arial" w:hint="default"/>
                <w:sz w:val="22"/>
                <w:szCs w:val="22"/>
              </w:rPr>
            </w:pPr>
            <w:r>
              <w:rPr>
                <w:rFonts w:ascii="Arial"/>
                <w:sz w:val="22"/>
              </w:rPr>
              <w:t>8,373,924</w:t>
            </w:r>
          </w:p>
        </w:tc>
      </w:tr>
      <w:tr>
        <w:trPr>
          <w:trHeight w:val="419"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39" w:lineRule="exact"/>
              <w:ind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666" w:type="dxa"/>
            <w:tcBorders>
              <w:top w:val="nil" w:sz="6" w:space="0" w:color="auto"/>
              <w:left w:val="nil" w:sz="6" w:space="0" w:color="auto"/>
              <w:bottom w:val="nil" w:sz="6" w:space="0" w:color="auto"/>
              <w:right w:val="nil" w:sz="6" w:space="0" w:color="auto"/>
            </w:tcBorders>
          </w:tcPr>
          <w:p>
            <w:pPr>
              <w:pStyle w:val="TableParagraph"/>
              <w:tabs>
                <w:tab w:pos="439" w:val="left" w:leader="none"/>
                <w:tab w:pos="1665"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57,997,807</w:t>
            </w:r>
            <w:r>
              <w:rPr>
                <w:rFonts w:ascii="Arial"/>
                <w:sz w:val="22"/>
                <w:u w:val="single" w:color="000000"/>
              </w:rPr>
              <w:tab/>
            </w:r>
            <w:r>
              <w:rPr>
                <w:rFonts w:ascii="Arial"/>
                <w:sz w:val="22"/>
              </w:rPr>
            </w:r>
          </w:p>
        </w:tc>
        <w:tc>
          <w:tcPr>
            <w:tcW w:w="108"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tabs>
                <w:tab w:pos="428" w:val="left" w:leader="none"/>
                <w:tab w:pos="1620"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99,994,483</w:t>
            </w:r>
            <w:r>
              <w:rPr>
                <w:rFonts w:ascii="Arial"/>
                <w:sz w:val="22"/>
                <w:u w:val="single" w:color="000000"/>
              </w:rPr>
              <w:tab/>
            </w:r>
            <w:r>
              <w:rPr>
                <w:rFonts w:ascii="Arial"/>
                <w:sz w:val="22"/>
              </w:rPr>
            </w:r>
          </w:p>
        </w:tc>
        <w:tc>
          <w:tcPr>
            <w:tcW w:w="2495" w:type="dxa"/>
            <w:tcBorders>
              <w:top w:val="nil" w:sz="6" w:space="0" w:color="auto"/>
              <w:left w:val="nil" w:sz="6" w:space="0" w:color="auto"/>
              <w:bottom w:val="nil" w:sz="6" w:space="0" w:color="auto"/>
              <w:right w:val="nil" w:sz="6" w:space="0" w:color="auto"/>
            </w:tcBorders>
          </w:tcPr>
          <w:p>
            <w:pPr>
              <w:pStyle w:val="TableParagraph"/>
              <w:tabs>
                <w:tab w:pos="1283" w:val="left" w:leader="none"/>
                <w:tab w:pos="2494" w:val="left" w:leader="none"/>
              </w:tabs>
              <w:spacing w:line="240" w:lineRule="auto" w:before="17"/>
              <w:ind w:left="90" w:right="-1"/>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57,997,807</w:t>
              <w:tab/>
            </w:r>
            <w:r>
              <w:rPr>
                <w:rFonts w:ascii="Arial"/>
                <w:sz w:val="22"/>
              </w:rPr>
            </w:r>
          </w:p>
        </w:tc>
      </w:tr>
      <w:tr>
        <w:trPr>
          <w:trHeight w:val="430"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666"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317" w:right="0"/>
              <w:jc w:val="left"/>
              <w:rPr>
                <w:rFonts w:ascii="Arial" w:hAnsi="Arial" w:cs="Arial" w:eastAsia="Arial" w:hint="default"/>
                <w:sz w:val="22"/>
                <w:szCs w:val="22"/>
              </w:rPr>
            </w:pPr>
            <w:r>
              <w:rPr>
                <w:rFonts w:ascii="Arial"/>
                <w:sz w:val="22"/>
              </w:rPr>
              <w:t>505,247,938</w:t>
            </w:r>
          </w:p>
        </w:tc>
        <w:tc>
          <w:tcPr>
            <w:tcW w:w="108"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307" w:right="0"/>
              <w:jc w:val="left"/>
              <w:rPr>
                <w:rFonts w:ascii="Arial" w:hAnsi="Arial" w:cs="Arial" w:eastAsia="Arial" w:hint="default"/>
                <w:sz w:val="22"/>
                <w:szCs w:val="22"/>
              </w:rPr>
            </w:pPr>
            <w:r>
              <w:rPr>
                <w:rFonts w:ascii="Arial"/>
                <w:sz w:val="22"/>
              </w:rPr>
              <w:t>864,784,747</w:t>
            </w:r>
          </w:p>
        </w:tc>
        <w:tc>
          <w:tcPr>
            <w:tcW w:w="2495"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1162" w:right="0"/>
              <w:jc w:val="left"/>
              <w:rPr>
                <w:rFonts w:ascii="Arial" w:hAnsi="Arial" w:cs="Arial" w:eastAsia="Arial" w:hint="default"/>
                <w:sz w:val="22"/>
                <w:szCs w:val="22"/>
              </w:rPr>
            </w:pPr>
            <w:r>
              <w:rPr>
                <w:rFonts w:ascii="Arial"/>
                <w:sz w:val="22"/>
              </w:rPr>
              <w:t>505,247,938</w:t>
            </w:r>
          </w:p>
        </w:tc>
      </w:tr>
    </w:tbl>
    <w:p>
      <w:pPr>
        <w:spacing w:after="0" w:line="240" w:lineRule="auto"/>
        <w:jc w:val="left"/>
        <w:rPr>
          <w:rFonts w:ascii="Arial" w:hAnsi="Arial" w:cs="Arial" w:eastAsia="Arial" w:hint="default"/>
          <w:sz w:val="22"/>
          <w:szCs w:val="22"/>
        </w:rPr>
        <w:sectPr>
          <w:headerReference w:type="default" r:id="rId121"/>
          <w:pgSz w:w="11910" w:h="16840"/>
          <w:pgMar w:header="1184" w:footer="457" w:top="3040" w:bottom="640" w:left="1280" w:right="920"/>
        </w:sectPr>
      </w:pPr>
    </w:p>
    <w:p>
      <w:pPr>
        <w:spacing w:line="240" w:lineRule="auto" w:before="12"/>
        <w:rPr>
          <w:rFonts w:ascii="宋体" w:hAnsi="宋体" w:cs="宋体" w:eastAsia="宋体" w:hint="default"/>
          <w:sz w:val="14"/>
          <w:szCs w:val="14"/>
        </w:rPr>
      </w:pPr>
      <w:r>
        <w:rPr/>
        <w:pict>
          <v:group style="position:absolute;margin-left:92.040001pt;margin-top:549.820007pt;width:450.9pt;height:2.3pt;mso-position-horizontal-relative:page;mso-position-vertical-relative:page;z-index:-853144" coordorigin="1841,10996" coordsize="9018,46">
            <v:group style="position:absolute;left:1842;top:10998;width:4851;height:2" coordorigin="1842,10998" coordsize="4851,2">
              <v:shape style="position:absolute;left:1842;top:10998;width:4851;height:2" coordorigin="1842,10998" coordsize="4851,0" path="m1842,10998l6693,10998e" filled="false" stroked="true" strokeweight=".12pt" strokecolor="#ffff99">
                <v:path arrowok="t"/>
              </v:shape>
            </v:group>
            <v:group style="position:absolute;left:6693;top:10998;width:21;height:2" coordorigin="6693,10998" coordsize="21,2">
              <v:shape style="position:absolute;left:6693;top:10998;width:21;height:2" coordorigin="6693,10998" coordsize="21,0" path="m6693,10998l6713,10998e" filled="false" stroked="true" strokeweight=".12pt" strokecolor="#ffff99">
                <v:path arrowok="t"/>
              </v:shape>
            </v:group>
            <v:group style="position:absolute;left:6713;top:10998;width:532;height:2" coordorigin="6713,10998" coordsize="532,2">
              <v:shape style="position:absolute;left:6713;top:10998;width:532;height:2" coordorigin="6713,10998" coordsize="532,0" path="m6713,10998l7245,10998e" filled="false" stroked="true" strokeweight=".12pt" strokecolor="#ffff99">
                <v:path arrowok="t"/>
              </v:shape>
            </v:group>
            <v:group style="position:absolute;left:7245;top:10998;width:112;height:2" coordorigin="7245,10998" coordsize="112,2">
              <v:shape style="position:absolute;left:7245;top:10998;width:112;height:2" coordorigin="7245,10998" coordsize="112,0" path="m7245,10998l7357,10998e" filled="false" stroked="true" strokeweight=".12pt" strokecolor="#ffff99">
                <v:path arrowok="t"/>
              </v:shape>
            </v:group>
            <v:group style="position:absolute;left:7357;top:10998;width:1641;height:2" coordorigin="7357,10998" coordsize="1641,2">
              <v:shape style="position:absolute;left:7357;top:10998;width:1641;height:2" coordorigin="7357,10998" coordsize="1641,0" path="m7357,10998l8997,10998e" filled="false" stroked="true" strokeweight=".12pt" strokecolor="#ffff99">
                <v:path arrowok="t"/>
              </v:shape>
            </v:group>
            <v:group style="position:absolute;left:7342;top:11035;width:1655;height:2" coordorigin="7342,11035" coordsize="1655,2">
              <v:shape style="position:absolute;left:7342;top:11035;width:1655;height:2" coordorigin="7342,11035" coordsize="1655,0" path="m7342,11035l8997,11035e" filled="false" stroked="true" strokeweight=".71997pt" strokecolor="#000000">
                <v:path arrowok="t"/>
              </v:shape>
            </v:group>
            <v:group style="position:absolute;left:7342;top:11006;width:1655;height:2" coordorigin="7342,11006" coordsize="1655,2">
              <v:shape style="position:absolute;left:7342;top:11006;width:1655;height:2" coordorigin="7342,11006" coordsize="1655,0" path="m7342,11006l8997,11006e" filled="false" stroked="true" strokeweight=".71997pt" strokecolor="#000000">
                <v:path arrowok="t"/>
              </v:shape>
            </v:group>
            <v:group style="position:absolute;left:8997;top:10998;width:168;height:2" coordorigin="8997,10998" coordsize="168,2">
              <v:shape style="position:absolute;left:8997;top:10998;width:168;height:2" coordorigin="8997,10998" coordsize="168,0" path="m8997,10998l9165,10998e" filled="false" stroked="true" strokeweight=".12pt" strokecolor="#ffff99">
                <v:path arrowok="t"/>
              </v:shape>
            </v:group>
            <v:group style="position:absolute;left:9165;top:10998;width:1686;height:2" coordorigin="9165,10998" coordsize="1686,2">
              <v:shape style="position:absolute;left:9165;top:10998;width:1686;height:2" coordorigin="9165,10998" coordsize="1686,0" path="m9165,10998l10851,10998e" filled="false" stroked="true" strokeweight=".12pt" strokecolor="#ffff99">
                <v:path arrowok="t"/>
              </v:shape>
            </v:group>
            <v:group style="position:absolute;left:9151;top:11006;width:1701;height:2" coordorigin="9151,11006" coordsize="1701,2">
              <v:shape style="position:absolute;left:9151;top:11006;width:1701;height:2" coordorigin="9151,11006" coordsize="1701,0" path="m9151,11006l10851,11006e" filled="false" stroked="true" strokeweight=".71997pt" strokecolor="#000000">
                <v:path arrowok="t"/>
              </v:shape>
            </v:group>
            <w10:wrap type="none"/>
          </v:group>
        </w:pict>
      </w:r>
    </w:p>
    <w:p>
      <w:pPr>
        <w:pStyle w:val="BodyText"/>
        <w:spacing w:line="240" w:lineRule="auto" w:before="31"/>
        <w:ind w:left="102" w:right="0"/>
        <w:jc w:val="left"/>
      </w:pPr>
      <w:r>
        <w:rPr>
          <w:rFonts w:ascii="Arial" w:hAnsi="Arial" w:cs="Arial" w:eastAsia="Arial" w:hint="default"/>
        </w:rPr>
        <w:t>45</w:t>
      </w:r>
      <w:r>
        <w:rPr/>
        <w:t>、所得税</w:t>
      </w:r>
    </w:p>
    <w:p>
      <w:pPr>
        <w:spacing w:line="240" w:lineRule="auto" w:before="12"/>
        <w:rPr>
          <w:rFonts w:ascii="宋体" w:hAnsi="宋体" w:cs="宋体" w:eastAsia="宋体" w:hint="default"/>
          <w:sz w:val="17"/>
          <w:szCs w:val="17"/>
        </w:rPr>
      </w:pPr>
    </w:p>
    <w:tbl>
      <w:tblPr>
        <w:tblW w:w="0" w:type="auto"/>
        <w:jc w:val="left"/>
        <w:tblInd w:w="351" w:type="dxa"/>
        <w:tblLayout w:type="fixed"/>
        <w:tblCellMar>
          <w:top w:w="0" w:type="dxa"/>
          <w:left w:w="0" w:type="dxa"/>
          <w:bottom w:w="0" w:type="dxa"/>
          <w:right w:w="0" w:type="dxa"/>
        </w:tblCellMar>
        <w:tblLook w:val="01E0"/>
      </w:tblPr>
      <w:tblGrid>
        <w:gridCol w:w="5728"/>
        <w:gridCol w:w="1638"/>
        <w:gridCol w:w="155"/>
        <w:gridCol w:w="1699"/>
      </w:tblGrid>
      <w:tr>
        <w:trPr>
          <w:trHeight w:val="261" w:hRule="exact"/>
        </w:trPr>
        <w:tc>
          <w:tcPr>
            <w:tcW w:w="5728" w:type="dxa"/>
            <w:tcBorders>
              <w:top w:val="nil" w:sz="6" w:space="0" w:color="auto"/>
              <w:left w:val="nil" w:sz="6" w:space="0" w:color="auto"/>
              <w:bottom w:val="nil" w:sz="6" w:space="0" w:color="auto"/>
              <w:right w:val="nil" w:sz="6" w:space="0" w:color="auto"/>
            </w:tcBorders>
          </w:tcPr>
          <w:p>
            <w:pPr/>
          </w:p>
        </w:tc>
        <w:tc>
          <w:tcPr>
            <w:tcW w:w="1638" w:type="dxa"/>
            <w:tcBorders>
              <w:top w:val="nil" w:sz="6" w:space="0" w:color="auto"/>
              <w:left w:val="nil" w:sz="6" w:space="0" w:color="auto"/>
              <w:bottom w:val="single" w:sz="6" w:space="0" w:color="000000"/>
              <w:right w:val="nil" w:sz="6" w:space="0" w:color="auto"/>
            </w:tcBorders>
          </w:tcPr>
          <w:p>
            <w:pPr>
              <w:pStyle w:val="TableParagraph"/>
              <w:spacing w:line="235" w:lineRule="exact"/>
              <w:ind w:right="41"/>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55"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single" w:sz="6" w:space="0" w:color="000000"/>
              <w:right w:val="nil" w:sz="6" w:space="0" w:color="auto"/>
            </w:tcBorders>
          </w:tcPr>
          <w:p>
            <w:pPr>
              <w:pStyle w:val="TableParagraph"/>
              <w:spacing w:line="235" w:lineRule="exact"/>
              <w:ind w:left="645"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58" w:hRule="exact"/>
        </w:trPr>
        <w:tc>
          <w:tcPr>
            <w:tcW w:w="572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当期所得税</w:t>
            </w:r>
          </w:p>
        </w:tc>
        <w:tc>
          <w:tcPr>
            <w:tcW w:w="1638"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34" w:right="0"/>
              <w:jc w:val="left"/>
              <w:rPr>
                <w:rFonts w:ascii="Arial" w:hAnsi="Arial" w:cs="Arial" w:eastAsia="Arial" w:hint="default"/>
                <w:sz w:val="22"/>
                <w:szCs w:val="22"/>
              </w:rPr>
            </w:pPr>
            <w:r>
              <w:rPr>
                <w:rFonts w:ascii="Arial"/>
                <w:sz w:val="22"/>
              </w:rPr>
              <w:t>2,702,293,965</w:t>
            </w:r>
          </w:p>
        </w:tc>
        <w:tc>
          <w:tcPr>
            <w:tcW w:w="155" w:type="dxa"/>
            <w:tcBorders>
              <w:top w:val="nil" w:sz="6" w:space="0" w:color="auto"/>
              <w:left w:val="nil" w:sz="6" w:space="0" w:color="auto"/>
              <w:bottom w:val="nil" w:sz="6" w:space="0" w:color="auto"/>
              <w:right w:val="nil" w:sz="6" w:space="0" w:color="auto"/>
            </w:tcBorders>
          </w:tcPr>
          <w:p>
            <w:pPr/>
          </w:p>
        </w:tc>
        <w:tc>
          <w:tcPr>
            <w:tcW w:w="1699"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80" w:right="0"/>
              <w:jc w:val="left"/>
              <w:rPr>
                <w:rFonts w:ascii="Arial" w:hAnsi="Arial" w:cs="Arial" w:eastAsia="Arial" w:hint="default"/>
                <w:sz w:val="22"/>
                <w:szCs w:val="22"/>
              </w:rPr>
            </w:pPr>
            <w:r>
              <w:rPr>
                <w:rFonts w:ascii="Arial"/>
                <w:sz w:val="22"/>
              </w:rPr>
              <w:t>870,707,974</w:t>
            </w:r>
          </w:p>
        </w:tc>
      </w:tr>
      <w:tr>
        <w:trPr>
          <w:trHeight w:val="419" w:hRule="exact"/>
        </w:trPr>
        <w:tc>
          <w:tcPr>
            <w:tcW w:w="5728"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加：递延所得税</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2"/>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  </w:t>
            </w:r>
            <w:r>
              <w:rPr>
                <w:rFonts w:ascii="Arial"/>
                <w:spacing w:val="-1"/>
                <w:sz w:val="22"/>
                <w:u w:val="single" w:color="000000"/>
              </w:rPr>
              <w:t> </w:t>
            </w:r>
            <w:r>
              <w:rPr>
                <w:rFonts w:ascii="Arial"/>
                <w:w w:val="95"/>
                <w:sz w:val="22"/>
                <w:u w:val="single" w:color="000000"/>
              </w:rPr>
              <w:t>(183,661,592)</w:t>
            </w:r>
            <w:r>
              <w:rPr>
                <w:rFonts w:ascii="Arial"/>
                <w:w w:val="95"/>
                <w:sz w:val="22"/>
              </w:rPr>
            </w:r>
            <w:r>
              <w:rPr>
                <w:rFonts w:ascii="Arial"/>
                <w:sz w:val="22"/>
              </w:rPr>
            </w:r>
          </w:p>
        </w:tc>
        <w:tc>
          <w:tcPr>
            <w:tcW w:w="155"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tabs>
                <w:tab w:pos="380" w:val="left" w:leader="none"/>
                <w:tab w:pos="1699" w:val="left" w:leader="none"/>
              </w:tabs>
              <w:spacing w:line="240" w:lineRule="auto" w:before="17"/>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605,367,457</w:t>
              <w:tab/>
            </w:r>
            <w:r>
              <w:rPr>
                <w:rFonts w:ascii="Arial"/>
                <w:sz w:val="22"/>
              </w:rPr>
            </w:r>
          </w:p>
        </w:tc>
      </w:tr>
      <w:tr>
        <w:trPr>
          <w:trHeight w:val="430" w:hRule="exact"/>
        </w:trPr>
        <w:tc>
          <w:tcPr>
            <w:tcW w:w="572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638"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134" w:right="0"/>
              <w:jc w:val="left"/>
              <w:rPr>
                <w:rFonts w:ascii="Arial" w:hAnsi="Arial" w:cs="Arial" w:eastAsia="Arial" w:hint="default"/>
                <w:sz w:val="22"/>
                <w:szCs w:val="22"/>
              </w:rPr>
            </w:pPr>
            <w:r>
              <w:rPr>
                <w:rFonts w:ascii="Arial"/>
                <w:sz w:val="22"/>
              </w:rPr>
              <w:t>2,518,632,373</w:t>
            </w:r>
          </w:p>
        </w:tc>
        <w:tc>
          <w:tcPr>
            <w:tcW w:w="155"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196" w:right="0"/>
              <w:jc w:val="left"/>
              <w:rPr>
                <w:rFonts w:ascii="Arial" w:hAnsi="Arial" w:cs="Arial" w:eastAsia="Arial" w:hint="default"/>
                <w:sz w:val="22"/>
                <w:szCs w:val="22"/>
              </w:rPr>
            </w:pPr>
            <w:r>
              <w:rPr>
                <w:rFonts w:ascii="Arial"/>
                <w:sz w:val="22"/>
              </w:rPr>
              <w:t>1,476,075,431</w:t>
            </w:r>
          </w:p>
        </w:tc>
      </w:tr>
    </w:tbl>
    <w:p>
      <w:pPr>
        <w:spacing w:line="240" w:lineRule="auto" w:before="12"/>
        <w:rPr>
          <w:rFonts w:ascii="宋体" w:hAnsi="宋体" w:cs="宋体" w:eastAsia="宋体" w:hint="default"/>
          <w:sz w:val="8"/>
          <w:szCs w:val="8"/>
        </w:rPr>
      </w:pPr>
    </w:p>
    <w:p>
      <w:pPr>
        <w:pStyle w:val="BodyText"/>
        <w:spacing w:line="240" w:lineRule="auto" w:before="31"/>
        <w:ind w:left="102" w:right="0"/>
        <w:jc w:val="left"/>
      </w:pPr>
      <w:r>
        <w:rPr>
          <w:rFonts w:ascii="Arial" w:hAnsi="Arial" w:cs="Arial" w:eastAsia="Arial" w:hint="default"/>
        </w:rPr>
        <w:t>(a) </w:t>
      </w:r>
      <w:r>
        <w:rPr>
          <w:rFonts w:ascii="Arial" w:hAnsi="Arial" w:cs="Arial" w:eastAsia="Arial" w:hint="default"/>
          <w:spacing w:val="16"/>
        </w:rPr>
        <w:t> </w:t>
      </w:r>
      <w:r>
        <w:rPr/>
        <w:t>按法定税率计算之所得税与实际所得税费用调整如下：</w:t>
      </w:r>
    </w:p>
    <w:p>
      <w:pPr>
        <w:spacing w:line="240" w:lineRule="auto" w:before="11"/>
        <w:rPr>
          <w:rFonts w:ascii="宋体" w:hAnsi="宋体" w:cs="宋体" w:eastAsia="宋体" w:hint="default"/>
          <w:sz w:val="26"/>
          <w:szCs w:val="26"/>
        </w:rPr>
      </w:pPr>
    </w:p>
    <w:tbl>
      <w:tblPr>
        <w:tblW w:w="0" w:type="auto"/>
        <w:jc w:val="left"/>
        <w:tblInd w:w="562" w:type="dxa"/>
        <w:tblLayout w:type="fixed"/>
        <w:tblCellMar>
          <w:top w:w="0" w:type="dxa"/>
          <w:left w:w="0" w:type="dxa"/>
          <w:bottom w:w="0" w:type="dxa"/>
          <w:right w:w="0" w:type="dxa"/>
        </w:tblCellMar>
        <w:tblLook w:val="01E0"/>
      </w:tblPr>
      <w:tblGrid>
        <w:gridCol w:w="4792"/>
        <w:gridCol w:w="765"/>
        <w:gridCol w:w="1752"/>
        <w:gridCol w:w="1700"/>
      </w:tblGrid>
      <w:tr>
        <w:trPr>
          <w:trHeight w:val="253" w:hRule="exact"/>
        </w:trPr>
        <w:tc>
          <w:tcPr>
            <w:tcW w:w="4792" w:type="dxa"/>
            <w:tcBorders>
              <w:top w:val="nil" w:sz="6" w:space="0" w:color="auto"/>
              <w:left w:val="nil" w:sz="6" w:space="0" w:color="auto"/>
              <w:bottom w:val="single" w:sz="0" w:space="0" w:color="FFFF99"/>
              <w:right w:val="nil" w:sz="6" w:space="0" w:color="auto"/>
            </w:tcBorders>
          </w:tcPr>
          <w:p>
            <w:pPr/>
          </w:p>
        </w:tc>
        <w:tc>
          <w:tcPr>
            <w:tcW w:w="765" w:type="dxa"/>
            <w:tcBorders>
              <w:top w:val="nil" w:sz="6" w:space="0" w:color="auto"/>
              <w:left w:val="nil" w:sz="6" w:space="0" w:color="auto"/>
              <w:bottom w:val="single" w:sz="6" w:space="0" w:color="000000"/>
              <w:right w:val="nil" w:sz="6" w:space="0" w:color="auto"/>
            </w:tcBorders>
          </w:tcPr>
          <w:p>
            <w:pPr>
              <w:pStyle w:val="TableParagraph"/>
              <w:spacing w:line="220" w:lineRule="exact"/>
              <w:ind w:right="76"/>
              <w:jc w:val="center"/>
              <w:rPr>
                <w:rFonts w:ascii="宋体" w:hAnsi="宋体" w:cs="宋体" w:eastAsia="宋体" w:hint="default"/>
                <w:sz w:val="22"/>
                <w:szCs w:val="22"/>
              </w:rPr>
            </w:pPr>
            <w:r>
              <w:rPr>
                <w:rFonts w:ascii="宋体" w:hAnsi="宋体" w:cs="宋体" w:eastAsia="宋体" w:hint="default"/>
                <w:sz w:val="22"/>
                <w:szCs w:val="22"/>
              </w:rPr>
              <w:t>注释</w:t>
            </w:r>
          </w:p>
        </w:tc>
        <w:tc>
          <w:tcPr>
            <w:tcW w:w="1752" w:type="dxa"/>
            <w:tcBorders>
              <w:top w:val="nil" w:sz="6" w:space="0" w:color="auto"/>
              <w:left w:val="nil" w:sz="6" w:space="0" w:color="auto"/>
              <w:bottom w:val="single" w:sz="6" w:space="0" w:color="000000"/>
              <w:right w:val="nil" w:sz="6" w:space="0" w:color="auto"/>
            </w:tcBorders>
          </w:tcPr>
          <w:p>
            <w:pPr>
              <w:pStyle w:val="TableParagraph"/>
              <w:spacing w:line="235" w:lineRule="exact"/>
              <w:ind w:right="260"/>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700" w:type="dxa"/>
            <w:tcBorders>
              <w:top w:val="nil" w:sz="6" w:space="0" w:color="auto"/>
              <w:left w:val="nil" w:sz="6" w:space="0" w:color="auto"/>
              <w:bottom w:val="single" w:sz="6" w:space="0" w:color="000000"/>
              <w:right w:val="nil" w:sz="6" w:space="0" w:color="auto"/>
            </w:tcBorders>
          </w:tcPr>
          <w:p>
            <w:pPr>
              <w:pStyle w:val="TableParagraph"/>
              <w:spacing w:line="235" w:lineRule="exact"/>
              <w:ind w:right="119"/>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66" w:hRule="exact"/>
        </w:trPr>
        <w:tc>
          <w:tcPr>
            <w:tcW w:w="4792" w:type="dxa"/>
            <w:tcBorders>
              <w:top w:val="single" w:sz="0" w:space="0" w:color="FFFF99"/>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left"/>
              <w:rPr>
                <w:rFonts w:ascii="宋体" w:hAnsi="宋体" w:cs="宋体" w:eastAsia="宋体" w:hint="default"/>
                <w:sz w:val="22"/>
                <w:szCs w:val="22"/>
              </w:rPr>
            </w:pPr>
            <w:r>
              <w:rPr>
                <w:rFonts w:ascii="宋体" w:hAnsi="宋体" w:cs="宋体" w:eastAsia="宋体" w:hint="default"/>
                <w:sz w:val="22"/>
                <w:szCs w:val="22"/>
              </w:rPr>
              <w:t>利润总额</w:t>
            </w:r>
          </w:p>
        </w:tc>
        <w:tc>
          <w:tcPr>
            <w:tcW w:w="765" w:type="dxa"/>
            <w:tcBorders>
              <w:top w:val="single" w:sz="6" w:space="0" w:color="000000"/>
              <w:left w:val="nil" w:sz="6" w:space="0" w:color="auto"/>
              <w:bottom w:val="nil" w:sz="6" w:space="0" w:color="auto"/>
              <w:right w:val="nil" w:sz="6" w:space="0" w:color="auto"/>
            </w:tcBorders>
          </w:tcPr>
          <w:p>
            <w:pPr/>
          </w:p>
        </w:tc>
        <w:tc>
          <w:tcPr>
            <w:tcW w:w="1752"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93" w:right="0"/>
              <w:jc w:val="left"/>
              <w:rPr>
                <w:rFonts w:ascii="Arial" w:hAnsi="Arial" w:cs="Arial" w:eastAsia="Arial" w:hint="default"/>
                <w:sz w:val="22"/>
                <w:szCs w:val="22"/>
              </w:rPr>
            </w:pPr>
            <w:r>
              <w:rPr>
                <w:rFonts w:ascii="Arial"/>
                <w:sz w:val="22"/>
              </w:rPr>
              <w:t>9,544,060,886</w:t>
            </w:r>
          </w:p>
        </w:tc>
        <w:tc>
          <w:tcPr>
            <w:tcW w:w="1700"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86"/>
              <w:jc w:val="right"/>
              <w:rPr>
                <w:rFonts w:ascii="Arial" w:hAnsi="Arial" w:cs="Arial" w:eastAsia="Arial" w:hint="default"/>
                <w:sz w:val="22"/>
                <w:szCs w:val="22"/>
              </w:rPr>
            </w:pPr>
            <w:r>
              <w:rPr>
                <w:rFonts w:ascii="Arial"/>
                <w:spacing w:val="-1"/>
                <w:sz w:val="22"/>
              </w:rPr>
              <w:t>5,664,040,816</w:t>
            </w:r>
          </w:p>
        </w:tc>
      </w:tr>
      <w:tr>
        <w:trPr>
          <w:trHeight w:val="412" w:hRule="exact"/>
        </w:trPr>
        <w:tc>
          <w:tcPr>
            <w:tcW w:w="4792" w:type="dxa"/>
            <w:tcBorders>
              <w:top w:val="nil" w:sz="6" w:space="0" w:color="auto"/>
              <w:left w:val="nil" w:sz="6" w:space="0" w:color="auto"/>
              <w:bottom w:val="nil" w:sz="6" w:space="0" w:color="auto"/>
              <w:right w:val="nil" w:sz="6" w:space="0" w:color="auto"/>
            </w:tcBorders>
          </w:tcPr>
          <w:p>
            <w:pPr>
              <w:pStyle w:val="TableParagraph"/>
              <w:spacing w:line="239" w:lineRule="exact"/>
              <w:ind w:right="0"/>
              <w:jc w:val="left"/>
              <w:rPr>
                <w:rFonts w:ascii="宋体" w:hAnsi="宋体" w:cs="宋体" w:eastAsia="宋体" w:hint="default"/>
                <w:sz w:val="22"/>
                <w:szCs w:val="22"/>
              </w:rPr>
            </w:pPr>
            <w:r>
              <w:rPr>
                <w:rFonts w:ascii="宋体" w:hAnsi="宋体" w:cs="宋体" w:eastAsia="宋体" w:hint="default"/>
                <w:sz w:val="22"/>
                <w:szCs w:val="22"/>
              </w:rPr>
              <w:t>按法定税率计算之所得税</w:t>
            </w:r>
          </w:p>
        </w:tc>
        <w:tc>
          <w:tcPr>
            <w:tcW w:w="765"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3" w:right="0"/>
              <w:jc w:val="left"/>
              <w:rPr>
                <w:rFonts w:ascii="Arial" w:hAnsi="Arial" w:cs="Arial" w:eastAsia="Arial" w:hint="default"/>
                <w:sz w:val="22"/>
                <w:szCs w:val="22"/>
              </w:rPr>
            </w:pPr>
            <w:r>
              <w:rPr>
                <w:rFonts w:ascii="Arial"/>
                <w:sz w:val="22"/>
              </w:rPr>
              <w:t>2,386,015,222</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6"/>
              <w:jc w:val="right"/>
              <w:rPr>
                <w:rFonts w:ascii="Arial" w:hAnsi="Arial" w:cs="Arial" w:eastAsia="Arial" w:hint="default"/>
                <w:sz w:val="22"/>
                <w:szCs w:val="22"/>
              </w:rPr>
            </w:pPr>
            <w:r>
              <w:rPr>
                <w:rFonts w:ascii="Arial"/>
                <w:spacing w:val="-1"/>
                <w:sz w:val="22"/>
              </w:rPr>
              <w:t>1,416,010,204</w:t>
            </w:r>
          </w:p>
        </w:tc>
      </w:tr>
      <w:tr>
        <w:trPr>
          <w:trHeight w:val="525" w:hRule="exact"/>
        </w:trPr>
        <w:tc>
          <w:tcPr>
            <w:tcW w:w="479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22"/>
                <w:szCs w:val="22"/>
              </w:rPr>
            </w:pPr>
            <w:r>
              <w:rPr>
                <w:rFonts w:ascii="宋体" w:hAnsi="宋体" w:cs="宋体" w:eastAsia="宋体" w:hint="default"/>
                <w:sz w:val="22"/>
                <w:szCs w:val="22"/>
              </w:rPr>
              <w:t>所得税影响调整：</w:t>
            </w:r>
          </w:p>
        </w:tc>
        <w:tc>
          <w:tcPr>
            <w:tcW w:w="765"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r>
      <w:tr>
        <w:trPr>
          <w:trHeight w:val="425" w:hRule="exact"/>
        </w:trPr>
        <w:tc>
          <w:tcPr>
            <w:tcW w:w="479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left"/>
              <w:rPr>
                <w:rFonts w:ascii="宋体" w:hAnsi="宋体" w:cs="宋体" w:eastAsia="宋体" w:hint="default"/>
                <w:sz w:val="22"/>
                <w:szCs w:val="22"/>
              </w:rPr>
            </w:pPr>
            <w:r>
              <w:rPr>
                <w:rFonts w:ascii="宋体" w:hAnsi="宋体" w:cs="宋体" w:eastAsia="宋体" w:hint="default"/>
                <w:sz w:val="22"/>
                <w:szCs w:val="22"/>
              </w:rPr>
              <w:t>加：</w:t>
            </w:r>
            <w:r>
              <w:rPr>
                <w:rFonts w:ascii="Arial" w:hAnsi="Arial" w:cs="Arial" w:eastAsia="Arial" w:hint="default"/>
                <w:sz w:val="22"/>
                <w:szCs w:val="22"/>
              </w:rPr>
              <w:t>-</w:t>
            </w:r>
            <w:r>
              <w:rPr>
                <w:rFonts w:ascii="Arial" w:hAnsi="Arial" w:cs="Arial" w:eastAsia="Arial" w:hint="default"/>
                <w:spacing w:val="42"/>
                <w:sz w:val="22"/>
                <w:szCs w:val="22"/>
              </w:rPr>
              <w:t> </w:t>
            </w:r>
            <w:r>
              <w:rPr>
                <w:rFonts w:ascii="宋体" w:hAnsi="宋体" w:cs="宋体" w:eastAsia="宋体" w:hint="default"/>
                <w:sz w:val="22"/>
                <w:szCs w:val="22"/>
              </w:rPr>
              <w:t>不得扣除的成本、费用和损失</w:t>
            </w:r>
          </w:p>
        </w:tc>
        <w:tc>
          <w:tcPr>
            <w:tcW w:w="765"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276" w:right="0"/>
              <w:jc w:val="left"/>
              <w:rPr>
                <w:rFonts w:ascii="Arial" w:hAnsi="Arial" w:cs="Arial" w:eastAsia="Arial" w:hint="default"/>
                <w:sz w:val="22"/>
                <w:szCs w:val="22"/>
              </w:rPr>
            </w:pPr>
            <w:r>
              <w:rPr>
                <w:rFonts w:ascii="Arial"/>
                <w:sz w:val="22"/>
              </w:rPr>
              <w:t>120,285,320</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86"/>
              <w:jc w:val="right"/>
              <w:rPr>
                <w:rFonts w:ascii="Arial" w:hAnsi="Arial" w:cs="Arial" w:eastAsia="Arial" w:hint="default"/>
                <w:sz w:val="22"/>
                <w:szCs w:val="22"/>
              </w:rPr>
            </w:pPr>
            <w:r>
              <w:rPr>
                <w:rFonts w:ascii="Arial"/>
                <w:w w:val="95"/>
                <w:sz w:val="22"/>
              </w:rPr>
              <w:t>54,529,140</w:t>
            </w:r>
            <w:r>
              <w:rPr>
                <w:rFonts w:ascii="Arial"/>
                <w:sz w:val="22"/>
              </w:rPr>
            </w:r>
          </w:p>
        </w:tc>
      </w:tr>
      <w:tr>
        <w:trPr>
          <w:trHeight w:val="284" w:hRule="exact"/>
        </w:trPr>
        <w:tc>
          <w:tcPr>
            <w:tcW w:w="4792" w:type="dxa"/>
            <w:tcBorders>
              <w:top w:val="nil" w:sz="6" w:space="0" w:color="auto"/>
              <w:left w:val="nil" w:sz="6" w:space="0" w:color="auto"/>
              <w:bottom w:val="nil" w:sz="6" w:space="0" w:color="auto"/>
              <w:right w:val="nil" w:sz="6" w:space="0" w:color="auto"/>
            </w:tcBorders>
          </w:tcPr>
          <w:p>
            <w:pPr>
              <w:pStyle w:val="TableParagraph"/>
              <w:spacing w:line="255" w:lineRule="exact"/>
              <w:ind w:left="441" w:right="0"/>
              <w:jc w:val="left"/>
              <w:rPr>
                <w:rFonts w:ascii="宋体" w:hAnsi="宋体" w:cs="宋体" w:eastAsia="宋体" w:hint="default"/>
                <w:sz w:val="22"/>
                <w:szCs w:val="22"/>
              </w:rPr>
            </w:pPr>
            <w:r>
              <w:rPr>
                <w:rFonts w:ascii="Arial" w:hAnsi="Arial" w:cs="Arial" w:eastAsia="Arial" w:hint="default"/>
                <w:sz w:val="22"/>
                <w:szCs w:val="22"/>
              </w:rPr>
              <w:t>-</w:t>
            </w:r>
            <w:r>
              <w:rPr>
                <w:rFonts w:ascii="Arial" w:hAnsi="Arial" w:cs="Arial" w:eastAsia="Arial" w:hint="default"/>
                <w:spacing w:val="45"/>
                <w:sz w:val="22"/>
                <w:szCs w:val="22"/>
              </w:rPr>
              <w:t> </w:t>
            </w:r>
            <w:r>
              <w:rPr>
                <w:rFonts w:ascii="宋体" w:hAnsi="宋体" w:cs="宋体" w:eastAsia="宋体" w:hint="default"/>
                <w:sz w:val="22"/>
                <w:szCs w:val="22"/>
              </w:rPr>
              <w:t>当期汇算清缴差异</w:t>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7"/>
              <w:jc w:val="center"/>
              <w:rPr>
                <w:rFonts w:ascii="Arial" w:hAnsi="Arial" w:cs="Arial" w:eastAsia="Arial" w:hint="default"/>
                <w:sz w:val="22"/>
                <w:szCs w:val="22"/>
              </w:rPr>
            </w:pPr>
            <w:r>
              <w:rPr>
                <w:rFonts w:ascii="Arial"/>
                <w:sz w:val="22"/>
              </w:rPr>
              <w:t>(1)</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0"/>
              <w:jc w:val="right"/>
              <w:rPr>
                <w:rFonts w:ascii="Arial" w:hAnsi="Arial" w:cs="Arial" w:eastAsia="Arial" w:hint="default"/>
                <w:sz w:val="22"/>
                <w:szCs w:val="22"/>
              </w:rPr>
            </w:pPr>
            <w:r>
              <w:rPr>
                <w:rFonts w:ascii="Arial"/>
                <w:w w:val="95"/>
                <w:sz w:val="22"/>
              </w:rPr>
              <w:t>7,995,034</w:t>
            </w:r>
            <w:r>
              <w:rPr>
                <w:rFonts w:ascii="Arial"/>
                <w:sz w:val="22"/>
              </w:rPr>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6"/>
              <w:jc w:val="right"/>
              <w:rPr>
                <w:rFonts w:ascii="Arial" w:hAnsi="Arial" w:cs="Arial" w:eastAsia="Arial" w:hint="default"/>
                <w:sz w:val="22"/>
                <w:szCs w:val="22"/>
              </w:rPr>
            </w:pPr>
            <w:r>
              <w:rPr>
                <w:rFonts w:ascii="Arial"/>
                <w:w w:val="95"/>
                <w:sz w:val="22"/>
              </w:rPr>
              <w:t>40,086,535</w:t>
            </w:r>
            <w:r>
              <w:rPr>
                <w:rFonts w:ascii="Arial"/>
                <w:sz w:val="22"/>
              </w:rPr>
            </w:r>
          </w:p>
        </w:tc>
      </w:tr>
      <w:tr>
        <w:trPr>
          <w:trHeight w:val="286" w:hRule="exact"/>
        </w:trPr>
        <w:tc>
          <w:tcPr>
            <w:tcW w:w="4792" w:type="dxa"/>
            <w:tcBorders>
              <w:top w:val="nil" w:sz="6" w:space="0" w:color="auto"/>
              <w:left w:val="nil" w:sz="6" w:space="0" w:color="auto"/>
              <w:bottom w:val="nil" w:sz="6" w:space="0" w:color="auto"/>
              <w:right w:val="nil" w:sz="6" w:space="0" w:color="auto"/>
            </w:tcBorders>
          </w:tcPr>
          <w:p>
            <w:pPr>
              <w:pStyle w:val="TableParagraph"/>
              <w:spacing w:line="255" w:lineRule="exact"/>
              <w:ind w:left="441" w:right="0"/>
              <w:jc w:val="left"/>
              <w:rPr>
                <w:rFonts w:ascii="宋体" w:hAnsi="宋体" w:cs="宋体" w:eastAsia="宋体" w:hint="default"/>
                <w:sz w:val="22"/>
                <w:szCs w:val="22"/>
              </w:rPr>
            </w:pPr>
            <w:r>
              <w:rPr>
                <w:rFonts w:ascii="Arial" w:hAnsi="Arial" w:cs="Arial" w:eastAsia="Arial" w:hint="default"/>
                <w:sz w:val="22"/>
                <w:szCs w:val="22"/>
              </w:rPr>
              <w:t>-</w:t>
            </w:r>
            <w:r>
              <w:rPr>
                <w:rFonts w:ascii="Arial" w:hAnsi="Arial" w:cs="Arial" w:eastAsia="Arial" w:hint="default"/>
                <w:spacing w:val="45"/>
                <w:sz w:val="22"/>
                <w:szCs w:val="22"/>
              </w:rPr>
              <w:t> </w:t>
            </w:r>
            <w:r>
              <w:rPr>
                <w:rFonts w:ascii="宋体" w:hAnsi="宋体" w:cs="宋体" w:eastAsia="宋体" w:hint="default"/>
                <w:sz w:val="22"/>
                <w:szCs w:val="22"/>
              </w:rPr>
              <w:t>税务检查补缴税款</w:t>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7"/>
              <w:jc w:val="center"/>
              <w:rPr>
                <w:rFonts w:ascii="Arial" w:hAnsi="Arial" w:cs="Arial" w:eastAsia="Arial" w:hint="default"/>
                <w:sz w:val="22"/>
                <w:szCs w:val="22"/>
              </w:rPr>
            </w:pPr>
            <w:r>
              <w:rPr>
                <w:rFonts w:ascii="Arial"/>
                <w:sz w:val="22"/>
              </w:rPr>
              <w:t>(2)</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97" w:right="0"/>
              <w:jc w:val="left"/>
              <w:rPr>
                <w:rFonts w:ascii="Arial" w:hAnsi="Arial" w:cs="Arial" w:eastAsia="Arial" w:hint="default"/>
                <w:sz w:val="22"/>
                <w:szCs w:val="22"/>
              </w:rPr>
            </w:pPr>
            <w:r>
              <w:rPr>
                <w:rFonts w:ascii="Arial"/>
                <w:sz w:val="22"/>
              </w:rPr>
              <w:t>64,852,257</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6"/>
              <w:jc w:val="right"/>
              <w:rPr>
                <w:rFonts w:ascii="Arial" w:hAnsi="Arial" w:cs="Arial" w:eastAsia="Arial" w:hint="default"/>
                <w:sz w:val="22"/>
                <w:szCs w:val="22"/>
              </w:rPr>
            </w:pPr>
            <w:r>
              <w:rPr>
                <w:rFonts w:ascii="Arial"/>
                <w:w w:val="95"/>
                <w:sz w:val="22"/>
              </w:rPr>
              <w:t>76,783,499</w:t>
            </w:r>
            <w:r>
              <w:rPr>
                <w:rFonts w:ascii="Arial"/>
                <w:sz w:val="22"/>
              </w:rPr>
            </w:r>
          </w:p>
        </w:tc>
      </w:tr>
      <w:tr>
        <w:trPr>
          <w:trHeight w:val="286" w:hRule="exact"/>
        </w:trPr>
        <w:tc>
          <w:tcPr>
            <w:tcW w:w="4792" w:type="dxa"/>
            <w:tcBorders>
              <w:top w:val="nil" w:sz="6" w:space="0" w:color="auto"/>
              <w:left w:val="nil" w:sz="6" w:space="0" w:color="auto"/>
              <w:bottom w:val="nil" w:sz="6" w:space="0" w:color="auto"/>
              <w:right w:val="nil" w:sz="6" w:space="0" w:color="auto"/>
            </w:tcBorders>
          </w:tcPr>
          <w:p>
            <w:pPr>
              <w:pStyle w:val="TableParagraph"/>
              <w:spacing w:line="255" w:lineRule="exact"/>
              <w:ind w:left="441" w:right="0"/>
              <w:jc w:val="left"/>
              <w:rPr>
                <w:rFonts w:ascii="宋体" w:hAnsi="宋体" w:cs="宋体" w:eastAsia="宋体" w:hint="default"/>
                <w:sz w:val="22"/>
                <w:szCs w:val="22"/>
              </w:rPr>
            </w:pPr>
            <w:r>
              <w:rPr>
                <w:rFonts w:ascii="Arial" w:hAnsi="Arial" w:cs="Arial" w:eastAsia="Arial" w:hint="default"/>
                <w:sz w:val="22"/>
                <w:szCs w:val="22"/>
              </w:rPr>
              <w:t>-</w:t>
            </w:r>
            <w:r>
              <w:rPr>
                <w:rFonts w:ascii="Arial" w:hAnsi="Arial" w:cs="Arial" w:eastAsia="Arial" w:hint="default"/>
                <w:spacing w:val="41"/>
                <w:sz w:val="22"/>
                <w:szCs w:val="22"/>
              </w:rPr>
              <w:t> </w:t>
            </w:r>
            <w:r>
              <w:rPr>
                <w:rFonts w:ascii="宋体" w:hAnsi="宋体" w:cs="宋体" w:eastAsia="宋体" w:hint="default"/>
                <w:sz w:val="22"/>
                <w:szCs w:val="22"/>
              </w:rPr>
              <w:t>境外子公司利息收入被代扣代缴的所得税</w:t>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7"/>
              <w:jc w:val="center"/>
              <w:rPr>
                <w:rFonts w:ascii="Arial" w:hAnsi="Arial" w:cs="Arial" w:eastAsia="Arial" w:hint="default"/>
                <w:sz w:val="22"/>
                <w:szCs w:val="22"/>
              </w:rPr>
            </w:pPr>
            <w:r>
              <w:rPr>
                <w:rFonts w:ascii="Arial"/>
                <w:sz w:val="22"/>
              </w:rPr>
              <w:t>(3)</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97" w:right="0"/>
              <w:jc w:val="left"/>
              <w:rPr>
                <w:rFonts w:ascii="Arial" w:hAnsi="Arial" w:cs="Arial" w:eastAsia="Arial" w:hint="default"/>
                <w:sz w:val="22"/>
                <w:szCs w:val="22"/>
              </w:rPr>
            </w:pPr>
            <w:r>
              <w:rPr>
                <w:rFonts w:ascii="Arial"/>
                <w:sz w:val="22"/>
              </w:rPr>
              <w:t>29,874,229</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4"/>
              <w:jc w:val="right"/>
              <w:rPr>
                <w:rFonts w:ascii="Arial" w:hAnsi="Arial" w:cs="Arial" w:eastAsia="Arial" w:hint="default"/>
                <w:sz w:val="22"/>
                <w:szCs w:val="22"/>
              </w:rPr>
            </w:pPr>
            <w:r>
              <w:rPr>
                <w:rFonts w:ascii="Arial"/>
                <w:w w:val="95"/>
                <w:sz w:val="22"/>
              </w:rPr>
              <w:t>25,429,866</w:t>
            </w:r>
            <w:r>
              <w:rPr>
                <w:rFonts w:ascii="Arial"/>
                <w:sz w:val="22"/>
              </w:rPr>
            </w:r>
          </w:p>
        </w:tc>
      </w:tr>
      <w:tr>
        <w:trPr>
          <w:trHeight w:val="412" w:hRule="exact"/>
        </w:trPr>
        <w:tc>
          <w:tcPr>
            <w:tcW w:w="4792" w:type="dxa"/>
            <w:tcBorders>
              <w:top w:val="nil" w:sz="6" w:space="0" w:color="auto"/>
              <w:left w:val="nil" w:sz="6" w:space="0" w:color="auto"/>
              <w:bottom w:val="nil" w:sz="6" w:space="0" w:color="auto"/>
              <w:right w:val="nil" w:sz="6" w:space="0" w:color="auto"/>
            </w:tcBorders>
          </w:tcPr>
          <w:p>
            <w:pPr>
              <w:pStyle w:val="TableParagraph"/>
              <w:spacing w:line="255" w:lineRule="exact"/>
              <w:ind w:left="441" w:right="0"/>
              <w:jc w:val="left"/>
              <w:rPr>
                <w:rFonts w:ascii="宋体" w:hAnsi="宋体" w:cs="宋体" w:eastAsia="宋体" w:hint="default"/>
                <w:sz w:val="22"/>
                <w:szCs w:val="22"/>
              </w:rPr>
            </w:pPr>
            <w:r>
              <w:rPr>
                <w:rFonts w:ascii="Arial" w:hAnsi="Arial" w:cs="Arial" w:eastAsia="Arial" w:hint="default"/>
                <w:sz w:val="22"/>
                <w:szCs w:val="22"/>
              </w:rPr>
              <w:t>-</w:t>
            </w:r>
            <w:r>
              <w:rPr>
                <w:rFonts w:ascii="Arial" w:hAnsi="Arial" w:cs="Arial" w:eastAsia="Arial" w:hint="default"/>
                <w:spacing w:val="48"/>
                <w:sz w:val="22"/>
                <w:szCs w:val="22"/>
              </w:rPr>
              <w:t> </w:t>
            </w:r>
            <w:r>
              <w:rPr>
                <w:rFonts w:ascii="宋体" w:hAnsi="宋体" w:cs="宋体" w:eastAsia="宋体" w:hint="default"/>
                <w:sz w:val="22"/>
                <w:szCs w:val="22"/>
              </w:rPr>
              <w:t>其他</w:t>
            </w:r>
          </w:p>
        </w:tc>
        <w:tc>
          <w:tcPr>
            <w:tcW w:w="765"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97" w:right="0"/>
              <w:jc w:val="left"/>
              <w:rPr>
                <w:rFonts w:ascii="Arial" w:hAnsi="Arial" w:cs="Arial" w:eastAsia="Arial" w:hint="default"/>
                <w:sz w:val="22"/>
                <w:szCs w:val="22"/>
              </w:rPr>
            </w:pPr>
            <w:r>
              <w:rPr>
                <w:rFonts w:ascii="Arial"/>
                <w:sz w:val="22"/>
              </w:rPr>
              <w:t>35,421,945</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6"/>
              <w:jc w:val="right"/>
              <w:rPr>
                <w:rFonts w:ascii="Arial" w:hAnsi="Arial" w:cs="Arial" w:eastAsia="Arial" w:hint="default"/>
                <w:sz w:val="22"/>
                <w:szCs w:val="22"/>
              </w:rPr>
            </w:pPr>
            <w:r>
              <w:rPr>
                <w:rFonts w:ascii="Arial"/>
                <w:w w:val="95"/>
                <w:sz w:val="22"/>
              </w:rPr>
              <w:t>25,468,583</w:t>
            </w:r>
            <w:r>
              <w:rPr>
                <w:rFonts w:ascii="Arial"/>
                <w:sz w:val="22"/>
              </w:rPr>
            </w:r>
          </w:p>
        </w:tc>
      </w:tr>
      <w:tr>
        <w:trPr>
          <w:trHeight w:val="412" w:hRule="exact"/>
        </w:trPr>
        <w:tc>
          <w:tcPr>
            <w:tcW w:w="479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22"/>
                <w:szCs w:val="22"/>
              </w:rPr>
            </w:pPr>
            <w:r>
              <w:rPr>
                <w:rFonts w:ascii="宋体" w:hAnsi="宋体" w:cs="宋体" w:eastAsia="宋体" w:hint="default"/>
                <w:sz w:val="22"/>
                <w:szCs w:val="22"/>
              </w:rPr>
              <w:t>减：</w:t>
            </w:r>
            <w:r>
              <w:rPr>
                <w:rFonts w:ascii="Arial" w:hAnsi="Arial" w:cs="Arial" w:eastAsia="Arial" w:hint="default"/>
                <w:sz w:val="22"/>
                <w:szCs w:val="22"/>
              </w:rPr>
              <w:t>-</w:t>
            </w:r>
            <w:r>
              <w:rPr>
                <w:rFonts w:ascii="Arial" w:hAnsi="Arial" w:cs="Arial" w:eastAsia="Arial" w:hint="default"/>
                <w:spacing w:val="45"/>
                <w:sz w:val="22"/>
                <w:szCs w:val="22"/>
              </w:rPr>
              <w:t> </w:t>
            </w:r>
            <w:r>
              <w:rPr>
                <w:rFonts w:ascii="宋体" w:hAnsi="宋体" w:cs="宋体" w:eastAsia="宋体" w:hint="default"/>
                <w:sz w:val="22"/>
                <w:szCs w:val="22"/>
              </w:rPr>
              <w:t>非应纳税收入</w:t>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76"/>
              <w:jc w:val="center"/>
              <w:rPr>
                <w:rFonts w:ascii="Arial" w:hAnsi="Arial" w:cs="Arial" w:eastAsia="Arial" w:hint="default"/>
                <w:sz w:val="22"/>
                <w:szCs w:val="22"/>
              </w:rPr>
            </w:pPr>
            <w:r>
              <w:rPr>
                <w:rFonts w:ascii="Arial"/>
                <w:sz w:val="22"/>
              </w:rPr>
              <w:t>(4)</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78"/>
              <w:jc w:val="right"/>
              <w:rPr>
                <w:rFonts w:ascii="Arial" w:hAnsi="Arial" w:cs="Arial" w:eastAsia="Arial" w:hint="default"/>
                <w:sz w:val="22"/>
                <w:szCs w:val="22"/>
              </w:rPr>
            </w:pPr>
            <w:r>
              <w:rPr>
                <w:rFonts w:ascii="Arial"/>
                <w:w w:val="95"/>
                <w:sz w:val="22"/>
              </w:rPr>
              <w:t>(16,060,312)</w:t>
            </w:r>
            <w:r>
              <w:rPr>
                <w:rFonts w:ascii="Arial"/>
                <w:sz w:val="22"/>
              </w:rPr>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5"/>
              <w:jc w:val="right"/>
              <w:rPr>
                <w:rFonts w:ascii="Arial" w:hAnsi="Arial" w:cs="Arial" w:eastAsia="Arial" w:hint="default"/>
                <w:sz w:val="22"/>
                <w:szCs w:val="22"/>
              </w:rPr>
            </w:pPr>
            <w:r>
              <w:rPr>
                <w:rFonts w:ascii="Arial"/>
                <w:w w:val="95"/>
                <w:sz w:val="22"/>
              </w:rPr>
              <w:t>(27,327,569)</w:t>
            </w:r>
            <w:r>
              <w:rPr>
                <w:rFonts w:ascii="Arial"/>
                <w:sz w:val="22"/>
              </w:rPr>
            </w:r>
          </w:p>
        </w:tc>
      </w:tr>
      <w:tr>
        <w:trPr>
          <w:trHeight w:val="420" w:hRule="exact"/>
        </w:trPr>
        <w:tc>
          <w:tcPr>
            <w:tcW w:w="4792" w:type="dxa"/>
            <w:tcBorders>
              <w:top w:val="nil" w:sz="6" w:space="0" w:color="auto"/>
              <w:left w:val="nil" w:sz="6" w:space="0" w:color="auto"/>
              <w:bottom w:val="nil" w:sz="6" w:space="0" w:color="auto"/>
              <w:right w:val="nil" w:sz="6" w:space="0" w:color="auto"/>
            </w:tcBorders>
          </w:tcPr>
          <w:p>
            <w:pPr>
              <w:pStyle w:val="TableParagraph"/>
              <w:spacing w:line="255" w:lineRule="exact"/>
              <w:ind w:left="441" w:right="0"/>
              <w:jc w:val="left"/>
              <w:rPr>
                <w:rFonts w:ascii="宋体" w:hAnsi="宋体" w:cs="宋体" w:eastAsia="宋体" w:hint="default"/>
                <w:sz w:val="22"/>
                <w:szCs w:val="22"/>
              </w:rPr>
            </w:pPr>
            <w:r>
              <w:rPr>
                <w:rFonts w:ascii="Arial" w:hAnsi="Arial" w:cs="Arial" w:eastAsia="Arial" w:hint="default"/>
                <w:sz w:val="22"/>
                <w:szCs w:val="22"/>
              </w:rPr>
              <w:t>-</w:t>
            </w:r>
            <w:r>
              <w:rPr>
                <w:rFonts w:ascii="Arial" w:hAnsi="Arial" w:cs="Arial" w:eastAsia="Arial" w:hint="default"/>
                <w:spacing w:val="46"/>
                <w:sz w:val="22"/>
                <w:szCs w:val="22"/>
              </w:rPr>
              <w:t> </w:t>
            </w:r>
            <w:r>
              <w:rPr>
                <w:rFonts w:ascii="宋体" w:hAnsi="宋体" w:cs="宋体" w:eastAsia="宋体" w:hint="default"/>
                <w:sz w:val="22"/>
                <w:szCs w:val="22"/>
              </w:rPr>
              <w:t>税率优惠之影响</w:t>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6"/>
              <w:jc w:val="center"/>
              <w:rPr>
                <w:rFonts w:ascii="Arial" w:hAnsi="Arial" w:cs="Arial" w:eastAsia="Arial" w:hint="default"/>
                <w:sz w:val="22"/>
                <w:szCs w:val="22"/>
              </w:rPr>
            </w:pPr>
            <w:r>
              <w:rPr>
                <w:rFonts w:ascii="Arial"/>
                <w:sz w:val="22"/>
              </w:rPr>
              <w:t>(5)</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3" w:right="176"/>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   </w:t>
            </w:r>
            <w:r>
              <w:rPr>
                <w:rFonts w:ascii="Arial"/>
                <w:w w:val="95"/>
                <w:sz w:val="22"/>
                <w:u w:val="single" w:color="000000"/>
              </w:rPr>
              <w:t>(109,751,322)</w:t>
            </w:r>
            <w:r>
              <w:rPr>
                <w:rFonts w:ascii="Arial"/>
                <w:w w:val="95"/>
                <w:sz w:val="22"/>
              </w:rPr>
            </w:r>
            <w:r>
              <w:rPr>
                <w:rFonts w:ascii="Arial"/>
                <w:sz w:val="22"/>
              </w:rPr>
            </w:r>
          </w:p>
        </w:tc>
        <w:tc>
          <w:tcPr>
            <w:tcW w:w="1700"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40" w:lineRule="auto" w:before="17"/>
              <w:ind w:right="15"/>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(134,904,827)</w:t>
            </w:r>
            <w:r>
              <w:rPr>
                <w:rFonts w:ascii="Arial"/>
                <w:w w:val="95"/>
                <w:sz w:val="22"/>
              </w:rPr>
            </w:r>
            <w:r>
              <w:rPr>
                <w:rFonts w:ascii="Arial"/>
                <w:sz w:val="22"/>
              </w:rPr>
            </w:r>
          </w:p>
        </w:tc>
      </w:tr>
      <w:tr>
        <w:trPr>
          <w:trHeight w:val="446" w:hRule="exact"/>
        </w:trPr>
        <w:tc>
          <w:tcPr>
            <w:tcW w:w="479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0"/>
              <w:jc w:val="left"/>
              <w:rPr>
                <w:rFonts w:ascii="宋体" w:hAnsi="宋体" w:cs="宋体" w:eastAsia="宋体" w:hint="default"/>
                <w:sz w:val="22"/>
                <w:szCs w:val="22"/>
              </w:rPr>
            </w:pPr>
            <w:r>
              <w:rPr>
                <w:rFonts w:ascii="宋体" w:hAnsi="宋体" w:cs="宋体" w:eastAsia="宋体" w:hint="default"/>
                <w:sz w:val="22"/>
                <w:szCs w:val="22"/>
              </w:rPr>
              <w:t>所得税费用</w:t>
            </w:r>
          </w:p>
        </w:tc>
        <w:tc>
          <w:tcPr>
            <w:tcW w:w="765"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93" w:right="0"/>
              <w:jc w:val="left"/>
              <w:rPr>
                <w:rFonts w:ascii="Arial" w:hAnsi="Arial" w:cs="Arial" w:eastAsia="Arial" w:hint="default"/>
                <w:sz w:val="22"/>
                <w:szCs w:val="22"/>
              </w:rPr>
            </w:pPr>
            <w:r>
              <w:rPr>
                <w:rFonts w:ascii="Arial"/>
                <w:sz w:val="22"/>
              </w:rPr>
              <w:t>2,518,632,373</w:t>
            </w:r>
          </w:p>
        </w:tc>
        <w:tc>
          <w:tcPr>
            <w:tcW w:w="1700" w:type="dxa"/>
            <w:tcBorders>
              <w:top w:val="nil" w:sz="6" w:space="0" w:color="auto"/>
              <w:left w:val="nil" w:sz="6" w:space="0" w:color="auto"/>
              <w:bottom w:val="single" w:sz="6" w:space="0" w:color="000000"/>
              <w:right w:val="nil" w:sz="6" w:space="0" w:color="auto"/>
            </w:tcBorders>
          </w:tcPr>
          <w:p>
            <w:pPr>
              <w:pStyle w:val="TableParagraph"/>
              <w:spacing w:line="240" w:lineRule="auto" w:before="151"/>
              <w:ind w:right="86"/>
              <w:jc w:val="right"/>
              <w:rPr>
                <w:rFonts w:ascii="Arial" w:hAnsi="Arial" w:cs="Arial" w:eastAsia="Arial" w:hint="default"/>
                <w:sz w:val="22"/>
                <w:szCs w:val="22"/>
              </w:rPr>
            </w:pPr>
            <w:r>
              <w:rPr>
                <w:rFonts w:ascii="Arial"/>
                <w:spacing w:val="-1"/>
                <w:sz w:val="22"/>
              </w:rPr>
              <w:t>1,476,075,431</w:t>
            </w:r>
          </w:p>
        </w:tc>
      </w:tr>
    </w:tbl>
    <w:p>
      <w:pPr>
        <w:spacing w:after="0" w:line="240" w:lineRule="auto"/>
        <w:jc w:val="right"/>
        <w:rPr>
          <w:rFonts w:ascii="Arial" w:hAnsi="Arial" w:cs="Arial" w:eastAsia="Arial" w:hint="default"/>
          <w:sz w:val="22"/>
          <w:szCs w:val="22"/>
        </w:rPr>
        <w:sectPr>
          <w:headerReference w:type="default" r:id="rId122"/>
          <w:pgSz w:w="11910" w:h="16840"/>
          <w:pgMar w:header="1184" w:footer="457" w:top="3040" w:bottom="640" w:left="1280" w:right="940"/>
        </w:sectPr>
      </w:pPr>
    </w:p>
    <w:p>
      <w:pPr>
        <w:spacing w:line="240" w:lineRule="auto" w:before="13"/>
        <w:rPr>
          <w:rFonts w:ascii="宋体" w:hAnsi="宋体" w:cs="宋体" w:eastAsia="宋体" w:hint="default"/>
          <w:sz w:val="15"/>
          <w:szCs w:val="15"/>
        </w:rPr>
      </w:pPr>
    </w:p>
    <w:p>
      <w:pPr>
        <w:pStyle w:val="BodyText"/>
        <w:spacing w:line="240" w:lineRule="auto" w:before="31"/>
        <w:ind w:left="102" w:right="0"/>
        <w:jc w:val="left"/>
      </w:pPr>
      <w:r>
        <w:rPr>
          <w:rFonts w:ascii="Arial" w:hAnsi="Arial" w:cs="Arial" w:eastAsia="Arial" w:hint="default"/>
        </w:rPr>
        <w:t>(a) </w:t>
      </w:r>
      <w:r>
        <w:rPr>
          <w:rFonts w:ascii="Arial" w:hAnsi="Arial" w:cs="Arial" w:eastAsia="Arial" w:hint="default"/>
          <w:spacing w:val="15"/>
        </w:rPr>
        <w:t> </w:t>
      </w:r>
      <w:r>
        <w:rPr/>
        <w:t>按法定税率计算之所得税与实际所得税费用调整如下（续）：</w:t>
      </w:r>
    </w:p>
    <w:p>
      <w:pPr>
        <w:spacing w:line="240" w:lineRule="auto" w:before="0"/>
        <w:rPr>
          <w:rFonts w:ascii="宋体" w:hAnsi="宋体" w:cs="宋体" w:eastAsia="宋体" w:hint="default"/>
          <w:sz w:val="20"/>
          <w:szCs w:val="20"/>
        </w:rPr>
      </w:pPr>
    </w:p>
    <w:p>
      <w:pPr>
        <w:pStyle w:val="BodyText"/>
        <w:spacing w:line="286" w:lineRule="exact"/>
        <w:ind w:left="522" w:right="128" w:hanging="406"/>
        <w:jc w:val="both"/>
      </w:pPr>
      <w:r>
        <w:rPr>
          <w:rFonts w:ascii="Arial" w:hAnsi="Arial" w:cs="Arial" w:eastAsia="Arial" w:hint="default"/>
        </w:rPr>
        <w:t>(1)</w:t>
      </w:r>
      <w:r>
        <w:rPr>
          <w:rFonts w:ascii="Arial" w:hAnsi="Arial" w:cs="Arial" w:eastAsia="Arial" w:hint="default"/>
          <w:spacing w:val="5"/>
        </w:rPr>
        <w:t> </w:t>
      </w:r>
      <w:r>
        <w:rPr/>
        <w:t>本集团在年度企业所得税汇算清缴时，因前期与税务机关就部分税前可抵扣项目的认定存在差</w:t>
      </w:r>
      <w:r>
        <w:rPr>
          <w:w w:val="99"/>
        </w:rPr>
        <w:t> </w:t>
      </w:r>
      <w:r>
        <w:rPr/>
        <w:t>异，经与主管税务机关确认后补缴企业所得税。</w:t>
      </w:r>
    </w:p>
    <w:p>
      <w:pPr>
        <w:spacing w:line="240" w:lineRule="auto" w:before="6"/>
        <w:rPr>
          <w:rFonts w:ascii="宋体" w:hAnsi="宋体" w:cs="宋体" w:eastAsia="宋体" w:hint="default"/>
          <w:sz w:val="19"/>
          <w:szCs w:val="19"/>
        </w:rPr>
      </w:pPr>
    </w:p>
    <w:p>
      <w:pPr>
        <w:pStyle w:val="BodyText"/>
        <w:spacing w:line="284" w:lineRule="exact"/>
        <w:ind w:left="522" w:right="138" w:hanging="420"/>
        <w:jc w:val="both"/>
      </w:pPr>
      <w:r>
        <w:rPr>
          <w:rFonts w:ascii="Arial" w:hAnsi="Arial" w:cs="Arial" w:eastAsia="Arial" w:hint="default"/>
        </w:rPr>
        <w:t>(2) </w:t>
      </w:r>
      <w:r>
        <w:rPr/>
        <w:t>于 </w:t>
      </w:r>
      <w:r>
        <w:rPr>
          <w:rFonts w:ascii="Arial" w:hAnsi="Arial" w:cs="Arial" w:eastAsia="Arial" w:hint="default"/>
        </w:rPr>
        <w:t>2012</w:t>
      </w:r>
      <w:r>
        <w:rPr>
          <w:rFonts w:ascii="Arial" w:hAnsi="Arial" w:cs="Arial" w:eastAsia="Arial" w:hint="default"/>
          <w:spacing w:val="21"/>
        </w:rPr>
        <w:t> </w:t>
      </w:r>
      <w:r>
        <w:rPr/>
        <w:t>年度本集团总部和部分分公司在主管财政、税务部门完成以前年度例行检查时发现一</w:t>
      </w:r>
      <w:r>
        <w:rPr>
          <w:w w:val="99"/>
        </w:rPr>
        <w:t> </w:t>
      </w:r>
      <w:r>
        <w:rPr/>
        <w:t>些已发生的费用项目无法在税前扣除。</w:t>
      </w:r>
    </w:p>
    <w:p>
      <w:pPr>
        <w:spacing w:line="240" w:lineRule="auto" w:before="13"/>
        <w:rPr>
          <w:rFonts w:ascii="宋体" w:hAnsi="宋体" w:cs="宋体" w:eastAsia="宋体" w:hint="default"/>
          <w:sz w:val="17"/>
          <w:szCs w:val="17"/>
        </w:rPr>
      </w:pPr>
    </w:p>
    <w:p>
      <w:pPr>
        <w:pStyle w:val="BodyText"/>
        <w:spacing w:line="230" w:lineRule="auto"/>
        <w:ind w:left="522" w:right="141" w:hanging="420"/>
        <w:jc w:val="both"/>
      </w:pPr>
      <w:r>
        <w:rPr>
          <w:rFonts w:ascii="Arial" w:hAnsi="Arial" w:cs="Arial" w:eastAsia="Arial" w:hint="default"/>
        </w:rPr>
        <w:t>(3)</w:t>
      </w:r>
      <w:r>
        <w:rPr>
          <w:rFonts w:ascii="Arial" w:hAnsi="Arial" w:cs="Arial" w:eastAsia="Arial" w:hint="default"/>
          <w:spacing w:val="14"/>
        </w:rPr>
        <w:t> </w:t>
      </w:r>
      <w:r>
        <w:rPr/>
        <w:t>亿迅公司为联通红筹公司在境外注册的全资子公司，因联通红筹公司被认定为中国居民企业，</w:t>
      </w:r>
      <w:r>
        <w:rPr>
          <w:w w:val="99"/>
        </w:rPr>
        <w:t> </w:t>
      </w:r>
      <w:r>
        <w:rPr>
          <w:w w:val="95"/>
        </w:rPr>
        <w:t>亿迅公司就收到的来源于联通红筹公司利息收入，需按照中国企业所得税法规定，由联通红筹</w:t>
      </w:r>
      <w:r>
        <w:rPr>
          <w:spacing w:val="-90"/>
          <w:w w:val="95"/>
        </w:rPr>
        <w:t> </w:t>
      </w:r>
      <w:r>
        <w:rPr/>
        <w:t>公司代扣代缴所得税，并记录为亿迅公司所得税费用。</w:t>
      </w:r>
    </w:p>
    <w:p>
      <w:pPr>
        <w:spacing w:line="240" w:lineRule="auto" w:before="5"/>
        <w:rPr>
          <w:rFonts w:ascii="宋体" w:hAnsi="宋体" w:cs="宋体" w:eastAsia="宋体" w:hint="default"/>
          <w:sz w:val="21"/>
          <w:szCs w:val="21"/>
        </w:rPr>
      </w:pPr>
    </w:p>
    <w:p>
      <w:pPr>
        <w:pStyle w:val="BodyText"/>
        <w:spacing w:line="286" w:lineRule="exact"/>
        <w:ind w:left="522" w:right="135" w:hanging="420"/>
        <w:jc w:val="both"/>
      </w:pPr>
      <w:r>
        <w:rPr>
          <w:rFonts w:ascii="Arial" w:hAnsi="Arial" w:cs="Arial" w:eastAsia="Arial" w:hint="default"/>
        </w:rPr>
        <w:t>(4)</w:t>
      </w:r>
      <w:r>
        <w:rPr>
          <w:rFonts w:ascii="Arial" w:hAnsi="Arial" w:cs="Arial" w:eastAsia="Arial" w:hint="default"/>
          <w:spacing w:val="18"/>
        </w:rPr>
        <w:t> </w:t>
      </w:r>
      <w:r>
        <w:rPr/>
        <w:t>根据国家税务总局于原网通集团重组上市过程中就相关税务问题给予的批复及有关规定，原网</w:t>
      </w:r>
      <w:r>
        <w:rPr>
          <w:w w:val="99"/>
        </w:rPr>
        <w:t> </w:t>
      </w:r>
      <w:r>
        <w:rPr/>
        <w:t>通集团所属原网通运营公司每年从递延收益中转入营业收入的初装费收入以及部分装移机收入</w:t>
      </w:r>
      <w:r>
        <w:rPr>
          <w:w w:val="99"/>
        </w:rPr>
        <w:t> </w:t>
      </w:r>
      <w:r>
        <w:rPr/>
        <w:t>为免税收入。</w:t>
      </w:r>
    </w:p>
    <w:p>
      <w:pPr>
        <w:spacing w:line="240" w:lineRule="auto" w:before="3"/>
        <w:rPr>
          <w:rFonts w:ascii="宋体" w:hAnsi="宋体" w:cs="宋体" w:eastAsia="宋体" w:hint="default"/>
          <w:sz w:val="19"/>
          <w:szCs w:val="19"/>
        </w:rPr>
      </w:pPr>
    </w:p>
    <w:p>
      <w:pPr>
        <w:pStyle w:val="BodyText"/>
        <w:spacing w:line="286" w:lineRule="exact"/>
        <w:ind w:left="522" w:right="133" w:hanging="420"/>
        <w:jc w:val="both"/>
      </w:pPr>
      <w:r>
        <w:rPr>
          <w:rFonts w:ascii="Arial" w:hAnsi="Arial" w:cs="Arial" w:eastAsia="Arial" w:hint="default"/>
          <w:w w:val="99"/>
        </w:rPr>
        <w:t>(5)</w:t>
      </w:r>
      <w:r>
        <w:rPr>
          <w:rFonts w:ascii="Arial" w:hAnsi="Arial" w:cs="Arial" w:eastAsia="Arial" w:hint="default"/>
          <w:spacing w:val="35"/>
          <w:w w:val="99"/>
        </w:rPr>
        <w:t> </w:t>
      </w:r>
      <w:r>
        <w:rPr>
          <w:spacing w:val="-2"/>
          <w:w w:val="99"/>
        </w:rPr>
        <w:t>税率优惠之影响包括本集团中的若干子公司及分公司享受的优惠税率的影响，参见附注三</w:t>
      </w:r>
      <w:r>
        <w:rPr>
          <w:rFonts w:ascii="Arial" w:hAnsi="Arial" w:cs="Arial" w:eastAsia="Arial" w:hint="default"/>
          <w:spacing w:val="-2"/>
          <w:w w:val="99"/>
        </w:rPr>
        <w:t>(3)(b)</w:t>
      </w:r>
      <w:r>
        <w:rPr>
          <w:rFonts w:ascii="Arial" w:hAnsi="Arial" w:cs="Arial" w:eastAsia="Arial" w:hint="default"/>
          <w:w w:val="99"/>
        </w:rPr>
        <w:t> </w:t>
      </w:r>
      <w:r>
        <w:rPr/>
        <w:t>及附注三</w:t>
      </w:r>
      <w:r>
        <w:rPr>
          <w:rFonts w:ascii="Arial" w:hAnsi="Arial" w:cs="Arial" w:eastAsia="Arial" w:hint="default"/>
        </w:rPr>
        <w:t>(3)(c)</w:t>
      </w:r>
      <w:r>
        <w:rPr/>
        <w:t>。</w:t>
      </w:r>
    </w:p>
    <w:p>
      <w:pPr>
        <w:spacing w:line="240" w:lineRule="auto" w:before="1"/>
        <w:rPr>
          <w:rFonts w:ascii="宋体" w:hAnsi="宋体" w:cs="宋体" w:eastAsia="宋体" w:hint="default"/>
          <w:sz w:val="17"/>
          <w:szCs w:val="17"/>
        </w:rPr>
      </w:pPr>
    </w:p>
    <w:p>
      <w:pPr>
        <w:pStyle w:val="BodyText"/>
        <w:spacing w:line="240" w:lineRule="auto"/>
        <w:ind w:left="102" w:right="0"/>
        <w:jc w:val="left"/>
      </w:pPr>
      <w:r>
        <w:rPr>
          <w:rFonts w:ascii="Arial" w:hAnsi="Arial" w:cs="Arial" w:eastAsia="Arial" w:hint="default"/>
        </w:rPr>
        <w:t>(b) </w:t>
      </w:r>
      <w:r>
        <w:rPr>
          <w:rFonts w:ascii="Arial" w:hAnsi="Arial" w:cs="Arial" w:eastAsia="Arial" w:hint="default"/>
          <w:spacing w:val="20"/>
        </w:rPr>
        <w:t> </w:t>
      </w:r>
      <w:r>
        <w:rPr/>
        <w:t>递延所得税资产及负债的变动如下：</w:t>
      </w:r>
    </w:p>
    <w:p>
      <w:pPr>
        <w:spacing w:line="240" w:lineRule="auto" w:before="2"/>
        <w:rPr>
          <w:rFonts w:ascii="宋体" w:hAnsi="宋体" w:cs="宋体" w:eastAsia="宋体" w:hint="default"/>
          <w:sz w:val="23"/>
          <w:szCs w:val="23"/>
        </w:rPr>
      </w:pPr>
    </w:p>
    <w:tbl>
      <w:tblPr>
        <w:tblW w:w="0" w:type="auto"/>
        <w:jc w:val="left"/>
        <w:tblInd w:w="351" w:type="dxa"/>
        <w:tblLayout w:type="fixed"/>
        <w:tblCellMar>
          <w:top w:w="0" w:type="dxa"/>
          <w:left w:w="0" w:type="dxa"/>
          <w:bottom w:w="0" w:type="dxa"/>
          <w:right w:w="0" w:type="dxa"/>
        </w:tblCellMar>
        <w:tblLook w:val="01E0"/>
      </w:tblPr>
      <w:tblGrid>
        <w:gridCol w:w="5332"/>
        <w:gridCol w:w="1882"/>
        <w:gridCol w:w="2006"/>
      </w:tblGrid>
      <w:tr>
        <w:trPr>
          <w:trHeight w:val="261" w:hRule="exact"/>
        </w:trPr>
        <w:tc>
          <w:tcPr>
            <w:tcW w:w="5332"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single" w:sz="6" w:space="0" w:color="000000"/>
              <w:right w:val="nil" w:sz="6" w:space="0" w:color="auto"/>
            </w:tcBorders>
          </w:tcPr>
          <w:p>
            <w:pPr>
              <w:pStyle w:val="TableParagraph"/>
              <w:spacing w:line="235" w:lineRule="exact"/>
              <w:ind w:right="41"/>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2006" w:type="dxa"/>
            <w:tcBorders>
              <w:top w:val="nil" w:sz="6" w:space="0" w:color="auto"/>
              <w:left w:val="nil" w:sz="6" w:space="0" w:color="auto"/>
              <w:bottom w:val="single" w:sz="6" w:space="0" w:color="000000"/>
              <w:right w:val="nil" w:sz="6" w:space="0" w:color="auto"/>
            </w:tcBorders>
          </w:tcPr>
          <w:p>
            <w:pPr>
              <w:pStyle w:val="TableParagraph"/>
              <w:spacing w:line="235" w:lineRule="exact"/>
              <w:ind w:left="952"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292" w:hRule="exact"/>
        </w:trPr>
        <w:tc>
          <w:tcPr>
            <w:tcW w:w="5332" w:type="dxa"/>
            <w:tcBorders>
              <w:top w:val="nil" w:sz="6" w:space="0" w:color="auto"/>
              <w:left w:val="nil" w:sz="6" w:space="0" w:color="auto"/>
              <w:bottom w:val="nil" w:sz="6" w:space="0" w:color="auto"/>
              <w:right w:val="nil" w:sz="6" w:space="0" w:color="auto"/>
            </w:tcBorders>
          </w:tcPr>
          <w:p>
            <w:pPr>
              <w:pStyle w:val="TableParagraph"/>
              <w:spacing w:line="259" w:lineRule="exact"/>
              <w:ind w:left="200" w:right="0"/>
              <w:jc w:val="left"/>
              <w:rPr>
                <w:rFonts w:ascii="宋体" w:hAnsi="宋体" w:cs="宋体" w:eastAsia="宋体" w:hint="default"/>
                <w:sz w:val="22"/>
                <w:szCs w:val="22"/>
              </w:rPr>
            </w:pPr>
            <w:r>
              <w:rPr>
                <w:rFonts w:ascii="宋体" w:hAnsi="宋体" w:cs="宋体" w:eastAsia="宋体" w:hint="default"/>
                <w:sz w:val="22"/>
                <w:szCs w:val="22"/>
              </w:rPr>
              <w:t>递延所得税资产：</w:t>
            </w:r>
          </w:p>
        </w:tc>
        <w:tc>
          <w:tcPr>
            <w:tcW w:w="1882" w:type="dxa"/>
            <w:tcBorders>
              <w:top w:val="single" w:sz="6" w:space="0" w:color="000000"/>
              <w:left w:val="nil" w:sz="6" w:space="0" w:color="auto"/>
              <w:bottom w:val="nil" w:sz="6" w:space="0" w:color="auto"/>
              <w:right w:val="nil" w:sz="6" w:space="0" w:color="auto"/>
            </w:tcBorders>
          </w:tcPr>
          <w:p>
            <w:pPr/>
          </w:p>
        </w:tc>
        <w:tc>
          <w:tcPr>
            <w:tcW w:w="2006" w:type="dxa"/>
            <w:tcBorders>
              <w:top w:val="single" w:sz="6" w:space="0" w:color="000000"/>
              <w:left w:val="nil" w:sz="6" w:space="0" w:color="auto"/>
              <w:bottom w:val="nil" w:sz="6" w:space="0" w:color="auto"/>
              <w:right w:val="nil" w:sz="6" w:space="0" w:color="auto"/>
            </w:tcBorders>
          </w:tcPr>
          <w:p>
            <w:pPr/>
          </w:p>
        </w:tc>
      </w:tr>
      <w:tr>
        <w:trPr>
          <w:trHeight w:val="299" w:hRule="exact"/>
        </w:trPr>
        <w:tc>
          <w:tcPr>
            <w:tcW w:w="5332" w:type="dxa"/>
            <w:tcBorders>
              <w:top w:val="nil" w:sz="6" w:space="0" w:color="auto"/>
              <w:left w:val="nil" w:sz="6" w:space="0" w:color="auto"/>
              <w:bottom w:val="nil" w:sz="6" w:space="0" w:color="auto"/>
              <w:right w:val="nil" w:sz="6" w:space="0" w:color="auto"/>
            </w:tcBorders>
          </w:tcPr>
          <w:p>
            <w:pPr>
              <w:pStyle w:val="TableParagraph"/>
              <w:spacing w:line="253" w:lineRule="exact"/>
              <w:ind w:left="442" w:right="0"/>
              <w:jc w:val="left"/>
              <w:rPr>
                <w:rFonts w:ascii="宋体" w:hAnsi="宋体" w:cs="宋体" w:eastAsia="宋体" w:hint="default"/>
                <w:sz w:val="22"/>
                <w:szCs w:val="22"/>
              </w:rPr>
            </w:pPr>
            <w:r>
              <w:rPr>
                <w:rFonts w:ascii="宋体" w:hAnsi="宋体" w:cs="宋体" w:eastAsia="宋体" w:hint="default"/>
                <w:sz w:val="22"/>
                <w:szCs w:val="22"/>
              </w:rPr>
              <w:t>年初余额</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49" w:right="0"/>
              <w:jc w:val="left"/>
              <w:rPr>
                <w:rFonts w:ascii="Arial" w:hAnsi="Arial" w:cs="Arial" w:eastAsia="Arial" w:hint="default"/>
                <w:sz w:val="22"/>
                <w:szCs w:val="22"/>
              </w:rPr>
            </w:pPr>
            <w:r>
              <w:rPr>
                <w:rFonts w:ascii="Arial"/>
                <w:sz w:val="22"/>
              </w:rPr>
              <w:t>3,710,544,195</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73" w:right="0"/>
              <w:jc w:val="left"/>
              <w:rPr>
                <w:rFonts w:ascii="Arial" w:hAnsi="Arial" w:cs="Arial" w:eastAsia="Arial" w:hint="default"/>
                <w:sz w:val="22"/>
                <w:szCs w:val="22"/>
              </w:rPr>
            </w:pPr>
            <w:r>
              <w:rPr>
                <w:rFonts w:ascii="Arial"/>
                <w:sz w:val="22"/>
              </w:rPr>
              <w:t>3,668,413,433</w:t>
            </w:r>
          </w:p>
        </w:tc>
      </w:tr>
      <w:tr>
        <w:trPr>
          <w:trHeight w:val="286" w:hRule="exact"/>
        </w:trPr>
        <w:tc>
          <w:tcPr>
            <w:tcW w:w="5332" w:type="dxa"/>
            <w:tcBorders>
              <w:top w:val="nil" w:sz="6" w:space="0" w:color="auto"/>
              <w:left w:val="nil" w:sz="6" w:space="0" w:color="auto"/>
              <w:bottom w:val="nil" w:sz="6" w:space="0" w:color="auto"/>
              <w:right w:val="nil" w:sz="6" w:space="0" w:color="auto"/>
            </w:tcBorders>
          </w:tcPr>
          <w:p>
            <w:pPr>
              <w:pStyle w:val="TableParagraph"/>
              <w:spacing w:line="255" w:lineRule="exact"/>
              <w:ind w:left="442" w:right="0"/>
              <w:jc w:val="left"/>
              <w:rPr>
                <w:rFonts w:ascii="宋体" w:hAnsi="宋体" w:cs="宋体" w:eastAsia="宋体" w:hint="default"/>
                <w:sz w:val="22"/>
                <w:szCs w:val="22"/>
              </w:rPr>
            </w:pPr>
            <w:r>
              <w:rPr>
                <w:rFonts w:ascii="宋体" w:hAnsi="宋体" w:cs="宋体" w:eastAsia="宋体" w:hint="default"/>
                <w:sz w:val="22"/>
                <w:szCs w:val="22"/>
              </w:rPr>
              <w:t>联通新时空资产收购转入（附注二</w:t>
            </w:r>
            <w:r>
              <w:rPr>
                <w:rFonts w:ascii="Arial" w:hAnsi="Arial" w:cs="Arial" w:eastAsia="Arial" w:hint="default"/>
                <w:sz w:val="22"/>
                <w:szCs w:val="22"/>
              </w:rPr>
              <w:t>(1)(a)</w:t>
            </w:r>
            <w:r>
              <w:rPr>
                <w:rFonts w:ascii="宋体" w:hAnsi="宋体" w:cs="宋体" w:eastAsia="宋体" w:hint="default"/>
                <w:sz w:val="22"/>
                <w:szCs w:val="22"/>
              </w:rPr>
              <w:t>）</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2"/>
              <w:jc w:val="right"/>
              <w:rPr>
                <w:rFonts w:ascii="Arial" w:hAnsi="Arial" w:cs="Arial" w:eastAsia="Arial" w:hint="default"/>
                <w:sz w:val="22"/>
                <w:szCs w:val="22"/>
              </w:rPr>
            </w:pPr>
            <w:r>
              <w:rPr>
                <w:rFonts w:ascii="Arial"/>
                <w:w w:val="95"/>
                <w:sz w:val="22"/>
              </w:rPr>
              <w:t>779,904,330</w:t>
            </w:r>
            <w:r>
              <w:rPr>
                <w:rFonts w:ascii="Arial"/>
                <w:sz w:val="22"/>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4"/>
              <w:jc w:val="right"/>
              <w:rPr>
                <w:rFonts w:ascii="Arial" w:hAnsi="Arial" w:cs="Arial" w:eastAsia="Arial" w:hint="default"/>
                <w:sz w:val="22"/>
                <w:szCs w:val="22"/>
              </w:rPr>
            </w:pPr>
            <w:r>
              <w:rPr>
                <w:rFonts w:ascii="Arial"/>
                <w:w w:val="99"/>
                <w:sz w:val="22"/>
              </w:rPr>
              <w:t>-</w:t>
            </w:r>
            <w:r>
              <w:rPr>
                <w:rFonts w:ascii="Arial"/>
                <w:sz w:val="22"/>
              </w:rPr>
            </w:r>
          </w:p>
        </w:tc>
      </w:tr>
      <w:tr>
        <w:trPr>
          <w:trHeight w:val="285" w:hRule="exact"/>
        </w:trPr>
        <w:tc>
          <w:tcPr>
            <w:tcW w:w="5332" w:type="dxa"/>
            <w:tcBorders>
              <w:top w:val="nil" w:sz="6" w:space="0" w:color="auto"/>
              <w:left w:val="nil" w:sz="6" w:space="0" w:color="auto"/>
              <w:bottom w:val="nil" w:sz="6" w:space="0" w:color="auto"/>
              <w:right w:val="nil" w:sz="6" w:space="0" w:color="auto"/>
            </w:tcBorders>
          </w:tcPr>
          <w:p>
            <w:pPr>
              <w:pStyle w:val="TableParagraph"/>
              <w:spacing w:line="240" w:lineRule="exact"/>
              <w:ind w:left="442" w:right="0"/>
              <w:jc w:val="left"/>
              <w:rPr>
                <w:rFonts w:ascii="宋体" w:hAnsi="宋体" w:cs="宋体" w:eastAsia="宋体" w:hint="default"/>
                <w:sz w:val="22"/>
                <w:szCs w:val="22"/>
              </w:rPr>
            </w:pPr>
            <w:r>
              <w:rPr>
                <w:rFonts w:ascii="宋体" w:hAnsi="宋体" w:cs="宋体" w:eastAsia="宋体" w:hint="default"/>
                <w:sz w:val="22"/>
                <w:szCs w:val="22"/>
              </w:rPr>
              <w:t>计入利润表的递延所得税</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2"/>
              <w:jc w:val="right"/>
              <w:rPr>
                <w:rFonts w:ascii="Arial" w:hAnsi="Arial" w:cs="Arial" w:eastAsia="Arial" w:hint="default"/>
                <w:sz w:val="22"/>
                <w:szCs w:val="22"/>
              </w:rPr>
            </w:pPr>
            <w:r>
              <w:rPr>
                <w:rFonts w:ascii="Arial"/>
                <w:w w:val="95"/>
                <w:sz w:val="22"/>
              </w:rPr>
              <w:t>182,395,681</w:t>
            </w:r>
            <w:r>
              <w:rPr>
                <w:rFonts w:ascii="Arial"/>
                <w:sz w:val="22"/>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83" w:right="0"/>
              <w:jc w:val="left"/>
              <w:rPr>
                <w:rFonts w:ascii="Arial" w:hAnsi="Arial" w:cs="Arial" w:eastAsia="Arial" w:hint="default"/>
                <w:sz w:val="22"/>
                <w:szCs w:val="22"/>
              </w:rPr>
            </w:pPr>
            <w:r>
              <w:rPr>
                <w:rFonts w:ascii="Arial"/>
                <w:sz w:val="22"/>
              </w:rPr>
              <w:t>(611,939,293)</w:t>
            </w:r>
          </w:p>
        </w:tc>
      </w:tr>
      <w:tr>
        <w:trPr>
          <w:trHeight w:val="419" w:hRule="exact"/>
        </w:trPr>
        <w:tc>
          <w:tcPr>
            <w:tcW w:w="5332" w:type="dxa"/>
            <w:tcBorders>
              <w:top w:val="nil" w:sz="6" w:space="0" w:color="auto"/>
              <w:left w:val="nil" w:sz="6" w:space="0" w:color="auto"/>
              <w:bottom w:val="nil" w:sz="6" w:space="0" w:color="auto"/>
              <w:right w:val="nil" w:sz="6" w:space="0" w:color="auto"/>
            </w:tcBorders>
          </w:tcPr>
          <w:p>
            <w:pPr>
              <w:pStyle w:val="TableParagraph"/>
              <w:spacing w:line="239" w:lineRule="exact"/>
              <w:ind w:left="442" w:right="0"/>
              <w:jc w:val="left"/>
              <w:rPr>
                <w:rFonts w:ascii="宋体" w:hAnsi="宋体" w:cs="宋体" w:eastAsia="宋体" w:hint="default"/>
                <w:sz w:val="22"/>
                <w:szCs w:val="22"/>
              </w:rPr>
            </w:pPr>
            <w:r>
              <w:rPr>
                <w:rFonts w:ascii="宋体" w:hAnsi="宋体" w:cs="宋体" w:eastAsia="宋体" w:hint="default"/>
                <w:sz w:val="22"/>
                <w:szCs w:val="22"/>
              </w:rPr>
              <w:t>可供出售金融资产公允价值变动对应的递延所得税</w:t>
            </w:r>
          </w:p>
        </w:tc>
        <w:tc>
          <w:tcPr>
            <w:tcW w:w="1882" w:type="dxa"/>
            <w:tcBorders>
              <w:top w:val="nil" w:sz="6" w:space="0" w:color="auto"/>
              <w:left w:val="nil" w:sz="6" w:space="0" w:color="auto"/>
              <w:bottom w:val="nil" w:sz="6" w:space="0" w:color="auto"/>
              <w:right w:val="nil" w:sz="6" w:space="0" w:color="auto"/>
            </w:tcBorders>
          </w:tcPr>
          <w:p>
            <w:pPr>
              <w:pStyle w:val="TableParagraph"/>
              <w:tabs>
                <w:tab w:pos="532" w:val="left" w:leader="none"/>
                <w:tab w:pos="1881"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385,547,071</w:t>
            </w:r>
            <w:r>
              <w:rPr>
                <w:rFonts w:ascii="Arial"/>
                <w:sz w:val="22"/>
                <w:u w:val="single" w:color="000000"/>
              </w:rPr>
              <w:tab/>
            </w:r>
            <w:r>
              <w:rPr>
                <w:rFonts w:ascii="Arial"/>
                <w:sz w:val="22"/>
              </w:rPr>
            </w:r>
          </w:p>
        </w:tc>
        <w:tc>
          <w:tcPr>
            <w:tcW w:w="2006" w:type="dxa"/>
            <w:tcBorders>
              <w:top w:val="nil" w:sz="6" w:space="0" w:color="auto"/>
              <w:left w:val="nil" w:sz="6" w:space="0" w:color="auto"/>
              <w:bottom w:val="nil" w:sz="6" w:space="0" w:color="auto"/>
              <w:right w:val="nil" w:sz="6" w:space="0" w:color="auto"/>
            </w:tcBorders>
          </w:tcPr>
          <w:p>
            <w:pPr>
              <w:pStyle w:val="TableParagraph"/>
              <w:tabs>
                <w:tab w:pos="657" w:val="left" w:leader="none"/>
                <w:tab w:pos="2006" w:val="left" w:leader="none"/>
              </w:tabs>
              <w:spacing w:line="240" w:lineRule="auto" w:before="17"/>
              <w:ind w:left="98"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654,070,055</w:t>
              <w:tab/>
            </w:r>
            <w:r>
              <w:rPr>
                <w:rFonts w:ascii="Arial"/>
                <w:sz w:val="22"/>
              </w:rPr>
            </w:r>
          </w:p>
        </w:tc>
      </w:tr>
      <w:tr>
        <w:trPr>
          <w:trHeight w:val="431" w:hRule="exact"/>
        </w:trPr>
        <w:tc>
          <w:tcPr>
            <w:tcW w:w="533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42" w:right="0"/>
              <w:jc w:val="left"/>
              <w:rPr>
                <w:rFonts w:ascii="宋体" w:hAnsi="宋体" w:cs="宋体" w:eastAsia="宋体" w:hint="default"/>
                <w:sz w:val="22"/>
                <w:szCs w:val="22"/>
              </w:rPr>
            </w:pPr>
            <w:r>
              <w:rPr>
                <w:rFonts w:ascii="宋体" w:hAnsi="宋体" w:cs="宋体" w:eastAsia="宋体" w:hint="default"/>
                <w:sz w:val="22"/>
                <w:szCs w:val="22"/>
              </w:rPr>
              <w:t>年末余额</w:t>
            </w:r>
          </w:p>
        </w:tc>
        <w:tc>
          <w:tcPr>
            <w:tcW w:w="1882"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349" w:right="0"/>
              <w:jc w:val="left"/>
              <w:rPr>
                <w:rFonts w:ascii="Arial" w:hAnsi="Arial" w:cs="Arial" w:eastAsia="Arial" w:hint="default"/>
                <w:sz w:val="22"/>
                <w:szCs w:val="22"/>
              </w:rPr>
            </w:pPr>
            <w:r>
              <w:rPr>
                <w:rFonts w:ascii="Arial"/>
                <w:sz w:val="22"/>
              </w:rPr>
              <w:t>5,058,391,277</w:t>
            </w:r>
          </w:p>
        </w:tc>
        <w:tc>
          <w:tcPr>
            <w:tcW w:w="2006"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473" w:right="0"/>
              <w:jc w:val="left"/>
              <w:rPr>
                <w:rFonts w:ascii="Arial" w:hAnsi="Arial" w:cs="Arial" w:eastAsia="Arial" w:hint="default"/>
                <w:sz w:val="22"/>
                <w:szCs w:val="22"/>
              </w:rPr>
            </w:pPr>
            <w:r>
              <w:rPr>
                <w:rFonts w:ascii="Arial"/>
                <w:sz w:val="22"/>
              </w:rPr>
              <w:t>3,710,544,195</w:t>
            </w:r>
          </w:p>
        </w:tc>
      </w:tr>
    </w:tbl>
    <w:p>
      <w:pPr>
        <w:spacing w:line="240" w:lineRule="auto" w:before="9"/>
        <w:rPr>
          <w:rFonts w:ascii="宋体" w:hAnsi="宋体" w:cs="宋体" w:eastAsia="宋体" w:hint="default"/>
          <w:sz w:val="21"/>
          <w:szCs w:val="21"/>
        </w:rPr>
      </w:pPr>
    </w:p>
    <w:tbl>
      <w:tblPr>
        <w:tblW w:w="0" w:type="auto"/>
        <w:jc w:val="left"/>
        <w:tblInd w:w="351" w:type="dxa"/>
        <w:tblLayout w:type="fixed"/>
        <w:tblCellMar>
          <w:top w:w="0" w:type="dxa"/>
          <w:left w:w="0" w:type="dxa"/>
          <w:bottom w:w="0" w:type="dxa"/>
          <w:right w:w="0" w:type="dxa"/>
        </w:tblCellMar>
        <w:tblLook w:val="01E0"/>
      </w:tblPr>
      <w:tblGrid>
        <w:gridCol w:w="5332"/>
        <w:gridCol w:w="1882"/>
        <w:gridCol w:w="2006"/>
      </w:tblGrid>
      <w:tr>
        <w:trPr>
          <w:trHeight w:val="261" w:hRule="exact"/>
        </w:trPr>
        <w:tc>
          <w:tcPr>
            <w:tcW w:w="5332"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single" w:sz="6" w:space="0" w:color="000000"/>
              <w:right w:val="nil" w:sz="6" w:space="0" w:color="auto"/>
            </w:tcBorders>
          </w:tcPr>
          <w:p>
            <w:pPr>
              <w:pStyle w:val="TableParagraph"/>
              <w:spacing w:line="235" w:lineRule="exact"/>
              <w:ind w:right="41"/>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2006" w:type="dxa"/>
            <w:tcBorders>
              <w:top w:val="nil" w:sz="6" w:space="0" w:color="auto"/>
              <w:left w:val="nil" w:sz="6" w:space="0" w:color="auto"/>
              <w:bottom w:val="single" w:sz="6" w:space="0" w:color="000000"/>
              <w:right w:val="nil" w:sz="6" w:space="0" w:color="auto"/>
            </w:tcBorders>
          </w:tcPr>
          <w:p>
            <w:pPr>
              <w:pStyle w:val="TableParagraph"/>
              <w:spacing w:line="235" w:lineRule="exact"/>
              <w:ind w:left="952"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292" w:hRule="exact"/>
        </w:trPr>
        <w:tc>
          <w:tcPr>
            <w:tcW w:w="5332" w:type="dxa"/>
            <w:tcBorders>
              <w:top w:val="nil" w:sz="6" w:space="0" w:color="auto"/>
              <w:left w:val="nil" w:sz="6" w:space="0" w:color="auto"/>
              <w:bottom w:val="nil" w:sz="6" w:space="0" w:color="auto"/>
              <w:right w:val="nil" w:sz="6" w:space="0" w:color="auto"/>
            </w:tcBorders>
          </w:tcPr>
          <w:p>
            <w:pPr>
              <w:pStyle w:val="TableParagraph"/>
              <w:spacing w:line="260" w:lineRule="exact"/>
              <w:ind w:left="200" w:right="0"/>
              <w:jc w:val="left"/>
              <w:rPr>
                <w:rFonts w:ascii="宋体" w:hAnsi="宋体" w:cs="宋体" w:eastAsia="宋体" w:hint="default"/>
                <w:sz w:val="22"/>
                <w:szCs w:val="22"/>
              </w:rPr>
            </w:pPr>
            <w:r>
              <w:rPr>
                <w:rFonts w:ascii="宋体" w:hAnsi="宋体" w:cs="宋体" w:eastAsia="宋体" w:hint="default"/>
                <w:sz w:val="22"/>
                <w:szCs w:val="22"/>
              </w:rPr>
              <w:t>递延所得税负债：</w:t>
            </w:r>
          </w:p>
        </w:tc>
        <w:tc>
          <w:tcPr>
            <w:tcW w:w="1882" w:type="dxa"/>
            <w:tcBorders>
              <w:top w:val="single" w:sz="6" w:space="0" w:color="000000"/>
              <w:left w:val="nil" w:sz="6" w:space="0" w:color="auto"/>
              <w:bottom w:val="nil" w:sz="6" w:space="0" w:color="auto"/>
              <w:right w:val="nil" w:sz="6" w:space="0" w:color="auto"/>
            </w:tcBorders>
          </w:tcPr>
          <w:p>
            <w:pPr/>
          </w:p>
        </w:tc>
        <w:tc>
          <w:tcPr>
            <w:tcW w:w="2006" w:type="dxa"/>
            <w:tcBorders>
              <w:top w:val="single" w:sz="6" w:space="0" w:color="000000"/>
              <w:left w:val="nil" w:sz="6" w:space="0" w:color="auto"/>
              <w:bottom w:val="nil" w:sz="6" w:space="0" w:color="auto"/>
              <w:right w:val="nil" w:sz="6" w:space="0" w:color="auto"/>
            </w:tcBorders>
          </w:tcPr>
          <w:p>
            <w:pPr/>
          </w:p>
        </w:tc>
      </w:tr>
      <w:tr>
        <w:trPr>
          <w:trHeight w:val="298" w:hRule="exact"/>
        </w:trPr>
        <w:tc>
          <w:tcPr>
            <w:tcW w:w="5332" w:type="dxa"/>
            <w:tcBorders>
              <w:top w:val="nil" w:sz="6" w:space="0" w:color="auto"/>
              <w:left w:val="nil" w:sz="6" w:space="0" w:color="auto"/>
              <w:bottom w:val="nil" w:sz="6" w:space="0" w:color="auto"/>
              <w:right w:val="nil" w:sz="6" w:space="0" w:color="auto"/>
            </w:tcBorders>
          </w:tcPr>
          <w:p>
            <w:pPr>
              <w:pStyle w:val="TableParagraph"/>
              <w:spacing w:line="252" w:lineRule="exact"/>
              <w:ind w:left="442" w:right="0"/>
              <w:jc w:val="left"/>
              <w:rPr>
                <w:rFonts w:ascii="宋体" w:hAnsi="宋体" w:cs="宋体" w:eastAsia="宋体" w:hint="default"/>
                <w:sz w:val="22"/>
                <w:szCs w:val="22"/>
              </w:rPr>
            </w:pPr>
            <w:r>
              <w:rPr>
                <w:rFonts w:ascii="宋体" w:hAnsi="宋体" w:cs="宋体" w:eastAsia="宋体" w:hint="default"/>
                <w:sz w:val="22"/>
                <w:szCs w:val="22"/>
              </w:rPr>
              <w:t>年初余额</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52"/>
              <w:jc w:val="right"/>
              <w:rPr>
                <w:rFonts w:ascii="Arial" w:hAnsi="Arial" w:cs="Arial" w:eastAsia="Arial" w:hint="default"/>
                <w:sz w:val="22"/>
                <w:szCs w:val="22"/>
              </w:rPr>
            </w:pPr>
            <w:r>
              <w:rPr>
                <w:rFonts w:ascii="Arial"/>
                <w:w w:val="95"/>
                <w:sz w:val="22"/>
              </w:rPr>
              <w:t>(31,647,601)</w:t>
            </w:r>
            <w:r>
              <w:rPr>
                <w:rFonts w:ascii="Arial"/>
                <w:sz w:val="22"/>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705" w:right="0"/>
              <w:jc w:val="left"/>
              <w:rPr>
                <w:rFonts w:ascii="Arial" w:hAnsi="Arial" w:cs="Arial" w:eastAsia="Arial" w:hint="default"/>
                <w:sz w:val="22"/>
                <w:szCs w:val="22"/>
              </w:rPr>
            </w:pPr>
            <w:r>
              <w:rPr>
                <w:rFonts w:ascii="Arial"/>
                <w:sz w:val="22"/>
              </w:rPr>
              <w:t>(40,130,185)</w:t>
            </w:r>
          </w:p>
        </w:tc>
      </w:tr>
      <w:tr>
        <w:trPr>
          <w:trHeight w:val="286" w:hRule="exact"/>
        </w:trPr>
        <w:tc>
          <w:tcPr>
            <w:tcW w:w="5332" w:type="dxa"/>
            <w:tcBorders>
              <w:top w:val="nil" w:sz="6" w:space="0" w:color="auto"/>
              <w:left w:val="nil" w:sz="6" w:space="0" w:color="auto"/>
              <w:bottom w:val="nil" w:sz="6" w:space="0" w:color="auto"/>
              <w:right w:val="nil" w:sz="6" w:space="0" w:color="auto"/>
            </w:tcBorders>
          </w:tcPr>
          <w:p>
            <w:pPr>
              <w:pStyle w:val="TableParagraph"/>
              <w:spacing w:line="239" w:lineRule="exact"/>
              <w:ind w:left="442" w:right="0"/>
              <w:jc w:val="left"/>
              <w:rPr>
                <w:rFonts w:ascii="宋体" w:hAnsi="宋体" w:cs="宋体" w:eastAsia="宋体" w:hint="default"/>
                <w:sz w:val="22"/>
                <w:szCs w:val="22"/>
              </w:rPr>
            </w:pPr>
            <w:r>
              <w:rPr>
                <w:rFonts w:ascii="宋体" w:hAnsi="宋体" w:cs="宋体" w:eastAsia="宋体" w:hint="default"/>
                <w:sz w:val="22"/>
                <w:szCs w:val="22"/>
              </w:rPr>
              <w:t>计入利润表的递延所得税</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3"/>
              <w:jc w:val="right"/>
              <w:rPr>
                <w:rFonts w:ascii="Arial" w:hAnsi="Arial" w:cs="Arial" w:eastAsia="Arial" w:hint="default"/>
                <w:sz w:val="22"/>
                <w:szCs w:val="22"/>
              </w:rPr>
            </w:pPr>
            <w:r>
              <w:rPr>
                <w:rFonts w:ascii="Arial"/>
                <w:w w:val="95"/>
                <w:sz w:val="22"/>
              </w:rPr>
              <w:t>1,265,911</w:t>
            </w:r>
            <w:r>
              <w:rPr>
                <w:rFonts w:ascii="Arial"/>
                <w:sz w:val="22"/>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01" w:right="0"/>
              <w:jc w:val="left"/>
              <w:rPr>
                <w:rFonts w:ascii="Arial" w:hAnsi="Arial" w:cs="Arial" w:eastAsia="Arial" w:hint="default"/>
                <w:sz w:val="22"/>
                <w:szCs w:val="22"/>
              </w:rPr>
            </w:pPr>
            <w:r>
              <w:rPr>
                <w:rFonts w:ascii="Arial"/>
                <w:sz w:val="22"/>
              </w:rPr>
              <w:t>6,571,836</w:t>
            </w:r>
          </w:p>
        </w:tc>
      </w:tr>
      <w:tr>
        <w:trPr>
          <w:trHeight w:val="419" w:hRule="exact"/>
        </w:trPr>
        <w:tc>
          <w:tcPr>
            <w:tcW w:w="5332" w:type="dxa"/>
            <w:tcBorders>
              <w:top w:val="nil" w:sz="6" w:space="0" w:color="auto"/>
              <w:left w:val="nil" w:sz="6" w:space="0" w:color="auto"/>
              <w:bottom w:val="nil" w:sz="6" w:space="0" w:color="auto"/>
              <w:right w:val="nil" w:sz="6" w:space="0" w:color="auto"/>
            </w:tcBorders>
          </w:tcPr>
          <w:p>
            <w:pPr>
              <w:pStyle w:val="TableParagraph"/>
              <w:spacing w:line="239" w:lineRule="exact"/>
              <w:ind w:left="437" w:right="0"/>
              <w:jc w:val="left"/>
              <w:rPr>
                <w:rFonts w:ascii="宋体" w:hAnsi="宋体" w:cs="宋体" w:eastAsia="宋体" w:hint="default"/>
                <w:sz w:val="22"/>
                <w:szCs w:val="22"/>
              </w:rPr>
            </w:pPr>
            <w:r>
              <w:rPr>
                <w:rFonts w:ascii="宋体" w:hAnsi="宋体" w:cs="宋体" w:eastAsia="宋体" w:hint="default"/>
                <w:sz w:val="22"/>
                <w:szCs w:val="22"/>
              </w:rPr>
              <w:t>可供出售金融资产公允价值变动对应的递延所得税</w:t>
            </w:r>
          </w:p>
        </w:tc>
        <w:tc>
          <w:tcPr>
            <w:tcW w:w="1882" w:type="dxa"/>
            <w:tcBorders>
              <w:top w:val="nil" w:sz="6" w:space="0" w:color="auto"/>
              <w:left w:val="nil" w:sz="6" w:space="0" w:color="auto"/>
              <w:bottom w:val="nil" w:sz="6" w:space="0" w:color="auto"/>
              <w:right w:val="nil" w:sz="6" w:space="0" w:color="auto"/>
            </w:tcBorders>
          </w:tcPr>
          <w:p>
            <w:pPr>
              <w:pStyle w:val="TableParagraph"/>
              <w:tabs>
                <w:tab w:pos="703" w:val="left" w:leader="none"/>
              </w:tabs>
              <w:spacing w:line="240" w:lineRule="auto" w:before="17"/>
              <w:ind w:right="5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(1,751,519)</w:t>
            </w:r>
            <w:r>
              <w:rPr>
                <w:rFonts w:ascii="Arial"/>
                <w:w w:val="95"/>
                <w:sz w:val="22"/>
              </w:rPr>
            </w:r>
            <w:r>
              <w:rPr>
                <w:rFonts w:ascii="Arial"/>
                <w:sz w:val="22"/>
              </w:rPr>
            </w:r>
          </w:p>
        </w:tc>
        <w:tc>
          <w:tcPr>
            <w:tcW w:w="2006" w:type="dxa"/>
            <w:tcBorders>
              <w:top w:val="nil" w:sz="6" w:space="0" w:color="auto"/>
              <w:left w:val="nil" w:sz="6" w:space="0" w:color="auto"/>
              <w:bottom w:val="nil" w:sz="6" w:space="0" w:color="auto"/>
              <w:right w:val="nil" w:sz="6" w:space="0" w:color="auto"/>
            </w:tcBorders>
          </w:tcPr>
          <w:p>
            <w:pPr>
              <w:pStyle w:val="TableParagraph"/>
              <w:tabs>
                <w:tab w:pos="901" w:val="left" w:leader="none"/>
                <w:tab w:pos="2006" w:val="left" w:leader="none"/>
              </w:tabs>
              <w:spacing w:line="240" w:lineRule="auto" w:before="17"/>
              <w:ind w:left="98"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1,910,748</w:t>
              <w:tab/>
            </w:r>
            <w:r>
              <w:rPr>
                <w:rFonts w:ascii="Arial"/>
                <w:sz w:val="22"/>
              </w:rPr>
            </w:r>
          </w:p>
        </w:tc>
      </w:tr>
      <w:tr>
        <w:trPr>
          <w:trHeight w:val="430" w:hRule="exact"/>
        </w:trPr>
        <w:tc>
          <w:tcPr>
            <w:tcW w:w="533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42" w:right="0"/>
              <w:jc w:val="left"/>
              <w:rPr>
                <w:rFonts w:ascii="宋体" w:hAnsi="宋体" w:cs="宋体" w:eastAsia="宋体" w:hint="default"/>
                <w:sz w:val="22"/>
                <w:szCs w:val="22"/>
              </w:rPr>
            </w:pPr>
            <w:r>
              <w:rPr>
                <w:rFonts w:ascii="宋体" w:hAnsi="宋体" w:cs="宋体" w:eastAsia="宋体" w:hint="default"/>
                <w:sz w:val="22"/>
                <w:szCs w:val="22"/>
              </w:rPr>
              <w:t>年末余额</w:t>
            </w:r>
          </w:p>
        </w:tc>
        <w:tc>
          <w:tcPr>
            <w:tcW w:w="1882"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52"/>
              <w:jc w:val="right"/>
              <w:rPr>
                <w:rFonts w:ascii="Arial" w:hAnsi="Arial" w:cs="Arial" w:eastAsia="Arial" w:hint="default"/>
                <w:sz w:val="22"/>
                <w:szCs w:val="22"/>
              </w:rPr>
            </w:pPr>
            <w:r>
              <w:rPr>
                <w:rFonts w:ascii="Arial"/>
                <w:w w:val="95"/>
                <w:sz w:val="22"/>
              </w:rPr>
              <w:t>(32,133,209)</w:t>
            </w:r>
            <w:r>
              <w:rPr>
                <w:rFonts w:ascii="Arial"/>
                <w:sz w:val="22"/>
              </w:rPr>
            </w:r>
          </w:p>
        </w:tc>
        <w:tc>
          <w:tcPr>
            <w:tcW w:w="2006"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705" w:right="0"/>
              <w:jc w:val="left"/>
              <w:rPr>
                <w:rFonts w:ascii="Arial" w:hAnsi="Arial" w:cs="Arial" w:eastAsia="Arial" w:hint="default"/>
                <w:sz w:val="22"/>
                <w:szCs w:val="22"/>
              </w:rPr>
            </w:pPr>
            <w:r>
              <w:rPr>
                <w:rFonts w:ascii="Arial"/>
                <w:sz w:val="22"/>
              </w:rPr>
              <w:t>(31,647,601)</w:t>
            </w:r>
          </w:p>
        </w:tc>
      </w:tr>
    </w:tbl>
    <w:p>
      <w:pPr>
        <w:spacing w:after="0" w:line="240" w:lineRule="auto"/>
        <w:jc w:val="left"/>
        <w:rPr>
          <w:rFonts w:ascii="Arial" w:hAnsi="Arial" w:cs="Arial" w:eastAsia="Arial" w:hint="default"/>
          <w:sz w:val="22"/>
          <w:szCs w:val="22"/>
        </w:rPr>
        <w:sectPr>
          <w:headerReference w:type="default" r:id="rId123"/>
          <w:pgSz w:w="11910" w:h="16840"/>
          <w:pgMar w:header="1184" w:footer="457" w:top="3560" w:bottom="640" w:left="1280" w:right="940"/>
        </w:sectPr>
      </w:pPr>
    </w:p>
    <w:p>
      <w:pPr>
        <w:spacing w:line="240" w:lineRule="auto" w:before="13"/>
        <w:rPr>
          <w:rFonts w:ascii="宋体" w:hAnsi="宋体" w:cs="宋体" w:eastAsia="宋体" w:hint="default"/>
          <w:sz w:val="15"/>
          <w:szCs w:val="15"/>
        </w:rPr>
      </w:pPr>
    </w:p>
    <w:p>
      <w:pPr>
        <w:pStyle w:val="BodyText"/>
        <w:spacing w:line="240" w:lineRule="auto" w:before="31"/>
        <w:ind w:left="102" w:right="0"/>
        <w:jc w:val="left"/>
      </w:pPr>
      <w:r>
        <w:rPr>
          <w:rFonts w:ascii="Arial" w:hAnsi="Arial" w:cs="Arial" w:eastAsia="Arial" w:hint="default"/>
        </w:rPr>
        <w:t>(c) </w:t>
      </w:r>
      <w:r>
        <w:rPr>
          <w:rFonts w:ascii="Arial" w:hAnsi="Arial" w:cs="Arial" w:eastAsia="Arial" w:hint="default"/>
          <w:spacing w:val="30"/>
        </w:rPr>
        <w:t> </w:t>
      </w:r>
      <w:r>
        <w:rPr/>
        <w:t>递延所得税资产及负债包括以下暂时性差异对所得税的影响：</w:t>
      </w:r>
    </w:p>
    <w:p>
      <w:pPr>
        <w:pStyle w:val="BodyText"/>
        <w:tabs>
          <w:tab w:pos="519" w:val="left" w:leader="none"/>
        </w:tabs>
        <w:spacing w:line="240" w:lineRule="auto" w:before="161"/>
        <w:ind w:left="102" w:right="0"/>
        <w:jc w:val="left"/>
      </w:pPr>
      <w:r>
        <w:rPr>
          <w:rFonts w:ascii="Arial" w:hAnsi="Arial" w:cs="Arial" w:eastAsia="Arial" w:hint="default"/>
          <w:w w:val="95"/>
        </w:rPr>
        <w:t>(i)</w:t>
        <w:tab/>
      </w:r>
      <w:r>
        <w:rPr/>
        <w:t>递延所得税资产：</w:t>
      </w:r>
    </w:p>
    <w:p>
      <w:pPr>
        <w:spacing w:line="240" w:lineRule="auto" w:before="9"/>
        <w:rPr>
          <w:rFonts w:ascii="宋体" w:hAnsi="宋体" w:cs="宋体" w:eastAsia="宋体" w:hint="default"/>
          <w:sz w:val="22"/>
          <w:szCs w:val="22"/>
        </w:rPr>
      </w:pPr>
    </w:p>
    <w:tbl>
      <w:tblPr>
        <w:tblW w:w="0" w:type="auto"/>
        <w:jc w:val="left"/>
        <w:tblInd w:w="562" w:type="dxa"/>
        <w:tblLayout w:type="fixed"/>
        <w:tblCellMar>
          <w:top w:w="0" w:type="dxa"/>
          <w:left w:w="0" w:type="dxa"/>
          <w:bottom w:w="0" w:type="dxa"/>
          <w:right w:w="0" w:type="dxa"/>
        </w:tblCellMar>
        <w:tblLook w:val="01E0"/>
      </w:tblPr>
      <w:tblGrid>
        <w:gridCol w:w="3096"/>
        <w:gridCol w:w="560"/>
        <w:gridCol w:w="1500"/>
        <w:gridCol w:w="1337"/>
        <w:gridCol w:w="1511"/>
        <w:gridCol w:w="1378"/>
      </w:tblGrid>
      <w:tr>
        <w:trPr>
          <w:trHeight w:val="216" w:hRule="exact"/>
        </w:trPr>
        <w:tc>
          <w:tcPr>
            <w:tcW w:w="3096" w:type="dxa"/>
            <w:tcBorders>
              <w:top w:val="nil" w:sz="6" w:space="0" w:color="auto"/>
              <w:left w:val="nil" w:sz="6" w:space="0" w:color="auto"/>
              <w:bottom w:val="nil" w:sz="6" w:space="0" w:color="auto"/>
              <w:right w:val="nil" w:sz="6" w:space="0" w:color="auto"/>
            </w:tcBorders>
          </w:tcPr>
          <w:p>
            <w:pPr/>
          </w:p>
        </w:tc>
        <w:tc>
          <w:tcPr>
            <w:tcW w:w="560" w:type="dxa"/>
            <w:tcBorders>
              <w:top w:val="nil" w:sz="6" w:space="0" w:color="auto"/>
              <w:left w:val="nil" w:sz="6" w:space="0" w:color="auto"/>
              <w:bottom w:val="single" w:sz="6" w:space="0" w:color="000000"/>
              <w:right w:val="nil" w:sz="6" w:space="0" w:color="auto"/>
            </w:tcBorders>
          </w:tcPr>
          <w:p>
            <w:pPr>
              <w:pStyle w:val="TableParagraph"/>
              <w:spacing w:line="180" w:lineRule="exact"/>
              <w:ind w:right="126"/>
              <w:jc w:val="right"/>
              <w:rPr>
                <w:rFonts w:ascii="宋体" w:hAnsi="宋体" w:cs="宋体" w:eastAsia="宋体" w:hint="default"/>
                <w:sz w:val="18"/>
                <w:szCs w:val="18"/>
              </w:rPr>
            </w:pPr>
            <w:r>
              <w:rPr>
                <w:rFonts w:ascii="宋体" w:hAnsi="宋体" w:cs="宋体" w:eastAsia="宋体" w:hint="default"/>
                <w:sz w:val="18"/>
                <w:szCs w:val="18"/>
              </w:rPr>
              <w:t>注释</w:t>
            </w:r>
          </w:p>
        </w:tc>
        <w:tc>
          <w:tcPr>
            <w:tcW w:w="2837" w:type="dxa"/>
            <w:gridSpan w:val="2"/>
            <w:tcBorders>
              <w:top w:val="nil" w:sz="6" w:space="0" w:color="auto"/>
              <w:left w:val="nil" w:sz="6" w:space="0" w:color="auto"/>
              <w:bottom w:val="single" w:sz="6" w:space="0" w:color="000000"/>
              <w:right w:val="nil" w:sz="6" w:space="0" w:color="auto"/>
            </w:tcBorders>
          </w:tcPr>
          <w:p>
            <w:pPr>
              <w:pStyle w:val="TableParagraph"/>
              <w:spacing w:line="193" w:lineRule="exact"/>
              <w:ind w:left="556"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889" w:type="dxa"/>
            <w:gridSpan w:val="2"/>
            <w:tcBorders>
              <w:top w:val="nil" w:sz="6" w:space="0" w:color="auto"/>
              <w:left w:val="nil" w:sz="6" w:space="0" w:color="auto"/>
              <w:bottom w:val="single" w:sz="6" w:space="0" w:color="000000"/>
              <w:right w:val="nil" w:sz="6" w:space="0" w:color="auto"/>
            </w:tcBorders>
          </w:tcPr>
          <w:p>
            <w:pPr>
              <w:pStyle w:val="TableParagraph"/>
              <w:spacing w:line="193" w:lineRule="exact"/>
              <w:ind w:left="596"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248" w:hRule="exact"/>
        </w:trPr>
        <w:tc>
          <w:tcPr>
            <w:tcW w:w="3096" w:type="dxa"/>
            <w:tcBorders>
              <w:top w:val="nil" w:sz="6" w:space="0" w:color="auto"/>
              <w:left w:val="nil" w:sz="6" w:space="0" w:color="auto"/>
              <w:bottom w:val="nil" w:sz="6" w:space="0" w:color="auto"/>
              <w:right w:val="nil" w:sz="6" w:space="0" w:color="auto"/>
            </w:tcBorders>
          </w:tcPr>
          <w:p>
            <w:pPr>
              <w:pStyle w:val="TableParagraph"/>
              <w:spacing w:line="213" w:lineRule="exact"/>
              <w:ind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560" w:type="dxa"/>
            <w:tcBorders>
              <w:top w:val="single" w:sz="6" w:space="0" w:color="000000"/>
              <w:left w:val="nil" w:sz="6" w:space="0" w:color="auto"/>
              <w:bottom w:val="nil" w:sz="6" w:space="0" w:color="auto"/>
              <w:right w:val="nil" w:sz="6" w:space="0" w:color="auto"/>
            </w:tcBorders>
          </w:tcPr>
          <w:p>
            <w:pPr/>
          </w:p>
        </w:tc>
        <w:tc>
          <w:tcPr>
            <w:tcW w:w="1500" w:type="dxa"/>
            <w:tcBorders>
              <w:top w:val="single" w:sz="6" w:space="0" w:color="000000"/>
              <w:left w:val="nil" w:sz="6" w:space="0" w:color="auto"/>
              <w:bottom w:val="single" w:sz="6" w:space="0" w:color="000000"/>
              <w:right w:val="nil" w:sz="6" w:space="0" w:color="auto"/>
            </w:tcBorders>
          </w:tcPr>
          <w:p>
            <w:pPr>
              <w:pStyle w:val="TableParagraph"/>
              <w:spacing w:line="205" w:lineRule="exact"/>
              <w:ind w:right="25"/>
              <w:jc w:val="righ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337"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11" w:type="dxa"/>
            <w:tcBorders>
              <w:top w:val="single" w:sz="6" w:space="0" w:color="000000"/>
              <w:left w:val="nil" w:sz="6" w:space="0" w:color="auto"/>
              <w:bottom w:val="single" w:sz="6" w:space="0" w:color="000000"/>
              <w:right w:val="nil" w:sz="6" w:space="0" w:color="auto"/>
            </w:tcBorders>
          </w:tcPr>
          <w:p>
            <w:pPr>
              <w:pStyle w:val="TableParagraph"/>
              <w:spacing w:line="205" w:lineRule="exact"/>
              <w:ind w:right="33"/>
              <w:jc w:val="righ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378" w:type="dxa"/>
            <w:tcBorders>
              <w:top w:val="single" w:sz="6" w:space="0" w:color="000000"/>
              <w:left w:val="nil" w:sz="6" w:space="0" w:color="auto"/>
              <w:bottom w:val="single" w:sz="6" w:space="0" w:color="000000"/>
              <w:right w:val="nil" w:sz="6" w:space="0" w:color="auto"/>
            </w:tcBorders>
          </w:tcPr>
          <w:p>
            <w:pPr>
              <w:pStyle w:val="TableParagraph"/>
              <w:spacing w:line="205" w:lineRule="exact"/>
              <w:ind w:left="6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55" w:hRule="exact"/>
        </w:trPr>
        <w:tc>
          <w:tcPr>
            <w:tcW w:w="3096"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同一纳税实体递延所得税资产：</w:t>
            </w:r>
          </w:p>
        </w:tc>
        <w:tc>
          <w:tcPr>
            <w:tcW w:w="560" w:type="dxa"/>
            <w:tcBorders>
              <w:top w:val="nil" w:sz="6" w:space="0" w:color="auto"/>
              <w:left w:val="nil" w:sz="6" w:space="0" w:color="auto"/>
              <w:bottom w:val="nil" w:sz="6" w:space="0" w:color="auto"/>
              <w:right w:val="nil" w:sz="6" w:space="0" w:color="auto"/>
            </w:tcBorders>
          </w:tcPr>
          <w:p>
            <w:pPr/>
          </w:p>
        </w:tc>
        <w:tc>
          <w:tcPr>
            <w:tcW w:w="1500" w:type="dxa"/>
            <w:tcBorders>
              <w:top w:val="single" w:sz="6" w:space="0" w:color="000000"/>
              <w:left w:val="nil" w:sz="6" w:space="0" w:color="auto"/>
              <w:bottom w:val="nil" w:sz="6" w:space="0" w:color="auto"/>
              <w:right w:val="nil" w:sz="6" w:space="0" w:color="auto"/>
            </w:tcBorders>
          </w:tcPr>
          <w:p>
            <w:pPr/>
          </w:p>
        </w:tc>
        <w:tc>
          <w:tcPr>
            <w:tcW w:w="1337" w:type="dxa"/>
            <w:tcBorders>
              <w:top w:val="single" w:sz="6" w:space="0" w:color="000000"/>
              <w:left w:val="nil" w:sz="6" w:space="0" w:color="auto"/>
              <w:bottom w:val="nil" w:sz="6" w:space="0" w:color="auto"/>
              <w:right w:val="nil" w:sz="6" w:space="0" w:color="auto"/>
            </w:tcBorders>
          </w:tcPr>
          <w:p>
            <w:pPr/>
          </w:p>
        </w:tc>
        <w:tc>
          <w:tcPr>
            <w:tcW w:w="1511" w:type="dxa"/>
            <w:tcBorders>
              <w:top w:val="single" w:sz="6" w:space="0" w:color="000000"/>
              <w:left w:val="nil" w:sz="6" w:space="0" w:color="auto"/>
              <w:bottom w:val="nil" w:sz="6" w:space="0" w:color="auto"/>
              <w:right w:val="nil" w:sz="6" w:space="0" w:color="auto"/>
            </w:tcBorders>
          </w:tcPr>
          <w:p>
            <w:pPr/>
          </w:p>
        </w:tc>
        <w:tc>
          <w:tcPr>
            <w:tcW w:w="1378" w:type="dxa"/>
            <w:tcBorders>
              <w:top w:val="single" w:sz="6" w:space="0" w:color="000000"/>
              <w:left w:val="nil" w:sz="6" w:space="0" w:color="auto"/>
              <w:bottom w:val="nil" w:sz="6" w:space="0" w:color="auto"/>
              <w:right w:val="nil" w:sz="6" w:space="0" w:color="auto"/>
            </w:tcBorders>
          </w:tcPr>
          <w:p>
            <w:pPr/>
          </w:p>
        </w:tc>
      </w:tr>
      <w:tr>
        <w:trPr>
          <w:trHeight w:val="251" w:hRule="exact"/>
        </w:trPr>
        <w:tc>
          <w:tcPr>
            <w:tcW w:w="3096" w:type="dxa"/>
            <w:tcBorders>
              <w:top w:val="single" w:sz="6" w:space="0" w:color="000000"/>
              <w:left w:val="nil" w:sz="6" w:space="0" w:color="auto"/>
              <w:bottom w:val="nil" w:sz="6" w:space="0" w:color="auto"/>
              <w:right w:val="nil" w:sz="6" w:space="0" w:color="auto"/>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固定资产及在建工程减值准备</w:t>
            </w:r>
          </w:p>
        </w:tc>
        <w:tc>
          <w:tcPr>
            <w:tcW w:w="56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60" w:right="0"/>
              <w:jc w:val="left"/>
              <w:rPr>
                <w:rFonts w:ascii="Arial" w:hAnsi="Arial" w:cs="Arial" w:eastAsia="Arial" w:hint="default"/>
                <w:sz w:val="18"/>
                <w:szCs w:val="18"/>
              </w:rPr>
            </w:pPr>
            <w:r>
              <w:rPr>
                <w:rFonts w:ascii="Arial"/>
                <w:sz w:val="18"/>
              </w:rPr>
              <w:t>(2)</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24"/>
              <w:jc w:val="right"/>
              <w:rPr>
                <w:rFonts w:ascii="Arial" w:hAnsi="Arial" w:cs="Arial" w:eastAsia="Arial" w:hint="default"/>
                <w:sz w:val="18"/>
                <w:szCs w:val="18"/>
              </w:rPr>
            </w:pPr>
            <w:r>
              <w:rPr>
                <w:rFonts w:ascii="Arial"/>
                <w:spacing w:val="-1"/>
                <w:sz w:val="18"/>
              </w:rPr>
              <w:t>64,440,656</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41" w:right="0"/>
              <w:jc w:val="left"/>
              <w:rPr>
                <w:rFonts w:ascii="Arial" w:hAnsi="Arial" w:cs="Arial" w:eastAsia="Arial" w:hint="default"/>
                <w:sz w:val="18"/>
                <w:szCs w:val="18"/>
              </w:rPr>
            </w:pPr>
            <w:r>
              <w:rPr>
                <w:rFonts w:ascii="Arial"/>
                <w:sz w:val="18"/>
              </w:rPr>
              <w:t>15,785,590</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462" w:right="0"/>
              <w:jc w:val="left"/>
              <w:rPr>
                <w:rFonts w:ascii="Arial" w:hAnsi="Arial" w:cs="Arial" w:eastAsia="Arial" w:hint="default"/>
                <w:sz w:val="18"/>
                <w:szCs w:val="18"/>
              </w:rPr>
            </w:pPr>
            <w:r>
              <w:rPr>
                <w:rFonts w:ascii="Arial"/>
                <w:sz w:val="18"/>
              </w:rPr>
              <w:t>58,411,076</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74" w:right="0"/>
              <w:jc w:val="left"/>
              <w:rPr>
                <w:rFonts w:ascii="Arial" w:hAnsi="Arial" w:cs="Arial" w:eastAsia="Arial" w:hint="default"/>
                <w:sz w:val="18"/>
                <w:szCs w:val="18"/>
              </w:rPr>
            </w:pPr>
            <w:r>
              <w:rPr>
                <w:rFonts w:ascii="Arial"/>
                <w:sz w:val="18"/>
              </w:rPr>
              <w:t>14,602,769</w:t>
            </w:r>
          </w:p>
        </w:tc>
      </w:tr>
      <w:tr>
        <w:trPr>
          <w:trHeight w:val="233" w:hRule="exact"/>
        </w:trPr>
        <w:tc>
          <w:tcPr>
            <w:tcW w:w="3096"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560"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73" w:right="0"/>
              <w:jc w:val="left"/>
              <w:rPr>
                <w:rFonts w:ascii="Arial" w:hAnsi="Arial" w:cs="Arial" w:eastAsia="Arial" w:hint="default"/>
                <w:sz w:val="18"/>
                <w:szCs w:val="18"/>
              </w:rPr>
            </w:pPr>
            <w:r>
              <w:rPr>
                <w:rFonts w:ascii="Arial"/>
                <w:sz w:val="18"/>
              </w:rPr>
              <w:t>161,904,733</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41" w:right="0"/>
              <w:jc w:val="left"/>
              <w:rPr>
                <w:rFonts w:ascii="Arial" w:hAnsi="Arial" w:cs="Arial" w:eastAsia="Arial" w:hint="default"/>
                <w:sz w:val="18"/>
                <w:szCs w:val="18"/>
              </w:rPr>
            </w:pPr>
            <w:r>
              <w:rPr>
                <w:rFonts w:ascii="Arial"/>
                <w:sz w:val="18"/>
              </w:rPr>
              <w:t>40,433,023</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62" w:right="0"/>
              <w:jc w:val="left"/>
              <w:rPr>
                <w:rFonts w:ascii="Arial" w:hAnsi="Arial" w:cs="Arial" w:eastAsia="Arial" w:hint="default"/>
                <w:sz w:val="18"/>
                <w:szCs w:val="18"/>
              </w:rPr>
            </w:pPr>
            <w:r>
              <w:rPr>
                <w:rFonts w:ascii="Arial"/>
                <w:sz w:val="18"/>
              </w:rPr>
              <w:t>166,248,367</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74" w:right="0"/>
              <w:jc w:val="left"/>
              <w:rPr>
                <w:rFonts w:ascii="Arial" w:hAnsi="Arial" w:cs="Arial" w:eastAsia="Arial" w:hint="default"/>
                <w:sz w:val="18"/>
                <w:szCs w:val="18"/>
              </w:rPr>
            </w:pPr>
            <w:r>
              <w:rPr>
                <w:rFonts w:ascii="Arial"/>
                <w:sz w:val="18"/>
              </w:rPr>
              <w:t>41,562,092</w:t>
            </w:r>
          </w:p>
        </w:tc>
      </w:tr>
      <w:tr>
        <w:trPr>
          <w:trHeight w:val="233" w:hRule="exact"/>
        </w:trPr>
        <w:tc>
          <w:tcPr>
            <w:tcW w:w="3096" w:type="dxa"/>
            <w:tcBorders>
              <w:top w:val="nil" w:sz="6" w:space="0" w:color="auto"/>
              <w:left w:val="nil" w:sz="6" w:space="0" w:color="auto"/>
              <w:bottom w:val="nil" w:sz="6" w:space="0" w:color="auto"/>
              <w:right w:val="nil" w:sz="6" w:space="0" w:color="auto"/>
            </w:tcBorders>
          </w:tcPr>
          <w:p>
            <w:pPr>
              <w:pStyle w:val="TableParagraph"/>
              <w:spacing w:line="196" w:lineRule="exact"/>
              <w:ind w:right="0"/>
              <w:jc w:val="left"/>
              <w:rPr>
                <w:rFonts w:ascii="宋体" w:hAnsi="宋体" w:cs="宋体" w:eastAsia="宋体" w:hint="default"/>
                <w:sz w:val="18"/>
                <w:szCs w:val="18"/>
              </w:rPr>
            </w:pPr>
            <w:r>
              <w:rPr>
                <w:rFonts w:ascii="宋体" w:hAnsi="宋体" w:cs="宋体" w:eastAsia="宋体" w:hint="default"/>
                <w:sz w:val="18"/>
                <w:szCs w:val="18"/>
              </w:rPr>
              <w:t>应收款项坏账准备</w:t>
            </w:r>
          </w:p>
        </w:tc>
        <w:tc>
          <w:tcPr>
            <w:tcW w:w="56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60" w:right="0"/>
              <w:jc w:val="left"/>
              <w:rPr>
                <w:rFonts w:ascii="Arial" w:hAnsi="Arial" w:cs="Arial" w:eastAsia="Arial" w:hint="default"/>
                <w:sz w:val="18"/>
                <w:szCs w:val="18"/>
              </w:rPr>
            </w:pPr>
            <w:r>
              <w:rPr>
                <w:rFonts w:ascii="Arial"/>
                <w:sz w:val="18"/>
              </w:rPr>
              <w:t>(3)</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23" w:right="0"/>
              <w:jc w:val="left"/>
              <w:rPr>
                <w:rFonts w:ascii="Arial" w:hAnsi="Arial" w:cs="Arial" w:eastAsia="Arial" w:hint="default"/>
                <w:sz w:val="18"/>
                <w:szCs w:val="18"/>
              </w:rPr>
            </w:pPr>
            <w:r>
              <w:rPr>
                <w:rFonts w:ascii="Arial"/>
                <w:sz w:val="18"/>
              </w:rPr>
              <w:t>4,362,667,776</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1" w:right="0"/>
              <w:jc w:val="left"/>
              <w:rPr>
                <w:rFonts w:ascii="Arial" w:hAnsi="Arial" w:cs="Arial" w:eastAsia="Arial" w:hint="default"/>
                <w:sz w:val="18"/>
                <w:szCs w:val="18"/>
              </w:rPr>
            </w:pPr>
            <w:r>
              <w:rPr>
                <w:rFonts w:ascii="Arial"/>
                <w:sz w:val="18"/>
              </w:rPr>
              <w:t>1,087,822,873</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12" w:right="0"/>
              <w:jc w:val="left"/>
              <w:rPr>
                <w:rFonts w:ascii="Arial" w:hAnsi="Arial" w:cs="Arial" w:eastAsia="Arial" w:hint="default"/>
                <w:sz w:val="18"/>
                <w:szCs w:val="18"/>
              </w:rPr>
            </w:pPr>
            <w:r>
              <w:rPr>
                <w:rFonts w:ascii="Arial"/>
                <w:sz w:val="18"/>
              </w:rPr>
              <w:t>3,892,636,014</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75" w:right="0"/>
              <w:jc w:val="left"/>
              <w:rPr>
                <w:rFonts w:ascii="Arial" w:hAnsi="Arial" w:cs="Arial" w:eastAsia="Arial" w:hint="default"/>
                <w:sz w:val="18"/>
                <w:szCs w:val="18"/>
              </w:rPr>
            </w:pPr>
            <w:r>
              <w:rPr>
                <w:rFonts w:ascii="Arial"/>
                <w:sz w:val="18"/>
              </w:rPr>
              <w:t>972,359,119</w:t>
            </w:r>
          </w:p>
        </w:tc>
      </w:tr>
      <w:tr>
        <w:trPr>
          <w:trHeight w:val="233" w:hRule="exact"/>
        </w:trPr>
        <w:tc>
          <w:tcPr>
            <w:tcW w:w="3096"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left"/>
              <w:rPr>
                <w:rFonts w:ascii="宋体" w:hAnsi="宋体" w:cs="宋体" w:eastAsia="宋体" w:hint="default"/>
                <w:sz w:val="18"/>
                <w:szCs w:val="18"/>
              </w:rPr>
            </w:pPr>
            <w:r>
              <w:rPr>
                <w:rFonts w:ascii="宋体" w:hAnsi="宋体" w:cs="宋体" w:eastAsia="宋体" w:hint="default"/>
                <w:sz w:val="18"/>
                <w:szCs w:val="18"/>
              </w:rPr>
              <w:t>尚未抵扣的预提费用</w:t>
            </w:r>
          </w:p>
        </w:tc>
        <w:tc>
          <w:tcPr>
            <w:tcW w:w="56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60" w:right="0"/>
              <w:jc w:val="left"/>
              <w:rPr>
                <w:rFonts w:ascii="Arial" w:hAnsi="Arial" w:cs="Arial" w:eastAsia="Arial" w:hint="default"/>
                <w:sz w:val="18"/>
                <w:szCs w:val="18"/>
              </w:rPr>
            </w:pPr>
            <w:r>
              <w:rPr>
                <w:rFonts w:ascii="Arial"/>
                <w:sz w:val="18"/>
              </w:rPr>
              <w:t>(4)</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23" w:right="0"/>
              <w:jc w:val="left"/>
              <w:rPr>
                <w:rFonts w:ascii="Arial" w:hAnsi="Arial" w:cs="Arial" w:eastAsia="Arial" w:hint="default"/>
                <w:sz w:val="18"/>
                <w:szCs w:val="18"/>
              </w:rPr>
            </w:pPr>
            <w:r>
              <w:rPr>
                <w:rFonts w:ascii="Arial"/>
                <w:sz w:val="18"/>
              </w:rPr>
              <w:t>4,139,729,004</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1" w:right="0"/>
              <w:jc w:val="left"/>
              <w:rPr>
                <w:rFonts w:ascii="Arial" w:hAnsi="Arial" w:cs="Arial" w:eastAsia="Arial" w:hint="default"/>
                <w:sz w:val="18"/>
                <w:szCs w:val="18"/>
              </w:rPr>
            </w:pPr>
            <w:r>
              <w:rPr>
                <w:rFonts w:ascii="Arial"/>
                <w:sz w:val="18"/>
              </w:rPr>
              <w:t>1,034,932,251</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12" w:right="0"/>
              <w:jc w:val="left"/>
              <w:rPr>
                <w:rFonts w:ascii="Arial" w:hAnsi="Arial" w:cs="Arial" w:eastAsia="Arial" w:hint="default"/>
                <w:sz w:val="18"/>
                <w:szCs w:val="18"/>
              </w:rPr>
            </w:pPr>
            <w:r>
              <w:rPr>
                <w:rFonts w:ascii="Arial"/>
                <w:sz w:val="18"/>
              </w:rPr>
              <w:t>4,753,191,740</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25" w:right="0"/>
              <w:jc w:val="left"/>
              <w:rPr>
                <w:rFonts w:ascii="Arial" w:hAnsi="Arial" w:cs="Arial" w:eastAsia="Arial" w:hint="default"/>
                <w:sz w:val="18"/>
                <w:szCs w:val="18"/>
              </w:rPr>
            </w:pPr>
            <w:r>
              <w:rPr>
                <w:rFonts w:ascii="Arial"/>
                <w:sz w:val="18"/>
              </w:rPr>
              <w:t>1,188,297,935</w:t>
            </w:r>
          </w:p>
        </w:tc>
      </w:tr>
      <w:tr>
        <w:trPr>
          <w:trHeight w:val="233" w:hRule="exact"/>
        </w:trPr>
        <w:tc>
          <w:tcPr>
            <w:tcW w:w="3096" w:type="dxa"/>
            <w:tcBorders>
              <w:top w:val="nil" w:sz="6" w:space="0" w:color="auto"/>
              <w:left w:val="nil" w:sz="6" w:space="0" w:color="auto"/>
              <w:bottom w:val="nil" w:sz="6" w:space="0" w:color="auto"/>
              <w:right w:val="nil" w:sz="6" w:space="0" w:color="auto"/>
            </w:tcBorders>
          </w:tcPr>
          <w:p>
            <w:pPr>
              <w:pStyle w:val="TableParagraph"/>
              <w:spacing w:line="196" w:lineRule="exact"/>
              <w:ind w:right="0"/>
              <w:jc w:val="left"/>
              <w:rPr>
                <w:rFonts w:ascii="宋体" w:hAnsi="宋体" w:cs="宋体" w:eastAsia="宋体" w:hint="default"/>
                <w:sz w:val="18"/>
                <w:szCs w:val="18"/>
              </w:rPr>
            </w:pPr>
            <w:r>
              <w:rPr>
                <w:rFonts w:ascii="宋体" w:hAnsi="宋体" w:cs="宋体" w:eastAsia="宋体" w:hint="default"/>
                <w:sz w:val="18"/>
                <w:szCs w:val="18"/>
              </w:rPr>
              <w:t>一次性不退还收入的递延</w:t>
            </w:r>
          </w:p>
        </w:tc>
        <w:tc>
          <w:tcPr>
            <w:tcW w:w="56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60" w:right="0"/>
              <w:jc w:val="left"/>
              <w:rPr>
                <w:rFonts w:ascii="Arial" w:hAnsi="Arial" w:cs="Arial" w:eastAsia="Arial" w:hint="default"/>
                <w:sz w:val="18"/>
                <w:szCs w:val="18"/>
              </w:rPr>
            </w:pPr>
            <w:r>
              <w:rPr>
                <w:rFonts w:ascii="Arial"/>
                <w:sz w:val="18"/>
              </w:rPr>
              <w:t>(5)</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73" w:right="0"/>
              <w:jc w:val="left"/>
              <w:rPr>
                <w:rFonts w:ascii="Arial" w:hAnsi="Arial" w:cs="Arial" w:eastAsia="Arial" w:hint="default"/>
                <w:sz w:val="18"/>
                <w:szCs w:val="18"/>
              </w:rPr>
            </w:pPr>
            <w:r>
              <w:rPr>
                <w:rFonts w:ascii="Arial"/>
                <w:sz w:val="18"/>
              </w:rPr>
              <w:t>212,189,105</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41" w:right="0"/>
              <w:jc w:val="left"/>
              <w:rPr>
                <w:rFonts w:ascii="Arial" w:hAnsi="Arial" w:cs="Arial" w:eastAsia="Arial" w:hint="default"/>
                <w:sz w:val="18"/>
                <w:szCs w:val="18"/>
              </w:rPr>
            </w:pPr>
            <w:r>
              <w:rPr>
                <w:rFonts w:ascii="Arial"/>
                <w:sz w:val="18"/>
              </w:rPr>
              <w:t>53,047,276</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62" w:right="0"/>
              <w:jc w:val="left"/>
              <w:rPr>
                <w:rFonts w:ascii="Arial" w:hAnsi="Arial" w:cs="Arial" w:eastAsia="Arial" w:hint="default"/>
                <w:sz w:val="18"/>
                <w:szCs w:val="18"/>
              </w:rPr>
            </w:pPr>
            <w:r>
              <w:rPr>
                <w:rFonts w:ascii="Arial"/>
                <w:sz w:val="18"/>
              </w:rPr>
              <w:t>390,577,053</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74" w:right="0"/>
              <w:jc w:val="left"/>
              <w:rPr>
                <w:rFonts w:ascii="Arial" w:hAnsi="Arial" w:cs="Arial" w:eastAsia="Arial" w:hint="default"/>
                <w:sz w:val="18"/>
                <w:szCs w:val="18"/>
              </w:rPr>
            </w:pPr>
            <w:r>
              <w:rPr>
                <w:rFonts w:ascii="Arial"/>
                <w:sz w:val="18"/>
              </w:rPr>
              <w:t>97,644,263</w:t>
            </w:r>
          </w:p>
        </w:tc>
      </w:tr>
      <w:tr>
        <w:trPr>
          <w:trHeight w:val="233" w:hRule="exact"/>
        </w:trPr>
        <w:tc>
          <w:tcPr>
            <w:tcW w:w="3096"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56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60" w:right="0"/>
              <w:jc w:val="left"/>
              <w:rPr>
                <w:rFonts w:ascii="Arial" w:hAnsi="Arial" w:cs="Arial" w:eastAsia="Arial" w:hint="default"/>
                <w:sz w:val="18"/>
                <w:szCs w:val="18"/>
              </w:rPr>
            </w:pPr>
            <w:r>
              <w:rPr>
                <w:rFonts w:ascii="Arial"/>
                <w:sz w:val="18"/>
              </w:rPr>
              <w:t>(6)</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73" w:right="0"/>
              <w:jc w:val="left"/>
              <w:rPr>
                <w:rFonts w:ascii="Arial" w:hAnsi="Arial" w:cs="Arial" w:eastAsia="Arial" w:hint="default"/>
                <w:sz w:val="18"/>
                <w:szCs w:val="18"/>
              </w:rPr>
            </w:pPr>
            <w:r>
              <w:rPr>
                <w:rFonts w:ascii="Arial"/>
                <w:sz w:val="18"/>
              </w:rPr>
              <w:t>493,087,265</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41" w:right="0"/>
              <w:jc w:val="left"/>
              <w:rPr>
                <w:rFonts w:ascii="Arial" w:hAnsi="Arial" w:cs="Arial" w:eastAsia="Arial" w:hint="default"/>
                <w:sz w:val="18"/>
                <w:szCs w:val="18"/>
              </w:rPr>
            </w:pPr>
            <w:r>
              <w:rPr>
                <w:rFonts w:ascii="Arial"/>
                <w:sz w:val="18"/>
              </w:rPr>
              <w:t>123,271,816</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62" w:right="0"/>
              <w:jc w:val="left"/>
              <w:rPr>
                <w:rFonts w:ascii="Arial" w:hAnsi="Arial" w:cs="Arial" w:eastAsia="Arial" w:hint="default"/>
                <w:sz w:val="18"/>
                <w:szCs w:val="18"/>
              </w:rPr>
            </w:pPr>
            <w:r>
              <w:rPr>
                <w:rFonts w:ascii="Arial"/>
                <w:sz w:val="18"/>
              </w:rPr>
              <w:t>415,118,964</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75" w:right="0"/>
              <w:jc w:val="left"/>
              <w:rPr>
                <w:rFonts w:ascii="Arial" w:hAnsi="Arial" w:cs="Arial" w:eastAsia="Arial" w:hint="default"/>
                <w:sz w:val="18"/>
                <w:szCs w:val="18"/>
              </w:rPr>
            </w:pPr>
            <w:r>
              <w:rPr>
                <w:rFonts w:ascii="Arial"/>
                <w:sz w:val="18"/>
              </w:rPr>
              <w:t>103,779,741</w:t>
            </w:r>
          </w:p>
        </w:tc>
      </w:tr>
      <w:tr>
        <w:trPr>
          <w:trHeight w:val="233" w:hRule="exact"/>
        </w:trPr>
        <w:tc>
          <w:tcPr>
            <w:tcW w:w="3096" w:type="dxa"/>
            <w:tcBorders>
              <w:top w:val="nil" w:sz="6" w:space="0" w:color="auto"/>
              <w:left w:val="nil" w:sz="6" w:space="0" w:color="auto"/>
              <w:bottom w:val="nil" w:sz="6" w:space="0" w:color="auto"/>
              <w:right w:val="nil" w:sz="6" w:space="0" w:color="auto"/>
            </w:tcBorders>
          </w:tcPr>
          <w:p>
            <w:pPr>
              <w:pStyle w:val="TableParagraph"/>
              <w:spacing w:line="196" w:lineRule="exact"/>
              <w:ind w:right="0"/>
              <w:jc w:val="left"/>
              <w:rPr>
                <w:rFonts w:ascii="宋体" w:hAnsi="宋体" w:cs="宋体" w:eastAsia="宋体" w:hint="default"/>
                <w:sz w:val="18"/>
                <w:szCs w:val="18"/>
              </w:rPr>
            </w:pPr>
            <w:r>
              <w:rPr>
                <w:rFonts w:ascii="宋体" w:hAnsi="宋体" w:cs="宋体" w:eastAsia="宋体" w:hint="default"/>
                <w:sz w:val="18"/>
                <w:szCs w:val="18"/>
              </w:rPr>
              <w:t>已计提尚未发放的职工薪酬</w:t>
            </w:r>
          </w:p>
        </w:tc>
        <w:tc>
          <w:tcPr>
            <w:tcW w:w="56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60" w:right="0"/>
              <w:jc w:val="left"/>
              <w:rPr>
                <w:rFonts w:ascii="Arial" w:hAnsi="Arial" w:cs="Arial" w:eastAsia="Arial" w:hint="default"/>
                <w:sz w:val="18"/>
                <w:szCs w:val="18"/>
              </w:rPr>
            </w:pPr>
            <w:r>
              <w:rPr>
                <w:rFonts w:ascii="Arial"/>
                <w:sz w:val="18"/>
              </w:rPr>
              <w:t>(7)</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73" w:right="0"/>
              <w:jc w:val="left"/>
              <w:rPr>
                <w:rFonts w:ascii="Arial" w:hAnsi="Arial" w:cs="Arial" w:eastAsia="Arial" w:hint="default"/>
                <w:sz w:val="18"/>
                <w:szCs w:val="18"/>
              </w:rPr>
            </w:pPr>
            <w:r>
              <w:rPr>
                <w:rFonts w:ascii="Arial"/>
                <w:sz w:val="18"/>
              </w:rPr>
              <w:t>763,325,506</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41" w:right="0"/>
              <w:jc w:val="left"/>
              <w:rPr>
                <w:rFonts w:ascii="Arial" w:hAnsi="Arial" w:cs="Arial" w:eastAsia="Arial" w:hint="default"/>
                <w:sz w:val="18"/>
                <w:szCs w:val="18"/>
              </w:rPr>
            </w:pPr>
            <w:r>
              <w:rPr>
                <w:rFonts w:ascii="Arial"/>
                <w:sz w:val="18"/>
              </w:rPr>
              <w:t>188,331,184</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62" w:right="0"/>
              <w:jc w:val="left"/>
              <w:rPr>
                <w:rFonts w:ascii="Arial" w:hAnsi="Arial" w:cs="Arial" w:eastAsia="Arial" w:hint="default"/>
                <w:sz w:val="18"/>
                <w:szCs w:val="18"/>
              </w:rPr>
            </w:pPr>
            <w:r>
              <w:rPr>
                <w:rFonts w:ascii="Arial"/>
                <w:sz w:val="18"/>
              </w:rPr>
              <w:t>499,415,471</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75" w:right="0"/>
              <w:jc w:val="left"/>
              <w:rPr>
                <w:rFonts w:ascii="Arial" w:hAnsi="Arial" w:cs="Arial" w:eastAsia="Arial" w:hint="default"/>
                <w:sz w:val="18"/>
                <w:szCs w:val="18"/>
              </w:rPr>
            </w:pPr>
            <w:r>
              <w:rPr>
                <w:rFonts w:ascii="Arial"/>
                <w:sz w:val="18"/>
              </w:rPr>
              <w:t>124,746,001</w:t>
            </w:r>
          </w:p>
        </w:tc>
      </w:tr>
      <w:tr>
        <w:trPr>
          <w:trHeight w:val="233" w:hRule="exact"/>
        </w:trPr>
        <w:tc>
          <w:tcPr>
            <w:tcW w:w="3096"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left"/>
              <w:rPr>
                <w:rFonts w:ascii="宋体" w:hAnsi="宋体" w:cs="宋体" w:eastAsia="宋体" w:hint="default"/>
                <w:sz w:val="18"/>
                <w:szCs w:val="18"/>
              </w:rPr>
            </w:pPr>
            <w:r>
              <w:rPr>
                <w:rFonts w:ascii="宋体" w:hAnsi="宋体" w:cs="宋体" w:eastAsia="宋体" w:hint="default"/>
                <w:sz w:val="18"/>
                <w:szCs w:val="18"/>
              </w:rPr>
              <w:t>集团内部购销业务未实现净利润</w:t>
            </w:r>
          </w:p>
        </w:tc>
        <w:tc>
          <w:tcPr>
            <w:tcW w:w="56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60" w:right="0"/>
              <w:jc w:val="left"/>
              <w:rPr>
                <w:rFonts w:ascii="Arial" w:hAnsi="Arial" w:cs="Arial" w:eastAsia="Arial" w:hint="default"/>
                <w:sz w:val="18"/>
                <w:szCs w:val="18"/>
              </w:rPr>
            </w:pPr>
            <w:r>
              <w:rPr>
                <w:rFonts w:ascii="Arial"/>
                <w:sz w:val="18"/>
              </w:rPr>
              <w:t>(8)</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23" w:right="0"/>
              <w:jc w:val="left"/>
              <w:rPr>
                <w:rFonts w:ascii="Arial" w:hAnsi="Arial" w:cs="Arial" w:eastAsia="Arial" w:hint="default"/>
                <w:sz w:val="18"/>
                <w:szCs w:val="18"/>
              </w:rPr>
            </w:pPr>
            <w:r>
              <w:rPr>
                <w:rFonts w:ascii="Arial"/>
                <w:sz w:val="18"/>
              </w:rPr>
              <w:t>1,149,138,320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41" w:right="0"/>
              <w:jc w:val="left"/>
              <w:rPr>
                <w:rFonts w:ascii="Arial" w:hAnsi="Arial" w:cs="Arial" w:eastAsia="Arial" w:hint="default"/>
                <w:sz w:val="18"/>
                <w:szCs w:val="18"/>
              </w:rPr>
            </w:pPr>
            <w:r>
              <w:rPr>
                <w:rFonts w:ascii="Arial"/>
                <w:sz w:val="18"/>
              </w:rPr>
              <w:t>287,284,580</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12" w:right="0"/>
              <w:jc w:val="left"/>
              <w:rPr>
                <w:rFonts w:ascii="Arial" w:hAnsi="Arial" w:cs="Arial" w:eastAsia="Arial" w:hint="default"/>
                <w:sz w:val="18"/>
                <w:szCs w:val="18"/>
              </w:rPr>
            </w:pPr>
            <w:r>
              <w:rPr>
                <w:rFonts w:ascii="Arial"/>
                <w:sz w:val="18"/>
              </w:rPr>
              <w:t>1,038,316,944</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75" w:right="0"/>
              <w:jc w:val="left"/>
              <w:rPr>
                <w:rFonts w:ascii="Arial" w:hAnsi="Arial" w:cs="Arial" w:eastAsia="Arial" w:hint="default"/>
                <w:sz w:val="18"/>
                <w:szCs w:val="18"/>
              </w:rPr>
            </w:pPr>
            <w:r>
              <w:rPr>
                <w:rFonts w:ascii="Arial"/>
                <w:sz w:val="18"/>
              </w:rPr>
              <w:t>259,579,236</w:t>
            </w:r>
          </w:p>
        </w:tc>
      </w:tr>
      <w:tr>
        <w:trPr>
          <w:trHeight w:val="233" w:hRule="exact"/>
        </w:trPr>
        <w:tc>
          <w:tcPr>
            <w:tcW w:w="3096" w:type="dxa"/>
            <w:tcBorders>
              <w:top w:val="nil" w:sz="6" w:space="0" w:color="auto"/>
              <w:left w:val="nil" w:sz="6" w:space="0" w:color="auto"/>
              <w:bottom w:val="nil" w:sz="6" w:space="0" w:color="auto"/>
              <w:right w:val="nil" w:sz="6" w:space="0" w:color="auto"/>
            </w:tcBorders>
          </w:tcPr>
          <w:p>
            <w:pPr>
              <w:pStyle w:val="TableParagraph"/>
              <w:spacing w:line="196" w:lineRule="exact"/>
              <w:ind w:right="0"/>
              <w:jc w:val="left"/>
              <w:rPr>
                <w:rFonts w:ascii="宋体" w:hAnsi="宋体" w:cs="宋体" w:eastAsia="宋体" w:hint="default"/>
                <w:sz w:val="18"/>
                <w:szCs w:val="18"/>
              </w:rPr>
            </w:pPr>
            <w:r>
              <w:rPr>
                <w:rFonts w:ascii="宋体" w:hAnsi="宋体" w:cs="宋体" w:eastAsia="宋体" w:hint="default"/>
                <w:sz w:val="18"/>
                <w:szCs w:val="18"/>
              </w:rPr>
              <w:t>对西班牙电信投资公允价值变动</w:t>
            </w:r>
          </w:p>
        </w:tc>
        <w:tc>
          <w:tcPr>
            <w:tcW w:w="56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8"/>
              <w:jc w:val="right"/>
              <w:rPr>
                <w:rFonts w:ascii="Arial" w:hAnsi="Arial" w:cs="Arial" w:eastAsia="Arial" w:hint="default"/>
                <w:sz w:val="18"/>
                <w:szCs w:val="18"/>
              </w:rPr>
            </w:pPr>
            <w:r>
              <w:rPr>
                <w:rFonts w:ascii="Arial"/>
                <w:spacing w:val="-1"/>
                <w:sz w:val="18"/>
              </w:rPr>
              <w:t>(11)</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23" w:right="0"/>
              <w:jc w:val="left"/>
              <w:rPr>
                <w:rFonts w:ascii="Arial" w:hAnsi="Arial" w:cs="Arial" w:eastAsia="Arial" w:hint="default"/>
                <w:sz w:val="18"/>
                <w:szCs w:val="18"/>
              </w:rPr>
            </w:pPr>
            <w:r>
              <w:rPr>
                <w:rFonts w:ascii="Arial"/>
                <w:sz w:val="18"/>
              </w:rPr>
              <w:t>4,783,867,041</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1" w:right="0"/>
              <w:jc w:val="left"/>
              <w:rPr>
                <w:rFonts w:ascii="Arial" w:hAnsi="Arial" w:cs="Arial" w:eastAsia="Arial" w:hint="default"/>
                <w:sz w:val="18"/>
                <w:szCs w:val="18"/>
              </w:rPr>
            </w:pPr>
            <w:r>
              <w:rPr>
                <w:rFonts w:ascii="Arial"/>
                <w:sz w:val="18"/>
              </w:rPr>
              <w:t>1,195,966,760</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12" w:right="0"/>
              <w:jc w:val="left"/>
              <w:rPr>
                <w:rFonts w:ascii="Arial" w:hAnsi="Arial" w:cs="Arial" w:eastAsia="Arial" w:hint="default"/>
                <w:sz w:val="18"/>
                <w:szCs w:val="18"/>
              </w:rPr>
            </w:pPr>
            <w:r>
              <w:rPr>
                <w:rFonts w:ascii="Arial"/>
                <w:sz w:val="18"/>
              </w:rPr>
              <w:t>3,241,678,756</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75" w:right="0"/>
              <w:jc w:val="left"/>
              <w:rPr>
                <w:rFonts w:ascii="Arial" w:hAnsi="Arial" w:cs="Arial" w:eastAsia="Arial" w:hint="default"/>
                <w:sz w:val="18"/>
                <w:szCs w:val="18"/>
              </w:rPr>
            </w:pPr>
            <w:r>
              <w:rPr>
                <w:rFonts w:ascii="Arial"/>
                <w:sz w:val="18"/>
              </w:rPr>
              <w:t>810,419,690</w:t>
            </w:r>
          </w:p>
        </w:tc>
      </w:tr>
      <w:tr>
        <w:trPr>
          <w:trHeight w:val="233" w:hRule="exact"/>
        </w:trPr>
        <w:tc>
          <w:tcPr>
            <w:tcW w:w="3096"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56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8"/>
              <w:jc w:val="right"/>
              <w:rPr>
                <w:rFonts w:ascii="Arial" w:hAnsi="Arial" w:cs="Arial" w:eastAsia="Arial" w:hint="default"/>
                <w:sz w:val="18"/>
                <w:szCs w:val="18"/>
              </w:rPr>
            </w:pPr>
            <w:r>
              <w:rPr>
                <w:rFonts w:ascii="Arial"/>
                <w:spacing w:val="-1"/>
                <w:sz w:val="18"/>
              </w:rPr>
              <w:t>(12)</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23" w:right="0"/>
              <w:jc w:val="left"/>
              <w:rPr>
                <w:rFonts w:ascii="Arial" w:hAnsi="Arial" w:cs="Arial" w:eastAsia="Arial" w:hint="default"/>
                <w:sz w:val="18"/>
                <w:szCs w:val="18"/>
              </w:rPr>
            </w:pPr>
            <w:r>
              <w:rPr>
                <w:rFonts w:ascii="Arial"/>
                <w:sz w:val="18"/>
              </w:rPr>
              <w:t>3,251,221,947</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41" w:right="0"/>
              <w:jc w:val="left"/>
              <w:rPr>
                <w:rFonts w:ascii="Arial" w:hAnsi="Arial" w:cs="Arial" w:eastAsia="Arial" w:hint="default"/>
                <w:sz w:val="18"/>
                <w:szCs w:val="18"/>
              </w:rPr>
            </w:pPr>
            <w:r>
              <w:rPr>
                <w:rFonts w:ascii="Arial"/>
                <w:sz w:val="18"/>
              </w:rPr>
              <w:t>812,805,487</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62" w:right="0"/>
              <w:jc w:val="left"/>
              <w:rPr>
                <w:rFonts w:ascii="Arial" w:hAnsi="Arial" w:cs="Arial" w:eastAsia="Arial" w:hint="default"/>
                <w:sz w:val="18"/>
                <w:szCs w:val="18"/>
              </w:rPr>
            </w:pPr>
            <w:r>
              <w:rPr>
                <w:rFonts w:ascii="Arial"/>
                <w:sz w:val="18"/>
              </w:rPr>
              <w:t>11,787,324</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75" w:right="0"/>
              <w:jc w:val="left"/>
              <w:rPr>
                <w:rFonts w:ascii="Arial" w:hAnsi="Arial" w:cs="Arial" w:eastAsia="Arial" w:hint="default"/>
                <w:sz w:val="18"/>
                <w:szCs w:val="18"/>
              </w:rPr>
            </w:pPr>
            <w:r>
              <w:rPr>
                <w:rFonts w:ascii="Arial"/>
                <w:sz w:val="18"/>
              </w:rPr>
              <w:t>2,946,831</w:t>
            </w:r>
          </w:p>
        </w:tc>
      </w:tr>
      <w:tr>
        <w:trPr>
          <w:trHeight w:val="241" w:hRule="exact"/>
        </w:trPr>
        <w:tc>
          <w:tcPr>
            <w:tcW w:w="3096" w:type="dxa"/>
            <w:tcBorders>
              <w:top w:val="nil" w:sz="6" w:space="0" w:color="auto"/>
              <w:left w:val="nil" w:sz="6" w:space="0" w:color="auto"/>
              <w:bottom w:val="nil" w:sz="6" w:space="0" w:color="auto"/>
              <w:right w:val="nil" w:sz="6" w:space="0" w:color="auto"/>
            </w:tcBorders>
          </w:tcPr>
          <w:p>
            <w:pPr>
              <w:pStyle w:val="TableParagraph"/>
              <w:spacing w:line="196" w:lineRule="exact"/>
              <w:ind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60" w:type="dxa"/>
            <w:gridSpan w:val="2"/>
            <w:tcBorders>
              <w:top w:val="nil" w:sz="6" w:space="0" w:color="auto"/>
              <w:left w:val="nil" w:sz="6" w:space="0" w:color="auto"/>
              <w:bottom w:val="nil" w:sz="6" w:space="0" w:color="auto"/>
              <w:right w:val="nil" w:sz="6" w:space="0" w:color="auto"/>
            </w:tcBorders>
          </w:tcPr>
          <w:p>
            <w:pPr>
              <w:pStyle w:val="TableParagraph"/>
              <w:tabs>
                <w:tab w:pos="2301" w:val="left" w:leader="none"/>
              </w:tabs>
              <w:spacing w:line="240" w:lineRule="auto" w:before="15"/>
              <w:ind w:left="560" w:right="-242"/>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3"/>
                <w:sz w:val="18"/>
                <w:u w:val="single" w:color="000000"/>
              </w:rPr>
              <w:t> </w:t>
            </w:r>
            <w:r>
              <w:rPr>
                <w:rFonts w:ascii="Arial"/>
                <w:sz w:val="18"/>
                <w:u w:val="single" w:color="000000"/>
              </w:rPr>
              <w:t>1,101,877,360</w:t>
              <w:tab/>
            </w:r>
            <w:r>
              <w:rPr>
                <w:rFonts w:ascii="Arial"/>
                <w:sz w:val="18"/>
              </w:rPr>
            </w:r>
          </w:p>
        </w:tc>
        <w:tc>
          <w:tcPr>
            <w:tcW w:w="1337" w:type="dxa"/>
            <w:tcBorders>
              <w:top w:val="nil" w:sz="6" w:space="0" w:color="auto"/>
              <w:left w:val="nil" w:sz="6" w:space="0" w:color="auto"/>
              <w:bottom w:val="nil" w:sz="6" w:space="0" w:color="auto"/>
              <w:right w:val="nil" w:sz="6" w:space="0" w:color="auto"/>
            </w:tcBorders>
          </w:tcPr>
          <w:p>
            <w:pPr>
              <w:pStyle w:val="TableParagraph"/>
              <w:tabs>
                <w:tab w:pos="1699" w:val="left" w:leader="none"/>
              </w:tabs>
              <w:spacing w:line="240" w:lineRule="auto" w:before="15"/>
              <w:ind w:left="241" w:right="-363"/>
              <w:jc w:val="left"/>
              <w:rPr>
                <w:rFonts w:ascii="Arial" w:hAnsi="Arial" w:cs="Arial" w:eastAsia="Arial" w:hint="default"/>
                <w:sz w:val="18"/>
                <w:szCs w:val="18"/>
              </w:rPr>
            </w:pPr>
            <w:r>
              <w:rPr>
                <w:rFonts w:ascii="Arial"/>
                <w:w w:val="99"/>
                <w:sz w:val="18"/>
              </w:rPr>
            </w:r>
            <w:r>
              <w:rPr>
                <w:rFonts w:ascii="Arial"/>
                <w:sz w:val="18"/>
                <w:u w:val="single" w:color="000000"/>
              </w:rPr>
              <w:t>271,757,713</w:t>
              <w:tab/>
            </w:r>
            <w:r>
              <w:rPr>
                <w:rFonts w:ascii="Arial"/>
                <w:sz w:val="18"/>
              </w:rPr>
            </w:r>
          </w:p>
        </w:tc>
        <w:tc>
          <w:tcPr>
            <w:tcW w:w="1511" w:type="dxa"/>
            <w:tcBorders>
              <w:top w:val="nil" w:sz="6" w:space="0" w:color="auto"/>
              <w:left w:val="nil" w:sz="6" w:space="0" w:color="auto"/>
              <w:bottom w:val="nil" w:sz="6" w:space="0" w:color="auto"/>
              <w:right w:val="nil" w:sz="6" w:space="0" w:color="auto"/>
            </w:tcBorders>
          </w:tcPr>
          <w:p>
            <w:pPr>
              <w:pStyle w:val="TableParagraph"/>
              <w:tabs>
                <w:tab w:pos="1112" w:val="left" w:leader="none"/>
              </w:tabs>
              <w:spacing w:line="240" w:lineRule="auto" w:before="15"/>
              <w:ind w:right="33"/>
              <w:jc w:val="right"/>
              <w:rPr>
                <w:rFonts w:ascii="Arial" w:hAnsi="Arial" w:cs="Arial" w:eastAsia="Arial" w:hint="default"/>
                <w:sz w:val="18"/>
                <w:szCs w:val="18"/>
              </w:rPr>
            </w:pPr>
            <w:r>
              <w:rPr>
                <w:rFonts w:ascii="Arial"/>
                <w:w w:val="99"/>
                <w:sz w:val="18"/>
              </w:rPr>
            </w:r>
            <w:r>
              <w:rPr>
                <w:rFonts w:ascii="Arial"/>
                <w:spacing w:val="-1"/>
                <w:sz w:val="18"/>
                <w:u w:val="single" w:color="000000"/>
              </w:rPr>
              <w:t>772,069,008</w:t>
              <w:tab/>
            </w:r>
            <w:r>
              <w:rPr>
                <w:rFonts w:ascii="Arial"/>
                <w:spacing w:val="-1"/>
                <w:sz w:val="18"/>
              </w:rPr>
            </w:r>
          </w:p>
        </w:tc>
        <w:tc>
          <w:tcPr>
            <w:tcW w:w="1378" w:type="dxa"/>
            <w:tcBorders>
              <w:top w:val="nil" w:sz="6" w:space="0" w:color="auto"/>
              <w:left w:val="nil" w:sz="6" w:space="0" w:color="auto"/>
              <w:bottom w:val="nil" w:sz="6" w:space="0" w:color="auto"/>
              <w:right w:val="nil" w:sz="6" w:space="0" w:color="auto"/>
            </w:tcBorders>
          </w:tcPr>
          <w:p>
            <w:pPr>
              <w:pStyle w:val="TableParagraph"/>
              <w:tabs>
                <w:tab w:pos="275" w:val="left" w:leader="none"/>
                <w:tab w:pos="1378" w:val="left" w:leader="none"/>
              </w:tabs>
              <w:spacing w:line="240" w:lineRule="auto" w:before="15"/>
              <w:ind w:left="19"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192,250,781</w:t>
              <w:tab/>
            </w:r>
            <w:r>
              <w:rPr>
                <w:rFonts w:ascii="Arial"/>
                <w:sz w:val="18"/>
              </w:rPr>
            </w:r>
          </w:p>
        </w:tc>
      </w:tr>
      <w:tr>
        <w:trPr>
          <w:trHeight w:val="344" w:hRule="exact"/>
        </w:trPr>
        <w:tc>
          <w:tcPr>
            <w:tcW w:w="3096" w:type="dxa"/>
            <w:tcBorders>
              <w:top w:val="nil" w:sz="6" w:space="0" w:color="auto"/>
              <w:left w:val="nil" w:sz="6" w:space="0" w:color="auto"/>
              <w:bottom w:val="nil" w:sz="6" w:space="0" w:color="auto"/>
              <w:right w:val="nil" w:sz="6" w:space="0" w:color="auto"/>
            </w:tcBorders>
          </w:tcPr>
          <w:p>
            <w:pPr>
              <w:pStyle w:val="TableParagraph"/>
              <w:spacing w:line="203" w:lineRule="exact"/>
              <w:ind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0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2"/>
              <w:ind w:left="684" w:right="0"/>
              <w:jc w:val="left"/>
              <w:rPr>
                <w:rFonts w:ascii="Arial" w:hAnsi="Arial" w:cs="Arial" w:eastAsia="Arial" w:hint="default"/>
                <w:sz w:val="18"/>
                <w:szCs w:val="18"/>
              </w:rPr>
            </w:pPr>
            <w:r>
              <w:rPr>
                <w:rFonts w:ascii="Arial"/>
                <w:sz w:val="18"/>
              </w:rPr>
              <w:t>20,483,448,713</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91" w:right="0"/>
              <w:jc w:val="left"/>
              <w:rPr>
                <w:rFonts w:ascii="Arial" w:hAnsi="Arial" w:cs="Arial" w:eastAsia="Arial" w:hint="default"/>
                <w:sz w:val="18"/>
                <w:szCs w:val="18"/>
              </w:rPr>
            </w:pPr>
            <w:r>
              <w:rPr>
                <w:rFonts w:ascii="Arial"/>
                <w:sz w:val="18"/>
              </w:rPr>
              <w:t>5,111,438,553</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3" w:right="0"/>
              <w:jc w:val="left"/>
              <w:rPr>
                <w:rFonts w:ascii="Arial" w:hAnsi="Arial" w:cs="Arial" w:eastAsia="Arial" w:hint="default"/>
                <w:sz w:val="18"/>
                <w:szCs w:val="18"/>
              </w:rPr>
            </w:pPr>
            <w:r>
              <w:rPr>
                <w:rFonts w:ascii="Arial"/>
                <w:sz w:val="18"/>
              </w:rPr>
              <w:t>15,239,450,717</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25" w:right="0"/>
              <w:jc w:val="left"/>
              <w:rPr>
                <w:rFonts w:ascii="Arial" w:hAnsi="Arial" w:cs="Arial" w:eastAsia="Arial" w:hint="default"/>
                <w:sz w:val="18"/>
                <w:szCs w:val="18"/>
              </w:rPr>
            </w:pPr>
            <w:r>
              <w:rPr>
                <w:rFonts w:ascii="Arial"/>
                <w:sz w:val="18"/>
              </w:rPr>
              <w:t>3,808,188,458</w:t>
            </w:r>
          </w:p>
        </w:tc>
      </w:tr>
      <w:tr>
        <w:trPr>
          <w:trHeight w:val="334" w:hRule="exact"/>
        </w:trPr>
        <w:tc>
          <w:tcPr>
            <w:tcW w:w="3096" w:type="dxa"/>
            <w:tcBorders>
              <w:top w:val="nil" w:sz="6" w:space="0" w:color="auto"/>
              <w:left w:val="nil" w:sz="6" w:space="0" w:color="auto"/>
              <w:bottom w:val="single" w:sz="6" w:space="0" w:color="000000"/>
              <w:right w:val="nil" w:sz="6" w:space="0" w:color="auto"/>
            </w:tcBorders>
          </w:tcPr>
          <w:p>
            <w:pPr>
              <w:pStyle w:val="TableParagraph"/>
              <w:spacing w:line="240" w:lineRule="auto" w:before="63"/>
              <w:ind w:right="0"/>
              <w:jc w:val="left"/>
              <w:rPr>
                <w:rFonts w:ascii="宋体" w:hAnsi="宋体" w:cs="宋体" w:eastAsia="宋体" w:hint="default"/>
                <w:sz w:val="18"/>
                <w:szCs w:val="18"/>
              </w:rPr>
            </w:pPr>
            <w:r>
              <w:rPr>
                <w:rFonts w:ascii="宋体" w:hAnsi="宋体" w:cs="宋体" w:eastAsia="宋体" w:hint="default"/>
                <w:sz w:val="18"/>
                <w:szCs w:val="18"/>
              </w:rPr>
              <w:t>同一纳税实体递延所得税负债：</w:t>
            </w:r>
          </w:p>
        </w:tc>
        <w:tc>
          <w:tcPr>
            <w:tcW w:w="20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56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337" w:type="dxa"/>
            <w:tcBorders>
              <w:top w:val="nil" w:sz="6" w:space="0" w:color="auto"/>
              <w:left w:val="nil" w:sz="6" w:space="0" w:color="auto"/>
              <w:bottom w:val="single" w:sz="6" w:space="0" w:color="000000"/>
              <w:right w:val="nil" w:sz="6" w:space="0" w:color="auto"/>
            </w:tcBorders>
          </w:tcPr>
          <w:p>
            <w:pPr>
              <w:pStyle w:val="TableParagraph"/>
              <w:spacing w:line="240" w:lineRule="auto" w:before="63"/>
              <w:ind w:left="2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511" w:type="dxa"/>
            <w:tcBorders>
              <w:top w:val="nil" w:sz="6" w:space="0" w:color="auto"/>
              <w:left w:val="nil" w:sz="6" w:space="0" w:color="auto"/>
              <w:bottom w:val="single" w:sz="6" w:space="0" w:color="000000"/>
              <w:right w:val="nil" w:sz="6" w:space="0" w:color="auto"/>
            </w:tcBorders>
          </w:tcPr>
          <w:p>
            <w:pPr>
              <w:pStyle w:val="TableParagraph"/>
              <w:spacing w:line="240" w:lineRule="auto" w:before="63"/>
              <w:ind w:right="34"/>
              <w:jc w:val="righ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378" w:type="dxa"/>
            <w:tcBorders>
              <w:top w:val="nil" w:sz="6" w:space="0" w:color="auto"/>
              <w:left w:val="nil" w:sz="6" w:space="0" w:color="auto"/>
              <w:bottom w:val="single" w:sz="6" w:space="0" w:color="000000"/>
              <w:right w:val="nil" w:sz="6" w:space="0" w:color="auto"/>
            </w:tcBorders>
          </w:tcPr>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503" w:hRule="exact"/>
        </w:trPr>
        <w:tc>
          <w:tcPr>
            <w:tcW w:w="3096"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与一次性不退还收入相关成本的递延</w:t>
            </w:r>
          </w:p>
        </w:tc>
        <w:tc>
          <w:tcPr>
            <w:tcW w:w="5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68"/>
              <w:jc w:val="right"/>
              <w:rPr>
                <w:rFonts w:ascii="Arial" w:hAnsi="Arial" w:cs="Arial" w:eastAsia="Arial" w:hint="default"/>
                <w:sz w:val="18"/>
                <w:szCs w:val="18"/>
              </w:rPr>
            </w:pPr>
            <w:r>
              <w:rPr>
                <w:rFonts w:ascii="Arial"/>
                <w:spacing w:val="-1"/>
                <w:sz w:val="18"/>
              </w:rPr>
              <w:t>(1)(5)</w:t>
            </w:r>
          </w:p>
        </w:tc>
        <w:tc>
          <w:tcPr>
            <w:tcW w:w="1500"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63"/>
              <w:jc w:val="right"/>
              <w:rPr>
                <w:rFonts w:ascii="Arial" w:hAnsi="Arial" w:cs="Arial" w:eastAsia="Arial" w:hint="default"/>
                <w:sz w:val="18"/>
                <w:szCs w:val="18"/>
              </w:rPr>
            </w:pPr>
            <w:r>
              <w:rPr>
                <w:rFonts w:ascii="Arial"/>
                <w:spacing w:val="-1"/>
                <w:sz w:val="18"/>
              </w:rPr>
              <w:t>(212,189,105)</w:t>
            </w:r>
          </w:p>
        </w:tc>
        <w:tc>
          <w:tcPr>
            <w:tcW w:w="1337"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82" w:right="0"/>
              <w:jc w:val="left"/>
              <w:rPr>
                <w:rFonts w:ascii="Arial" w:hAnsi="Arial" w:cs="Arial" w:eastAsia="Arial" w:hint="default"/>
                <w:sz w:val="18"/>
                <w:szCs w:val="18"/>
              </w:rPr>
            </w:pPr>
            <w:r>
              <w:rPr>
                <w:rFonts w:ascii="Arial"/>
                <w:sz w:val="18"/>
              </w:rPr>
              <w:t>(53,047,276)</w:t>
            </w:r>
          </w:p>
        </w:tc>
        <w:tc>
          <w:tcPr>
            <w:tcW w:w="1511"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04" w:right="0"/>
              <w:jc w:val="left"/>
              <w:rPr>
                <w:rFonts w:ascii="Arial" w:hAnsi="Arial" w:cs="Arial" w:eastAsia="Arial" w:hint="default"/>
                <w:sz w:val="18"/>
                <w:szCs w:val="18"/>
              </w:rPr>
            </w:pPr>
            <w:r>
              <w:rPr>
                <w:rFonts w:ascii="Arial"/>
                <w:sz w:val="18"/>
              </w:rPr>
              <w:t>(390,577,053)</w:t>
            </w:r>
          </w:p>
        </w:tc>
        <w:tc>
          <w:tcPr>
            <w:tcW w:w="1378"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16" w:right="0"/>
              <w:jc w:val="left"/>
              <w:rPr>
                <w:rFonts w:ascii="Arial" w:hAnsi="Arial" w:cs="Arial" w:eastAsia="Arial" w:hint="default"/>
                <w:sz w:val="18"/>
                <w:szCs w:val="18"/>
              </w:rPr>
            </w:pPr>
            <w:r>
              <w:rPr>
                <w:rFonts w:ascii="Arial"/>
                <w:sz w:val="18"/>
              </w:rPr>
              <w:t>(97,644,263)</w:t>
            </w:r>
          </w:p>
        </w:tc>
      </w:tr>
      <w:tr>
        <w:trPr>
          <w:trHeight w:val="472" w:hRule="exact"/>
        </w:trPr>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净值</w:t>
            </w:r>
          </w:p>
        </w:tc>
        <w:tc>
          <w:tcPr>
            <w:tcW w:w="560" w:type="dxa"/>
            <w:tcBorders>
              <w:top w:val="nil" w:sz="6" w:space="0" w:color="auto"/>
              <w:left w:val="nil" w:sz="6" w:space="0" w:color="auto"/>
              <w:bottom w:val="nil" w:sz="6" w:space="0" w:color="auto"/>
              <w:right w:val="nil" w:sz="6" w:space="0" w:color="auto"/>
            </w:tcBorders>
          </w:tcPr>
          <w:p>
            <w:pPr/>
          </w:p>
        </w:tc>
        <w:tc>
          <w:tcPr>
            <w:tcW w:w="1500" w:type="dxa"/>
            <w:tcBorders>
              <w:top w:val="single" w:sz="6"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3" w:right="0"/>
              <w:jc w:val="left"/>
              <w:rPr>
                <w:rFonts w:ascii="Arial" w:hAnsi="Arial" w:cs="Arial" w:eastAsia="Arial" w:hint="default"/>
                <w:sz w:val="18"/>
                <w:szCs w:val="18"/>
              </w:rPr>
            </w:pPr>
            <w:r>
              <w:rPr>
                <w:rFonts w:ascii="Arial"/>
                <w:sz w:val="18"/>
              </w:rPr>
              <w:t>20,271,259,608</w:t>
            </w:r>
          </w:p>
        </w:tc>
        <w:tc>
          <w:tcPr>
            <w:tcW w:w="1337" w:type="dxa"/>
            <w:tcBorders>
              <w:top w:val="single" w:sz="6"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1" w:right="0"/>
              <w:jc w:val="left"/>
              <w:rPr>
                <w:rFonts w:ascii="Arial" w:hAnsi="Arial" w:cs="Arial" w:eastAsia="Arial" w:hint="default"/>
                <w:sz w:val="18"/>
                <w:szCs w:val="18"/>
              </w:rPr>
            </w:pPr>
            <w:r>
              <w:rPr>
                <w:rFonts w:ascii="Arial"/>
                <w:sz w:val="18"/>
              </w:rPr>
              <w:t>5,058,391,277</w:t>
            </w:r>
          </w:p>
        </w:tc>
        <w:tc>
          <w:tcPr>
            <w:tcW w:w="1511" w:type="dxa"/>
            <w:tcBorders>
              <w:top w:val="single" w:sz="6"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3" w:right="0"/>
              <w:jc w:val="left"/>
              <w:rPr>
                <w:rFonts w:ascii="Arial" w:hAnsi="Arial" w:cs="Arial" w:eastAsia="Arial" w:hint="default"/>
                <w:sz w:val="18"/>
                <w:szCs w:val="18"/>
              </w:rPr>
            </w:pPr>
            <w:r>
              <w:rPr>
                <w:rFonts w:ascii="Arial"/>
                <w:sz w:val="18"/>
              </w:rPr>
              <w:t>14,848,873,664</w:t>
            </w:r>
          </w:p>
        </w:tc>
        <w:tc>
          <w:tcPr>
            <w:tcW w:w="1378" w:type="dxa"/>
            <w:tcBorders>
              <w:top w:val="single" w:sz="6"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5" w:right="0"/>
              <w:jc w:val="left"/>
              <w:rPr>
                <w:rFonts w:ascii="Arial" w:hAnsi="Arial" w:cs="Arial" w:eastAsia="Arial" w:hint="default"/>
                <w:sz w:val="18"/>
                <w:szCs w:val="18"/>
              </w:rPr>
            </w:pPr>
            <w:r>
              <w:rPr>
                <w:rFonts w:ascii="Arial"/>
                <w:sz w:val="18"/>
              </w:rPr>
              <w:t>3,710,544,195</w:t>
            </w:r>
          </w:p>
        </w:tc>
      </w:tr>
    </w:tbl>
    <w:p>
      <w:pPr>
        <w:spacing w:line="240" w:lineRule="auto" w:before="0"/>
        <w:rPr>
          <w:rFonts w:ascii="宋体" w:hAnsi="宋体" w:cs="宋体" w:eastAsia="宋体" w:hint="default"/>
          <w:sz w:val="10"/>
          <w:szCs w:val="10"/>
        </w:rPr>
      </w:pPr>
    </w:p>
    <w:p>
      <w:pPr>
        <w:pStyle w:val="BodyText"/>
        <w:spacing w:line="240" w:lineRule="auto" w:before="31"/>
        <w:ind w:left="102" w:right="0"/>
        <w:jc w:val="left"/>
      </w:pPr>
      <w:r>
        <w:rPr>
          <w:rFonts w:ascii="Arial" w:hAnsi="Arial" w:cs="Arial" w:eastAsia="Arial" w:hint="default"/>
        </w:rPr>
        <w:t>(ii) </w:t>
      </w:r>
      <w:r>
        <w:rPr>
          <w:rFonts w:ascii="Arial" w:hAnsi="Arial" w:cs="Arial" w:eastAsia="Arial" w:hint="default"/>
          <w:spacing w:val="46"/>
        </w:rPr>
        <w:t> </w:t>
      </w:r>
      <w:r>
        <w:rPr/>
        <w:t>递延所得税负债：</w:t>
      </w:r>
    </w:p>
    <w:p>
      <w:pPr>
        <w:spacing w:line="240" w:lineRule="auto" w:before="9"/>
        <w:rPr>
          <w:rFonts w:ascii="宋体" w:hAnsi="宋体" w:cs="宋体" w:eastAsia="宋体" w:hint="default"/>
          <w:sz w:val="18"/>
          <w:szCs w:val="18"/>
        </w:rPr>
      </w:pPr>
    </w:p>
    <w:tbl>
      <w:tblPr>
        <w:tblW w:w="0" w:type="auto"/>
        <w:jc w:val="left"/>
        <w:tblInd w:w="525" w:type="dxa"/>
        <w:tblLayout w:type="fixed"/>
        <w:tblCellMar>
          <w:top w:w="0" w:type="dxa"/>
          <w:left w:w="0" w:type="dxa"/>
          <w:bottom w:w="0" w:type="dxa"/>
          <w:right w:w="0" w:type="dxa"/>
        </w:tblCellMar>
        <w:tblLook w:val="01E0"/>
      </w:tblPr>
      <w:tblGrid>
        <w:gridCol w:w="3132"/>
        <w:gridCol w:w="566"/>
        <w:gridCol w:w="1527"/>
        <w:gridCol w:w="1350"/>
        <w:gridCol w:w="1558"/>
        <w:gridCol w:w="1289"/>
      </w:tblGrid>
      <w:tr>
        <w:trPr>
          <w:trHeight w:val="215" w:hRule="exact"/>
        </w:trPr>
        <w:tc>
          <w:tcPr>
            <w:tcW w:w="3132"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single" w:sz="6" w:space="0" w:color="000000"/>
              <w:right w:val="nil" w:sz="6" w:space="0" w:color="auto"/>
            </w:tcBorders>
          </w:tcPr>
          <w:p>
            <w:pPr>
              <w:pStyle w:val="TableParagraph"/>
              <w:spacing w:line="180" w:lineRule="exact"/>
              <w:ind w:left="72" w:right="0"/>
              <w:jc w:val="left"/>
              <w:rPr>
                <w:rFonts w:ascii="宋体" w:hAnsi="宋体" w:cs="宋体" w:eastAsia="宋体" w:hint="default"/>
                <w:sz w:val="18"/>
                <w:szCs w:val="18"/>
              </w:rPr>
            </w:pPr>
            <w:r>
              <w:rPr>
                <w:rFonts w:ascii="宋体" w:hAnsi="宋体" w:cs="宋体" w:eastAsia="宋体" w:hint="default"/>
                <w:sz w:val="18"/>
                <w:szCs w:val="18"/>
              </w:rPr>
              <w:t>注释</w:t>
            </w:r>
          </w:p>
        </w:tc>
        <w:tc>
          <w:tcPr>
            <w:tcW w:w="2877" w:type="dxa"/>
            <w:gridSpan w:val="2"/>
            <w:tcBorders>
              <w:top w:val="nil" w:sz="6" w:space="0" w:color="auto"/>
              <w:left w:val="nil" w:sz="6" w:space="0" w:color="auto"/>
              <w:bottom w:val="single" w:sz="6" w:space="0" w:color="000000"/>
              <w:right w:val="nil" w:sz="6" w:space="0" w:color="auto"/>
            </w:tcBorders>
          </w:tcPr>
          <w:p>
            <w:pPr>
              <w:pStyle w:val="TableParagraph"/>
              <w:spacing w:line="193" w:lineRule="exact"/>
              <w:ind w:left="656"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848" w:type="dxa"/>
            <w:gridSpan w:val="2"/>
            <w:tcBorders>
              <w:top w:val="nil" w:sz="6" w:space="0" w:color="auto"/>
              <w:left w:val="nil" w:sz="6" w:space="0" w:color="auto"/>
              <w:bottom w:val="single" w:sz="6" w:space="0" w:color="000000"/>
              <w:right w:val="nil" w:sz="6" w:space="0" w:color="auto"/>
            </w:tcBorders>
          </w:tcPr>
          <w:p>
            <w:pPr>
              <w:pStyle w:val="TableParagraph"/>
              <w:spacing w:line="193" w:lineRule="exact"/>
              <w:ind w:left="655"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248" w:hRule="exact"/>
        </w:trPr>
        <w:tc>
          <w:tcPr>
            <w:tcW w:w="3132" w:type="dxa"/>
            <w:tcBorders>
              <w:top w:val="nil" w:sz="6" w:space="0" w:color="auto"/>
              <w:left w:val="nil" w:sz="6" w:space="0" w:color="auto"/>
              <w:bottom w:val="nil" w:sz="6" w:space="0" w:color="auto"/>
              <w:right w:val="nil" w:sz="6" w:space="0" w:color="auto"/>
            </w:tcBorders>
          </w:tcPr>
          <w:p>
            <w:pPr/>
          </w:p>
        </w:tc>
        <w:tc>
          <w:tcPr>
            <w:tcW w:w="2094" w:type="dxa"/>
            <w:gridSpan w:val="2"/>
            <w:tcBorders>
              <w:top w:val="single" w:sz="6" w:space="0" w:color="000000"/>
              <w:left w:val="nil" w:sz="6" w:space="0" w:color="auto"/>
              <w:bottom w:val="nil" w:sz="6" w:space="0" w:color="auto"/>
              <w:right w:val="nil" w:sz="6" w:space="0" w:color="auto"/>
            </w:tcBorders>
          </w:tcPr>
          <w:p>
            <w:pPr>
              <w:pStyle w:val="TableParagraph"/>
              <w:spacing w:line="207" w:lineRule="exact"/>
              <w:ind w:left="61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350" w:type="dxa"/>
            <w:tcBorders>
              <w:top w:val="single" w:sz="6" w:space="0" w:color="000000"/>
              <w:left w:val="nil" w:sz="6" w:space="0" w:color="auto"/>
              <w:bottom w:val="single" w:sz="6" w:space="0" w:color="000000"/>
              <w:right w:val="nil" w:sz="6" w:space="0" w:color="auto"/>
            </w:tcBorders>
          </w:tcPr>
          <w:p>
            <w:pPr>
              <w:pStyle w:val="TableParagraph"/>
              <w:spacing w:line="207" w:lineRule="exact"/>
              <w:ind w:left="4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558" w:type="dxa"/>
            <w:tcBorders>
              <w:top w:val="single" w:sz="6" w:space="0" w:color="000000"/>
              <w:left w:val="nil" w:sz="6" w:space="0" w:color="auto"/>
              <w:bottom w:val="single" w:sz="6" w:space="0" w:color="000000"/>
              <w:right w:val="nil" w:sz="6" w:space="0" w:color="auto"/>
            </w:tcBorders>
          </w:tcPr>
          <w:p>
            <w:pPr>
              <w:pStyle w:val="TableParagraph"/>
              <w:spacing w:line="207" w:lineRule="exact"/>
              <w:ind w:left="49"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289" w:type="dxa"/>
            <w:tcBorders>
              <w:top w:val="single" w:sz="6" w:space="0" w:color="000000"/>
              <w:left w:val="nil" w:sz="6" w:space="0" w:color="auto"/>
              <w:bottom w:val="single" w:sz="6" w:space="0" w:color="000000"/>
              <w:right w:val="nil" w:sz="6" w:space="0" w:color="auto"/>
            </w:tcBorders>
          </w:tcPr>
          <w:p>
            <w:pPr>
              <w:pStyle w:val="TableParagraph"/>
              <w:spacing w:line="207" w:lineRule="exact"/>
              <w:ind w:right="2"/>
              <w:jc w:val="righ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56" w:hRule="exact"/>
        </w:trPr>
        <w:tc>
          <w:tcPr>
            <w:tcW w:w="3132"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同一纳税实体递延所得税负债：</w:t>
            </w:r>
          </w:p>
        </w:tc>
        <w:tc>
          <w:tcPr>
            <w:tcW w:w="566" w:type="dxa"/>
            <w:tcBorders>
              <w:top w:val="nil" w:sz="6" w:space="0" w:color="auto"/>
              <w:left w:val="nil" w:sz="6" w:space="0" w:color="auto"/>
              <w:bottom w:val="nil" w:sz="6" w:space="0" w:color="auto"/>
              <w:right w:val="nil" w:sz="6" w:space="0" w:color="auto"/>
            </w:tcBorders>
          </w:tcPr>
          <w:p>
            <w:pPr/>
          </w:p>
        </w:tc>
        <w:tc>
          <w:tcPr>
            <w:tcW w:w="1527" w:type="dxa"/>
            <w:tcBorders>
              <w:top w:val="single" w:sz="6" w:space="0" w:color="000000"/>
              <w:left w:val="nil" w:sz="6" w:space="0" w:color="auto"/>
              <w:bottom w:val="nil" w:sz="6" w:space="0" w:color="auto"/>
              <w:right w:val="nil" w:sz="6" w:space="0" w:color="auto"/>
            </w:tcBorders>
          </w:tcPr>
          <w:p>
            <w:pPr/>
          </w:p>
        </w:tc>
        <w:tc>
          <w:tcPr>
            <w:tcW w:w="1350" w:type="dxa"/>
            <w:tcBorders>
              <w:top w:val="single" w:sz="6" w:space="0" w:color="000000"/>
              <w:left w:val="nil" w:sz="6" w:space="0" w:color="auto"/>
              <w:bottom w:val="nil" w:sz="6" w:space="0" w:color="auto"/>
              <w:right w:val="nil" w:sz="6" w:space="0" w:color="auto"/>
            </w:tcBorders>
          </w:tcPr>
          <w:p>
            <w:pPr/>
          </w:p>
        </w:tc>
        <w:tc>
          <w:tcPr>
            <w:tcW w:w="1558" w:type="dxa"/>
            <w:tcBorders>
              <w:top w:val="single" w:sz="6" w:space="0" w:color="000000"/>
              <w:left w:val="nil" w:sz="6" w:space="0" w:color="auto"/>
              <w:bottom w:val="nil" w:sz="6" w:space="0" w:color="auto"/>
              <w:right w:val="nil" w:sz="6" w:space="0" w:color="auto"/>
            </w:tcBorders>
          </w:tcPr>
          <w:p>
            <w:pPr/>
          </w:p>
        </w:tc>
        <w:tc>
          <w:tcPr>
            <w:tcW w:w="1289" w:type="dxa"/>
            <w:tcBorders>
              <w:top w:val="single" w:sz="6" w:space="0" w:color="000000"/>
              <w:left w:val="nil" w:sz="6" w:space="0" w:color="auto"/>
              <w:bottom w:val="nil" w:sz="6" w:space="0" w:color="auto"/>
              <w:right w:val="nil" w:sz="6" w:space="0" w:color="auto"/>
            </w:tcBorders>
          </w:tcPr>
          <w:p>
            <w:pPr/>
          </w:p>
        </w:tc>
      </w:tr>
      <w:tr>
        <w:trPr>
          <w:trHeight w:val="251" w:hRule="exact"/>
        </w:trPr>
        <w:tc>
          <w:tcPr>
            <w:tcW w:w="3132" w:type="dxa"/>
            <w:tcBorders>
              <w:top w:val="single" w:sz="6" w:space="0" w:color="000000"/>
              <w:left w:val="nil" w:sz="6" w:space="0" w:color="auto"/>
              <w:bottom w:val="nil" w:sz="6" w:space="0" w:color="auto"/>
              <w:right w:val="nil" w:sz="6" w:space="0" w:color="auto"/>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z w:val="18"/>
                <w:szCs w:val="18"/>
              </w:rPr>
              <w:t>固定资产计提折旧的核算差异</w:t>
            </w: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41" w:right="0"/>
              <w:jc w:val="left"/>
              <w:rPr>
                <w:rFonts w:ascii="Arial" w:hAnsi="Arial" w:cs="Arial" w:eastAsia="Arial" w:hint="default"/>
                <w:sz w:val="18"/>
                <w:szCs w:val="18"/>
              </w:rPr>
            </w:pPr>
            <w:r>
              <w:rPr>
                <w:rFonts w:ascii="Arial"/>
                <w:sz w:val="18"/>
              </w:rPr>
              <w:t>(9)</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6"/>
              <w:jc w:val="right"/>
              <w:rPr>
                <w:rFonts w:ascii="Arial" w:hAnsi="Arial" w:cs="Arial" w:eastAsia="Arial" w:hint="default"/>
                <w:sz w:val="18"/>
                <w:szCs w:val="18"/>
              </w:rPr>
            </w:pPr>
            <w:r>
              <w:rPr>
                <w:rFonts w:ascii="Arial"/>
                <w:spacing w:val="-1"/>
                <w:sz w:val="18"/>
              </w:rPr>
              <w:t>(141,364,447)</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76" w:right="0"/>
              <w:jc w:val="left"/>
              <w:rPr>
                <w:rFonts w:ascii="Arial" w:hAnsi="Arial" w:cs="Arial" w:eastAsia="Arial" w:hint="default"/>
                <w:sz w:val="18"/>
                <w:szCs w:val="18"/>
              </w:rPr>
            </w:pPr>
            <w:r>
              <w:rPr>
                <w:rFonts w:ascii="Arial"/>
                <w:sz w:val="18"/>
              </w:rPr>
              <w:t>(23,184,678)</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45" w:right="0"/>
              <w:jc w:val="left"/>
              <w:rPr>
                <w:rFonts w:ascii="Arial" w:hAnsi="Arial" w:cs="Arial" w:eastAsia="Arial" w:hint="default"/>
                <w:sz w:val="18"/>
                <w:szCs w:val="18"/>
              </w:rPr>
            </w:pPr>
            <w:r>
              <w:rPr>
                <w:rFonts w:ascii="Arial"/>
                <w:sz w:val="18"/>
              </w:rPr>
              <w:t>(128,815,320)</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6"/>
              <w:jc w:val="right"/>
              <w:rPr>
                <w:rFonts w:ascii="Arial" w:hAnsi="Arial" w:cs="Arial" w:eastAsia="Arial" w:hint="default"/>
                <w:sz w:val="18"/>
                <w:szCs w:val="18"/>
              </w:rPr>
            </w:pPr>
            <w:r>
              <w:rPr>
                <w:rFonts w:ascii="Arial"/>
                <w:spacing w:val="-1"/>
                <w:sz w:val="18"/>
              </w:rPr>
              <w:t>(20,674,112)</w:t>
            </w:r>
          </w:p>
        </w:tc>
      </w:tr>
      <w:tr>
        <w:trPr>
          <w:trHeight w:val="233"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195" w:lineRule="exact"/>
              <w:ind w:left="27" w:right="0"/>
              <w:jc w:val="left"/>
              <w:rPr>
                <w:rFonts w:ascii="宋体" w:hAnsi="宋体" w:cs="宋体" w:eastAsia="宋体" w:hint="default"/>
                <w:sz w:val="18"/>
                <w:szCs w:val="18"/>
              </w:rPr>
            </w:pPr>
            <w:r>
              <w:rPr>
                <w:rFonts w:ascii="宋体" w:hAnsi="宋体" w:cs="宋体" w:eastAsia="宋体" w:hint="default"/>
                <w:sz w:val="18"/>
                <w:szCs w:val="18"/>
              </w:rPr>
              <w:t>改制评估增值</w:t>
            </w: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1" w:right="0"/>
              <w:jc w:val="left"/>
              <w:rPr>
                <w:rFonts w:ascii="Arial" w:hAnsi="Arial" w:cs="Arial" w:eastAsia="Arial" w:hint="default"/>
                <w:sz w:val="18"/>
                <w:szCs w:val="18"/>
              </w:rPr>
            </w:pPr>
            <w:r>
              <w:rPr>
                <w:rFonts w:ascii="Arial"/>
                <w:sz w:val="18"/>
              </w:rPr>
              <w:t>(10)</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5"/>
              <w:jc w:val="right"/>
              <w:rPr>
                <w:rFonts w:ascii="Arial" w:hAnsi="Arial" w:cs="Arial" w:eastAsia="Arial" w:hint="default"/>
                <w:sz w:val="18"/>
                <w:szCs w:val="18"/>
              </w:rPr>
            </w:pPr>
            <w:r>
              <w:rPr>
                <w:rFonts w:ascii="Arial"/>
                <w:spacing w:val="-1"/>
                <w:sz w:val="18"/>
              </w:rPr>
              <w:t>(87,893,306)</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76" w:right="0"/>
              <w:jc w:val="left"/>
              <w:rPr>
                <w:rFonts w:ascii="Arial" w:hAnsi="Arial" w:cs="Arial" w:eastAsia="Arial" w:hint="default"/>
                <w:sz w:val="18"/>
                <w:szCs w:val="18"/>
              </w:rPr>
            </w:pPr>
            <w:r>
              <w:rPr>
                <w:rFonts w:ascii="Arial"/>
                <w:sz w:val="18"/>
              </w:rPr>
              <w:t>(13,183,996)</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45" w:right="0"/>
              <w:jc w:val="left"/>
              <w:rPr>
                <w:rFonts w:ascii="Arial" w:hAnsi="Arial" w:cs="Arial" w:eastAsia="Arial" w:hint="default"/>
                <w:sz w:val="18"/>
                <w:szCs w:val="18"/>
              </w:rPr>
            </w:pPr>
            <w:r>
              <w:rPr>
                <w:rFonts w:ascii="Arial"/>
                <w:sz w:val="18"/>
              </w:rPr>
              <w:t>(92,653,126)</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6"/>
              <w:jc w:val="right"/>
              <w:rPr>
                <w:rFonts w:ascii="Arial" w:hAnsi="Arial" w:cs="Arial" w:eastAsia="Arial" w:hint="default"/>
                <w:sz w:val="18"/>
                <w:szCs w:val="18"/>
              </w:rPr>
            </w:pPr>
            <w:r>
              <w:rPr>
                <w:rFonts w:ascii="Arial"/>
                <w:spacing w:val="-1"/>
                <w:sz w:val="18"/>
              </w:rPr>
              <w:t>(13,897,969)</w:t>
            </w:r>
          </w:p>
        </w:tc>
      </w:tr>
      <w:tr>
        <w:trPr>
          <w:trHeight w:val="474"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195" w:lineRule="exact"/>
              <w:ind w:left="27" w:right="0"/>
              <w:jc w:val="left"/>
              <w:rPr>
                <w:rFonts w:ascii="宋体" w:hAnsi="宋体" w:cs="宋体" w:eastAsia="宋体" w:hint="default"/>
                <w:sz w:val="18"/>
                <w:szCs w:val="18"/>
              </w:rPr>
            </w:pPr>
            <w:r>
              <w:rPr>
                <w:rFonts w:ascii="宋体" w:hAnsi="宋体" w:cs="宋体" w:eastAsia="宋体" w:hint="default"/>
                <w:sz w:val="18"/>
                <w:szCs w:val="18"/>
              </w:rPr>
              <w:t>中讯设计院可供出售金融资产公允价值</w:t>
            </w:r>
          </w:p>
          <w:p>
            <w:pPr>
              <w:pStyle w:val="TableParagraph"/>
              <w:spacing w:line="234" w:lineRule="exact"/>
              <w:ind w:left="188"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Arial" w:hAnsi="Arial" w:cs="Arial" w:eastAsia="Arial" w:hint="default"/>
                <w:sz w:val="18"/>
                <w:szCs w:val="18"/>
              </w:rPr>
            </w:pPr>
            <w:r>
              <w:rPr>
                <w:rFonts w:ascii="Arial"/>
                <w:sz w:val="18"/>
              </w:rPr>
              <w:t>(11)</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tabs>
                <w:tab w:pos="409" w:val="left" w:leader="none"/>
                <w:tab w:pos="1485" w:val="left" w:leader="none"/>
              </w:tabs>
              <w:spacing w:line="240" w:lineRule="auto"/>
              <w:ind w:right="3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(75,221,598)</w:t>
              <w:tab/>
            </w:r>
            <w:r>
              <w:rPr>
                <w:rFonts w:ascii="Arial"/>
                <w:spacing w:val="-1"/>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tabs>
                <w:tab w:pos="276" w:val="left" w:leader="none"/>
                <w:tab w:pos="1794" w:val="left" w:leader="none"/>
              </w:tabs>
              <w:spacing w:line="240" w:lineRule="auto"/>
              <w:ind w:left="6" w:right="-446"/>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(11,283,240)</w:t>
              <w:tab/>
            </w:r>
            <w:r>
              <w:rPr>
                <w:rFonts w:ascii="Arial"/>
                <w:sz w:val="18"/>
              </w:rPr>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tabs>
                <w:tab w:pos="1444" w:val="left" w:leader="none"/>
              </w:tabs>
              <w:spacing w:line="240" w:lineRule="auto"/>
              <w:ind w:right="-332"/>
              <w:jc w:val="right"/>
              <w:rPr>
                <w:rFonts w:ascii="Arial" w:hAnsi="Arial" w:cs="Arial" w:eastAsia="Arial" w:hint="default"/>
                <w:sz w:val="18"/>
                <w:szCs w:val="18"/>
              </w:rPr>
            </w:pPr>
            <w:r>
              <w:rPr>
                <w:rFonts w:ascii="Arial"/>
                <w:w w:val="99"/>
                <w:sz w:val="18"/>
              </w:rPr>
            </w:r>
            <w:r>
              <w:rPr>
                <w:rFonts w:ascii="Arial"/>
                <w:spacing w:val="-1"/>
                <w:sz w:val="18"/>
                <w:u w:val="single" w:color="000000"/>
              </w:rPr>
              <w:t>(63,544,806)</w:t>
              <w:tab/>
            </w:r>
            <w:r>
              <w:rPr>
                <w:rFonts w:ascii="Arial"/>
                <w:spacing w:val="-1"/>
                <w:sz w:val="18"/>
              </w:rPr>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6"/>
              <w:jc w:val="right"/>
              <w:rPr>
                <w:rFonts w:ascii="Arial" w:hAnsi="Arial" w:cs="Arial" w:eastAsia="Arial" w:hint="default"/>
                <w:sz w:val="18"/>
                <w:szCs w:val="18"/>
              </w:rPr>
            </w:pPr>
            <w:r>
              <w:rPr>
                <w:rFonts w:ascii="Arial"/>
                <w:w w:val="99"/>
                <w:sz w:val="18"/>
              </w:rPr>
            </w:r>
            <w:r>
              <w:rPr>
                <w:rFonts w:ascii="Arial"/>
                <w:spacing w:val="-1"/>
                <w:sz w:val="18"/>
                <w:u w:val="single" w:color="000000"/>
              </w:rPr>
              <w:t>(9,531,722)</w:t>
            </w:r>
            <w:r>
              <w:rPr>
                <w:rFonts w:ascii="Arial"/>
                <w:spacing w:val="-1"/>
                <w:sz w:val="18"/>
              </w:rPr>
            </w:r>
          </w:p>
        </w:tc>
      </w:tr>
      <w:tr>
        <w:trPr>
          <w:trHeight w:val="344"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03" w:lineRule="exact"/>
              <w:ind w:left="2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0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2"/>
              <w:ind w:left="876" w:right="0"/>
              <w:jc w:val="left"/>
              <w:rPr>
                <w:rFonts w:ascii="Arial" w:hAnsi="Arial" w:cs="Arial" w:eastAsia="Arial" w:hint="default"/>
                <w:sz w:val="18"/>
                <w:szCs w:val="18"/>
              </w:rPr>
            </w:pPr>
            <w:r>
              <w:rPr>
                <w:rFonts w:ascii="Arial"/>
                <w:sz w:val="18"/>
              </w:rPr>
              <w:t>(304,479,351)</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76" w:right="0"/>
              <w:jc w:val="left"/>
              <w:rPr>
                <w:rFonts w:ascii="Arial" w:hAnsi="Arial" w:cs="Arial" w:eastAsia="Arial" w:hint="default"/>
                <w:sz w:val="18"/>
                <w:szCs w:val="18"/>
              </w:rPr>
            </w:pPr>
            <w:r>
              <w:rPr>
                <w:rFonts w:ascii="Arial"/>
                <w:sz w:val="18"/>
              </w:rPr>
              <w:t>(47,651,914)</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45" w:right="0"/>
              <w:jc w:val="left"/>
              <w:rPr>
                <w:rFonts w:ascii="Arial" w:hAnsi="Arial" w:cs="Arial" w:eastAsia="Arial" w:hint="default"/>
                <w:sz w:val="18"/>
                <w:szCs w:val="18"/>
              </w:rPr>
            </w:pPr>
            <w:r>
              <w:rPr>
                <w:rFonts w:ascii="Arial"/>
                <w:sz w:val="18"/>
              </w:rPr>
              <w:t>(285,013,252)</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6"/>
              <w:jc w:val="right"/>
              <w:rPr>
                <w:rFonts w:ascii="Arial" w:hAnsi="Arial" w:cs="Arial" w:eastAsia="Arial" w:hint="default"/>
                <w:sz w:val="18"/>
                <w:szCs w:val="18"/>
              </w:rPr>
            </w:pPr>
            <w:r>
              <w:rPr>
                <w:rFonts w:ascii="Arial"/>
                <w:spacing w:val="-1"/>
                <w:sz w:val="18"/>
              </w:rPr>
              <w:t>(44,103,803)</w:t>
            </w:r>
          </w:p>
        </w:tc>
      </w:tr>
      <w:tr>
        <w:trPr>
          <w:trHeight w:val="335" w:hRule="exact"/>
        </w:trPr>
        <w:tc>
          <w:tcPr>
            <w:tcW w:w="3132" w:type="dxa"/>
            <w:tcBorders>
              <w:top w:val="nil" w:sz="6" w:space="0" w:color="auto"/>
              <w:left w:val="nil" w:sz="6" w:space="0" w:color="auto"/>
              <w:bottom w:val="single" w:sz="6" w:space="0" w:color="000000"/>
              <w:right w:val="nil" w:sz="6" w:space="0" w:color="auto"/>
            </w:tcBorders>
          </w:tcPr>
          <w:p>
            <w:pPr>
              <w:pStyle w:val="TableParagraph"/>
              <w:spacing w:line="240" w:lineRule="auto" w:before="63"/>
              <w:ind w:left="27" w:right="0"/>
              <w:jc w:val="left"/>
              <w:rPr>
                <w:rFonts w:ascii="宋体" w:hAnsi="宋体" w:cs="宋体" w:eastAsia="宋体" w:hint="default"/>
                <w:sz w:val="18"/>
                <w:szCs w:val="18"/>
              </w:rPr>
            </w:pPr>
            <w:r>
              <w:rPr>
                <w:rFonts w:ascii="宋体" w:hAnsi="宋体" w:cs="宋体" w:eastAsia="宋体" w:hint="default"/>
                <w:sz w:val="18"/>
                <w:szCs w:val="18"/>
              </w:rPr>
              <w:t>同一纳税实体递延所得税资产：</w:t>
            </w:r>
          </w:p>
        </w:tc>
        <w:tc>
          <w:tcPr>
            <w:tcW w:w="20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61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350" w:type="dxa"/>
            <w:tcBorders>
              <w:top w:val="nil" w:sz="6" w:space="0" w:color="auto"/>
              <w:left w:val="nil" w:sz="6" w:space="0" w:color="auto"/>
              <w:bottom w:val="single" w:sz="6" w:space="0" w:color="000000"/>
              <w:right w:val="nil" w:sz="6" w:space="0" w:color="auto"/>
            </w:tcBorders>
          </w:tcPr>
          <w:p>
            <w:pPr>
              <w:pStyle w:val="TableParagraph"/>
              <w:spacing w:line="240" w:lineRule="auto" w:before="63"/>
              <w:ind w:left="4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58" w:type="dxa"/>
            <w:tcBorders>
              <w:top w:val="nil" w:sz="6" w:space="0" w:color="auto"/>
              <w:left w:val="nil" w:sz="6" w:space="0" w:color="auto"/>
              <w:bottom w:val="single" w:sz="6" w:space="0" w:color="000000"/>
              <w:right w:val="nil" w:sz="6" w:space="0" w:color="auto"/>
            </w:tcBorders>
          </w:tcPr>
          <w:p>
            <w:pPr>
              <w:pStyle w:val="TableParagraph"/>
              <w:spacing w:line="240" w:lineRule="auto" w:before="63"/>
              <w:ind w:left="9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289" w:type="dxa"/>
            <w:tcBorders>
              <w:top w:val="nil" w:sz="6" w:space="0" w:color="auto"/>
              <w:left w:val="nil" w:sz="6" w:space="0" w:color="auto"/>
              <w:bottom w:val="single" w:sz="6" w:space="0" w:color="000000"/>
              <w:right w:val="nil" w:sz="6" w:space="0" w:color="auto"/>
            </w:tcBorders>
          </w:tcPr>
          <w:p>
            <w:pPr>
              <w:pStyle w:val="TableParagraph"/>
              <w:spacing w:line="240" w:lineRule="auto" w:before="63"/>
              <w:ind w:right="2"/>
              <w:jc w:val="righ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534" w:hRule="exact"/>
        </w:trPr>
        <w:tc>
          <w:tcPr>
            <w:tcW w:w="3132"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已计提尚未发放的职工薪酬</w:t>
            </w: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41" w:right="0"/>
              <w:jc w:val="left"/>
              <w:rPr>
                <w:rFonts w:ascii="Arial" w:hAnsi="Arial" w:cs="Arial" w:eastAsia="Arial" w:hint="default"/>
                <w:sz w:val="18"/>
                <w:szCs w:val="18"/>
              </w:rPr>
            </w:pPr>
            <w:r>
              <w:rPr>
                <w:rFonts w:ascii="Arial"/>
                <w:sz w:val="18"/>
              </w:rPr>
              <w:t>(1)</w:t>
            </w:r>
          </w:p>
        </w:tc>
        <w:tc>
          <w:tcPr>
            <w:tcW w:w="1527"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57"/>
              <w:jc w:val="right"/>
              <w:rPr>
                <w:rFonts w:ascii="Arial" w:hAnsi="Arial" w:cs="Arial" w:eastAsia="Arial" w:hint="default"/>
                <w:sz w:val="18"/>
                <w:szCs w:val="18"/>
              </w:rPr>
            </w:pPr>
            <w:r>
              <w:rPr>
                <w:rFonts w:ascii="Arial"/>
                <w:spacing w:val="-1"/>
                <w:sz w:val="18"/>
              </w:rPr>
              <w:t>49,188,495</w:t>
            </w:r>
          </w:p>
        </w:tc>
        <w:tc>
          <w:tcPr>
            <w:tcW w:w="1350"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436" w:right="0"/>
              <w:jc w:val="left"/>
              <w:rPr>
                <w:rFonts w:ascii="Arial" w:hAnsi="Arial" w:cs="Arial" w:eastAsia="Arial" w:hint="default"/>
                <w:sz w:val="18"/>
                <w:szCs w:val="18"/>
              </w:rPr>
            </w:pPr>
            <w:r>
              <w:rPr>
                <w:rFonts w:ascii="Arial"/>
                <w:sz w:val="18"/>
              </w:rPr>
              <w:t>7,378,274</w:t>
            </w:r>
          </w:p>
        </w:tc>
        <w:tc>
          <w:tcPr>
            <w:tcW w:w="1558"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503" w:right="0"/>
              <w:jc w:val="left"/>
              <w:rPr>
                <w:rFonts w:ascii="Arial" w:hAnsi="Arial" w:cs="Arial" w:eastAsia="Arial" w:hint="default"/>
                <w:sz w:val="18"/>
                <w:szCs w:val="18"/>
              </w:rPr>
            </w:pPr>
            <w:r>
              <w:rPr>
                <w:rFonts w:ascii="Arial"/>
                <w:sz w:val="18"/>
              </w:rPr>
              <w:t>50,515,913</w:t>
            </w:r>
          </w:p>
        </w:tc>
        <w:tc>
          <w:tcPr>
            <w:tcW w:w="1289"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6"/>
              <w:jc w:val="right"/>
              <w:rPr>
                <w:rFonts w:ascii="Arial" w:hAnsi="Arial" w:cs="Arial" w:eastAsia="Arial" w:hint="default"/>
                <w:sz w:val="18"/>
                <w:szCs w:val="18"/>
              </w:rPr>
            </w:pPr>
            <w:r>
              <w:rPr>
                <w:rFonts w:ascii="Arial"/>
                <w:spacing w:val="-1"/>
                <w:sz w:val="18"/>
              </w:rPr>
              <w:t>7,577,387</w:t>
            </w:r>
          </w:p>
        </w:tc>
      </w:tr>
      <w:tr>
        <w:trPr>
          <w:trHeight w:val="233"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196" w:lineRule="exact"/>
              <w:ind w:left="27" w:right="0"/>
              <w:jc w:val="left"/>
              <w:rPr>
                <w:rFonts w:ascii="宋体" w:hAnsi="宋体" w:cs="宋体" w:eastAsia="宋体" w:hint="default"/>
                <w:sz w:val="18"/>
                <w:szCs w:val="18"/>
              </w:rPr>
            </w:pPr>
            <w:r>
              <w:rPr>
                <w:rFonts w:ascii="宋体" w:hAnsi="宋体" w:cs="宋体" w:eastAsia="宋体" w:hint="default"/>
                <w:sz w:val="18"/>
                <w:szCs w:val="18"/>
              </w:rPr>
              <w:t>非流动资产计提折旧及摊销的核算差异</w:t>
            </w: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1" w:right="0"/>
              <w:jc w:val="left"/>
              <w:rPr>
                <w:rFonts w:ascii="Arial" w:hAnsi="Arial" w:cs="Arial" w:eastAsia="Arial" w:hint="default"/>
                <w:sz w:val="18"/>
                <w:szCs w:val="18"/>
              </w:rPr>
            </w:pPr>
            <w:r>
              <w:rPr>
                <w:rFonts w:ascii="Arial"/>
                <w:sz w:val="18"/>
              </w:rPr>
              <w:t>(1)(9)</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7"/>
              <w:jc w:val="right"/>
              <w:rPr>
                <w:rFonts w:ascii="Arial" w:hAnsi="Arial" w:cs="Arial" w:eastAsia="Arial" w:hint="default"/>
                <w:sz w:val="18"/>
                <w:szCs w:val="18"/>
              </w:rPr>
            </w:pPr>
            <w:r>
              <w:rPr>
                <w:rFonts w:ascii="Arial"/>
                <w:spacing w:val="-1"/>
                <w:sz w:val="18"/>
              </w:rPr>
              <w:t>27,234,897</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36" w:right="0"/>
              <w:jc w:val="left"/>
              <w:rPr>
                <w:rFonts w:ascii="Arial" w:hAnsi="Arial" w:cs="Arial" w:eastAsia="Arial" w:hint="default"/>
                <w:sz w:val="18"/>
                <w:szCs w:val="18"/>
              </w:rPr>
            </w:pPr>
            <w:r>
              <w:rPr>
                <w:rFonts w:ascii="Arial"/>
                <w:sz w:val="18"/>
              </w:rPr>
              <w:t>4,085,235</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03" w:right="0"/>
              <w:jc w:val="left"/>
              <w:rPr>
                <w:rFonts w:ascii="Arial" w:hAnsi="Arial" w:cs="Arial" w:eastAsia="Arial" w:hint="default"/>
                <w:sz w:val="18"/>
                <w:szCs w:val="18"/>
              </w:rPr>
            </w:pPr>
            <w:r>
              <w:rPr>
                <w:rFonts w:ascii="Arial"/>
                <w:sz w:val="18"/>
              </w:rPr>
              <w:t>12,756,860</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6"/>
              <w:jc w:val="right"/>
              <w:rPr>
                <w:rFonts w:ascii="Arial" w:hAnsi="Arial" w:cs="Arial" w:eastAsia="Arial" w:hint="default"/>
                <w:sz w:val="18"/>
                <w:szCs w:val="18"/>
              </w:rPr>
            </w:pPr>
            <w:r>
              <w:rPr>
                <w:rFonts w:ascii="Arial"/>
                <w:spacing w:val="-1"/>
                <w:sz w:val="18"/>
              </w:rPr>
              <w:t>1,913,529</w:t>
            </w:r>
          </w:p>
        </w:tc>
      </w:tr>
      <w:tr>
        <w:trPr>
          <w:trHeight w:val="241"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195" w:lineRule="exact"/>
              <w:ind w:left="27" w:right="0"/>
              <w:jc w:val="left"/>
              <w:rPr>
                <w:rFonts w:ascii="宋体" w:hAnsi="宋体" w:cs="宋体" w:eastAsia="宋体" w:hint="default"/>
                <w:sz w:val="18"/>
                <w:szCs w:val="18"/>
              </w:rPr>
            </w:pPr>
            <w:r>
              <w:rPr>
                <w:rFonts w:ascii="宋体" w:hAnsi="宋体" w:cs="宋体" w:eastAsia="宋体" w:hint="default"/>
                <w:sz w:val="18"/>
                <w:szCs w:val="18"/>
              </w:rPr>
              <w:t>应收款项坏账准备</w:t>
            </w: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41" w:right="0"/>
              <w:jc w:val="left"/>
              <w:rPr>
                <w:rFonts w:ascii="Arial" w:hAnsi="Arial" w:cs="Arial" w:eastAsia="Arial" w:hint="default"/>
                <w:sz w:val="18"/>
                <w:szCs w:val="18"/>
              </w:rPr>
            </w:pPr>
            <w:r>
              <w:rPr>
                <w:rFonts w:ascii="Arial"/>
                <w:sz w:val="18"/>
              </w:rPr>
              <w:t>(1)</w:t>
            </w:r>
          </w:p>
        </w:tc>
        <w:tc>
          <w:tcPr>
            <w:tcW w:w="1527" w:type="dxa"/>
            <w:tcBorders>
              <w:top w:val="nil" w:sz="6" w:space="0" w:color="auto"/>
              <w:left w:val="nil" w:sz="6" w:space="0" w:color="auto"/>
              <w:bottom w:val="nil" w:sz="6" w:space="0" w:color="auto"/>
              <w:right w:val="nil" w:sz="6" w:space="0" w:color="auto"/>
            </w:tcBorders>
          </w:tcPr>
          <w:p>
            <w:pPr>
              <w:pStyle w:val="TableParagraph"/>
              <w:tabs>
                <w:tab w:pos="467" w:val="left" w:leader="none"/>
                <w:tab w:pos="1485" w:val="left" w:leader="none"/>
              </w:tabs>
              <w:spacing w:line="240" w:lineRule="auto" w:before="14"/>
              <w:ind w:right="3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27,034,639</w:t>
              <w:tab/>
            </w:r>
            <w:r>
              <w:rPr>
                <w:rFonts w:ascii="Arial"/>
                <w:spacing w:val="-1"/>
                <w:sz w:val="18"/>
              </w:rPr>
            </w:r>
          </w:p>
        </w:tc>
        <w:tc>
          <w:tcPr>
            <w:tcW w:w="1350" w:type="dxa"/>
            <w:tcBorders>
              <w:top w:val="nil" w:sz="6" w:space="0" w:color="auto"/>
              <w:left w:val="nil" w:sz="6" w:space="0" w:color="auto"/>
              <w:bottom w:val="nil" w:sz="6" w:space="0" w:color="auto"/>
              <w:right w:val="nil" w:sz="6" w:space="0" w:color="auto"/>
            </w:tcBorders>
          </w:tcPr>
          <w:p>
            <w:pPr>
              <w:pStyle w:val="TableParagraph"/>
              <w:tabs>
                <w:tab w:pos="436" w:val="left" w:leader="none"/>
                <w:tab w:pos="1853" w:val="left" w:leader="none"/>
              </w:tabs>
              <w:spacing w:line="240" w:lineRule="auto" w:before="14"/>
              <w:ind w:left="6" w:right="-504"/>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4,055,196</w:t>
              <w:tab/>
            </w:r>
            <w:r>
              <w:rPr>
                <w:rFonts w:ascii="Arial"/>
                <w:sz w:val="18"/>
              </w:rPr>
            </w:r>
          </w:p>
        </w:tc>
        <w:tc>
          <w:tcPr>
            <w:tcW w:w="1558" w:type="dxa"/>
            <w:tcBorders>
              <w:top w:val="nil" w:sz="6" w:space="0" w:color="auto"/>
              <w:left w:val="nil" w:sz="6" w:space="0" w:color="auto"/>
              <w:bottom w:val="nil" w:sz="6" w:space="0" w:color="auto"/>
              <w:right w:val="nil" w:sz="6" w:space="0" w:color="auto"/>
            </w:tcBorders>
          </w:tcPr>
          <w:p>
            <w:pPr>
              <w:pStyle w:val="TableParagraph"/>
              <w:tabs>
                <w:tab w:pos="1444" w:val="left" w:leader="none"/>
              </w:tabs>
              <w:spacing w:line="240" w:lineRule="auto" w:before="14"/>
              <w:ind w:right="-391"/>
              <w:jc w:val="right"/>
              <w:rPr>
                <w:rFonts w:ascii="Arial" w:hAnsi="Arial" w:cs="Arial" w:eastAsia="Arial" w:hint="default"/>
                <w:sz w:val="18"/>
                <w:szCs w:val="18"/>
              </w:rPr>
            </w:pPr>
            <w:r>
              <w:rPr>
                <w:rFonts w:ascii="Arial"/>
                <w:w w:val="99"/>
                <w:sz w:val="18"/>
              </w:rPr>
            </w:r>
            <w:r>
              <w:rPr>
                <w:rFonts w:ascii="Arial"/>
                <w:spacing w:val="-1"/>
                <w:sz w:val="18"/>
                <w:u w:val="single" w:color="000000"/>
              </w:rPr>
              <w:t>19,768,573</w:t>
              <w:tab/>
            </w:r>
            <w:r>
              <w:rPr>
                <w:rFonts w:ascii="Arial"/>
                <w:spacing w:val="-1"/>
                <w:sz w:val="18"/>
              </w:rPr>
            </w:r>
          </w:p>
        </w:tc>
        <w:tc>
          <w:tcPr>
            <w:tcW w:w="1289" w:type="dxa"/>
            <w:tcBorders>
              <w:top w:val="nil" w:sz="6" w:space="0" w:color="auto"/>
              <w:left w:val="nil" w:sz="6" w:space="0" w:color="auto"/>
              <w:bottom w:val="nil" w:sz="6" w:space="0" w:color="auto"/>
              <w:right w:val="nil" w:sz="6" w:space="0" w:color="auto"/>
            </w:tcBorders>
          </w:tcPr>
          <w:p>
            <w:pPr>
              <w:pStyle w:val="TableParagraph"/>
              <w:tabs>
                <w:tab w:pos="898" w:val="left" w:leader="none"/>
              </w:tabs>
              <w:spacing w:line="240" w:lineRule="auto" w:before="14"/>
              <w:ind w:right="0"/>
              <w:jc w:val="right"/>
              <w:rPr>
                <w:rFonts w:ascii="Arial" w:hAnsi="Arial" w:cs="Arial" w:eastAsia="Arial" w:hint="default"/>
                <w:sz w:val="18"/>
                <w:szCs w:val="18"/>
              </w:rPr>
            </w:pPr>
            <w:r>
              <w:rPr>
                <w:rFonts w:ascii="Arial"/>
                <w:w w:val="99"/>
                <w:sz w:val="18"/>
              </w:rPr>
            </w:r>
            <w:r>
              <w:rPr>
                <w:rFonts w:ascii="Arial"/>
                <w:spacing w:val="-1"/>
                <w:sz w:val="18"/>
                <w:u w:val="single" w:color="000000"/>
              </w:rPr>
              <w:t>2,965,286</w:t>
              <w:tab/>
            </w:r>
            <w:r>
              <w:rPr>
                <w:rFonts w:ascii="Arial"/>
                <w:spacing w:val="-1"/>
                <w:sz w:val="18"/>
              </w:rPr>
            </w:r>
          </w:p>
        </w:tc>
      </w:tr>
      <w:tr>
        <w:trPr>
          <w:trHeight w:val="344"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03" w:lineRule="exact"/>
              <w:ind w:left="2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66"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68" w:right="0"/>
              <w:jc w:val="left"/>
              <w:rPr>
                <w:rFonts w:ascii="Arial" w:hAnsi="Arial" w:cs="Arial" w:eastAsia="Arial" w:hint="default"/>
                <w:sz w:val="18"/>
                <w:szCs w:val="18"/>
              </w:rPr>
            </w:pPr>
            <w:r>
              <w:rPr>
                <w:rFonts w:ascii="Arial"/>
                <w:sz w:val="18"/>
              </w:rPr>
              <w:t>103,458,031</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35" w:right="0"/>
              <w:jc w:val="left"/>
              <w:rPr>
                <w:rFonts w:ascii="Arial" w:hAnsi="Arial" w:cs="Arial" w:eastAsia="Arial" w:hint="default"/>
                <w:sz w:val="18"/>
                <w:szCs w:val="18"/>
              </w:rPr>
            </w:pPr>
            <w:r>
              <w:rPr>
                <w:rFonts w:ascii="Arial"/>
                <w:sz w:val="18"/>
              </w:rPr>
              <w:t>15,518,705</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03" w:right="0"/>
              <w:jc w:val="left"/>
              <w:rPr>
                <w:rFonts w:ascii="Arial" w:hAnsi="Arial" w:cs="Arial" w:eastAsia="Arial" w:hint="default"/>
                <w:sz w:val="18"/>
                <w:szCs w:val="18"/>
              </w:rPr>
            </w:pPr>
            <w:r>
              <w:rPr>
                <w:rFonts w:ascii="Arial"/>
                <w:sz w:val="18"/>
              </w:rPr>
              <w:t>83,041,346</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9" w:right="0"/>
              <w:jc w:val="left"/>
              <w:rPr>
                <w:rFonts w:ascii="Arial" w:hAnsi="Arial" w:cs="Arial" w:eastAsia="Arial" w:hint="default"/>
                <w:sz w:val="18"/>
                <w:szCs w:val="18"/>
              </w:rPr>
            </w:pPr>
            <w:r>
              <w:rPr>
                <w:rFonts w:ascii="Arial"/>
                <w:sz w:val="18"/>
              </w:rPr>
              <w:t>12,456,202</w:t>
            </w:r>
          </w:p>
        </w:tc>
      </w:tr>
      <w:tr>
        <w:trPr>
          <w:trHeight w:val="351"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7" w:right="0"/>
              <w:jc w:val="left"/>
              <w:rPr>
                <w:rFonts w:ascii="宋体" w:hAnsi="宋体" w:cs="宋体" w:eastAsia="宋体" w:hint="default"/>
                <w:sz w:val="18"/>
                <w:szCs w:val="18"/>
              </w:rPr>
            </w:pPr>
            <w:r>
              <w:rPr>
                <w:rFonts w:ascii="宋体" w:hAnsi="宋体" w:cs="宋体" w:eastAsia="宋体" w:hint="default"/>
                <w:sz w:val="18"/>
                <w:szCs w:val="18"/>
              </w:rPr>
              <w:t>净值</w:t>
            </w:r>
          </w:p>
        </w:tc>
        <w:tc>
          <w:tcPr>
            <w:tcW w:w="566"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single" w:sz="17" w:space="0" w:color="000000"/>
              <w:right w:val="nil" w:sz="6" w:space="0" w:color="auto"/>
            </w:tcBorders>
          </w:tcPr>
          <w:p>
            <w:pPr>
              <w:pStyle w:val="TableParagraph"/>
              <w:spacing w:line="240" w:lineRule="auto" w:before="118"/>
              <w:ind w:right="96"/>
              <w:jc w:val="right"/>
              <w:rPr>
                <w:rFonts w:ascii="Arial" w:hAnsi="Arial" w:cs="Arial" w:eastAsia="Arial" w:hint="default"/>
                <w:sz w:val="18"/>
                <w:szCs w:val="18"/>
              </w:rPr>
            </w:pPr>
            <w:r>
              <w:rPr>
                <w:rFonts w:ascii="Arial"/>
                <w:spacing w:val="-1"/>
                <w:sz w:val="18"/>
              </w:rPr>
              <w:t>(201,021,320)</w:t>
            </w:r>
          </w:p>
        </w:tc>
        <w:tc>
          <w:tcPr>
            <w:tcW w:w="1350" w:type="dxa"/>
            <w:tcBorders>
              <w:top w:val="nil" w:sz="6" w:space="0" w:color="auto"/>
              <w:left w:val="nil" w:sz="6" w:space="0" w:color="auto"/>
              <w:bottom w:val="single" w:sz="17" w:space="0" w:color="000000"/>
              <w:right w:val="nil" w:sz="6" w:space="0" w:color="auto"/>
            </w:tcBorders>
          </w:tcPr>
          <w:p>
            <w:pPr>
              <w:pStyle w:val="TableParagraph"/>
              <w:spacing w:line="240" w:lineRule="auto" w:before="118"/>
              <w:ind w:left="276" w:right="0"/>
              <w:jc w:val="left"/>
              <w:rPr>
                <w:rFonts w:ascii="Arial" w:hAnsi="Arial" w:cs="Arial" w:eastAsia="Arial" w:hint="default"/>
                <w:sz w:val="18"/>
                <w:szCs w:val="18"/>
              </w:rPr>
            </w:pPr>
            <w:r>
              <w:rPr>
                <w:rFonts w:ascii="Arial"/>
                <w:sz w:val="18"/>
              </w:rPr>
              <w:t>(32,133,209)</w:t>
            </w:r>
          </w:p>
        </w:tc>
        <w:tc>
          <w:tcPr>
            <w:tcW w:w="1558" w:type="dxa"/>
            <w:tcBorders>
              <w:top w:val="nil" w:sz="6" w:space="0" w:color="auto"/>
              <w:left w:val="nil" w:sz="6" w:space="0" w:color="auto"/>
              <w:bottom w:val="single" w:sz="17" w:space="0" w:color="000000"/>
              <w:right w:val="nil" w:sz="6" w:space="0" w:color="auto"/>
            </w:tcBorders>
          </w:tcPr>
          <w:p>
            <w:pPr>
              <w:pStyle w:val="TableParagraph"/>
              <w:spacing w:line="240" w:lineRule="auto" w:before="118"/>
              <w:ind w:left="345" w:right="0"/>
              <w:jc w:val="left"/>
              <w:rPr>
                <w:rFonts w:ascii="Arial" w:hAnsi="Arial" w:cs="Arial" w:eastAsia="Arial" w:hint="default"/>
                <w:sz w:val="18"/>
                <w:szCs w:val="18"/>
              </w:rPr>
            </w:pPr>
            <w:r>
              <w:rPr>
                <w:rFonts w:ascii="Arial"/>
                <w:sz w:val="18"/>
              </w:rPr>
              <w:t>(201,971,906)</w:t>
            </w:r>
          </w:p>
        </w:tc>
        <w:tc>
          <w:tcPr>
            <w:tcW w:w="1289" w:type="dxa"/>
            <w:tcBorders>
              <w:top w:val="nil" w:sz="6" w:space="0" w:color="auto"/>
              <w:left w:val="nil" w:sz="6" w:space="0" w:color="auto"/>
              <w:bottom w:val="single" w:sz="17" w:space="0" w:color="000000"/>
              <w:right w:val="nil" w:sz="6" w:space="0" w:color="auto"/>
            </w:tcBorders>
          </w:tcPr>
          <w:p>
            <w:pPr>
              <w:pStyle w:val="TableParagraph"/>
              <w:spacing w:line="240" w:lineRule="auto" w:before="118"/>
              <w:ind w:right="36"/>
              <w:jc w:val="right"/>
              <w:rPr>
                <w:rFonts w:ascii="Arial" w:hAnsi="Arial" w:cs="Arial" w:eastAsia="Arial" w:hint="default"/>
                <w:sz w:val="18"/>
                <w:szCs w:val="18"/>
              </w:rPr>
            </w:pPr>
            <w:r>
              <w:rPr>
                <w:rFonts w:ascii="Arial"/>
                <w:spacing w:val="-1"/>
                <w:sz w:val="18"/>
              </w:rPr>
              <w:t>(31,647,601)</w:t>
            </w:r>
          </w:p>
        </w:tc>
      </w:tr>
    </w:tbl>
    <w:p>
      <w:pPr>
        <w:spacing w:after="0" w:line="240" w:lineRule="auto"/>
        <w:jc w:val="right"/>
        <w:rPr>
          <w:rFonts w:ascii="Arial" w:hAnsi="Arial" w:cs="Arial" w:eastAsia="Arial" w:hint="default"/>
          <w:sz w:val="18"/>
          <w:szCs w:val="18"/>
        </w:rPr>
        <w:sectPr>
          <w:headerReference w:type="default" r:id="rId124"/>
          <w:pgSz w:w="11910" w:h="16840"/>
          <w:pgMar w:header="1184" w:footer="457" w:top="3560" w:bottom="640" w:left="1280" w:right="560"/>
        </w:sectPr>
      </w:pPr>
    </w:p>
    <w:p>
      <w:pPr>
        <w:spacing w:line="240" w:lineRule="auto" w:before="10"/>
        <w:rPr>
          <w:rFonts w:ascii="宋体" w:hAnsi="宋体" w:cs="宋体" w:eastAsia="宋体" w:hint="default"/>
          <w:sz w:val="11"/>
          <w:szCs w:val="11"/>
        </w:rPr>
      </w:pPr>
    </w:p>
    <w:p>
      <w:pPr>
        <w:pStyle w:val="ListParagraph"/>
        <w:numPr>
          <w:ilvl w:val="0"/>
          <w:numId w:val="2"/>
        </w:numPr>
        <w:tabs>
          <w:tab w:pos="540" w:val="left" w:leader="none"/>
        </w:tabs>
        <w:spacing w:line="240" w:lineRule="auto" w:before="31" w:after="0"/>
        <w:ind w:left="540" w:right="0" w:hanging="418"/>
        <w:jc w:val="left"/>
        <w:rPr>
          <w:rFonts w:ascii="宋体" w:hAnsi="宋体" w:cs="宋体" w:eastAsia="宋体" w:hint="default"/>
          <w:sz w:val="22"/>
          <w:szCs w:val="22"/>
        </w:rPr>
      </w:pPr>
      <w:r>
        <w:rPr>
          <w:rFonts w:ascii="宋体" w:hAnsi="宋体" w:cs="宋体" w:eastAsia="宋体" w:hint="default"/>
          <w:sz w:val="22"/>
          <w:szCs w:val="22"/>
        </w:rPr>
        <w:t>注释</w:t>
      </w:r>
    </w:p>
    <w:p>
      <w:pPr>
        <w:pStyle w:val="BodyText"/>
        <w:spacing w:line="237" w:lineRule="auto" w:before="185"/>
        <w:ind w:left="570" w:right="138"/>
        <w:jc w:val="both"/>
      </w:pPr>
      <w:r>
        <w:rPr>
          <w:spacing w:val="-1"/>
        </w:rPr>
        <w:t>以上递延所得税资产及负债是根据本集团在各期间，因暂时性差异对所得税影响金额计算。在</w:t>
      </w:r>
      <w:r>
        <w:rPr>
          <w:spacing w:val="-106"/>
        </w:rPr>
        <w:t> </w:t>
      </w:r>
      <w:r>
        <w:rPr>
          <w:spacing w:val="-106"/>
        </w:rPr>
      </w:r>
      <w:r>
        <w:rPr>
          <w:spacing w:val="-1"/>
        </w:rPr>
        <w:t>资产负债表债务法下，暂时性差异对所得税的影响金额，在考虑了当时有关税务法规及市场发</w:t>
      </w:r>
      <w:r>
        <w:rPr>
          <w:spacing w:val="-104"/>
        </w:rPr>
        <w:t> </w:t>
      </w:r>
      <w:r>
        <w:rPr>
          <w:spacing w:val="-104"/>
        </w:rPr>
      </w:r>
      <w:r>
        <w:rPr/>
        <w:t>展情况，可以递延和分配到以后各期。这些暂时性差异的详细说明如下：</w:t>
      </w:r>
    </w:p>
    <w:p>
      <w:pPr>
        <w:spacing w:line="240" w:lineRule="auto" w:before="3"/>
        <w:rPr>
          <w:rFonts w:ascii="宋体" w:hAnsi="宋体" w:cs="宋体" w:eastAsia="宋体" w:hint="default"/>
          <w:sz w:val="17"/>
          <w:szCs w:val="17"/>
        </w:rPr>
      </w:pPr>
    </w:p>
    <w:p>
      <w:pPr>
        <w:pStyle w:val="BodyText"/>
        <w:spacing w:line="286" w:lineRule="exact"/>
        <w:ind w:left="570" w:right="120" w:hanging="462"/>
        <w:jc w:val="both"/>
      </w:pPr>
      <w:r>
        <w:rPr>
          <w:rFonts w:ascii="Arial" w:hAnsi="Arial" w:cs="Arial" w:eastAsia="Arial" w:hint="default"/>
        </w:rPr>
        <w:t>(1)</w:t>
      </w:r>
      <w:r>
        <w:rPr>
          <w:rFonts w:ascii="Arial" w:hAnsi="Arial" w:cs="Arial" w:eastAsia="Arial" w:hint="default"/>
          <w:spacing w:val="17"/>
        </w:rPr>
        <w:t> </w:t>
      </w:r>
      <w:r>
        <w:rPr>
          <w:spacing w:val="4"/>
        </w:rPr>
        <w:t>本公司于资产负债表日对集团内受同一纳税征管部门管理的同一纳税实体的递延所得税资产</w:t>
      </w:r>
      <w:r>
        <w:rPr>
          <w:w w:val="99"/>
        </w:rPr>
        <w:t> </w:t>
      </w:r>
      <w:r>
        <w:rPr>
          <w:w w:val="95"/>
        </w:rPr>
        <w:t>和递延所得税负债的余额进行分析，如果递延所得税资产的余额大于递延所得税负债的余额，</w:t>
      </w:r>
      <w:r>
        <w:rPr>
          <w:w w:val="99"/>
        </w:rPr>
        <w:t> </w:t>
      </w:r>
      <w:r>
        <w:rPr>
          <w:w w:val="95"/>
        </w:rPr>
        <w:t>则将递延所得税资产与递延所得税负债抵销后的净额列示于资产负债表的“递延所得税资产”</w:t>
      </w:r>
      <w:r>
        <w:rPr>
          <w:w w:val="99"/>
        </w:rPr>
        <w:t> </w:t>
      </w:r>
      <w:r>
        <w:rPr>
          <w:w w:val="95"/>
        </w:rPr>
        <w:t>项下；如果递延所得税资产的余额小于递延所得税负债的余额，则将递延所得税资产与递延所</w:t>
      </w:r>
      <w:r>
        <w:rPr>
          <w:w w:val="99"/>
        </w:rPr>
        <w:t> </w:t>
      </w:r>
      <w:r>
        <w:rPr/>
        <w:t>得税负债抵销后的净额列示于资产负债表的“递延所得税负债”项下。</w:t>
      </w:r>
    </w:p>
    <w:p>
      <w:pPr>
        <w:pStyle w:val="BodyText"/>
        <w:spacing w:line="235" w:lineRule="auto" w:before="175"/>
        <w:ind w:left="570" w:right="138" w:hanging="448"/>
        <w:jc w:val="both"/>
      </w:pPr>
      <w:r>
        <w:rPr>
          <w:rFonts w:ascii="Arial" w:hAnsi="Arial" w:cs="Arial" w:eastAsia="Arial" w:hint="default"/>
        </w:rPr>
        <w:t>(2)</w:t>
      </w:r>
      <w:r>
        <w:rPr>
          <w:rFonts w:ascii="Arial" w:hAnsi="Arial" w:cs="Arial" w:eastAsia="Arial" w:hint="default"/>
          <w:spacing w:val="22"/>
        </w:rPr>
        <w:t> </w:t>
      </w:r>
      <w:r>
        <w:rPr/>
        <w:t>本集团于资产负债表日，对有关资产减值准备是否能在未来为本集团抵扣以后年度的所得税进</w:t>
      </w:r>
      <w:r>
        <w:rPr>
          <w:w w:val="99"/>
        </w:rPr>
        <w:t> </w:t>
      </w:r>
      <w:r>
        <w:rPr>
          <w:spacing w:val="-1"/>
        </w:rPr>
        <w:t>行评估。按税务法规的有关规定，当期计提的各项资产减值准备虽然不得在当期税前列支，但</w:t>
      </w:r>
      <w:r>
        <w:rPr>
          <w:spacing w:val="-5"/>
          <w:w w:val="99"/>
        </w:rPr>
        <w:t> </w:t>
      </w:r>
      <w:r>
        <w:rPr>
          <w:spacing w:val="-1"/>
        </w:rPr>
        <w:t>期后可于相关资产的减值损失实现时在税前列支。这些已减值的资产按纳税的需要根据减值前</w:t>
      </w:r>
      <w:r>
        <w:rPr>
          <w:w w:val="99"/>
        </w:rPr>
        <w:t> </w:t>
      </w:r>
      <w:r>
        <w:rPr>
          <w:spacing w:val="-1"/>
        </w:rPr>
        <w:t>的金额通过折旧和摊销在以后年度抵减应纳税所得额。因此本集团对确信可于未来期间实现的</w:t>
      </w:r>
      <w:r>
        <w:rPr>
          <w:w w:val="99"/>
        </w:rPr>
        <w:t> </w:t>
      </w:r>
      <w:r>
        <w:rPr/>
        <w:t>资产减值准备对所得税的影响，确认递延所得税资产。</w:t>
      </w:r>
    </w:p>
    <w:p>
      <w:pPr>
        <w:spacing w:line="240" w:lineRule="auto" w:before="11"/>
        <w:rPr>
          <w:rFonts w:ascii="宋体" w:hAnsi="宋体" w:cs="宋体" w:eastAsia="宋体" w:hint="default"/>
          <w:sz w:val="19"/>
          <w:szCs w:val="19"/>
        </w:rPr>
      </w:pPr>
    </w:p>
    <w:p>
      <w:pPr>
        <w:pStyle w:val="BodyText"/>
        <w:spacing w:line="232" w:lineRule="auto"/>
        <w:ind w:left="570" w:right="114" w:hanging="448"/>
        <w:jc w:val="both"/>
      </w:pPr>
      <w:r>
        <w:rPr>
          <w:rFonts w:ascii="Arial" w:hAnsi="Arial" w:cs="Arial" w:eastAsia="Arial" w:hint="default"/>
        </w:rPr>
        <w:t>(3)</w:t>
      </w:r>
      <w:r>
        <w:rPr>
          <w:rFonts w:ascii="Arial" w:hAnsi="Arial" w:cs="Arial" w:eastAsia="Arial" w:hint="default"/>
          <w:spacing w:val="27"/>
        </w:rPr>
        <w:t> </w:t>
      </w:r>
      <w:r>
        <w:rPr/>
        <w:t>应收款项坏账准备所对应的递延所得税资产主要由本集团计提的应收账款坏账准备产生。根据</w:t>
      </w:r>
      <w:r>
        <w:rPr>
          <w:w w:val="99"/>
        </w:rPr>
        <w:t> </w:t>
      </w:r>
      <w:r>
        <w:rPr>
          <w:w w:val="95"/>
        </w:rPr>
        <w:t>税收相关法规，实际坏账损失经向主管税务机关报备后可作为税前扣除项目。因此，本集团将</w:t>
      </w:r>
      <w:r>
        <w:rPr>
          <w:w w:val="99"/>
        </w:rPr>
        <w:t> </w:t>
      </w:r>
      <w:r>
        <w:rPr>
          <w:w w:val="95"/>
        </w:rPr>
        <w:t>尚未形成实际坏账损失的坏账准备所对应的所得税的影响确认为递延所得税资产，而将形成坏</w:t>
      </w:r>
      <w:r>
        <w:rPr>
          <w:w w:val="99"/>
        </w:rPr>
        <w:t> </w:t>
      </w:r>
      <w:r>
        <w:rPr/>
        <w:t>账损失的坏账准备向主管税务机关报备后于所得税前扣除，同时转回相应的递延所得税资产。</w:t>
      </w:r>
    </w:p>
    <w:p>
      <w:pPr>
        <w:spacing w:line="240" w:lineRule="auto" w:before="7"/>
        <w:rPr>
          <w:rFonts w:ascii="宋体" w:hAnsi="宋体" w:cs="宋体" w:eastAsia="宋体" w:hint="default"/>
          <w:sz w:val="19"/>
          <w:szCs w:val="19"/>
        </w:rPr>
      </w:pPr>
    </w:p>
    <w:p>
      <w:pPr>
        <w:pStyle w:val="BodyText"/>
        <w:spacing w:line="235" w:lineRule="auto"/>
        <w:ind w:left="570" w:right="138" w:hanging="448"/>
        <w:jc w:val="both"/>
      </w:pPr>
      <w:r>
        <w:rPr>
          <w:rFonts w:ascii="Arial" w:hAnsi="Arial" w:cs="Arial" w:eastAsia="Arial" w:hint="default"/>
        </w:rPr>
        <w:t>(4)</w:t>
      </w:r>
      <w:r>
        <w:rPr>
          <w:rFonts w:ascii="Arial" w:hAnsi="Arial" w:cs="Arial" w:eastAsia="Arial" w:hint="default"/>
          <w:spacing w:val="24"/>
        </w:rPr>
        <w:t> </w:t>
      </w:r>
      <w:r>
        <w:rPr/>
        <w:t>本集团对本期间已经发生但尚未支付的成本费用在合理估计的基础上进行预提。而根据中国税</w:t>
      </w:r>
      <w:r>
        <w:rPr>
          <w:w w:val="99"/>
        </w:rPr>
        <w:t> </w:t>
      </w:r>
      <w:r>
        <w:rPr>
          <w:spacing w:val="-1"/>
        </w:rPr>
        <w:t>收法规的有关规定，成本费用应该按照实际发生额在税前列支，对于没有明确证据的预提费用</w:t>
      </w:r>
      <w:r>
        <w:rPr>
          <w:w w:val="99"/>
        </w:rPr>
        <w:t> </w:t>
      </w:r>
      <w:r>
        <w:rPr>
          <w:spacing w:val="-1"/>
        </w:rPr>
        <w:t>不得在税前列支，因此本集团对估计预提的成本费用确认了相应的递延所得税资产，并在该等</w:t>
      </w:r>
      <w:r>
        <w:rPr>
          <w:w w:val="99"/>
        </w:rPr>
        <w:t> </w:t>
      </w:r>
      <w:r>
        <w:rPr/>
        <w:t>估计预提成本费用实际支付时，将有关递延所得税资产予以转回。</w:t>
      </w:r>
    </w:p>
    <w:p>
      <w:pPr>
        <w:spacing w:line="240" w:lineRule="auto" w:before="4"/>
        <w:rPr>
          <w:rFonts w:ascii="宋体" w:hAnsi="宋体" w:cs="宋体" w:eastAsia="宋体" w:hint="default"/>
          <w:sz w:val="21"/>
          <w:szCs w:val="21"/>
        </w:rPr>
      </w:pPr>
    </w:p>
    <w:p>
      <w:pPr>
        <w:pStyle w:val="BodyText"/>
        <w:spacing w:line="286" w:lineRule="exact"/>
        <w:ind w:left="570" w:right="134" w:hanging="448"/>
        <w:jc w:val="both"/>
      </w:pPr>
      <w:r>
        <w:rPr>
          <w:rFonts w:ascii="Arial" w:hAnsi="Arial" w:cs="Arial" w:eastAsia="Arial" w:hint="default"/>
        </w:rPr>
        <w:t>(5)</w:t>
      </w:r>
      <w:r>
        <w:rPr>
          <w:rFonts w:ascii="Arial" w:hAnsi="Arial" w:cs="Arial" w:eastAsia="Arial" w:hint="default"/>
          <w:spacing w:val="23"/>
        </w:rPr>
        <w:t> </w:t>
      </w:r>
      <w:r>
        <w:rPr/>
        <w:t>本集团对一次性不退还收入及与之相关的直接成本，在预计为客户提供服务的期限内进行递延</w:t>
      </w:r>
      <w:r>
        <w:rPr>
          <w:w w:val="99"/>
        </w:rPr>
        <w:t> </w:t>
      </w:r>
      <w:r>
        <w:rPr>
          <w:spacing w:val="-1"/>
        </w:rPr>
        <w:t>及摊销，但税法要求上述收入及成本在完成开通服务时确认，由此产生的暂时性差异对所得税</w:t>
      </w:r>
      <w:r>
        <w:rPr>
          <w:w w:val="99"/>
        </w:rPr>
        <w:t> </w:t>
      </w:r>
      <w:r>
        <w:rPr/>
        <w:t>的影响分别确认为递延所得税资产和负债。</w:t>
      </w:r>
    </w:p>
    <w:p>
      <w:pPr>
        <w:spacing w:after="0" w:line="286" w:lineRule="exact"/>
        <w:jc w:val="both"/>
        <w:sectPr>
          <w:headerReference w:type="default" r:id="rId125"/>
          <w:pgSz w:w="11910" w:h="16840"/>
          <w:pgMar w:header="1184" w:footer="457" w:top="4100" w:bottom="640" w:left="1260" w:right="940"/>
        </w:sectPr>
      </w:pPr>
    </w:p>
    <w:p>
      <w:pPr>
        <w:spacing w:line="240" w:lineRule="auto" w:before="12"/>
        <w:rPr>
          <w:rFonts w:ascii="宋体" w:hAnsi="宋体" w:cs="宋体" w:eastAsia="宋体" w:hint="default"/>
          <w:sz w:val="14"/>
          <w:szCs w:val="14"/>
        </w:rPr>
      </w:pPr>
    </w:p>
    <w:p>
      <w:pPr>
        <w:pStyle w:val="BodyText"/>
        <w:spacing w:line="240" w:lineRule="auto" w:before="31"/>
        <w:ind w:left="102" w:right="110"/>
        <w:jc w:val="left"/>
      </w:pPr>
      <w:r>
        <w:rPr>
          <w:rFonts w:ascii="Arial" w:hAnsi="Arial" w:cs="Arial" w:eastAsia="Arial" w:hint="default"/>
        </w:rPr>
        <w:t>45</w:t>
      </w:r>
      <w:r>
        <w:rPr/>
        <w:t>、所得税（续）</w:t>
      </w:r>
    </w:p>
    <w:p>
      <w:pPr>
        <w:pStyle w:val="BodyText"/>
        <w:spacing w:line="240" w:lineRule="auto" w:before="166"/>
        <w:ind w:left="116" w:right="110"/>
        <w:jc w:val="left"/>
      </w:pPr>
      <w:r>
        <w:rPr>
          <w:rFonts w:ascii="Arial" w:hAnsi="Arial" w:cs="Arial" w:eastAsia="Arial" w:hint="default"/>
        </w:rPr>
        <w:t>(c) </w:t>
      </w:r>
      <w:r>
        <w:rPr>
          <w:rFonts w:ascii="Arial" w:hAnsi="Arial" w:cs="Arial" w:eastAsia="Arial" w:hint="default"/>
          <w:spacing w:val="59"/>
        </w:rPr>
        <w:t> </w:t>
      </w:r>
      <w:r>
        <w:rPr/>
        <w:t>递延所得税资产及负债包括以下暂时性差异对所得税的影响（续）：</w:t>
      </w:r>
    </w:p>
    <w:p>
      <w:pPr>
        <w:pStyle w:val="BodyText"/>
        <w:spacing w:line="240" w:lineRule="auto" w:before="165"/>
        <w:ind w:left="102" w:right="110"/>
        <w:jc w:val="left"/>
      </w:pPr>
      <w:r>
        <w:rPr>
          <w:rFonts w:ascii="Arial" w:hAnsi="Arial" w:cs="Arial" w:eastAsia="Arial" w:hint="default"/>
        </w:rPr>
        <w:t>(iii)</w:t>
      </w:r>
      <w:r>
        <w:rPr>
          <w:rFonts w:ascii="Arial" w:hAnsi="Arial" w:cs="Arial" w:eastAsia="Arial" w:hint="default"/>
          <w:spacing w:val="60"/>
        </w:rPr>
        <w:t> </w:t>
      </w:r>
      <w:r>
        <w:rPr/>
        <w:t>注释（续）</w:t>
      </w:r>
    </w:p>
    <w:p>
      <w:pPr>
        <w:pStyle w:val="BodyText"/>
        <w:spacing w:line="286" w:lineRule="exact" w:before="193"/>
        <w:ind w:left="591" w:right="215" w:hanging="476"/>
        <w:jc w:val="both"/>
      </w:pPr>
      <w:r>
        <w:rPr>
          <w:rFonts w:ascii="Arial" w:hAnsi="Arial" w:cs="Arial" w:eastAsia="Arial" w:hint="default"/>
          <w:w w:val="99"/>
        </w:rPr>
        <w:t>(6)</w:t>
      </w:r>
      <w:r>
        <w:rPr>
          <w:rFonts w:ascii="Arial" w:hAnsi="Arial" w:cs="Arial" w:eastAsia="Arial" w:hint="default"/>
          <w:spacing w:val="28"/>
          <w:w w:val="99"/>
        </w:rPr>
        <w:t> </w:t>
      </w:r>
      <w:r>
        <w:rPr>
          <w:w w:val="99"/>
        </w:rPr>
        <w:t>本集团于</w:t>
      </w:r>
      <w:r>
        <w:rPr>
          <w:spacing w:val="-54"/>
          <w:w w:val="99"/>
        </w:rPr>
        <w:t> </w:t>
      </w:r>
      <w:r>
        <w:rPr>
          <w:rFonts w:ascii="Arial" w:hAnsi="Arial" w:cs="Arial" w:eastAsia="Arial" w:hint="default"/>
          <w:w w:val="99"/>
        </w:rPr>
        <w:t>2008</w:t>
      </w:r>
      <w:r>
        <w:rPr>
          <w:rFonts w:ascii="Arial" w:hAnsi="Arial" w:cs="Arial" w:eastAsia="Arial" w:hint="default"/>
          <w:spacing w:val="-5"/>
          <w:w w:val="99"/>
        </w:rPr>
        <w:t> </w:t>
      </w:r>
      <w:r>
        <w:rPr>
          <w:w w:val="99"/>
        </w:rPr>
        <w:t>年度出售</w:t>
      </w:r>
      <w:r>
        <w:rPr>
          <w:spacing w:val="-54"/>
          <w:w w:val="99"/>
        </w:rPr>
        <w:t> </w:t>
      </w:r>
      <w:r>
        <w:rPr>
          <w:rFonts w:ascii="Arial" w:hAnsi="Arial" w:cs="Arial" w:eastAsia="Arial" w:hint="default"/>
          <w:w w:val="99"/>
        </w:rPr>
        <w:t>CDMA</w:t>
      </w:r>
      <w:r>
        <w:rPr>
          <w:rFonts w:ascii="Arial" w:hAnsi="Arial" w:cs="Arial" w:eastAsia="Arial" w:hint="default"/>
          <w:spacing w:val="-6"/>
          <w:w w:val="99"/>
        </w:rPr>
        <w:t> </w:t>
      </w:r>
      <w:r>
        <w:rPr>
          <w:spacing w:val="-4"/>
          <w:w w:val="99"/>
        </w:rPr>
        <w:t>业务时，因承诺未来一段时间内向中国电信提供若干服务而确</w:t>
      </w:r>
      <w:r>
        <w:rPr>
          <w:w w:val="99"/>
        </w:rPr>
        <w:t> </w:t>
      </w:r>
      <w:r>
        <w:rPr/>
        <w:t>认了递延收益。因在税法下该收益于 </w:t>
      </w:r>
      <w:r>
        <w:rPr>
          <w:rFonts w:ascii="Arial" w:hAnsi="Arial" w:cs="Arial" w:eastAsia="Arial" w:hint="default"/>
        </w:rPr>
        <w:t>CDMA</w:t>
      </w:r>
      <w:r>
        <w:rPr>
          <w:rFonts w:ascii="Arial" w:hAnsi="Arial" w:cs="Arial" w:eastAsia="Arial" w:hint="default"/>
          <w:spacing w:val="-13"/>
        </w:rPr>
        <w:t> </w:t>
      </w:r>
      <w:r>
        <w:rPr/>
        <w:t>业务出售期间计入当期应税收入并缴纳所得税，</w:t>
      </w:r>
      <w:r>
        <w:rPr>
          <w:w w:val="99"/>
        </w:rPr>
        <w:t> </w:t>
      </w:r>
      <w:r>
        <w:rPr>
          <w:spacing w:val="-2"/>
        </w:rPr>
        <w:t>而在会计上该收益将在以后服务提供期间确认收入，由此产生的暂时性差异被确认了相关的递</w:t>
      </w:r>
      <w:r>
        <w:rPr>
          <w:w w:val="99"/>
        </w:rPr>
        <w:t> </w:t>
      </w:r>
      <w:r>
        <w:rPr/>
        <w:t>延所得税资产。</w:t>
      </w:r>
    </w:p>
    <w:p>
      <w:pPr>
        <w:pStyle w:val="BodyText"/>
        <w:spacing w:line="237" w:lineRule="auto" w:before="157"/>
        <w:ind w:left="591" w:right="213"/>
        <w:jc w:val="both"/>
      </w:pPr>
      <w:r>
        <w:rPr>
          <w:spacing w:val="-2"/>
        </w:rPr>
        <w:t>另外，本集团实施积分奖励计划，参照积分奖励的公允价值分配一部分从用户收取的或应收的</w:t>
      </w:r>
      <w:r>
        <w:rPr>
          <w:spacing w:val="-102"/>
        </w:rPr>
        <w:t> </w:t>
      </w:r>
      <w:r>
        <w:rPr>
          <w:spacing w:val="-102"/>
        </w:rPr>
      </w:r>
      <w:r>
        <w:rPr>
          <w:spacing w:val="-2"/>
        </w:rPr>
        <w:t>现金至该积分以确认递延收益，且在该积分被兑换时确认为收入。但是根据税法要求，当本集</w:t>
      </w:r>
      <w:r>
        <w:rPr>
          <w:spacing w:val="-106"/>
        </w:rPr>
        <w:t> </w:t>
      </w:r>
      <w:r>
        <w:rPr>
          <w:spacing w:val="-106"/>
        </w:rPr>
      </w:r>
      <w:r>
        <w:rPr>
          <w:spacing w:val="-2"/>
        </w:rPr>
        <w:t>团就向用户收取的或应收的现金时即已产生纳税义务，而非在积分兑换当期。因此，期末未兑</w:t>
      </w:r>
      <w:r>
        <w:rPr>
          <w:spacing w:val="-101"/>
        </w:rPr>
        <w:t> </w:t>
      </w:r>
      <w:r>
        <w:rPr>
          <w:spacing w:val="-101"/>
        </w:rPr>
      </w:r>
      <w:r>
        <w:rPr/>
        <w:t>换的积分奖励计划的递延收益对应的所得税影响被确认为递延所得税资产。</w:t>
      </w:r>
    </w:p>
    <w:p>
      <w:pPr>
        <w:spacing w:line="240" w:lineRule="auto" w:before="0"/>
        <w:rPr>
          <w:rFonts w:ascii="宋体" w:hAnsi="宋体" w:cs="宋体" w:eastAsia="宋体" w:hint="default"/>
          <w:sz w:val="16"/>
          <w:szCs w:val="16"/>
        </w:rPr>
      </w:pPr>
    </w:p>
    <w:p>
      <w:pPr>
        <w:pStyle w:val="BodyText"/>
        <w:spacing w:line="286" w:lineRule="exact"/>
        <w:ind w:left="564" w:right="213" w:hanging="448"/>
        <w:jc w:val="both"/>
      </w:pPr>
      <w:r>
        <w:rPr>
          <w:rFonts w:ascii="Arial" w:hAnsi="Arial" w:cs="Arial" w:eastAsia="Arial" w:hint="default"/>
        </w:rPr>
        <w:t>(7)</w:t>
      </w:r>
      <w:r>
        <w:rPr>
          <w:rFonts w:ascii="Arial" w:hAnsi="Arial" w:cs="Arial" w:eastAsia="Arial" w:hint="default"/>
          <w:spacing w:val="15"/>
        </w:rPr>
        <w:t> </w:t>
      </w:r>
      <w:r>
        <w:rPr/>
        <w:t>本集团位于中国境内的若干子公司期末有未支付的工资。根据中国税收法规的有关规定，期未</w:t>
      </w:r>
      <w:r>
        <w:rPr>
          <w:w w:val="99"/>
        </w:rPr>
        <w:t> </w:t>
      </w:r>
      <w:r>
        <w:rPr>
          <w:spacing w:val="-1"/>
        </w:rPr>
        <w:t>发放的工资薪金在以后期间实际发放时，经主管税务机关审核，可在实际发放期间企业所得税</w:t>
      </w:r>
      <w:r>
        <w:rPr>
          <w:w w:val="99"/>
        </w:rPr>
        <w:t> </w:t>
      </w:r>
      <w:r>
        <w:rPr/>
        <w:t>前扣除，由此产生的暂时性差异被确认为递延所得税资产。</w:t>
      </w:r>
    </w:p>
    <w:p>
      <w:pPr>
        <w:spacing w:line="240" w:lineRule="auto" w:before="10"/>
        <w:rPr>
          <w:rFonts w:ascii="宋体" w:hAnsi="宋体" w:cs="宋体" w:eastAsia="宋体" w:hint="default"/>
          <w:sz w:val="15"/>
          <w:szCs w:val="15"/>
        </w:rPr>
      </w:pPr>
    </w:p>
    <w:p>
      <w:pPr>
        <w:pStyle w:val="BodyText"/>
        <w:spacing w:line="286" w:lineRule="exact"/>
        <w:ind w:left="564" w:right="218" w:hanging="448"/>
        <w:jc w:val="both"/>
      </w:pPr>
      <w:r>
        <w:rPr>
          <w:rFonts w:ascii="Arial" w:hAnsi="Arial" w:cs="Arial" w:eastAsia="Arial" w:hint="default"/>
        </w:rPr>
        <w:t>(8)</w:t>
      </w:r>
      <w:r>
        <w:rPr>
          <w:rFonts w:ascii="Arial" w:hAnsi="Arial" w:cs="Arial" w:eastAsia="Arial" w:hint="default"/>
          <w:spacing w:val="11"/>
        </w:rPr>
        <w:t> </w:t>
      </w:r>
      <w:r>
        <w:rPr/>
        <w:t>本集团子公司之间的内部交易产生的未实现利润抵销构成会计与税务上的暂时性差异，其所得</w:t>
      </w:r>
      <w:r>
        <w:rPr>
          <w:w w:val="99"/>
        </w:rPr>
        <w:t> </w:t>
      </w:r>
      <w:r>
        <w:rPr/>
        <w:t>税影响确认递延所得税资产。</w:t>
      </w:r>
    </w:p>
    <w:p>
      <w:pPr>
        <w:spacing w:line="240" w:lineRule="auto" w:before="10"/>
        <w:rPr>
          <w:rFonts w:ascii="宋体" w:hAnsi="宋体" w:cs="宋体" w:eastAsia="宋体" w:hint="default"/>
          <w:sz w:val="15"/>
          <w:szCs w:val="15"/>
        </w:rPr>
      </w:pPr>
    </w:p>
    <w:p>
      <w:pPr>
        <w:pStyle w:val="BodyText"/>
        <w:spacing w:line="286" w:lineRule="exact"/>
        <w:ind w:left="564" w:right="217" w:hanging="448"/>
        <w:jc w:val="both"/>
      </w:pPr>
      <w:r>
        <w:rPr>
          <w:rFonts w:ascii="Arial" w:hAnsi="Arial" w:cs="Arial" w:eastAsia="Arial" w:hint="default"/>
        </w:rPr>
        <w:t>(9)</w:t>
      </w:r>
      <w:r>
        <w:rPr>
          <w:rFonts w:ascii="Arial" w:hAnsi="Arial" w:cs="Arial" w:eastAsia="Arial" w:hint="default"/>
          <w:spacing w:val="11"/>
        </w:rPr>
        <w:t> </w:t>
      </w:r>
      <w:r>
        <w:rPr/>
        <w:t>中讯设计院、联通香港运营等子公司部分固定资产的折旧年限在会计与税务上存在差异，此暂</w:t>
      </w:r>
      <w:r>
        <w:rPr>
          <w:w w:val="99"/>
        </w:rPr>
        <w:t> </w:t>
      </w:r>
      <w:r>
        <w:rPr/>
        <w:t>时性差异的所得税影响确认递延所得税资产或负债。</w:t>
      </w:r>
    </w:p>
    <w:p>
      <w:pPr>
        <w:pStyle w:val="BodyText"/>
        <w:spacing w:line="232" w:lineRule="auto" w:before="185"/>
        <w:ind w:left="564" w:right="219" w:hanging="448"/>
        <w:jc w:val="both"/>
      </w:pPr>
      <w:r>
        <w:rPr>
          <w:rFonts w:ascii="Arial" w:hAnsi="Arial" w:cs="Arial" w:eastAsia="Arial" w:hint="default"/>
          <w:w w:val="95"/>
        </w:rPr>
        <w:t>(10) </w:t>
      </w:r>
      <w:r>
        <w:rPr>
          <w:w w:val="95"/>
        </w:rPr>
        <w:t>中讯设计院和规划设计院进行公司制改建时确认了相关资产的评估增值，并按评估值作为基础</w:t>
      </w:r>
      <w:r>
        <w:rPr>
          <w:spacing w:val="22"/>
          <w:w w:val="95"/>
        </w:rPr>
        <w:t> </w:t>
      </w:r>
      <w:r>
        <w:rPr>
          <w:spacing w:val="22"/>
          <w:w w:val="95"/>
        </w:rPr>
      </w:r>
      <w:r>
        <w:rPr>
          <w:spacing w:val="-1"/>
        </w:rPr>
        <w:t>计提折旧及摊销；而根据所得税法规定，中讯设计院和规划设计院仍按原计税基础，即资产以</w:t>
      </w:r>
      <w:r>
        <w:rPr>
          <w:w w:val="99"/>
        </w:rPr>
        <w:t> </w:t>
      </w:r>
      <w:r>
        <w:rPr>
          <w:spacing w:val="-1"/>
        </w:rPr>
        <w:t>历史成本为计税基础并按历史成本计提折旧和摊销并计算应交所得税，因此资产评估增值的所</w:t>
      </w:r>
      <w:r>
        <w:rPr>
          <w:w w:val="99"/>
        </w:rPr>
        <w:t> </w:t>
      </w:r>
      <w:r>
        <w:rPr/>
        <w:t>得税影响被确认为递延所得税负债。</w:t>
      </w:r>
    </w:p>
    <w:p>
      <w:pPr>
        <w:spacing w:line="240" w:lineRule="auto" w:before="9"/>
        <w:rPr>
          <w:rFonts w:ascii="宋体" w:hAnsi="宋体" w:cs="宋体" w:eastAsia="宋体" w:hint="default"/>
          <w:sz w:val="15"/>
          <w:szCs w:val="15"/>
        </w:rPr>
      </w:pPr>
    </w:p>
    <w:p>
      <w:pPr>
        <w:pStyle w:val="BodyText"/>
        <w:spacing w:line="295" w:lineRule="exact"/>
        <w:ind w:left="116" w:right="110"/>
        <w:jc w:val="left"/>
      </w:pPr>
      <w:r>
        <w:rPr>
          <w:rFonts w:ascii="Arial" w:hAnsi="Arial" w:cs="Arial" w:eastAsia="Arial" w:hint="default"/>
          <w:w w:val="95"/>
        </w:rPr>
        <w:t>(11)       </w:t>
      </w:r>
      <w:r>
        <w:rPr>
          <w:rFonts w:ascii="Arial" w:hAnsi="Arial" w:cs="Arial" w:eastAsia="Arial" w:hint="default"/>
          <w:spacing w:val="10"/>
          <w:w w:val="95"/>
        </w:rPr>
        <w:t> </w:t>
      </w:r>
      <w:r>
        <w:rPr>
          <w:w w:val="95"/>
        </w:rPr>
        <w:t>按照企业会计准则要求，本集团每一会计期间会确认本集团持有的可供出售金融资产的公允价</w:t>
      </w:r>
      <w:r>
        <w:rPr/>
      </w:r>
    </w:p>
    <w:p>
      <w:pPr>
        <w:pStyle w:val="BodyText"/>
        <w:spacing w:line="235" w:lineRule="auto"/>
        <w:ind w:left="564" w:right="0"/>
        <w:jc w:val="left"/>
      </w:pPr>
      <w:r>
        <w:rPr/>
        <w:t>值的变动并计入资本公积。另外，于</w:t>
      </w:r>
      <w:r>
        <w:rPr>
          <w:spacing w:val="-45"/>
        </w:rPr>
        <w:t> </w:t>
      </w:r>
      <w:r>
        <w:rPr>
          <w:rFonts w:ascii="Arial" w:hAnsi="Arial" w:cs="Arial" w:eastAsia="Arial" w:hint="default"/>
        </w:rPr>
        <w:t>2009</w:t>
      </w:r>
      <w:r>
        <w:rPr>
          <w:rFonts w:ascii="Arial" w:hAnsi="Arial" w:cs="Arial" w:eastAsia="Arial" w:hint="default"/>
          <w:spacing w:val="2"/>
        </w:rPr>
        <w:t> </w:t>
      </w:r>
      <w:r>
        <w:rPr/>
        <w:t>年度，本集团确认了联通红筹公司对西班牙电信投</w:t>
      </w:r>
      <w:r>
        <w:rPr>
          <w:w w:val="99"/>
        </w:rPr>
        <w:t> </w:t>
      </w:r>
      <w:r>
        <w:rPr/>
        <w:t>资合约衍生工具的公允价值变动并计入当期损益。可供出售金融资产公允价值的变动及联通红</w:t>
      </w:r>
      <w:r>
        <w:rPr>
          <w:w w:val="99"/>
        </w:rPr>
        <w:t> </w:t>
      </w:r>
      <w:r>
        <w:rPr>
          <w:spacing w:val="4"/>
        </w:rPr>
        <w:t>筹公司对西班牙电信投资合约衍生工具的公允价值变动在本集团持有该等可供出售金融资产</w:t>
      </w:r>
      <w:r>
        <w:rPr>
          <w:w w:val="99"/>
        </w:rPr>
        <w:t> </w:t>
      </w:r>
      <w:r>
        <w:rPr/>
        <w:t>期间不计入应纳税所得额，而实际处置或出售该等可供出售金融资产时产生的收益或损失将计</w:t>
      </w:r>
      <w:r>
        <w:rPr>
          <w:w w:val="99"/>
        </w:rPr>
        <w:t> </w:t>
      </w:r>
      <w:r>
        <w:rPr>
          <w:spacing w:val="-4"/>
        </w:rPr>
        <w:t>入当期应纳税所得额，由此产生的暂时性差异的所得税影响被确认为递延所得税负债（对收益）</w:t>
      </w:r>
      <w:r>
        <w:rPr>
          <w:spacing w:val="-99"/>
        </w:rPr>
        <w:t> </w:t>
      </w:r>
      <w:r>
        <w:rPr>
          <w:spacing w:val="-99"/>
        </w:rPr>
      </w:r>
      <w:r>
        <w:rPr/>
        <w:t>或递延所得税资产（对损失）。</w:t>
      </w:r>
    </w:p>
    <w:p>
      <w:pPr>
        <w:spacing w:after="0" w:line="235" w:lineRule="auto"/>
        <w:jc w:val="left"/>
        <w:sectPr>
          <w:headerReference w:type="default" r:id="rId126"/>
          <w:pgSz w:w="11910" w:h="16840"/>
          <w:pgMar w:header="1184" w:footer="457" w:top="3040" w:bottom="640" w:left="1280" w:right="860"/>
        </w:sectPr>
      </w:pPr>
    </w:p>
    <w:p>
      <w:pPr>
        <w:spacing w:line="240" w:lineRule="auto" w:before="12"/>
        <w:rPr>
          <w:rFonts w:ascii="宋体" w:hAnsi="宋体" w:cs="宋体" w:eastAsia="宋体" w:hint="default"/>
          <w:sz w:val="14"/>
          <w:szCs w:val="14"/>
        </w:rPr>
      </w:pPr>
    </w:p>
    <w:p>
      <w:pPr>
        <w:pStyle w:val="BodyText"/>
        <w:spacing w:line="240" w:lineRule="auto" w:before="31"/>
        <w:ind w:left="102" w:right="110"/>
        <w:jc w:val="left"/>
      </w:pPr>
      <w:r>
        <w:rPr>
          <w:rFonts w:ascii="Arial" w:hAnsi="Arial" w:cs="Arial" w:eastAsia="Arial" w:hint="default"/>
        </w:rPr>
        <w:t>45</w:t>
      </w:r>
      <w:r>
        <w:rPr/>
        <w:t>、所得税（续）</w:t>
      </w:r>
    </w:p>
    <w:p>
      <w:pPr>
        <w:pStyle w:val="BodyText"/>
        <w:spacing w:line="240" w:lineRule="auto" w:before="166"/>
        <w:ind w:left="116" w:right="110"/>
        <w:jc w:val="left"/>
      </w:pPr>
      <w:r>
        <w:rPr>
          <w:rFonts w:ascii="Arial" w:hAnsi="Arial" w:cs="Arial" w:eastAsia="Arial" w:hint="default"/>
        </w:rPr>
        <w:t>(c) </w:t>
      </w:r>
      <w:r>
        <w:rPr>
          <w:rFonts w:ascii="Arial" w:hAnsi="Arial" w:cs="Arial" w:eastAsia="Arial" w:hint="default"/>
          <w:spacing w:val="59"/>
        </w:rPr>
        <w:t> </w:t>
      </w:r>
      <w:r>
        <w:rPr/>
        <w:t>递延所得税资产及负债包括以下暂时性差异对所得税的影响（续）：</w:t>
      </w:r>
    </w:p>
    <w:p>
      <w:pPr>
        <w:pStyle w:val="BodyText"/>
        <w:spacing w:line="240" w:lineRule="auto" w:before="165"/>
        <w:ind w:left="102" w:right="110"/>
        <w:jc w:val="left"/>
      </w:pPr>
      <w:r>
        <w:rPr>
          <w:rFonts w:ascii="Arial" w:hAnsi="Arial" w:cs="Arial" w:eastAsia="Arial" w:hint="default"/>
        </w:rPr>
        <w:t>(iii)</w:t>
      </w:r>
      <w:r>
        <w:rPr>
          <w:rFonts w:ascii="Arial" w:hAnsi="Arial" w:cs="Arial" w:eastAsia="Arial" w:hint="default"/>
          <w:spacing w:val="60"/>
        </w:rPr>
        <w:t> </w:t>
      </w:r>
      <w:r>
        <w:rPr/>
        <w:t>注释（续）</w:t>
      </w:r>
    </w:p>
    <w:p>
      <w:pPr>
        <w:spacing w:line="240" w:lineRule="auto" w:before="7"/>
        <w:rPr>
          <w:rFonts w:ascii="宋体" w:hAnsi="宋体" w:cs="宋体" w:eastAsia="宋体" w:hint="default"/>
          <w:sz w:val="16"/>
          <w:szCs w:val="16"/>
        </w:rPr>
      </w:pPr>
    </w:p>
    <w:p>
      <w:pPr>
        <w:pStyle w:val="BodyText"/>
        <w:spacing w:line="286" w:lineRule="exact"/>
        <w:ind w:left="550" w:right="0" w:hanging="434"/>
        <w:jc w:val="left"/>
      </w:pPr>
      <w:r>
        <w:rPr>
          <w:rFonts w:ascii="Arial" w:hAnsi="Arial" w:cs="Arial" w:eastAsia="Arial" w:hint="default"/>
        </w:rPr>
        <w:t>(12)</w:t>
      </w:r>
      <w:r>
        <w:rPr>
          <w:rFonts w:ascii="Arial" w:hAnsi="Arial" w:cs="Arial" w:eastAsia="Arial" w:hint="default"/>
          <w:spacing w:val="-21"/>
        </w:rPr>
        <w:t> </w:t>
      </w:r>
      <w:r>
        <w:rPr/>
        <w:t>联通新时空等子公司于资产负债表日，对有关可抵扣亏损是否能在未来为本集团抵扣以后年度</w:t>
      </w:r>
      <w:r>
        <w:rPr>
          <w:w w:val="99"/>
        </w:rPr>
        <w:t> </w:t>
      </w:r>
      <w:r>
        <w:rPr>
          <w:spacing w:val="-4"/>
        </w:rPr>
        <w:t>的所得税进行评估。按税务法规的有关规定，能够于以后年度抵减应纳税所得额的可抵扣亏损，</w:t>
      </w:r>
      <w:r>
        <w:rPr>
          <w:w w:val="99"/>
        </w:rPr>
        <w:t> </w:t>
      </w:r>
      <w:r>
        <w:rPr/>
        <w:t>确认相应的递延所得税资产，因此本集团对确信可于未来期间实现的可抵扣亏损对所得税的影</w:t>
      </w:r>
      <w:r>
        <w:rPr>
          <w:w w:val="99"/>
        </w:rPr>
        <w:t> </w:t>
      </w:r>
      <w:r>
        <w:rPr/>
        <w:t>响，确认递延所得税资产。</w:t>
      </w:r>
    </w:p>
    <w:p>
      <w:pPr>
        <w:spacing w:line="240" w:lineRule="auto" w:before="10"/>
        <w:rPr>
          <w:rFonts w:ascii="宋体" w:hAnsi="宋体" w:cs="宋体" w:eastAsia="宋体" w:hint="default"/>
          <w:sz w:val="15"/>
          <w:szCs w:val="15"/>
        </w:rPr>
      </w:pPr>
    </w:p>
    <w:p>
      <w:pPr>
        <w:pStyle w:val="BodyText"/>
        <w:spacing w:line="286" w:lineRule="exact"/>
        <w:ind w:left="564" w:right="110" w:hanging="15"/>
        <w:jc w:val="left"/>
      </w:pPr>
      <w:r>
        <w:rPr>
          <w:spacing w:val="4"/>
        </w:rPr>
        <w:t>本财务报表列示的应纳税所得额和应纳税额的最终确认应以税务机构核定额及纳税应缴额为</w:t>
      </w:r>
      <w:r>
        <w:rPr>
          <w:spacing w:val="-100"/>
        </w:rPr>
        <w:t> </w:t>
      </w:r>
      <w:r>
        <w:rPr>
          <w:spacing w:val="-100"/>
        </w:rPr>
      </w:r>
      <w:r>
        <w:rPr/>
        <w:t>准。</w:t>
      </w:r>
    </w:p>
    <w:p>
      <w:pPr>
        <w:pStyle w:val="BodyText"/>
        <w:spacing w:line="240" w:lineRule="auto" w:before="178"/>
        <w:ind w:left="116" w:right="110"/>
        <w:jc w:val="left"/>
      </w:pPr>
      <w:r>
        <w:rPr>
          <w:rFonts w:ascii="Arial" w:hAnsi="Arial" w:cs="Arial" w:eastAsia="Arial" w:hint="default"/>
        </w:rPr>
        <w:t>(d) </w:t>
      </w:r>
      <w:r>
        <w:rPr>
          <w:rFonts w:ascii="Arial" w:hAnsi="Arial" w:cs="Arial" w:eastAsia="Arial" w:hint="default"/>
          <w:spacing w:val="42"/>
        </w:rPr>
        <w:t> </w:t>
      </w:r>
      <w:r>
        <w:rPr/>
        <w:t>本集团未确认递延所得税资产的可抵扣暂时性差异及可抵扣亏损分析如下：</w:t>
      </w:r>
    </w:p>
    <w:p>
      <w:pPr>
        <w:spacing w:line="240" w:lineRule="auto" w:before="2"/>
        <w:rPr>
          <w:rFonts w:ascii="宋体" w:hAnsi="宋体" w:cs="宋体" w:eastAsia="宋体" w:hint="default"/>
          <w:sz w:val="23"/>
          <w:szCs w:val="23"/>
        </w:rPr>
      </w:pPr>
    </w:p>
    <w:tbl>
      <w:tblPr>
        <w:tblW w:w="0" w:type="auto"/>
        <w:jc w:val="left"/>
        <w:tblInd w:w="335" w:type="dxa"/>
        <w:tblLayout w:type="fixed"/>
        <w:tblCellMar>
          <w:top w:w="0" w:type="dxa"/>
          <w:left w:w="0" w:type="dxa"/>
          <w:bottom w:w="0" w:type="dxa"/>
          <w:right w:w="0" w:type="dxa"/>
        </w:tblCellMar>
        <w:tblLook w:val="01E0"/>
      </w:tblPr>
      <w:tblGrid>
        <w:gridCol w:w="4961"/>
        <w:gridCol w:w="2070"/>
        <w:gridCol w:w="181"/>
        <w:gridCol w:w="2077"/>
      </w:tblGrid>
      <w:tr>
        <w:trPr>
          <w:trHeight w:val="260" w:hRule="exact"/>
        </w:trPr>
        <w:tc>
          <w:tcPr>
            <w:tcW w:w="4961" w:type="dxa"/>
            <w:tcBorders>
              <w:top w:val="nil" w:sz="6" w:space="0" w:color="auto"/>
              <w:left w:val="nil" w:sz="6" w:space="0" w:color="auto"/>
              <w:bottom w:val="nil" w:sz="6" w:space="0" w:color="auto"/>
              <w:right w:val="nil" w:sz="6" w:space="0" w:color="auto"/>
            </w:tcBorders>
          </w:tcPr>
          <w:p>
            <w:pPr/>
          </w:p>
        </w:tc>
        <w:tc>
          <w:tcPr>
            <w:tcW w:w="2070" w:type="dxa"/>
            <w:tcBorders>
              <w:top w:val="nil" w:sz="6" w:space="0" w:color="auto"/>
              <w:left w:val="nil" w:sz="6" w:space="0" w:color="auto"/>
              <w:bottom w:val="single" w:sz="6" w:space="0" w:color="000000"/>
              <w:right w:val="nil" w:sz="6" w:space="0" w:color="auto"/>
            </w:tcBorders>
          </w:tcPr>
          <w:p>
            <w:pPr>
              <w:pStyle w:val="TableParagraph"/>
              <w:spacing w:line="235" w:lineRule="exact"/>
              <w:ind w:left="74" w:right="0"/>
              <w:jc w:val="lef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81" w:type="dxa"/>
            <w:tcBorders>
              <w:top w:val="nil" w:sz="6" w:space="0" w:color="auto"/>
              <w:left w:val="nil" w:sz="6" w:space="0" w:color="auto"/>
              <w:bottom w:val="nil" w:sz="6" w:space="0" w:color="auto"/>
              <w:right w:val="nil" w:sz="6" w:space="0" w:color="auto"/>
            </w:tcBorders>
          </w:tcPr>
          <w:p>
            <w:pPr/>
          </w:p>
        </w:tc>
        <w:tc>
          <w:tcPr>
            <w:tcW w:w="2077" w:type="dxa"/>
            <w:tcBorders>
              <w:top w:val="nil" w:sz="6" w:space="0" w:color="auto"/>
              <w:left w:val="nil" w:sz="6" w:space="0" w:color="auto"/>
              <w:bottom w:val="single" w:sz="6" w:space="0" w:color="000000"/>
              <w:right w:val="nil" w:sz="6" w:space="0" w:color="auto"/>
            </w:tcBorders>
          </w:tcPr>
          <w:p>
            <w:pPr>
              <w:pStyle w:val="TableParagraph"/>
              <w:spacing w:line="235" w:lineRule="exact"/>
              <w:ind w:left="70"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9" w:hRule="exact"/>
        </w:trPr>
        <w:tc>
          <w:tcPr>
            <w:tcW w:w="496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15" w:right="0"/>
              <w:jc w:val="left"/>
              <w:rPr>
                <w:rFonts w:ascii="宋体" w:hAnsi="宋体" w:cs="宋体" w:eastAsia="宋体" w:hint="default"/>
                <w:sz w:val="22"/>
                <w:szCs w:val="22"/>
              </w:rPr>
            </w:pPr>
            <w:r>
              <w:rPr>
                <w:rFonts w:ascii="宋体" w:hAnsi="宋体" w:cs="宋体" w:eastAsia="宋体" w:hint="default"/>
                <w:sz w:val="22"/>
                <w:szCs w:val="22"/>
              </w:rPr>
              <w:t>可抵扣暂时性差异</w:t>
            </w:r>
          </w:p>
        </w:tc>
        <w:tc>
          <w:tcPr>
            <w:tcW w:w="2070"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24"/>
              <w:jc w:val="right"/>
              <w:rPr>
                <w:rFonts w:ascii="Arial" w:hAnsi="Arial" w:cs="Arial" w:eastAsia="Arial" w:hint="default"/>
                <w:sz w:val="22"/>
                <w:szCs w:val="22"/>
              </w:rPr>
            </w:pPr>
            <w:r>
              <w:rPr>
                <w:rFonts w:ascii="Arial"/>
                <w:w w:val="99"/>
                <w:sz w:val="22"/>
              </w:rPr>
              <w:t>-</w:t>
            </w:r>
            <w:r>
              <w:rPr>
                <w:rFonts w:ascii="Arial"/>
                <w:sz w:val="22"/>
              </w:rPr>
            </w:r>
          </w:p>
        </w:tc>
        <w:tc>
          <w:tcPr>
            <w:tcW w:w="181" w:type="dxa"/>
            <w:tcBorders>
              <w:top w:val="nil" w:sz="6" w:space="0" w:color="auto"/>
              <w:left w:val="nil" w:sz="6" w:space="0" w:color="auto"/>
              <w:bottom w:val="nil" w:sz="6" w:space="0" w:color="auto"/>
              <w:right w:val="nil" w:sz="6" w:space="0" w:color="auto"/>
            </w:tcBorders>
          </w:tcPr>
          <w:p>
            <w:pPr/>
          </w:p>
        </w:tc>
        <w:tc>
          <w:tcPr>
            <w:tcW w:w="2077"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31"/>
              <w:jc w:val="right"/>
              <w:rPr>
                <w:rFonts w:ascii="Arial" w:hAnsi="Arial" w:cs="Arial" w:eastAsia="Arial" w:hint="default"/>
                <w:sz w:val="22"/>
                <w:szCs w:val="22"/>
              </w:rPr>
            </w:pPr>
            <w:r>
              <w:rPr>
                <w:rFonts w:ascii="Arial"/>
                <w:w w:val="99"/>
                <w:sz w:val="22"/>
              </w:rPr>
              <w:t>-</w:t>
            </w:r>
            <w:r>
              <w:rPr>
                <w:rFonts w:ascii="Arial"/>
                <w:sz w:val="22"/>
              </w:rPr>
            </w:r>
          </w:p>
        </w:tc>
      </w:tr>
      <w:tr>
        <w:trPr>
          <w:trHeight w:val="419" w:hRule="exact"/>
        </w:trPr>
        <w:tc>
          <w:tcPr>
            <w:tcW w:w="4961" w:type="dxa"/>
            <w:tcBorders>
              <w:top w:val="nil" w:sz="6" w:space="0" w:color="auto"/>
              <w:left w:val="nil" w:sz="6" w:space="0" w:color="auto"/>
              <w:bottom w:val="nil" w:sz="6" w:space="0" w:color="auto"/>
              <w:right w:val="nil" w:sz="6" w:space="0" w:color="auto"/>
            </w:tcBorders>
          </w:tcPr>
          <w:p>
            <w:pPr>
              <w:pStyle w:val="TableParagraph"/>
              <w:spacing w:line="239" w:lineRule="exact"/>
              <w:ind w:left="215" w:right="0"/>
              <w:jc w:val="left"/>
              <w:rPr>
                <w:rFonts w:ascii="宋体" w:hAnsi="宋体" w:cs="宋体" w:eastAsia="宋体" w:hint="default"/>
                <w:sz w:val="22"/>
                <w:szCs w:val="22"/>
              </w:rPr>
            </w:pPr>
            <w:r>
              <w:rPr>
                <w:rFonts w:ascii="宋体" w:hAnsi="宋体" w:cs="宋体" w:eastAsia="宋体" w:hint="default"/>
                <w:sz w:val="22"/>
                <w:szCs w:val="22"/>
              </w:rPr>
              <w:t>可抵扣亏损</w:t>
            </w:r>
          </w:p>
        </w:tc>
        <w:tc>
          <w:tcPr>
            <w:tcW w:w="2070" w:type="dxa"/>
            <w:tcBorders>
              <w:top w:val="nil" w:sz="6" w:space="0" w:color="auto"/>
              <w:left w:val="nil" w:sz="6" w:space="0" w:color="auto"/>
              <w:bottom w:val="nil" w:sz="6" w:space="0" w:color="auto"/>
              <w:right w:val="nil" w:sz="6" w:space="0" w:color="auto"/>
            </w:tcBorders>
          </w:tcPr>
          <w:p>
            <w:pPr>
              <w:pStyle w:val="TableParagraph"/>
              <w:tabs>
                <w:tab w:pos="537" w:val="left" w:leader="none"/>
                <w:tab w:pos="2070"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6,047,135,845</w:t>
              <w:tab/>
            </w:r>
            <w:r>
              <w:rPr>
                <w:rFonts w:ascii="Arial"/>
                <w:spacing w:val="-1"/>
                <w:sz w:val="22"/>
              </w:rPr>
            </w:r>
          </w:p>
        </w:tc>
        <w:tc>
          <w:tcPr>
            <w:tcW w:w="181" w:type="dxa"/>
            <w:tcBorders>
              <w:top w:val="nil" w:sz="6" w:space="0" w:color="auto"/>
              <w:left w:val="nil" w:sz="6" w:space="0" w:color="auto"/>
              <w:bottom w:val="nil" w:sz="6" w:space="0" w:color="auto"/>
              <w:right w:val="nil" w:sz="6" w:space="0" w:color="auto"/>
            </w:tcBorders>
          </w:tcPr>
          <w:p>
            <w:pPr/>
          </w:p>
        </w:tc>
        <w:tc>
          <w:tcPr>
            <w:tcW w:w="2077" w:type="dxa"/>
            <w:tcBorders>
              <w:top w:val="nil" w:sz="6" w:space="0" w:color="auto"/>
              <w:left w:val="nil" w:sz="6" w:space="0" w:color="auto"/>
              <w:bottom w:val="nil" w:sz="6" w:space="0" w:color="auto"/>
              <w:right w:val="nil" w:sz="6" w:space="0" w:color="auto"/>
            </w:tcBorders>
          </w:tcPr>
          <w:p>
            <w:pPr>
              <w:pStyle w:val="TableParagraph"/>
              <w:tabs>
                <w:tab w:pos="1863" w:val="left" w:leader="none"/>
                <w:tab w:pos="2069"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sz w:val="22"/>
                <w:u w:val="single" w:color="000000"/>
              </w:rPr>
              <w:tab/>
            </w:r>
            <w:r>
              <w:rPr>
                <w:rFonts w:ascii="Arial"/>
                <w:sz w:val="22"/>
              </w:rPr>
            </w:r>
          </w:p>
        </w:tc>
      </w:tr>
      <w:tr>
        <w:trPr>
          <w:trHeight w:val="431" w:hRule="exact"/>
        </w:trPr>
        <w:tc>
          <w:tcPr>
            <w:tcW w:w="4961"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070"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24"/>
              <w:jc w:val="right"/>
              <w:rPr>
                <w:rFonts w:ascii="Arial" w:hAnsi="Arial" w:cs="Arial" w:eastAsia="Arial" w:hint="default"/>
                <w:sz w:val="22"/>
                <w:szCs w:val="22"/>
              </w:rPr>
            </w:pPr>
            <w:r>
              <w:rPr>
                <w:rFonts w:ascii="Arial"/>
                <w:spacing w:val="-1"/>
                <w:sz w:val="22"/>
              </w:rPr>
              <w:t>6,047,135,845</w:t>
            </w:r>
          </w:p>
        </w:tc>
        <w:tc>
          <w:tcPr>
            <w:tcW w:w="181" w:type="dxa"/>
            <w:tcBorders>
              <w:top w:val="nil" w:sz="6" w:space="0" w:color="auto"/>
              <w:left w:val="nil" w:sz="6" w:space="0" w:color="auto"/>
              <w:bottom w:val="nil" w:sz="6" w:space="0" w:color="auto"/>
              <w:right w:val="nil" w:sz="6" w:space="0" w:color="auto"/>
            </w:tcBorders>
          </w:tcPr>
          <w:p>
            <w:pPr/>
          </w:p>
        </w:tc>
        <w:tc>
          <w:tcPr>
            <w:tcW w:w="2077"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31"/>
              <w:jc w:val="right"/>
              <w:rPr>
                <w:rFonts w:ascii="Arial" w:hAnsi="Arial" w:cs="Arial" w:eastAsia="Arial" w:hint="default"/>
                <w:sz w:val="22"/>
                <w:szCs w:val="22"/>
              </w:rPr>
            </w:pPr>
            <w:r>
              <w:rPr>
                <w:rFonts w:ascii="Arial"/>
                <w:w w:val="99"/>
                <w:sz w:val="22"/>
              </w:rPr>
              <w:t>-</w:t>
            </w:r>
            <w:r>
              <w:rPr>
                <w:rFonts w:ascii="Arial"/>
                <w:sz w:val="22"/>
              </w:rPr>
            </w:r>
          </w:p>
        </w:tc>
      </w:tr>
    </w:tbl>
    <w:p>
      <w:pPr>
        <w:spacing w:line="240" w:lineRule="auto" w:before="2"/>
        <w:rPr>
          <w:rFonts w:ascii="宋体" w:hAnsi="宋体" w:cs="宋体" w:eastAsia="宋体" w:hint="default"/>
          <w:sz w:val="14"/>
          <w:szCs w:val="14"/>
        </w:rPr>
      </w:pPr>
    </w:p>
    <w:p>
      <w:pPr>
        <w:pStyle w:val="BodyText"/>
        <w:spacing w:line="240" w:lineRule="auto" w:before="31"/>
        <w:ind w:left="116" w:right="110"/>
        <w:jc w:val="left"/>
      </w:pPr>
      <w:r>
        <w:rPr>
          <w:rFonts w:ascii="Arial" w:hAnsi="Arial" w:cs="Arial" w:eastAsia="Arial" w:hint="default"/>
        </w:rPr>
        <w:t>(e) </w:t>
      </w:r>
      <w:r>
        <w:rPr>
          <w:rFonts w:ascii="Arial" w:hAnsi="Arial" w:cs="Arial" w:eastAsia="Arial" w:hint="default"/>
          <w:spacing w:val="45"/>
        </w:rPr>
        <w:t> </w:t>
      </w:r>
      <w:r>
        <w:rPr/>
        <w:t>未确认递延所得税资产的可抵扣亏损将于以下年度到期：</w:t>
      </w:r>
    </w:p>
    <w:p>
      <w:pPr>
        <w:spacing w:line="240" w:lineRule="auto" w:before="1"/>
        <w:rPr>
          <w:rFonts w:ascii="宋体" w:hAnsi="宋体" w:cs="宋体" w:eastAsia="宋体" w:hint="default"/>
          <w:sz w:val="23"/>
          <w:szCs w:val="23"/>
        </w:rPr>
      </w:pPr>
    </w:p>
    <w:tbl>
      <w:tblPr>
        <w:tblW w:w="0" w:type="auto"/>
        <w:jc w:val="left"/>
        <w:tblInd w:w="335" w:type="dxa"/>
        <w:tblLayout w:type="fixed"/>
        <w:tblCellMar>
          <w:top w:w="0" w:type="dxa"/>
          <w:left w:w="0" w:type="dxa"/>
          <w:bottom w:w="0" w:type="dxa"/>
          <w:right w:w="0" w:type="dxa"/>
        </w:tblCellMar>
        <w:tblLook w:val="01E0"/>
      </w:tblPr>
      <w:tblGrid>
        <w:gridCol w:w="4961"/>
        <w:gridCol w:w="2070"/>
        <w:gridCol w:w="181"/>
        <w:gridCol w:w="2077"/>
      </w:tblGrid>
      <w:tr>
        <w:trPr>
          <w:trHeight w:val="261" w:hRule="exact"/>
        </w:trPr>
        <w:tc>
          <w:tcPr>
            <w:tcW w:w="4961" w:type="dxa"/>
            <w:tcBorders>
              <w:top w:val="nil" w:sz="6" w:space="0" w:color="auto"/>
              <w:left w:val="nil" w:sz="6" w:space="0" w:color="auto"/>
              <w:bottom w:val="nil" w:sz="6" w:space="0" w:color="auto"/>
              <w:right w:val="nil" w:sz="6" w:space="0" w:color="auto"/>
            </w:tcBorders>
          </w:tcPr>
          <w:p>
            <w:pPr/>
          </w:p>
        </w:tc>
        <w:tc>
          <w:tcPr>
            <w:tcW w:w="2070" w:type="dxa"/>
            <w:tcBorders>
              <w:top w:val="nil" w:sz="6" w:space="0" w:color="auto"/>
              <w:left w:val="nil" w:sz="6" w:space="0" w:color="auto"/>
              <w:bottom w:val="single" w:sz="6" w:space="0" w:color="000000"/>
              <w:right w:val="nil" w:sz="6" w:space="0" w:color="auto"/>
            </w:tcBorders>
          </w:tcPr>
          <w:p>
            <w:pPr>
              <w:pStyle w:val="TableParagraph"/>
              <w:spacing w:line="235" w:lineRule="exact"/>
              <w:ind w:left="74" w:right="0"/>
              <w:jc w:val="lef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81" w:type="dxa"/>
            <w:tcBorders>
              <w:top w:val="nil" w:sz="6" w:space="0" w:color="auto"/>
              <w:left w:val="nil" w:sz="6" w:space="0" w:color="auto"/>
              <w:bottom w:val="nil" w:sz="6" w:space="0" w:color="auto"/>
              <w:right w:val="nil" w:sz="6" w:space="0" w:color="auto"/>
            </w:tcBorders>
          </w:tcPr>
          <w:p>
            <w:pPr/>
          </w:p>
        </w:tc>
        <w:tc>
          <w:tcPr>
            <w:tcW w:w="2077" w:type="dxa"/>
            <w:tcBorders>
              <w:top w:val="nil" w:sz="6" w:space="0" w:color="auto"/>
              <w:left w:val="nil" w:sz="6" w:space="0" w:color="auto"/>
              <w:bottom w:val="single" w:sz="6" w:space="0" w:color="000000"/>
              <w:right w:val="nil" w:sz="6" w:space="0" w:color="auto"/>
            </w:tcBorders>
          </w:tcPr>
          <w:p>
            <w:pPr>
              <w:pStyle w:val="TableParagraph"/>
              <w:spacing w:line="235" w:lineRule="exact"/>
              <w:ind w:left="70"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8" w:hRule="exact"/>
        </w:trPr>
        <w:tc>
          <w:tcPr>
            <w:tcW w:w="496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44" w:right="0"/>
              <w:jc w:val="lef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207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24"/>
              <w:jc w:val="right"/>
              <w:rPr>
                <w:rFonts w:ascii="Arial" w:hAnsi="Arial" w:cs="Arial" w:eastAsia="Arial" w:hint="default"/>
                <w:sz w:val="22"/>
                <w:szCs w:val="22"/>
              </w:rPr>
            </w:pPr>
            <w:r>
              <w:rPr>
                <w:rFonts w:ascii="Arial"/>
                <w:spacing w:val="-1"/>
                <w:sz w:val="22"/>
              </w:rPr>
              <w:t>1,316,995,744</w:t>
            </w:r>
          </w:p>
        </w:tc>
        <w:tc>
          <w:tcPr>
            <w:tcW w:w="181" w:type="dxa"/>
            <w:tcBorders>
              <w:top w:val="nil" w:sz="6" w:space="0" w:color="auto"/>
              <w:left w:val="nil" w:sz="6" w:space="0" w:color="auto"/>
              <w:bottom w:val="nil" w:sz="6" w:space="0" w:color="auto"/>
              <w:right w:val="nil" w:sz="6" w:space="0" w:color="auto"/>
            </w:tcBorders>
          </w:tcPr>
          <w:p>
            <w:pPr/>
          </w:p>
        </w:tc>
        <w:tc>
          <w:tcPr>
            <w:tcW w:w="2077"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31"/>
              <w:jc w:val="right"/>
              <w:rPr>
                <w:rFonts w:ascii="Arial" w:hAnsi="Arial" w:cs="Arial" w:eastAsia="Arial" w:hint="default"/>
                <w:sz w:val="22"/>
                <w:szCs w:val="22"/>
              </w:rPr>
            </w:pPr>
            <w:r>
              <w:rPr>
                <w:rFonts w:ascii="Arial"/>
                <w:w w:val="99"/>
                <w:sz w:val="22"/>
              </w:rPr>
              <w:t>-</w:t>
            </w:r>
            <w:r>
              <w:rPr>
                <w:rFonts w:ascii="Arial"/>
                <w:sz w:val="22"/>
              </w:rPr>
            </w:r>
          </w:p>
        </w:tc>
      </w:tr>
      <w:tr>
        <w:trPr>
          <w:trHeight w:val="286" w:hRule="exact"/>
        </w:trPr>
        <w:tc>
          <w:tcPr>
            <w:tcW w:w="4961" w:type="dxa"/>
            <w:tcBorders>
              <w:top w:val="nil" w:sz="6" w:space="0" w:color="auto"/>
              <w:left w:val="nil" w:sz="6" w:space="0" w:color="auto"/>
              <w:bottom w:val="nil" w:sz="6" w:space="0" w:color="auto"/>
              <w:right w:val="nil" w:sz="6" w:space="0" w:color="auto"/>
            </w:tcBorders>
          </w:tcPr>
          <w:p>
            <w:pPr>
              <w:pStyle w:val="TableParagraph"/>
              <w:spacing w:line="255" w:lineRule="exact"/>
              <w:ind w:left="244"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4"/>
              <w:jc w:val="right"/>
              <w:rPr>
                <w:rFonts w:ascii="Arial" w:hAnsi="Arial" w:cs="Arial" w:eastAsia="Arial" w:hint="default"/>
                <w:sz w:val="22"/>
                <w:szCs w:val="22"/>
              </w:rPr>
            </w:pPr>
            <w:r>
              <w:rPr>
                <w:rFonts w:ascii="Arial"/>
                <w:w w:val="95"/>
                <w:sz w:val="22"/>
              </w:rPr>
              <w:t>3,809,283,846</w:t>
            </w:r>
            <w:r>
              <w:rPr>
                <w:rFonts w:ascii="Arial"/>
                <w:sz w:val="22"/>
              </w:rPr>
            </w:r>
          </w:p>
        </w:tc>
        <w:tc>
          <w:tcPr>
            <w:tcW w:w="181" w:type="dxa"/>
            <w:tcBorders>
              <w:top w:val="nil" w:sz="6" w:space="0" w:color="auto"/>
              <w:left w:val="nil" w:sz="6" w:space="0" w:color="auto"/>
              <w:bottom w:val="nil" w:sz="6" w:space="0" w:color="auto"/>
              <w:right w:val="nil" w:sz="6" w:space="0" w:color="auto"/>
            </w:tcBorders>
          </w:tcPr>
          <w:p>
            <w:pP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1"/>
              <w:jc w:val="right"/>
              <w:rPr>
                <w:rFonts w:ascii="Arial" w:hAnsi="Arial" w:cs="Arial" w:eastAsia="Arial" w:hint="default"/>
                <w:sz w:val="22"/>
                <w:szCs w:val="22"/>
              </w:rPr>
            </w:pPr>
            <w:r>
              <w:rPr>
                <w:rFonts w:ascii="Arial"/>
                <w:w w:val="99"/>
                <w:sz w:val="22"/>
              </w:rPr>
              <w:t>-</w:t>
            </w:r>
            <w:r>
              <w:rPr>
                <w:rFonts w:ascii="Arial"/>
                <w:sz w:val="22"/>
              </w:rPr>
            </w:r>
          </w:p>
        </w:tc>
      </w:tr>
      <w:tr>
        <w:trPr>
          <w:trHeight w:val="286" w:hRule="exact"/>
        </w:trPr>
        <w:tc>
          <w:tcPr>
            <w:tcW w:w="4961" w:type="dxa"/>
            <w:tcBorders>
              <w:top w:val="nil" w:sz="6" w:space="0" w:color="auto"/>
              <w:left w:val="nil" w:sz="6" w:space="0" w:color="auto"/>
              <w:bottom w:val="nil" w:sz="6" w:space="0" w:color="auto"/>
              <w:right w:val="nil" w:sz="6" w:space="0" w:color="auto"/>
            </w:tcBorders>
          </w:tcPr>
          <w:p>
            <w:pPr>
              <w:pStyle w:val="TableParagraph"/>
              <w:spacing w:line="255" w:lineRule="exact"/>
              <w:ind w:left="244" w:right="0"/>
              <w:jc w:val="left"/>
              <w:rPr>
                <w:rFonts w:ascii="宋体" w:hAnsi="宋体" w:cs="宋体" w:eastAsia="宋体" w:hint="default"/>
                <w:sz w:val="22"/>
                <w:szCs w:val="22"/>
              </w:rPr>
            </w:pPr>
            <w:r>
              <w:rPr>
                <w:rFonts w:ascii="Arial" w:hAnsi="Arial" w:cs="Arial" w:eastAsia="Arial" w:hint="default"/>
                <w:sz w:val="22"/>
                <w:szCs w:val="22"/>
              </w:rPr>
              <w:t>2015</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2"/>
              <w:jc w:val="right"/>
              <w:rPr>
                <w:rFonts w:ascii="Arial" w:hAnsi="Arial" w:cs="Arial" w:eastAsia="Arial" w:hint="default"/>
                <w:sz w:val="22"/>
                <w:szCs w:val="22"/>
              </w:rPr>
            </w:pPr>
            <w:r>
              <w:rPr>
                <w:rFonts w:ascii="Arial"/>
                <w:w w:val="95"/>
                <w:sz w:val="22"/>
              </w:rPr>
              <w:t>415,567,398</w:t>
            </w:r>
            <w:r>
              <w:rPr>
                <w:rFonts w:ascii="Arial"/>
                <w:sz w:val="22"/>
              </w:rPr>
            </w:r>
          </w:p>
        </w:tc>
        <w:tc>
          <w:tcPr>
            <w:tcW w:w="181" w:type="dxa"/>
            <w:tcBorders>
              <w:top w:val="nil" w:sz="6" w:space="0" w:color="auto"/>
              <w:left w:val="nil" w:sz="6" w:space="0" w:color="auto"/>
              <w:bottom w:val="nil" w:sz="6" w:space="0" w:color="auto"/>
              <w:right w:val="nil" w:sz="6" w:space="0" w:color="auto"/>
            </w:tcBorders>
          </w:tcPr>
          <w:p>
            <w:pP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1"/>
              <w:jc w:val="right"/>
              <w:rPr>
                <w:rFonts w:ascii="Arial" w:hAnsi="Arial" w:cs="Arial" w:eastAsia="Arial" w:hint="default"/>
                <w:sz w:val="22"/>
                <w:szCs w:val="22"/>
              </w:rPr>
            </w:pPr>
            <w:r>
              <w:rPr>
                <w:rFonts w:ascii="Arial"/>
                <w:w w:val="99"/>
                <w:sz w:val="22"/>
              </w:rPr>
              <w:t>-</w:t>
            </w:r>
            <w:r>
              <w:rPr>
                <w:rFonts w:ascii="Arial"/>
                <w:sz w:val="22"/>
              </w:rPr>
            </w:r>
          </w:p>
        </w:tc>
      </w:tr>
      <w:tr>
        <w:trPr>
          <w:trHeight w:val="419" w:hRule="exact"/>
        </w:trPr>
        <w:tc>
          <w:tcPr>
            <w:tcW w:w="4961" w:type="dxa"/>
            <w:tcBorders>
              <w:top w:val="nil" w:sz="6" w:space="0" w:color="auto"/>
              <w:left w:val="nil" w:sz="6" w:space="0" w:color="auto"/>
              <w:bottom w:val="nil" w:sz="6" w:space="0" w:color="auto"/>
              <w:right w:val="nil" w:sz="6" w:space="0" w:color="auto"/>
            </w:tcBorders>
          </w:tcPr>
          <w:p>
            <w:pPr>
              <w:pStyle w:val="TableParagraph"/>
              <w:spacing w:line="255" w:lineRule="exact"/>
              <w:ind w:left="244"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2070" w:type="dxa"/>
            <w:tcBorders>
              <w:top w:val="nil" w:sz="6" w:space="0" w:color="auto"/>
              <w:left w:val="nil" w:sz="6" w:space="0" w:color="auto"/>
              <w:bottom w:val="nil" w:sz="6" w:space="0" w:color="auto"/>
              <w:right w:val="nil" w:sz="6" w:space="0" w:color="auto"/>
            </w:tcBorders>
          </w:tcPr>
          <w:p>
            <w:pPr>
              <w:pStyle w:val="TableParagraph"/>
              <w:tabs>
                <w:tab w:pos="721" w:val="left" w:leader="none"/>
                <w:tab w:pos="2070" w:val="left" w:leader="none"/>
              </w:tabs>
              <w:spacing w:line="240" w:lineRule="auto" w:before="16"/>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505,288,857</w:t>
            </w:r>
            <w:r>
              <w:rPr>
                <w:rFonts w:ascii="Arial"/>
                <w:sz w:val="22"/>
                <w:u w:val="single" w:color="000000"/>
              </w:rPr>
              <w:tab/>
            </w:r>
            <w:r>
              <w:rPr>
                <w:rFonts w:ascii="Arial"/>
                <w:sz w:val="22"/>
              </w:rPr>
            </w:r>
          </w:p>
        </w:tc>
        <w:tc>
          <w:tcPr>
            <w:tcW w:w="181" w:type="dxa"/>
            <w:tcBorders>
              <w:top w:val="nil" w:sz="6" w:space="0" w:color="auto"/>
              <w:left w:val="nil" w:sz="6" w:space="0" w:color="auto"/>
              <w:bottom w:val="nil" w:sz="6" w:space="0" w:color="auto"/>
              <w:right w:val="nil" w:sz="6" w:space="0" w:color="auto"/>
            </w:tcBorders>
          </w:tcPr>
          <w:p>
            <w:pPr/>
          </w:p>
        </w:tc>
        <w:tc>
          <w:tcPr>
            <w:tcW w:w="2077" w:type="dxa"/>
            <w:tcBorders>
              <w:top w:val="nil" w:sz="6" w:space="0" w:color="auto"/>
              <w:left w:val="nil" w:sz="6" w:space="0" w:color="auto"/>
              <w:bottom w:val="nil" w:sz="6" w:space="0" w:color="auto"/>
              <w:right w:val="nil" w:sz="6" w:space="0" w:color="auto"/>
            </w:tcBorders>
          </w:tcPr>
          <w:p>
            <w:pPr>
              <w:pStyle w:val="TableParagraph"/>
              <w:tabs>
                <w:tab w:pos="1863" w:val="left" w:leader="none"/>
                <w:tab w:pos="2069" w:val="left" w:leader="none"/>
              </w:tabs>
              <w:spacing w:line="240" w:lineRule="auto" w:before="16"/>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sz w:val="22"/>
                <w:u w:val="single" w:color="000000"/>
              </w:rPr>
              <w:tab/>
            </w:r>
            <w:r>
              <w:rPr>
                <w:rFonts w:ascii="Arial"/>
                <w:sz w:val="22"/>
              </w:rPr>
            </w:r>
          </w:p>
        </w:tc>
      </w:tr>
      <w:tr>
        <w:trPr>
          <w:trHeight w:val="431" w:hRule="exact"/>
        </w:trPr>
        <w:tc>
          <w:tcPr>
            <w:tcW w:w="4961"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070"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124"/>
              <w:jc w:val="right"/>
              <w:rPr>
                <w:rFonts w:ascii="Arial" w:hAnsi="Arial" w:cs="Arial" w:eastAsia="Arial" w:hint="default"/>
                <w:sz w:val="22"/>
                <w:szCs w:val="22"/>
              </w:rPr>
            </w:pPr>
            <w:r>
              <w:rPr>
                <w:rFonts w:ascii="Arial"/>
                <w:spacing w:val="-1"/>
                <w:sz w:val="22"/>
              </w:rPr>
              <w:t>6,047,135,845</w:t>
            </w:r>
          </w:p>
        </w:tc>
        <w:tc>
          <w:tcPr>
            <w:tcW w:w="181" w:type="dxa"/>
            <w:tcBorders>
              <w:top w:val="nil" w:sz="6" w:space="0" w:color="auto"/>
              <w:left w:val="nil" w:sz="6" w:space="0" w:color="auto"/>
              <w:bottom w:val="nil" w:sz="6" w:space="0" w:color="auto"/>
              <w:right w:val="nil" w:sz="6" w:space="0" w:color="auto"/>
            </w:tcBorders>
          </w:tcPr>
          <w:p>
            <w:pPr/>
          </w:p>
        </w:tc>
        <w:tc>
          <w:tcPr>
            <w:tcW w:w="2077"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131"/>
              <w:jc w:val="right"/>
              <w:rPr>
                <w:rFonts w:ascii="Arial" w:hAnsi="Arial" w:cs="Arial" w:eastAsia="Arial" w:hint="default"/>
                <w:sz w:val="22"/>
                <w:szCs w:val="22"/>
              </w:rPr>
            </w:pPr>
            <w:r>
              <w:rPr>
                <w:rFonts w:ascii="Arial"/>
                <w:w w:val="99"/>
                <w:sz w:val="22"/>
              </w:rPr>
              <w:t>-</w:t>
            </w:r>
            <w:r>
              <w:rPr>
                <w:rFonts w:ascii="Arial"/>
                <w:sz w:val="22"/>
              </w:rPr>
            </w:r>
          </w:p>
        </w:tc>
      </w:tr>
    </w:tbl>
    <w:p>
      <w:pPr>
        <w:spacing w:after="0" w:line="240" w:lineRule="auto"/>
        <w:jc w:val="right"/>
        <w:rPr>
          <w:rFonts w:ascii="Arial" w:hAnsi="Arial" w:cs="Arial" w:eastAsia="Arial" w:hint="default"/>
          <w:sz w:val="22"/>
          <w:szCs w:val="22"/>
        </w:rPr>
        <w:sectPr>
          <w:pgSz w:w="11910" w:h="16840"/>
          <w:pgMar w:header="1184" w:footer="457" w:top="3040" w:bottom="640" w:left="1280" w:right="860"/>
        </w:sectPr>
      </w:pPr>
    </w:p>
    <w:p>
      <w:pPr>
        <w:spacing w:line="240" w:lineRule="auto" w:before="12"/>
        <w:rPr>
          <w:rFonts w:ascii="宋体" w:hAnsi="宋体" w:cs="宋体" w:eastAsia="宋体" w:hint="default"/>
          <w:sz w:val="14"/>
          <w:szCs w:val="14"/>
        </w:rPr>
      </w:pPr>
    </w:p>
    <w:p>
      <w:pPr>
        <w:pStyle w:val="BodyText"/>
        <w:spacing w:line="240" w:lineRule="auto" w:before="31"/>
        <w:ind w:left="102" w:right="0"/>
        <w:jc w:val="left"/>
      </w:pPr>
      <w:r>
        <w:rPr>
          <w:rFonts w:ascii="Arial" w:hAnsi="Arial" w:cs="Arial" w:eastAsia="Arial" w:hint="default"/>
        </w:rPr>
        <w:t>46</w:t>
      </w:r>
      <w:r>
        <w:rPr/>
        <w:t>、股份支付</w:t>
      </w:r>
    </w:p>
    <w:p>
      <w:pPr>
        <w:pStyle w:val="BodyText"/>
        <w:spacing w:line="295" w:lineRule="exact" w:before="162"/>
        <w:ind w:left="578" w:right="0"/>
        <w:jc w:val="both"/>
      </w:pPr>
      <w:r>
        <w:rPr/>
        <w:t>于</w:t>
      </w:r>
      <w:r>
        <w:rPr>
          <w:spacing w:val="-58"/>
        </w:rPr>
        <w:t> </w:t>
      </w:r>
      <w:r>
        <w:rPr>
          <w:rFonts w:ascii="Arial" w:hAnsi="Arial" w:cs="Arial" w:eastAsia="Arial" w:hint="default"/>
        </w:rPr>
        <w:t>2000</w:t>
      </w:r>
      <w:r>
        <w:rPr>
          <w:rFonts w:ascii="Arial" w:hAnsi="Arial" w:cs="Arial" w:eastAsia="Arial" w:hint="default"/>
          <w:spacing w:val="-9"/>
        </w:rPr>
        <w:t> </w:t>
      </w:r>
      <w:r>
        <w:rPr/>
        <w:t>年</w:t>
      </w:r>
      <w:r>
        <w:rPr>
          <w:spacing w:val="-57"/>
        </w:rPr>
        <w:t> </w:t>
      </w:r>
      <w:r>
        <w:rPr>
          <w:rFonts w:ascii="Arial" w:hAnsi="Arial" w:cs="Arial" w:eastAsia="Arial" w:hint="default"/>
        </w:rPr>
        <w:t>6</w:t>
      </w:r>
      <w:r>
        <w:rPr>
          <w:rFonts w:ascii="Arial" w:hAnsi="Arial" w:cs="Arial" w:eastAsia="Arial" w:hint="default"/>
          <w:spacing w:val="-9"/>
        </w:rPr>
        <w:t> </w:t>
      </w:r>
      <w:r>
        <w:rPr/>
        <w:t>月</w:t>
      </w:r>
      <w:r>
        <w:rPr>
          <w:spacing w:val="-58"/>
        </w:rPr>
        <w:t> </w:t>
      </w:r>
      <w:r>
        <w:rPr>
          <w:rFonts w:ascii="Arial" w:hAnsi="Arial" w:cs="Arial" w:eastAsia="Arial" w:hint="default"/>
        </w:rPr>
        <w:t>1</w:t>
      </w:r>
      <w:r>
        <w:rPr>
          <w:rFonts w:ascii="Arial" w:hAnsi="Arial" w:cs="Arial" w:eastAsia="Arial" w:hint="default"/>
          <w:spacing w:val="-9"/>
        </w:rPr>
        <w:t> </w:t>
      </w:r>
      <w:r>
        <w:rPr/>
        <w:t>日，联通红筹公司采纳了一份股份期权计划（“股份期权计划”），向符合</w:t>
      </w:r>
    </w:p>
    <w:p>
      <w:pPr>
        <w:pStyle w:val="BodyText"/>
        <w:spacing w:line="285" w:lineRule="exact"/>
        <w:ind w:left="578" w:right="0"/>
        <w:jc w:val="both"/>
      </w:pPr>
      <w:r>
        <w:rPr/>
        <w:t>资格的联通红筹公司及其附属子公司的员工授予股份期权。此等期权计划的条款已于</w:t>
      </w:r>
      <w:r>
        <w:rPr>
          <w:spacing w:val="-46"/>
        </w:rPr>
        <w:t> </w:t>
      </w:r>
      <w:r>
        <w:rPr>
          <w:rFonts w:ascii="Arial" w:hAnsi="Arial" w:cs="Arial" w:eastAsia="Arial" w:hint="default"/>
        </w:rPr>
        <w:t>2002</w:t>
      </w:r>
      <w:r>
        <w:rPr>
          <w:rFonts w:ascii="Arial" w:hAnsi="Arial" w:cs="Arial" w:eastAsia="Arial" w:hint="default"/>
          <w:spacing w:val="-1"/>
        </w:rPr>
        <w:t> </w:t>
      </w:r>
      <w:r>
        <w:rPr/>
        <w:t>年</w:t>
      </w:r>
    </w:p>
    <w:p>
      <w:pPr>
        <w:pStyle w:val="BodyText"/>
        <w:spacing w:line="294" w:lineRule="exact"/>
        <w:ind w:left="578" w:right="0"/>
        <w:jc w:val="both"/>
      </w:pPr>
      <w:r>
        <w:rPr>
          <w:rFonts w:ascii="Arial" w:hAnsi="Arial" w:cs="Arial" w:eastAsia="Arial" w:hint="default"/>
        </w:rPr>
        <w:t>5</w:t>
      </w:r>
      <w:r>
        <w:rPr>
          <w:rFonts w:ascii="Arial" w:hAnsi="Arial" w:cs="Arial" w:eastAsia="Arial" w:hint="default"/>
          <w:spacing w:val="-7"/>
        </w:rPr>
        <w:t> </w:t>
      </w:r>
      <w:r>
        <w:rPr/>
        <w:t>月</w:t>
      </w:r>
      <w:r>
        <w:rPr>
          <w:spacing w:val="-56"/>
        </w:rPr>
        <w:t> </w:t>
      </w:r>
      <w:r>
        <w:rPr>
          <w:rFonts w:ascii="Arial" w:hAnsi="Arial" w:cs="Arial" w:eastAsia="Arial" w:hint="default"/>
        </w:rPr>
        <w:t>13</w:t>
      </w:r>
      <w:r>
        <w:rPr>
          <w:rFonts w:ascii="Arial" w:hAnsi="Arial" w:cs="Arial" w:eastAsia="Arial" w:hint="default"/>
          <w:spacing w:val="-7"/>
        </w:rPr>
        <w:t> </w:t>
      </w:r>
      <w:r>
        <w:rPr/>
        <w:t>日、</w:t>
      </w:r>
      <w:r>
        <w:rPr>
          <w:rFonts w:ascii="Arial" w:hAnsi="Arial" w:cs="Arial" w:eastAsia="Arial" w:hint="default"/>
        </w:rPr>
        <w:t>2007</w:t>
      </w:r>
      <w:r>
        <w:rPr>
          <w:rFonts w:ascii="Arial" w:hAnsi="Arial" w:cs="Arial" w:eastAsia="Arial" w:hint="default"/>
          <w:spacing w:val="-7"/>
        </w:rPr>
        <w:t> </w:t>
      </w:r>
      <w:r>
        <w:rPr/>
        <w:t>年</w:t>
      </w:r>
      <w:r>
        <w:rPr>
          <w:spacing w:val="-56"/>
        </w:rPr>
        <w:t> </w:t>
      </w:r>
      <w:r>
        <w:rPr>
          <w:rFonts w:ascii="Arial" w:hAnsi="Arial" w:cs="Arial" w:eastAsia="Arial" w:hint="default"/>
        </w:rPr>
        <w:t>5</w:t>
      </w:r>
      <w:r>
        <w:rPr>
          <w:rFonts w:ascii="Arial" w:hAnsi="Arial" w:cs="Arial" w:eastAsia="Arial" w:hint="default"/>
          <w:spacing w:val="-7"/>
        </w:rPr>
        <w:t> </w:t>
      </w:r>
      <w:r>
        <w:rPr/>
        <w:t>月</w:t>
      </w:r>
      <w:r>
        <w:rPr>
          <w:spacing w:val="-56"/>
        </w:rPr>
        <w:t> </w:t>
      </w:r>
      <w:r>
        <w:rPr>
          <w:rFonts w:ascii="Arial" w:hAnsi="Arial" w:cs="Arial" w:eastAsia="Arial" w:hint="default"/>
        </w:rPr>
        <w:t>11</w:t>
      </w:r>
      <w:r>
        <w:rPr>
          <w:rFonts w:ascii="Arial" w:hAnsi="Arial" w:cs="Arial" w:eastAsia="Arial" w:hint="default"/>
          <w:spacing w:val="-7"/>
        </w:rPr>
        <w:t> </w:t>
      </w:r>
      <w:r>
        <w:rPr/>
        <w:t>日及</w:t>
      </w:r>
      <w:r>
        <w:rPr>
          <w:spacing w:val="-56"/>
        </w:rPr>
        <w:t> </w:t>
      </w:r>
      <w:r>
        <w:rPr>
          <w:rFonts w:ascii="Arial" w:hAnsi="Arial" w:cs="Arial" w:eastAsia="Arial" w:hint="default"/>
        </w:rPr>
        <w:t>2009</w:t>
      </w:r>
      <w:r>
        <w:rPr>
          <w:rFonts w:ascii="Arial" w:hAnsi="Arial" w:cs="Arial" w:eastAsia="Arial" w:hint="default"/>
          <w:spacing w:val="-7"/>
        </w:rPr>
        <w:t> </w:t>
      </w:r>
      <w:r>
        <w:rPr/>
        <w:t>年</w:t>
      </w:r>
      <w:r>
        <w:rPr>
          <w:spacing w:val="-56"/>
        </w:rPr>
        <w:t> </w:t>
      </w:r>
      <w:r>
        <w:rPr>
          <w:rFonts w:ascii="Arial" w:hAnsi="Arial" w:cs="Arial" w:eastAsia="Arial" w:hint="default"/>
        </w:rPr>
        <w:t>5</w:t>
      </w:r>
      <w:r>
        <w:rPr>
          <w:rFonts w:ascii="Arial" w:hAnsi="Arial" w:cs="Arial" w:eastAsia="Arial" w:hint="default"/>
          <w:spacing w:val="-7"/>
        </w:rPr>
        <w:t> </w:t>
      </w:r>
      <w:r>
        <w:rPr/>
        <w:t>月</w:t>
      </w:r>
      <w:r>
        <w:rPr>
          <w:spacing w:val="-56"/>
        </w:rPr>
        <w:t> </w:t>
      </w:r>
      <w:r>
        <w:rPr>
          <w:rFonts w:ascii="Arial" w:hAnsi="Arial" w:cs="Arial" w:eastAsia="Arial" w:hint="default"/>
        </w:rPr>
        <w:t>26</w:t>
      </w:r>
      <w:r>
        <w:rPr>
          <w:rFonts w:ascii="Arial" w:hAnsi="Arial" w:cs="Arial" w:eastAsia="Arial" w:hint="default"/>
          <w:spacing w:val="-7"/>
        </w:rPr>
        <w:t> </w:t>
      </w:r>
      <w:r>
        <w:rPr/>
        <w:t>日作出修订。</w:t>
      </w:r>
    </w:p>
    <w:p>
      <w:pPr>
        <w:spacing w:line="240" w:lineRule="auto" w:before="10"/>
        <w:rPr>
          <w:rFonts w:ascii="宋体" w:hAnsi="宋体" w:cs="宋体" w:eastAsia="宋体" w:hint="default"/>
          <w:sz w:val="18"/>
          <w:szCs w:val="18"/>
        </w:rPr>
      </w:pPr>
    </w:p>
    <w:p>
      <w:pPr>
        <w:pStyle w:val="BodyText"/>
        <w:spacing w:line="230" w:lineRule="auto"/>
        <w:ind w:left="578" w:right="240"/>
        <w:jc w:val="both"/>
      </w:pPr>
      <w:r>
        <w:rPr/>
        <w:t>于</w:t>
      </w:r>
      <w:r>
        <w:rPr>
          <w:spacing w:val="-41"/>
        </w:rPr>
        <w:t> </w:t>
      </w:r>
      <w:r>
        <w:rPr>
          <w:rFonts w:ascii="Arial" w:hAnsi="Arial" w:cs="Arial" w:eastAsia="Arial" w:hint="default"/>
        </w:rPr>
        <w:t>2008</w:t>
      </w:r>
      <w:r>
        <w:rPr>
          <w:rFonts w:ascii="Arial" w:hAnsi="Arial" w:cs="Arial" w:eastAsia="Arial" w:hint="default"/>
          <w:spacing w:val="8"/>
        </w:rPr>
        <w:t> </w:t>
      </w:r>
      <w:r>
        <w:rPr/>
        <w:t>年</w:t>
      </w:r>
      <w:r>
        <w:rPr>
          <w:spacing w:val="-41"/>
        </w:rPr>
        <w:t> </w:t>
      </w:r>
      <w:r>
        <w:rPr>
          <w:rFonts w:ascii="Arial" w:hAnsi="Arial" w:cs="Arial" w:eastAsia="Arial" w:hint="default"/>
        </w:rPr>
        <w:t>9</w:t>
      </w:r>
      <w:r>
        <w:rPr>
          <w:rFonts w:ascii="Arial" w:hAnsi="Arial" w:cs="Arial" w:eastAsia="Arial" w:hint="default"/>
          <w:spacing w:val="8"/>
        </w:rPr>
        <w:t> </w:t>
      </w:r>
      <w:r>
        <w:rPr/>
        <w:t>月</w:t>
      </w:r>
      <w:r>
        <w:rPr>
          <w:spacing w:val="-41"/>
        </w:rPr>
        <w:t> </w:t>
      </w:r>
      <w:r>
        <w:rPr>
          <w:rFonts w:ascii="Arial" w:hAnsi="Arial" w:cs="Arial" w:eastAsia="Arial" w:hint="default"/>
        </w:rPr>
        <w:t>16</w:t>
      </w:r>
      <w:r>
        <w:rPr>
          <w:rFonts w:ascii="Arial" w:hAnsi="Arial" w:cs="Arial" w:eastAsia="Arial" w:hint="default"/>
          <w:spacing w:val="8"/>
        </w:rPr>
        <w:t> </w:t>
      </w:r>
      <w:r>
        <w:rPr/>
        <w:t>日，联通红筹公司召开了特别股东大会审议并通过了与网通红筹公司合并</w:t>
      </w:r>
      <w:r>
        <w:rPr>
          <w:w w:val="99"/>
        </w:rPr>
        <w:t> </w:t>
      </w:r>
      <w:r>
        <w:rPr>
          <w:spacing w:val="-1"/>
        </w:rPr>
        <w:t>的协议安排。根据协议安排，联通红筹公司制订和通过特殊目的股份期权计划（“特殊目的股</w:t>
      </w:r>
      <w:r>
        <w:rPr>
          <w:w w:val="99"/>
        </w:rPr>
        <w:t> </w:t>
      </w:r>
      <w:r>
        <w:rPr/>
        <w:t>份期权计划”），授予于</w:t>
      </w:r>
      <w:r>
        <w:rPr>
          <w:spacing w:val="-61"/>
        </w:rPr>
        <w:t> </w:t>
      </w:r>
      <w:r>
        <w:rPr>
          <w:rFonts w:ascii="Arial" w:hAnsi="Arial" w:cs="Arial" w:eastAsia="Arial" w:hint="default"/>
        </w:rPr>
        <w:t>2008</w:t>
      </w:r>
      <w:r>
        <w:rPr>
          <w:rFonts w:ascii="Arial" w:hAnsi="Arial" w:cs="Arial" w:eastAsia="Arial" w:hint="default"/>
          <w:spacing w:val="-12"/>
        </w:rPr>
        <w:t> </w:t>
      </w:r>
      <w:r>
        <w:rPr/>
        <w:t>年</w:t>
      </w:r>
      <w:r>
        <w:rPr>
          <w:spacing w:val="-61"/>
        </w:rPr>
        <w:t> </w:t>
      </w:r>
      <w:r>
        <w:rPr>
          <w:rFonts w:ascii="Arial" w:hAnsi="Arial" w:cs="Arial" w:eastAsia="Arial" w:hint="default"/>
        </w:rPr>
        <w:t>10</w:t>
      </w:r>
      <w:r>
        <w:rPr>
          <w:rFonts w:ascii="Arial" w:hAnsi="Arial" w:cs="Arial" w:eastAsia="Arial" w:hint="default"/>
          <w:spacing w:val="-12"/>
        </w:rPr>
        <w:t> </w:t>
      </w:r>
      <w:r>
        <w:rPr/>
        <w:t>月</w:t>
      </w:r>
      <w:r>
        <w:rPr>
          <w:spacing w:val="-61"/>
        </w:rPr>
        <w:t> </w:t>
      </w:r>
      <w:r>
        <w:rPr>
          <w:rFonts w:ascii="Arial" w:hAnsi="Arial" w:cs="Arial" w:eastAsia="Arial" w:hint="default"/>
        </w:rPr>
        <w:t>14</w:t>
      </w:r>
      <w:r>
        <w:rPr>
          <w:rFonts w:ascii="Arial" w:hAnsi="Arial" w:cs="Arial" w:eastAsia="Arial" w:hint="default"/>
          <w:spacing w:val="-12"/>
        </w:rPr>
        <w:t> </w:t>
      </w:r>
      <w:r>
        <w:rPr/>
        <w:t>日持有但尚未行使网通红筹公司股份期权的人士股</w:t>
      </w:r>
    </w:p>
    <w:p>
      <w:pPr>
        <w:pStyle w:val="BodyText"/>
        <w:spacing w:line="287" w:lineRule="exact"/>
        <w:ind w:left="578" w:right="0"/>
        <w:jc w:val="both"/>
      </w:pPr>
      <w:r>
        <w:rPr/>
        <w:t>份期权。此等期权计划的条款已于</w:t>
      </w:r>
      <w:r>
        <w:rPr>
          <w:spacing w:val="-55"/>
        </w:rPr>
        <w:t> </w:t>
      </w:r>
      <w:r>
        <w:rPr>
          <w:rFonts w:ascii="Arial" w:hAnsi="Arial" w:cs="Arial" w:eastAsia="Arial" w:hint="default"/>
        </w:rPr>
        <w:t>2009</w:t>
      </w:r>
      <w:r>
        <w:rPr>
          <w:rFonts w:ascii="Arial" w:hAnsi="Arial" w:cs="Arial" w:eastAsia="Arial" w:hint="default"/>
          <w:spacing w:val="-8"/>
        </w:rPr>
        <w:t> </w:t>
      </w:r>
      <w:r>
        <w:rPr/>
        <w:t>年</w:t>
      </w:r>
      <w:r>
        <w:rPr>
          <w:spacing w:val="-57"/>
        </w:rPr>
        <w:t> </w:t>
      </w:r>
      <w:r>
        <w:rPr>
          <w:rFonts w:ascii="Arial" w:hAnsi="Arial" w:cs="Arial" w:eastAsia="Arial" w:hint="default"/>
        </w:rPr>
        <w:t>5</w:t>
      </w:r>
      <w:r>
        <w:rPr>
          <w:rFonts w:ascii="Arial" w:hAnsi="Arial" w:cs="Arial" w:eastAsia="Arial" w:hint="default"/>
          <w:spacing w:val="-8"/>
        </w:rPr>
        <w:t> </w:t>
      </w:r>
      <w:r>
        <w:rPr/>
        <w:t>月</w:t>
      </w:r>
      <w:r>
        <w:rPr>
          <w:spacing w:val="-57"/>
        </w:rPr>
        <w:t> </w:t>
      </w:r>
      <w:r>
        <w:rPr>
          <w:rFonts w:ascii="Arial" w:hAnsi="Arial" w:cs="Arial" w:eastAsia="Arial" w:hint="default"/>
        </w:rPr>
        <w:t>26</w:t>
      </w:r>
      <w:r>
        <w:rPr>
          <w:rFonts w:ascii="Arial" w:hAnsi="Arial" w:cs="Arial" w:eastAsia="Arial" w:hint="default"/>
          <w:spacing w:val="-8"/>
        </w:rPr>
        <w:t> </w:t>
      </w:r>
      <w:r>
        <w:rPr/>
        <w:t>日作出修订。</w:t>
      </w:r>
    </w:p>
    <w:p>
      <w:pPr>
        <w:spacing w:line="240" w:lineRule="auto" w:before="13"/>
        <w:rPr>
          <w:rFonts w:ascii="宋体" w:hAnsi="宋体" w:cs="宋体" w:eastAsia="宋体" w:hint="default"/>
          <w:sz w:val="17"/>
          <w:szCs w:val="17"/>
        </w:rPr>
      </w:pPr>
    </w:p>
    <w:p>
      <w:pPr>
        <w:pStyle w:val="BodyText"/>
        <w:spacing w:line="240" w:lineRule="auto"/>
        <w:ind w:left="578" w:right="0"/>
        <w:jc w:val="both"/>
      </w:pPr>
      <w:r>
        <w:rPr/>
        <w:t>于</w:t>
      </w:r>
      <w:r>
        <w:rPr>
          <w:spacing w:val="-64"/>
        </w:rPr>
        <w:t> </w:t>
      </w:r>
      <w:r>
        <w:rPr>
          <w:rFonts w:ascii="Arial" w:hAnsi="Arial" w:cs="Arial" w:eastAsia="Arial" w:hint="default"/>
        </w:rPr>
        <w:t>2012</w:t>
      </w:r>
      <w:r>
        <w:rPr>
          <w:rFonts w:ascii="Arial" w:hAnsi="Arial" w:cs="Arial" w:eastAsia="Arial" w:hint="default"/>
          <w:spacing w:val="-15"/>
        </w:rPr>
        <w:t> </w:t>
      </w:r>
      <w:r>
        <w:rPr/>
        <w:t>年度，联通红筹公司未行使的股份期权数目的变动及有关加权平均行使价列示如下：</w:t>
      </w:r>
    </w:p>
    <w:p>
      <w:pPr>
        <w:spacing w:line="240" w:lineRule="auto" w:before="12"/>
        <w:rPr>
          <w:rFonts w:ascii="宋体" w:hAnsi="宋体" w:cs="宋体" w:eastAsia="宋体" w:hint="default"/>
          <w:sz w:val="22"/>
          <w:szCs w:val="22"/>
        </w:rPr>
      </w:pPr>
    </w:p>
    <w:tbl>
      <w:tblPr>
        <w:tblW w:w="0" w:type="auto"/>
        <w:jc w:val="left"/>
        <w:tblInd w:w="420" w:type="dxa"/>
        <w:tblLayout w:type="fixed"/>
        <w:tblCellMar>
          <w:top w:w="0" w:type="dxa"/>
          <w:left w:w="0" w:type="dxa"/>
          <w:bottom w:w="0" w:type="dxa"/>
          <w:right w:w="0" w:type="dxa"/>
        </w:tblCellMar>
        <w:tblLook w:val="01E0"/>
      </w:tblPr>
      <w:tblGrid>
        <w:gridCol w:w="2130"/>
        <w:gridCol w:w="1829"/>
        <w:gridCol w:w="115"/>
        <w:gridCol w:w="1522"/>
        <w:gridCol w:w="137"/>
        <w:gridCol w:w="1870"/>
        <w:gridCol w:w="118"/>
        <w:gridCol w:w="1453"/>
      </w:tblGrid>
      <w:tr>
        <w:trPr>
          <w:trHeight w:val="238" w:hRule="exact"/>
        </w:trPr>
        <w:tc>
          <w:tcPr>
            <w:tcW w:w="5596" w:type="dxa"/>
            <w:gridSpan w:val="4"/>
            <w:tcBorders>
              <w:top w:val="nil" w:sz="6" w:space="0" w:color="auto"/>
              <w:left w:val="nil" w:sz="6" w:space="0" w:color="auto"/>
              <w:bottom w:val="nil" w:sz="6" w:space="0" w:color="auto"/>
              <w:right w:val="nil" w:sz="6" w:space="0" w:color="auto"/>
            </w:tcBorders>
          </w:tcPr>
          <w:p>
            <w:pPr>
              <w:pStyle w:val="TableParagraph"/>
              <w:spacing w:line="215" w:lineRule="exact"/>
              <w:ind w:left="2992"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7"/>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3577" w:type="dxa"/>
            <w:gridSpan w:val="4"/>
            <w:tcBorders>
              <w:top w:val="nil" w:sz="6" w:space="0" w:color="auto"/>
              <w:left w:val="nil" w:sz="6" w:space="0" w:color="auto"/>
              <w:bottom w:val="single" w:sz="6" w:space="0" w:color="000000"/>
              <w:right w:val="nil" w:sz="6" w:space="0" w:color="auto"/>
            </w:tcBorders>
          </w:tcPr>
          <w:p>
            <w:pPr>
              <w:pStyle w:val="TableParagraph"/>
              <w:spacing w:line="215" w:lineRule="exact"/>
              <w:ind w:left="991"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r>
      <w:tr>
        <w:trPr>
          <w:trHeight w:val="456" w:hRule="exact"/>
        </w:trPr>
        <w:tc>
          <w:tcPr>
            <w:tcW w:w="40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6"/>
              <w:ind w:left="2157" w:right="0"/>
              <w:jc w:val="left"/>
              <w:rPr>
                <w:rFonts w:ascii="宋体" w:hAnsi="宋体" w:cs="宋体" w:eastAsia="宋体" w:hint="default"/>
                <w:sz w:val="20"/>
                <w:szCs w:val="20"/>
              </w:rPr>
            </w:pPr>
            <w:r>
              <w:rPr>
                <w:rFonts w:ascii="宋体" w:hAnsi="宋体" w:cs="宋体" w:eastAsia="宋体" w:hint="default"/>
                <w:sz w:val="20"/>
                <w:szCs w:val="20"/>
              </w:rPr>
              <w:t>平均行使价每股港币</w:t>
            </w:r>
          </w:p>
        </w:tc>
        <w:tc>
          <w:tcPr>
            <w:tcW w:w="1522" w:type="dxa"/>
            <w:tcBorders>
              <w:top w:val="single" w:sz="6" w:space="0" w:color="000000"/>
              <w:left w:val="nil" w:sz="6" w:space="0" w:color="auto"/>
              <w:bottom w:val="single" w:sz="6" w:space="0" w:color="000000"/>
              <w:right w:val="nil" w:sz="6" w:space="0" w:color="auto"/>
            </w:tcBorders>
          </w:tcPr>
          <w:p>
            <w:pPr>
              <w:pStyle w:val="TableParagraph"/>
              <w:spacing w:line="240" w:lineRule="auto" w:before="149"/>
              <w:ind w:left="238" w:right="0"/>
              <w:jc w:val="left"/>
              <w:rPr>
                <w:rFonts w:ascii="宋体" w:hAnsi="宋体" w:cs="宋体" w:eastAsia="宋体" w:hint="default"/>
                <w:sz w:val="20"/>
                <w:szCs w:val="20"/>
              </w:rPr>
            </w:pPr>
            <w:r>
              <w:rPr>
                <w:rFonts w:ascii="宋体" w:hAnsi="宋体" w:cs="宋体" w:eastAsia="宋体" w:hint="default"/>
                <w:sz w:val="20"/>
                <w:szCs w:val="20"/>
              </w:rPr>
              <w:t>股份期权份数</w:t>
            </w:r>
          </w:p>
        </w:tc>
        <w:tc>
          <w:tcPr>
            <w:tcW w:w="137" w:type="dxa"/>
            <w:tcBorders>
              <w:top w:val="nil" w:sz="6" w:space="0" w:color="auto"/>
              <w:left w:val="nil" w:sz="6" w:space="0" w:color="auto"/>
              <w:bottom w:val="nil" w:sz="6" w:space="0" w:color="auto"/>
              <w:right w:val="nil" w:sz="6" w:space="0" w:color="auto"/>
            </w:tcBorders>
          </w:tcPr>
          <w:p>
            <w:pPr/>
          </w:p>
        </w:tc>
        <w:tc>
          <w:tcPr>
            <w:tcW w:w="1870" w:type="dxa"/>
            <w:tcBorders>
              <w:top w:val="single" w:sz="6" w:space="0" w:color="000000"/>
              <w:left w:val="nil" w:sz="6" w:space="0" w:color="auto"/>
              <w:bottom w:val="single" w:sz="6" w:space="0" w:color="000000"/>
              <w:right w:val="nil" w:sz="6" w:space="0" w:color="auto"/>
            </w:tcBorders>
          </w:tcPr>
          <w:p>
            <w:pPr>
              <w:pStyle w:val="TableParagraph"/>
              <w:spacing w:line="240" w:lineRule="auto" w:before="149"/>
              <w:ind w:left="43" w:right="0"/>
              <w:jc w:val="left"/>
              <w:rPr>
                <w:rFonts w:ascii="宋体" w:hAnsi="宋体" w:cs="宋体" w:eastAsia="宋体" w:hint="default"/>
                <w:sz w:val="20"/>
                <w:szCs w:val="20"/>
              </w:rPr>
            </w:pPr>
            <w:r>
              <w:rPr>
                <w:rFonts w:ascii="宋体" w:hAnsi="宋体" w:cs="宋体" w:eastAsia="宋体" w:hint="default"/>
                <w:sz w:val="20"/>
                <w:szCs w:val="20"/>
              </w:rPr>
              <w:t>平均行使价每股港币</w:t>
            </w:r>
          </w:p>
        </w:tc>
        <w:tc>
          <w:tcPr>
            <w:tcW w:w="118" w:type="dxa"/>
            <w:tcBorders>
              <w:top w:val="single" w:sz="6" w:space="0" w:color="000000"/>
              <w:left w:val="nil" w:sz="6" w:space="0" w:color="auto"/>
              <w:bottom w:val="nil" w:sz="6" w:space="0" w:color="auto"/>
              <w:right w:val="nil" w:sz="6" w:space="0" w:color="auto"/>
            </w:tcBorders>
          </w:tcPr>
          <w:p>
            <w:pPr/>
          </w:p>
        </w:tc>
        <w:tc>
          <w:tcPr>
            <w:tcW w:w="1453" w:type="dxa"/>
            <w:tcBorders>
              <w:top w:val="single" w:sz="6" w:space="0" w:color="000000"/>
              <w:left w:val="nil" w:sz="6" w:space="0" w:color="auto"/>
              <w:bottom w:val="single" w:sz="6" w:space="0" w:color="000000"/>
              <w:right w:val="nil" w:sz="6" w:space="0" w:color="auto"/>
            </w:tcBorders>
          </w:tcPr>
          <w:p>
            <w:pPr>
              <w:pStyle w:val="TableParagraph"/>
              <w:spacing w:line="240" w:lineRule="auto" w:before="149"/>
              <w:ind w:right="54"/>
              <w:jc w:val="right"/>
              <w:rPr>
                <w:rFonts w:ascii="宋体" w:hAnsi="宋体" w:cs="宋体" w:eastAsia="宋体" w:hint="default"/>
                <w:sz w:val="20"/>
                <w:szCs w:val="20"/>
              </w:rPr>
            </w:pPr>
            <w:r>
              <w:rPr>
                <w:rFonts w:ascii="宋体" w:hAnsi="宋体" w:cs="宋体" w:eastAsia="宋体" w:hint="default"/>
                <w:spacing w:val="-1"/>
                <w:sz w:val="20"/>
                <w:szCs w:val="20"/>
              </w:rPr>
              <w:t>股份期权份数</w:t>
            </w:r>
          </w:p>
        </w:tc>
      </w:tr>
      <w:tr>
        <w:trPr>
          <w:trHeight w:val="308"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57" w:lineRule="exact"/>
              <w:ind w:left="200" w:right="0"/>
              <w:jc w:val="left"/>
              <w:rPr>
                <w:rFonts w:ascii="宋体" w:hAnsi="宋体" w:cs="宋体" w:eastAsia="宋体" w:hint="default"/>
                <w:sz w:val="20"/>
                <w:szCs w:val="20"/>
              </w:rPr>
            </w:pPr>
            <w:r>
              <w:rPr>
                <w:rFonts w:ascii="宋体" w:hAnsi="宋体" w:cs="宋体" w:eastAsia="宋体" w:hint="default"/>
                <w:sz w:val="20"/>
                <w:szCs w:val="20"/>
              </w:rPr>
              <w:t>年初余额</w:t>
            </w:r>
          </w:p>
        </w:tc>
        <w:tc>
          <w:tcPr>
            <w:tcW w:w="1829" w:type="dxa"/>
            <w:tcBorders>
              <w:top w:val="single" w:sz="6" w:space="0" w:color="000000"/>
              <w:left w:val="nil" w:sz="6" w:space="0" w:color="auto"/>
              <w:bottom w:val="nil" w:sz="6" w:space="0" w:color="auto"/>
              <w:right w:val="nil" w:sz="6" w:space="0" w:color="auto"/>
            </w:tcBorders>
          </w:tcPr>
          <w:p>
            <w:pPr>
              <w:pStyle w:val="TableParagraph"/>
              <w:spacing w:line="240" w:lineRule="auto" w:before="47"/>
              <w:ind w:right="126"/>
              <w:jc w:val="right"/>
              <w:rPr>
                <w:rFonts w:ascii="Arial" w:hAnsi="Arial" w:cs="Arial" w:eastAsia="Arial" w:hint="default"/>
                <w:sz w:val="20"/>
                <w:szCs w:val="20"/>
              </w:rPr>
            </w:pPr>
            <w:r>
              <w:rPr>
                <w:rFonts w:ascii="Arial"/>
                <w:sz w:val="20"/>
              </w:rPr>
              <w:t>6.49</w:t>
            </w:r>
          </w:p>
        </w:tc>
        <w:tc>
          <w:tcPr>
            <w:tcW w:w="115" w:type="dxa"/>
            <w:tcBorders>
              <w:top w:val="nil" w:sz="6" w:space="0" w:color="auto"/>
              <w:left w:val="nil" w:sz="6" w:space="0" w:color="auto"/>
              <w:bottom w:val="nil" w:sz="6" w:space="0" w:color="auto"/>
              <w:right w:val="nil" w:sz="6" w:space="0" w:color="auto"/>
            </w:tcBorders>
          </w:tcPr>
          <w:p>
            <w:pPr/>
          </w:p>
        </w:tc>
        <w:tc>
          <w:tcPr>
            <w:tcW w:w="1522" w:type="dxa"/>
            <w:tcBorders>
              <w:top w:val="single" w:sz="6" w:space="0" w:color="000000"/>
              <w:left w:val="nil" w:sz="6" w:space="0" w:color="auto"/>
              <w:bottom w:val="nil" w:sz="6" w:space="0" w:color="auto"/>
              <w:right w:val="nil" w:sz="6" w:space="0" w:color="auto"/>
            </w:tcBorders>
          </w:tcPr>
          <w:p>
            <w:pPr>
              <w:pStyle w:val="TableParagraph"/>
              <w:spacing w:line="240" w:lineRule="auto" w:before="47"/>
              <w:ind w:left="281" w:right="0"/>
              <w:jc w:val="left"/>
              <w:rPr>
                <w:rFonts w:ascii="Arial" w:hAnsi="Arial" w:cs="Arial" w:eastAsia="Arial" w:hint="default"/>
                <w:sz w:val="20"/>
                <w:szCs w:val="20"/>
              </w:rPr>
            </w:pPr>
            <w:r>
              <w:rPr>
                <w:rFonts w:ascii="Arial"/>
                <w:sz w:val="20"/>
              </w:rPr>
              <w:t>391,481,158</w:t>
            </w:r>
          </w:p>
        </w:tc>
        <w:tc>
          <w:tcPr>
            <w:tcW w:w="137" w:type="dxa"/>
            <w:tcBorders>
              <w:top w:val="nil" w:sz="6" w:space="0" w:color="auto"/>
              <w:left w:val="nil" w:sz="6" w:space="0" w:color="auto"/>
              <w:bottom w:val="nil" w:sz="6" w:space="0" w:color="auto"/>
              <w:right w:val="nil" w:sz="6" w:space="0" w:color="auto"/>
            </w:tcBorders>
          </w:tcPr>
          <w:p>
            <w:pPr/>
          </w:p>
        </w:tc>
        <w:tc>
          <w:tcPr>
            <w:tcW w:w="1870" w:type="dxa"/>
            <w:tcBorders>
              <w:top w:val="single" w:sz="6" w:space="0" w:color="000000"/>
              <w:left w:val="nil" w:sz="6" w:space="0" w:color="auto"/>
              <w:bottom w:val="nil" w:sz="6" w:space="0" w:color="auto"/>
              <w:right w:val="nil" w:sz="6" w:space="0" w:color="auto"/>
            </w:tcBorders>
          </w:tcPr>
          <w:p>
            <w:pPr>
              <w:pStyle w:val="TableParagraph"/>
              <w:spacing w:line="240" w:lineRule="auto" w:before="47"/>
              <w:ind w:right="142"/>
              <w:jc w:val="right"/>
              <w:rPr>
                <w:rFonts w:ascii="Arial" w:hAnsi="Arial" w:cs="Arial" w:eastAsia="Arial" w:hint="default"/>
                <w:sz w:val="20"/>
                <w:szCs w:val="20"/>
              </w:rPr>
            </w:pPr>
            <w:r>
              <w:rPr>
                <w:rFonts w:ascii="Arial"/>
                <w:spacing w:val="-1"/>
                <w:sz w:val="20"/>
              </w:rPr>
              <w:t>6.59</w:t>
            </w:r>
          </w:p>
        </w:tc>
        <w:tc>
          <w:tcPr>
            <w:tcW w:w="118" w:type="dxa"/>
            <w:tcBorders>
              <w:top w:val="nil" w:sz="6" w:space="0" w:color="auto"/>
              <w:left w:val="nil" w:sz="6" w:space="0" w:color="auto"/>
              <w:bottom w:val="nil" w:sz="6" w:space="0" w:color="auto"/>
              <w:right w:val="nil" w:sz="6" w:space="0" w:color="auto"/>
            </w:tcBorders>
          </w:tcPr>
          <w:p>
            <w:pPr/>
          </w:p>
        </w:tc>
        <w:tc>
          <w:tcPr>
            <w:tcW w:w="1453" w:type="dxa"/>
            <w:tcBorders>
              <w:top w:val="single" w:sz="6" w:space="0" w:color="000000"/>
              <w:left w:val="nil" w:sz="6" w:space="0" w:color="auto"/>
              <w:bottom w:val="nil" w:sz="6" w:space="0" w:color="auto"/>
              <w:right w:val="nil" w:sz="6" w:space="0" w:color="auto"/>
            </w:tcBorders>
          </w:tcPr>
          <w:p>
            <w:pPr>
              <w:pStyle w:val="TableParagraph"/>
              <w:spacing w:line="240" w:lineRule="auto" w:before="47"/>
              <w:ind w:left="210" w:right="0"/>
              <w:jc w:val="left"/>
              <w:rPr>
                <w:rFonts w:ascii="Arial" w:hAnsi="Arial" w:cs="Arial" w:eastAsia="Arial" w:hint="default"/>
                <w:sz w:val="20"/>
                <w:szCs w:val="20"/>
              </w:rPr>
            </w:pPr>
            <w:r>
              <w:rPr>
                <w:rFonts w:ascii="Arial"/>
                <w:sz w:val="20"/>
              </w:rPr>
              <w:t>396,012,118</w:t>
            </w:r>
          </w:p>
        </w:tc>
      </w:tr>
      <w:tr>
        <w:trPr>
          <w:trHeight w:val="280"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28" w:lineRule="exact"/>
              <w:ind w:left="200" w:right="0"/>
              <w:jc w:val="left"/>
              <w:rPr>
                <w:rFonts w:ascii="宋体" w:hAnsi="宋体" w:cs="宋体" w:eastAsia="宋体" w:hint="default"/>
                <w:sz w:val="20"/>
                <w:szCs w:val="20"/>
              </w:rPr>
            </w:pPr>
            <w:r>
              <w:rPr>
                <w:rFonts w:ascii="宋体" w:hAnsi="宋体" w:cs="宋体" w:eastAsia="宋体" w:hint="default"/>
                <w:sz w:val="20"/>
                <w:szCs w:val="20"/>
              </w:rPr>
              <w:t>授予</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04"/>
              <w:jc w:val="right"/>
              <w:rPr>
                <w:rFonts w:ascii="Arial" w:hAnsi="Arial" w:cs="Arial" w:eastAsia="Arial" w:hint="default"/>
                <w:sz w:val="20"/>
                <w:szCs w:val="20"/>
              </w:rPr>
            </w:pPr>
            <w:r>
              <w:rPr>
                <w:rFonts w:ascii="Arial"/>
                <w:w w:val="100"/>
                <w:sz w:val="20"/>
              </w:rPr>
              <w:t>-</w:t>
            </w:r>
          </w:p>
        </w:tc>
        <w:tc>
          <w:tcPr>
            <w:tcW w:w="115"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24"/>
              <w:jc w:val="right"/>
              <w:rPr>
                <w:rFonts w:ascii="Arial" w:hAnsi="Arial" w:cs="Arial" w:eastAsia="Arial" w:hint="default"/>
                <w:sz w:val="20"/>
                <w:szCs w:val="20"/>
              </w:rPr>
            </w:pPr>
            <w:r>
              <w:rPr>
                <w:rFonts w:ascii="Arial"/>
                <w:w w:val="100"/>
                <w:sz w:val="20"/>
              </w:rPr>
              <w:t>-</w:t>
            </w:r>
          </w:p>
        </w:tc>
        <w:tc>
          <w:tcPr>
            <w:tcW w:w="137"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19"/>
              <w:jc w:val="right"/>
              <w:rPr>
                <w:rFonts w:ascii="Arial" w:hAnsi="Arial" w:cs="Arial" w:eastAsia="Arial" w:hint="default"/>
                <w:sz w:val="20"/>
                <w:szCs w:val="20"/>
              </w:rPr>
            </w:pPr>
            <w:r>
              <w:rPr>
                <w:rFonts w:ascii="Arial"/>
                <w:w w:val="100"/>
                <w:sz w:val="20"/>
              </w:rPr>
              <w:t>-</w:t>
            </w:r>
          </w:p>
        </w:tc>
        <w:tc>
          <w:tcPr>
            <w:tcW w:w="118"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28"/>
              <w:jc w:val="right"/>
              <w:rPr>
                <w:rFonts w:ascii="Arial" w:hAnsi="Arial" w:cs="Arial" w:eastAsia="Arial" w:hint="default"/>
                <w:sz w:val="20"/>
                <w:szCs w:val="20"/>
              </w:rPr>
            </w:pPr>
            <w:r>
              <w:rPr>
                <w:rFonts w:ascii="Arial"/>
                <w:w w:val="100"/>
                <w:sz w:val="20"/>
              </w:rPr>
              <w:t>-</w:t>
            </w:r>
          </w:p>
        </w:tc>
      </w:tr>
      <w:tr>
        <w:trPr>
          <w:trHeight w:val="280"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43" w:lineRule="exact"/>
              <w:ind w:left="200" w:right="0"/>
              <w:jc w:val="left"/>
              <w:rPr>
                <w:rFonts w:ascii="宋体" w:hAnsi="宋体" w:cs="宋体" w:eastAsia="宋体" w:hint="default"/>
                <w:sz w:val="20"/>
                <w:szCs w:val="20"/>
              </w:rPr>
            </w:pPr>
            <w:r>
              <w:rPr>
                <w:rFonts w:ascii="宋体" w:hAnsi="宋体" w:cs="宋体" w:eastAsia="宋体" w:hint="default"/>
                <w:sz w:val="20"/>
                <w:szCs w:val="20"/>
              </w:rPr>
              <w:t>失效</w:t>
            </w:r>
            <w:r>
              <w:rPr>
                <w:rFonts w:ascii="Arial" w:hAnsi="Arial" w:cs="Arial" w:eastAsia="Arial" w:hint="default"/>
                <w:sz w:val="20"/>
                <w:szCs w:val="20"/>
              </w:rPr>
              <w:t>/</w:t>
            </w:r>
            <w:r>
              <w:rPr>
                <w:rFonts w:ascii="宋体" w:hAnsi="宋体" w:cs="宋体" w:eastAsia="宋体" w:hint="default"/>
                <w:sz w:val="20"/>
                <w:szCs w:val="20"/>
              </w:rPr>
              <w:t>取消</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04"/>
              <w:jc w:val="right"/>
              <w:rPr>
                <w:rFonts w:ascii="Arial" w:hAnsi="Arial" w:cs="Arial" w:eastAsia="Arial" w:hint="default"/>
                <w:sz w:val="20"/>
                <w:szCs w:val="20"/>
              </w:rPr>
            </w:pPr>
            <w:r>
              <w:rPr>
                <w:rFonts w:ascii="Arial"/>
                <w:w w:val="100"/>
                <w:sz w:val="20"/>
              </w:rPr>
              <w:t>-</w:t>
            </w:r>
          </w:p>
        </w:tc>
        <w:tc>
          <w:tcPr>
            <w:tcW w:w="115"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24"/>
              <w:jc w:val="right"/>
              <w:rPr>
                <w:rFonts w:ascii="Arial" w:hAnsi="Arial" w:cs="Arial" w:eastAsia="Arial" w:hint="default"/>
                <w:sz w:val="20"/>
                <w:szCs w:val="20"/>
              </w:rPr>
            </w:pPr>
            <w:r>
              <w:rPr>
                <w:rFonts w:ascii="Arial"/>
                <w:w w:val="100"/>
                <w:sz w:val="20"/>
              </w:rPr>
              <w:t>-</w:t>
            </w:r>
          </w:p>
        </w:tc>
        <w:tc>
          <w:tcPr>
            <w:tcW w:w="137"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23" w:right="0"/>
              <w:jc w:val="left"/>
              <w:rPr>
                <w:rFonts w:ascii="Arial" w:hAnsi="Arial" w:cs="Arial" w:eastAsia="Arial" w:hint="default"/>
                <w:sz w:val="20"/>
                <w:szCs w:val="20"/>
              </w:rPr>
            </w:pPr>
            <w:r>
              <w:rPr>
                <w:rFonts w:ascii="Arial"/>
                <w:sz w:val="20"/>
              </w:rPr>
              <w:t>15.42</w:t>
            </w:r>
          </w:p>
        </w:tc>
        <w:tc>
          <w:tcPr>
            <w:tcW w:w="118"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62"/>
              <w:jc w:val="right"/>
              <w:rPr>
                <w:rFonts w:ascii="Arial" w:hAnsi="Arial" w:cs="Arial" w:eastAsia="Arial" w:hint="default"/>
                <w:sz w:val="20"/>
                <w:szCs w:val="20"/>
              </w:rPr>
            </w:pPr>
            <w:r>
              <w:rPr>
                <w:rFonts w:ascii="Arial"/>
                <w:spacing w:val="-1"/>
                <w:sz w:val="20"/>
              </w:rPr>
              <w:t>(1,806,000)</w:t>
            </w:r>
          </w:p>
        </w:tc>
      </w:tr>
      <w:tr>
        <w:trPr>
          <w:trHeight w:val="428"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29" w:lineRule="exact"/>
              <w:ind w:left="200" w:right="0"/>
              <w:jc w:val="left"/>
              <w:rPr>
                <w:rFonts w:ascii="宋体" w:hAnsi="宋体" w:cs="宋体" w:eastAsia="宋体" w:hint="default"/>
                <w:sz w:val="20"/>
                <w:szCs w:val="20"/>
              </w:rPr>
            </w:pPr>
            <w:r>
              <w:rPr>
                <w:rFonts w:ascii="宋体" w:hAnsi="宋体" w:cs="宋体" w:eastAsia="宋体" w:hint="default"/>
                <w:sz w:val="20"/>
                <w:szCs w:val="20"/>
              </w:rPr>
              <w:t>行使</w:t>
            </w:r>
          </w:p>
        </w:tc>
        <w:tc>
          <w:tcPr>
            <w:tcW w:w="1829" w:type="dxa"/>
            <w:tcBorders>
              <w:top w:val="nil" w:sz="6" w:space="0" w:color="auto"/>
              <w:left w:val="nil" w:sz="6" w:space="0" w:color="auto"/>
              <w:bottom w:val="nil" w:sz="6" w:space="0" w:color="auto"/>
              <w:right w:val="nil" w:sz="6" w:space="0" w:color="auto"/>
            </w:tcBorders>
          </w:tcPr>
          <w:p>
            <w:pPr>
              <w:pStyle w:val="TableParagraph"/>
              <w:tabs>
                <w:tab w:pos="1310" w:val="left" w:leader="none"/>
                <w:tab w:pos="1827" w:val="left" w:leader="none"/>
              </w:tabs>
              <w:spacing w:line="240" w:lineRule="auto" w:before="26"/>
              <w:ind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6.35</w:t>
              <w:tab/>
            </w:r>
            <w:r>
              <w:rPr>
                <w:rFonts w:ascii="Arial"/>
                <w:sz w:val="20"/>
              </w:rPr>
            </w:r>
          </w:p>
        </w:tc>
        <w:tc>
          <w:tcPr>
            <w:tcW w:w="115"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tabs>
                <w:tab w:pos="604" w:val="left" w:leader="none"/>
                <w:tab w:pos="1521" w:val="left" w:leader="none"/>
              </w:tabs>
              <w:spacing w:line="240" w:lineRule="auto" w:before="26"/>
              <w:ind w:right="-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(150,000)</w:t>
              <w:tab/>
            </w:r>
            <w:r>
              <w:rPr>
                <w:rFonts w:ascii="Arial"/>
                <w:spacing w:val="-1"/>
                <w:sz w:val="20"/>
              </w:rPr>
            </w:r>
          </w:p>
        </w:tc>
        <w:tc>
          <w:tcPr>
            <w:tcW w:w="137"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tabs>
                <w:tab w:pos="1223" w:val="left" w:leader="none"/>
                <w:tab w:pos="1869" w:val="left" w:leader="none"/>
              </w:tabs>
              <w:spacing w:line="240" w:lineRule="auto" w:before="26"/>
              <w:ind w:left="7"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14.77</w:t>
              <w:tab/>
            </w:r>
            <w:r>
              <w:rPr>
                <w:rFonts w:ascii="Arial"/>
                <w:sz w:val="20"/>
              </w:rPr>
            </w:r>
          </w:p>
        </w:tc>
        <w:tc>
          <w:tcPr>
            <w:tcW w:w="118"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Style w:val="TableParagraph"/>
              <w:tabs>
                <w:tab w:pos="365" w:val="left" w:leader="none"/>
                <w:tab w:pos="1453" w:val="left" w:leader="none"/>
              </w:tabs>
              <w:spacing w:line="240" w:lineRule="auto" w:before="26"/>
              <w:ind w:right="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(2,724,960)</w:t>
              <w:tab/>
            </w:r>
            <w:r>
              <w:rPr>
                <w:rFonts w:ascii="Arial"/>
                <w:spacing w:val="-1"/>
                <w:sz w:val="20"/>
              </w:rPr>
            </w:r>
          </w:p>
        </w:tc>
      </w:tr>
      <w:tr>
        <w:trPr>
          <w:trHeight w:val="428"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00" w:right="0"/>
              <w:jc w:val="left"/>
              <w:rPr>
                <w:rFonts w:ascii="宋体" w:hAnsi="宋体" w:cs="宋体" w:eastAsia="宋体" w:hint="default"/>
                <w:sz w:val="20"/>
                <w:szCs w:val="20"/>
              </w:rPr>
            </w:pPr>
            <w:r>
              <w:rPr>
                <w:rFonts w:ascii="宋体" w:hAnsi="宋体" w:cs="宋体" w:eastAsia="宋体" w:hint="default"/>
                <w:sz w:val="20"/>
                <w:szCs w:val="20"/>
              </w:rPr>
              <w:t>年末余额</w:t>
            </w:r>
          </w:p>
        </w:tc>
        <w:tc>
          <w:tcPr>
            <w:tcW w:w="1829" w:type="dxa"/>
            <w:tcBorders>
              <w:top w:val="nil" w:sz="6" w:space="0" w:color="auto"/>
              <w:left w:val="nil" w:sz="6" w:space="0" w:color="auto"/>
              <w:bottom w:val="single" w:sz="17" w:space="0" w:color="000000"/>
              <w:right w:val="nil" w:sz="6" w:space="0" w:color="auto"/>
            </w:tcBorders>
          </w:tcPr>
          <w:p>
            <w:pPr>
              <w:pStyle w:val="TableParagraph"/>
              <w:spacing w:line="240" w:lineRule="auto" w:before="173"/>
              <w:ind w:right="126"/>
              <w:jc w:val="right"/>
              <w:rPr>
                <w:rFonts w:ascii="Arial" w:hAnsi="Arial" w:cs="Arial" w:eastAsia="Arial" w:hint="default"/>
                <w:sz w:val="20"/>
                <w:szCs w:val="20"/>
              </w:rPr>
            </w:pPr>
            <w:r>
              <w:rPr>
                <w:rFonts w:ascii="Arial"/>
                <w:sz w:val="20"/>
              </w:rPr>
              <w:t>6.49</w:t>
            </w:r>
          </w:p>
        </w:tc>
        <w:tc>
          <w:tcPr>
            <w:tcW w:w="115"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single" w:sz="17" w:space="0" w:color="000000"/>
              <w:right w:val="nil" w:sz="6" w:space="0" w:color="auto"/>
            </w:tcBorders>
          </w:tcPr>
          <w:p>
            <w:pPr>
              <w:pStyle w:val="TableParagraph"/>
              <w:spacing w:line="240" w:lineRule="auto" w:before="173"/>
              <w:ind w:left="281" w:right="0"/>
              <w:jc w:val="left"/>
              <w:rPr>
                <w:rFonts w:ascii="Arial" w:hAnsi="Arial" w:cs="Arial" w:eastAsia="Arial" w:hint="default"/>
                <w:sz w:val="20"/>
                <w:szCs w:val="20"/>
              </w:rPr>
            </w:pPr>
            <w:r>
              <w:rPr>
                <w:rFonts w:ascii="Arial"/>
                <w:sz w:val="20"/>
              </w:rPr>
              <w:t>391,331,158</w:t>
            </w:r>
          </w:p>
        </w:tc>
        <w:tc>
          <w:tcPr>
            <w:tcW w:w="137"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17" w:space="0" w:color="000000"/>
              <w:right w:val="nil" w:sz="6" w:space="0" w:color="auto"/>
            </w:tcBorders>
          </w:tcPr>
          <w:p>
            <w:pPr>
              <w:pStyle w:val="TableParagraph"/>
              <w:spacing w:line="240" w:lineRule="auto" w:before="173"/>
              <w:ind w:right="142"/>
              <w:jc w:val="right"/>
              <w:rPr>
                <w:rFonts w:ascii="Arial" w:hAnsi="Arial" w:cs="Arial" w:eastAsia="Arial" w:hint="default"/>
                <w:sz w:val="20"/>
                <w:szCs w:val="20"/>
              </w:rPr>
            </w:pPr>
            <w:r>
              <w:rPr>
                <w:rFonts w:ascii="Arial"/>
                <w:sz w:val="20"/>
              </w:rPr>
              <w:t>6.49</w:t>
            </w:r>
          </w:p>
        </w:tc>
        <w:tc>
          <w:tcPr>
            <w:tcW w:w="118"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single" w:sz="17" w:space="0" w:color="000000"/>
              <w:right w:val="nil" w:sz="6" w:space="0" w:color="auto"/>
            </w:tcBorders>
          </w:tcPr>
          <w:p>
            <w:pPr>
              <w:pStyle w:val="TableParagraph"/>
              <w:spacing w:line="240" w:lineRule="auto" w:before="173"/>
              <w:ind w:left="210" w:right="0"/>
              <w:jc w:val="left"/>
              <w:rPr>
                <w:rFonts w:ascii="Arial" w:hAnsi="Arial" w:cs="Arial" w:eastAsia="Arial" w:hint="default"/>
                <w:sz w:val="20"/>
                <w:szCs w:val="20"/>
              </w:rPr>
            </w:pPr>
            <w:r>
              <w:rPr>
                <w:rFonts w:ascii="Arial"/>
                <w:sz w:val="20"/>
              </w:rPr>
              <w:t>391,481,158</w:t>
            </w:r>
          </w:p>
        </w:tc>
      </w:tr>
      <w:tr>
        <w:trPr>
          <w:trHeight w:val="326"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00" w:right="0"/>
              <w:jc w:val="left"/>
              <w:rPr>
                <w:rFonts w:ascii="宋体" w:hAnsi="宋体" w:cs="宋体" w:eastAsia="宋体" w:hint="default"/>
                <w:sz w:val="20"/>
                <w:szCs w:val="20"/>
              </w:rPr>
            </w:pPr>
            <w:r>
              <w:rPr>
                <w:rFonts w:ascii="宋体" w:hAnsi="宋体" w:cs="宋体" w:eastAsia="宋体" w:hint="default"/>
                <w:sz w:val="20"/>
                <w:szCs w:val="20"/>
              </w:rPr>
              <w:t>可于期末行权</w:t>
            </w:r>
          </w:p>
        </w:tc>
        <w:tc>
          <w:tcPr>
            <w:tcW w:w="1829" w:type="dxa"/>
            <w:tcBorders>
              <w:top w:val="single" w:sz="17" w:space="0" w:color="000000"/>
              <w:left w:val="nil" w:sz="6" w:space="0" w:color="auto"/>
              <w:bottom w:val="single" w:sz="17" w:space="0" w:color="000000"/>
              <w:right w:val="nil" w:sz="6" w:space="0" w:color="auto"/>
            </w:tcBorders>
          </w:tcPr>
          <w:p>
            <w:pPr>
              <w:pStyle w:val="TableParagraph"/>
              <w:spacing w:line="240" w:lineRule="auto" w:before="49"/>
              <w:ind w:right="126"/>
              <w:jc w:val="right"/>
              <w:rPr>
                <w:rFonts w:ascii="Arial" w:hAnsi="Arial" w:cs="Arial" w:eastAsia="Arial" w:hint="default"/>
                <w:sz w:val="20"/>
                <w:szCs w:val="20"/>
              </w:rPr>
            </w:pPr>
            <w:r>
              <w:rPr>
                <w:rFonts w:ascii="Arial"/>
                <w:sz w:val="20"/>
              </w:rPr>
              <w:t>6.49</w:t>
            </w:r>
          </w:p>
        </w:tc>
        <w:tc>
          <w:tcPr>
            <w:tcW w:w="115" w:type="dxa"/>
            <w:tcBorders>
              <w:top w:val="nil" w:sz="6" w:space="0" w:color="auto"/>
              <w:left w:val="nil" w:sz="6" w:space="0" w:color="auto"/>
              <w:bottom w:val="nil" w:sz="6" w:space="0" w:color="auto"/>
              <w:right w:val="nil" w:sz="6" w:space="0" w:color="auto"/>
            </w:tcBorders>
          </w:tcPr>
          <w:p>
            <w:pPr/>
          </w:p>
        </w:tc>
        <w:tc>
          <w:tcPr>
            <w:tcW w:w="1522" w:type="dxa"/>
            <w:tcBorders>
              <w:top w:val="single" w:sz="17" w:space="0" w:color="000000"/>
              <w:left w:val="nil" w:sz="6" w:space="0" w:color="auto"/>
              <w:bottom w:val="single" w:sz="17" w:space="0" w:color="000000"/>
              <w:right w:val="nil" w:sz="6" w:space="0" w:color="auto"/>
            </w:tcBorders>
          </w:tcPr>
          <w:p>
            <w:pPr>
              <w:pStyle w:val="TableParagraph"/>
              <w:spacing w:line="240" w:lineRule="auto" w:before="49"/>
              <w:ind w:left="281" w:right="0"/>
              <w:jc w:val="left"/>
              <w:rPr>
                <w:rFonts w:ascii="Arial" w:hAnsi="Arial" w:cs="Arial" w:eastAsia="Arial" w:hint="default"/>
                <w:sz w:val="20"/>
                <w:szCs w:val="20"/>
              </w:rPr>
            </w:pPr>
            <w:r>
              <w:rPr>
                <w:rFonts w:ascii="Arial"/>
                <w:sz w:val="20"/>
              </w:rPr>
              <w:t>391,331,158</w:t>
            </w:r>
          </w:p>
        </w:tc>
        <w:tc>
          <w:tcPr>
            <w:tcW w:w="137" w:type="dxa"/>
            <w:tcBorders>
              <w:top w:val="nil" w:sz="6" w:space="0" w:color="auto"/>
              <w:left w:val="nil" w:sz="6" w:space="0" w:color="auto"/>
              <w:bottom w:val="nil" w:sz="6" w:space="0" w:color="auto"/>
              <w:right w:val="nil" w:sz="6" w:space="0" w:color="auto"/>
            </w:tcBorders>
          </w:tcPr>
          <w:p>
            <w:pPr/>
          </w:p>
        </w:tc>
        <w:tc>
          <w:tcPr>
            <w:tcW w:w="1870" w:type="dxa"/>
            <w:tcBorders>
              <w:top w:val="single" w:sz="17" w:space="0" w:color="000000"/>
              <w:left w:val="nil" w:sz="6" w:space="0" w:color="auto"/>
              <w:bottom w:val="single" w:sz="17" w:space="0" w:color="000000"/>
              <w:right w:val="nil" w:sz="6" w:space="0" w:color="auto"/>
            </w:tcBorders>
          </w:tcPr>
          <w:p>
            <w:pPr>
              <w:pStyle w:val="TableParagraph"/>
              <w:spacing w:line="240" w:lineRule="auto" w:before="49"/>
              <w:ind w:right="142"/>
              <w:jc w:val="right"/>
              <w:rPr>
                <w:rFonts w:ascii="Arial" w:hAnsi="Arial" w:cs="Arial" w:eastAsia="Arial" w:hint="default"/>
                <w:sz w:val="20"/>
                <w:szCs w:val="20"/>
              </w:rPr>
            </w:pPr>
            <w:r>
              <w:rPr>
                <w:rFonts w:ascii="Arial"/>
                <w:sz w:val="20"/>
              </w:rPr>
              <w:t>6.49</w:t>
            </w:r>
          </w:p>
        </w:tc>
        <w:tc>
          <w:tcPr>
            <w:tcW w:w="118" w:type="dxa"/>
            <w:tcBorders>
              <w:top w:val="nil" w:sz="6" w:space="0" w:color="auto"/>
              <w:left w:val="nil" w:sz="6" w:space="0" w:color="auto"/>
              <w:bottom w:val="nil" w:sz="6" w:space="0" w:color="auto"/>
              <w:right w:val="nil" w:sz="6" w:space="0" w:color="auto"/>
            </w:tcBorders>
          </w:tcPr>
          <w:p>
            <w:pPr/>
          </w:p>
        </w:tc>
        <w:tc>
          <w:tcPr>
            <w:tcW w:w="1453" w:type="dxa"/>
            <w:tcBorders>
              <w:top w:val="single" w:sz="17" w:space="0" w:color="000000"/>
              <w:left w:val="nil" w:sz="6" w:space="0" w:color="auto"/>
              <w:bottom w:val="single" w:sz="17" w:space="0" w:color="000000"/>
              <w:right w:val="nil" w:sz="6" w:space="0" w:color="auto"/>
            </w:tcBorders>
          </w:tcPr>
          <w:p>
            <w:pPr>
              <w:pStyle w:val="TableParagraph"/>
              <w:spacing w:line="240" w:lineRule="auto" w:before="49"/>
              <w:ind w:left="210" w:right="0"/>
              <w:jc w:val="left"/>
              <w:rPr>
                <w:rFonts w:ascii="Arial" w:hAnsi="Arial" w:cs="Arial" w:eastAsia="Arial" w:hint="default"/>
                <w:sz w:val="20"/>
                <w:szCs w:val="20"/>
              </w:rPr>
            </w:pPr>
            <w:r>
              <w:rPr>
                <w:rFonts w:ascii="Arial"/>
                <w:sz w:val="20"/>
              </w:rPr>
              <w:t>391,481,158</w:t>
            </w:r>
          </w:p>
        </w:tc>
      </w:tr>
    </w:tbl>
    <w:p>
      <w:pPr>
        <w:spacing w:line="240" w:lineRule="auto" w:before="2"/>
        <w:rPr>
          <w:rFonts w:ascii="宋体" w:hAnsi="宋体" w:cs="宋体" w:eastAsia="宋体" w:hint="default"/>
          <w:sz w:val="14"/>
          <w:szCs w:val="14"/>
        </w:rPr>
      </w:pPr>
    </w:p>
    <w:p>
      <w:pPr>
        <w:pStyle w:val="BodyText"/>
        <w:spacing w:line="294" w:lineRule="exact" w:before="31"/>
        <w:ind w:left="564" w:right="0"/>
        <w:jc w:val="left"/>
      </w:pPr>
      <w:r>
        <w:rPr>
          <w:spacing w:val="14"/>
        </w:rPr>
        <w:t>于</w:t>
      </w:r>
      <w:r>
        <w:rPr>
          <w:rFonts w:ascii="Arial" w:hAnsi="Arial" w:cs="Arial" w:eastAsia="Arial" w:hint="default"/>
          <w:spacing w:val="14"/>
        </w:rPr>
        <w:t>2012</w:t>
      </w:r>
      <w:r>
        <w:rPr>
          <w:spacing w:val="14"/>
        </w:rPr>
        <w:t>年度，个别联通红筹公司的员工行使股份期权导致联通红筹公司普通股股数增加</w:t>
      </w:r>
    </w:p>
    <w:p>
      <w:pPr>
        <w:pStyle w:val="BodyText"/>
        <w:spacing w:line="285" w:lineRule="exact"/>
        <w:ind w:left="564" w:right="0"/>
        <w:jc w:val="left"/>
      </w:pPr>
      <w:r>
        <w:rPr>
          <w:rFonts w:ascii="Arial" w:hAnsi="Arial" w:cs="Arial" w:eastAsia="Arial" w:hint="default"/>
          <w:spacing w:val="2"/>
        </w:rPr>
        <w:t>150,000</w:t>
      </w:r>
      <w:r>
        <w:rPr>
          <w:spacing w:val="2"/>
        </w:rPr>
        <w:t>股（</w:t>
      </w:r>
      <w:r>
        <w:rPr>
          <w:rFonts w:ascii="Arial" w:hAnsi="Arial" w:cs="Arial" w:eastAsia="Arial" w:hint="default"/>
          <w:spacing w:val="2"/>
        </w:rPr>
        <w:t>2011</w:t>
      </w:r>
      <w:r>
        <w:rPr>
          <w:spacing w:val="2"/>
        </w:rPr>
        <w:t>年度：</w:t>
      </w:r>
      <w:r>
        <w:rPr>
          <w:rFonts w:ascii="Arial" w:hAnsi="Arial" w:cs="Arial" w:eastAsia="Arial" w:hint="default"/>
          <w:spacing w:val="2"/>
        </w:rPr>
        <w:t>2,724,960</w:t>
      </w:r>
      <w:r>
        <w:rPr>
          <w:spacing w:val="2"/>
        </w:rPr>
        <w:t>股），联通红筹公司因此收到的现金折合约人民币</w:t>
      </w:r>
      <w:r>
        <w:rPr>
          <w:rFonts w:ascii="Arial" w:hAnsi="Arial" w:cs="Arial" w:eastAsia="Arial" w:hint="default"/>
          <w:spacing w:val="2"/>
        </w:rPr>
        <w:t>77</w:t>
      </w:r>
      <w:r>
        <w:rPr>
          <w:spacing w:val="2"/>
        </w:rPr>
        <w:t>万元</w:t>
      </w:r>
      <w:r>
        <w:rPr/>
      </w:r>
    </w:p>
    <w:p>
      <w:pPr>
        <w:pStyle w:val="BodyText"/>
        <w:spacing w:line="427" w:lineRule="auto"/>
        <w:ind w:left="564" w:right="4775"/>
        <w:jc w:val="left"/>
      </w:pPr>
      <w:r>
        <w:rPr/>
        <w:t>（</w:t>
      </w:r>
      <w:r>
        <w:rPr>
          <w:rFonts w:ascii="Arial" w:hAnsi="Arial" w:cs="Arial" w:eastAsia="Arial" w:hint="default"/>
        </w:rPr>
        <w:t>2011</w:t>
      </w:r>
      <w:r>
        <w:rPr/>
        <w:t>年度：约人民币</w:t>
      </w:r>
      <w:r>
        <w:rPr>
          <w:rFonts w:ascii="Arial" w:hAnsi="Arial" w:cs="Arial" w:eastAsia="Arial" w:hint="default"/>
        </w:rPr>
        <w:t>3,342</w:t>
      </w:r>
      <w:r>
        <w:rPr/>
        <w:t>万元）。</w:t>
      </w:r>
      <w:r>
        <w:rPr>
          <w:w w:val="99"/>
        </w:rPr>
        <w:t> </w:t>
      </w:r>
      <w:r>
        <w:rPr/>
        <w:t>于</w:t>
      </w:r>
      <w:r>
        <w:rPr>
          <w:rFonts w:ascii="Arial" w:hAnsi="Arial" w:cs="Arial" w:eastAsia="Arial" w:hint="default"/>
        </w:rPr>
        <w:t>2012</w:t>
      </w:r>
      <w:r>
        <w:rPr/>
        <w:t>年度，股份期权的详细行使情况如下：</w:t>
      </w:r>
    </w:p>
    <w:p>
      <w:pPr>
        <w:spacing w:line="240" w:lineRule="auto" w:before="6"/>
        <w:rPr>
          <w:rFonts w:ascii="宋体" w:hAnsi="宋体" w:cs="宋体" w:eastAsia="宋体" w:hint="default"/>
          <w:sz w:val="9"/>
          <w:szCs w:val="9"/>
        </w:rPr>
      </w:pPr>
    </w:p>
    <w:tbl>
      <w:tblPr>
        <w:tblW w:w="0" w:type="auto"/>
        <w:jc w:val="left"/>
        <w:tblInd w:w="507" w:type="dxa"/>
        <w:tblLayout w:type="fixed"/>
        <w:tblCellMar>
          <w:top w:w="0" w:type="dxa"/>
          <w:left w:w="0" w:type="dxa"/>
          <w:bottom w:w="0" w:type="dxa"/>
          <w:right w:w="0" w:type="dxa"/>
        </w:tblCellMar>
        <w:tblLook w:val="01E0"/>
      </w:tblPr>
      <w:tblGrid>
        <w:gridCol w:w="1935"/>
        <w:gridCol w:w="126"/>
        <w:gridCol w:w="1404"/>
        <w:gridCol w:w="131"/>
        <w:gridCol w:w="2120"/>
        <w:gridCol w:w="124"/>
        <w:gridCol w:w="1586"/>
        <w:gridCol w:w="124"/>
        <w:gridCol w:w="1553"/>
      </w:tblGrid>
      <w:tr>
        <w:trPr>
          <w:trHeight w:val="755" w:hRule="exact"/>
        </w:trPr>
        <w:tc>
          <w:tcPr>
            <w:tcW w:w="1935"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2" w:right="0"/>
              <w:jc w:val="left"/>
              <w:rPr>
                <w:rFonts w:ascii="宋体" w:hAnsi="宋体" w:cs="宋体" w:eastAsia="宋体" w:hint="default"/>
                <w:sz w:val="20"/>
                <w:szCs w:val="20"/>
              </w:rPr>
            </w:pPr>
            <w:r>
              <w:rPr>
                <w:rFonts w:ascii="宋体" w:hAnsi="宋体" w:cs="宋体" w:eastAsia="宋体" w:hint="default"/>
                <w:sz w:val="20"/>
                <w:szCs w:val="20"/>
              </w:rPr>
              <w:t>期权授予日</w:t>
            </w:r>
          </w:p>
        </w:tc>
        <w:tc>
          <w:tcPr>
            <w:tcW w:w="126"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60" w:lineRule="exact"/>
              <w:ind w:left="741" w:right="59" w:hanging="201"/>
              <w:jc w:val="left"/>
              <w:rPr>
                <w:rFonts w:ascii="宋体" w:hAnsi="宋体" w:cs="宋体" w:eastAsia="宋体" w:hint="default"/>
                <w:sz w:val="20"/>
                <w:szCs w:val="20"/>
              </w:rPr>
            </w:pPr>
            <w:r>
              <w:rPr>
                <w:rFonts w:ascii="宋体" w:hAnsi="宋体" w:cs="宋体" w:eastAsia="宋体" w:hint="default"/>
                <w:sz w:val="20"/>
                <w:szCs w:val="20"/>
              </w:rPr>
              <w:t>行使价格</w:t>
            </w:r>
            <w:r>
              <w:rPr>
                <w:rFonts w:ascii="宋体" w:hAnsi="宋体" w:cs="宋体" w:eastAsia="宋体" w:hint="default"/>
                <w:w w:val="100"/>
                <w:sz w:val="20"/>
                <w:szCs w:val="20"/>
              </w:rPr>
              <w:t> </w:t>
            </w:r>
            <w:r>
              <w:rPr>
                <w:rFonts w:ascii="宋体" w:hAnsi="宋体" w:cs="宋体" w:eastAsia="宋体" w:hint="default"/>
                <w:sz w:val="20"/>
                <w:szCs w:val="20"/>
              </w:rPr>
              <w:t>港币元</w:t>
            </w:r>
          </w:p>
        </w:tc>
        <w:tc>
          <w:tcPr>
            <w:tcW w:w="131"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single" w:sz="6" w:space="0" w:color="000000"/>
              <w:right w:val="nil" w:sz="6" w:space="0" w:color="auto"/>
            </w:tcBorders>
          </w:tcPr>
          <w:p>
            <w:pPr>
              <w:pStyle w:val="TableParagraph"/>
              <w:spacing w:line="199" w:lineRule="exact"/>
              <w:ind w:right="59"/>
              <w:jc w:val="right"/>
              <w:rPr>
                <w:rFonts w:ascii="宋体" w:hAnsi="宋体" w:cs="宋体" w:eastAsia="宋体" w:hint="default"/>
                <w:sz w:val="20"/>
                <w:szCs w:val="20"/>
              </w:rPr>
            </w:pPr>
            <w:r>
              <w:rPr>
                <w:rFonts w:ascii="宋体" w:hAnsi="宋体" w:cs="宋体" w:eastAsia="宋体" w:hint="default"/>
                <w:spacing w:val="-1"/>
                <w:sz w:val="20"/>
                <w:szCs w:val="20"/>
              </w:rPr>
              <w:t>紧贴期权行使日期前的</w:t>
            </w:r>
          </w:p>
          <w:p>
            <w:pPr>
              <w:pStyle w:val="TableParagraph"/>
              <w:spacing w:line="259" w:lineRule="exact"/>
              <w:ind w:right="59"/>
              <w:jc w:val="right"/>
              <w:rPr>
                <w:rFonts w:ascii="宋体" w:hAnsi="宋体" w:cs="宋体" w:eastAsia="宋体" w:hint="default"/>
                <w:sz w:val="20"/>
                <w:szCs w:val="20"/>
              </w:rPr>
            </w:pPr>
            <w:r>
              <w:rPr>
                <w:rFonts w:ascii="宋体" w:hAnsi="宋体" w:cs="宋体" w:eastAsia="宋体" w:hint="default"/>
                <w:spacing w:val="-1"/>
                <w:sz w:val="20"/>
                <w:szCs w:val="20"/>
              </w:rPr>
              <w:t>加权平均每股收市价</w:t>
            </w:r>
          </w:p>
          <w:p>
            <w:pPr>
              <w:pStyle w:val="TableParagraph"/>
              <w:spacing w:line="260" w:lineRule="exact"/>
              <w:ind w:right="59"/>
              <w:jc w:val="right"/>
              <w:rPr>
                <w:rFonts w:ascii="宋体" w:hAnsi="宋体" w:cs="宋体" w:eastAsia="宋体" w:hint="default"/>
                <w:sz w:val="20"/>
                <w:szCs w:val="20"/>
              </w:rPr>
            </w:pPr>
            <w:r>
              <w:rPr>
                <w:rFonts w:ascii="宋体" w:hAnsi="宋体" w:cs="宋体" w:eastAsia="宋体" w:hint="default"/>
                <w:sz w:val="20"/>
                <w:szCs w:val="20"/>
              </w:rPr>
              <w:t>港币元</w:t>
            </w:r>
          </w:p>
        </w:tc>
        <w:tc>
          <w:tcPr>
            <w:tcW w:w="124"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60" w:lineRule="exact"/>
              <w:ind w:left="926" w:right="56" w:hanging="201"/>
              <w:jc w:val="left"/>
              <w:rPr>
                <w:rFonts w:ascii="宋体" w:hAnsi="宋体" w:cs="宋体" w:eastAsia="宋体" w:hint="default"/>
                <w:sz w:val="20"/>
                <w:szCs w:val="20"/>
              </w:rPr>
            </w:pPr>
            <w:r>
              <w:rPr>
                <w:rFonts w:ascii="宋体" w:hAnsi="宋体" w:cs="宋体" w:eastAsia="宋体" w:hint="default"/>
                <w:sz w:val="20"/>
                <w:szCs w:val="20"/>
              </w:rPr>
              <w:t>收到现金</w:t>
            </w:r>
            <w:r>
              <w:rPr>
                <w:rFonts w:ascii="宋体" w:hAnsi="宋体" w:cs="宋体" w:eastAsia="宋体" w:hint="default"/>
                <w:w w:val="100"/>
                <w:sz w:val="20"/>
                <w:szCs w:val="20"/>
              </w:rPr>
              <w:t> </w:t>
            </w:r>
            <w:r>
              <w:rPr>
                <w:rFonts w:ascii="宋体" w:hAnsi="宋体" w:cs="宋体" w:eastAsia="宋体" w:hint="default"/>
                <w:sz w:val="20"/>
                <w:szCs w:val="20"/>
              </w:rPr>
              <w:t>港币元</w:t>
            </w:r>
          </w:p>
        </w:tc>
        <w:tc>
          <w:tcPr>
            <w:tcW w:w="124"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6"/>
              <w:jc w:val="right"/>
              <w:rPr>
                <w:rFonts w:ascii="宋体" w:hAnsi="宋体" w:cs="宋体" w:eastAsia="宋体" w:hint="default"/>
                <w:sz w:val="20"/>
                <w:szCs w:val="20"/>
              </w:rPr>
            </w:pPr>
            <w:r>
              <w:rPr>
                <w:rFonts w:ascii="宋体" w:hAnsi="宋体" w:cs="宋体" w:eastAsia="宋体" w:hint="default"/>
                <w:sz w:val="20"/>
                <w:szCs w:val="20"/>
              </w:rPr>
              <w:t>股数</w:t>
            </w:r>
          </w:p>
        </w:tc>
      </w:tr>
      <w:tr>
        <w:trPr>
          <w:trHeight w:val="643" w:hRule="exact"/>
        </w:trPr>
        <w:tc>
          <w:tcPr>
            <w:tcW w:w="1935"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82" w:right="0"/>
              <w:jc w:val="left"/>
              <w:rPr>
                <w:rFonts w:ascii="宋体" w:hAnsi="宋体" w:cs="宋体" w:eastAsia="宋体" w:hint="default"/>
                <w:sz w:val="20"/>
                <w:szCs w:val="20"/>
              </w:rPr>
            </w:pPr>
            <w:r>
              <w:rPr>
                <w:rFonts w:ascii="Arial" w:hAnsi="Arial" w:cs="Arial" w:eastAsia="Arial" w:hint="default"/>
                <w:sz w:val="20"/>
                <w:szCs w:val="20"/>
              </w:rPr>
              <w:t>2006</w:t>
            </w:r>
            <w:r>
              <w:rPr>
                <w:rFonts w:ascii="Arial" w:hAnsi="Arial" w:cs="Arial" w:eastAsia="Arial"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15</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126" w:type="dxa"/>
            <w:tcBorders>
              <w:top w:val="nil" w:sz="6" w:space="0" w:color="auto"/>
              <w:left w:val="nil" w:sz="6" w:space="0" w:color="auto"/>
              <w:bottom w:val="nil" w:sz="6" w:space="0" w:color="auto"/>
              <w:right w:val="nil" w:sz="6" w:space="0" w:color="auto"/>
            </w:tcBorders>
          </w:tcPr>
          <w:p>
            <w:pPr/>
          </w:p>
        </w:tc>
        <w:tc>
          <w:tcPr>
            <w:tcW w:w="1404"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right="59"/>
              <w:jc w:val="right"/>
              <w:rPr>
                <w:rFonts w:ascii="Arial" w:hAnsi="Arial" w:cs="Arial" w:eastAsia="Arial" w:hint="default"/>
                <w:sz w:val="20"/>
                <w:szCs w:val="20"/>
              </w:rPr>
            </w:pPr>
            <w:r>
              <w:rPr>
                <w:rFonts w:ascii="Arial"/>
                <w:spacing w:val="-1"/>
                <w:sz w:val="20"/>
              </w:rPr>
              <w:t>6.35</w:t>
            </w:r>
          </w:p>
        </w:tc>
        <w:tc>
          <w:tcPr>
            <w:tcW w:w="131" w:type="dxa"/>
            <w:tcBorders>
              <w:top w:val="nil" w:sz="6" w:space="0" w:color="auto"/>
              <w:left w:val="nil" w:sz="6" w:space="0" w:color="auto"/>
              <w:bottom w:val="nil" w:sz="6" w:space="0" w:color="auto"/>
              <w:right w:val="nil" w:sz="6" w:space="0" w:color="auto"/>
            </w:tcBorders>
          </w:tcPr>
          <w:p>
            <w:pPr/>
          </w:p>
        </w:tc>
        <w:tc>
          <w:tcPr>
            <w:tcW w:w="2120"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right="86"/>
              <w:jc w:val="right"/>
              <w:rPr>
                <w:rFonts w:ascii="Arial" w:hAnsi="Arial" w:cs="Arial" w:eastAsia="Arial" w:hint="default"/>
                <w:sz w:val="20"/>
                <w:szCs w:val="20"/>
              </w:rPr>
            </w:pPr>
            <w:r>
              <w:rPr>
                <w:rFonts w:ascii="Arial"/>
                <w:spacing w:val="-1"/>
                <w:sz w:val="20"/>
              </w:rPr>
              <w:t>13.34</w:t>
            </w:r>
          </w:p>
        </w:tc>
        <w:tc>
          <w:tcPr>
            <w:tcW w:w="124" w:type="dxa"/>
            <w:tcBorders>
              <w:top w:val="nil" w:sz="6" w:space="0" w:color="auto"/>
              <w:left w:val="nil" w:sz="6" w:space="0" w:color="auto"/>
              <w:bottom w:val="nil" w:sz="6" w:space="0" w:color="auto"/>
              <w:right w:val="nil" w:sz="6" w:space="0" w:color="auto"/>
            </w:tcBorders>
          </w:tcPr>
          <w:p>
            <w:pPr/>
          </w:p>
        </w:tc>
        <w:tc>
          <w:tcPr>
            <w:tcW w:w="1586" w:type="dxa"/>
            <w:tcBorders>
              <w:top w:val="single" w:sz="6" w:space="0" w:color="000000"/>
              <w:left w:val="nil" w:sz="6" w:space="0" w:color="auto"/>
              <w:bottom w:val="single" w:sz="17" w:space="0" w:color="000000"/>
              <w:right w:val="nil" w:sz="6" w:space="0" w:color="auto"/>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773" w:right="0"/>
              <w:jc w:val="left"/>
              <w:rPr>
                <w:rFonts w:ascii="Arial" w:hAnsi="Arial" w:cs="Arial" w:eastAsia="Arial" w:hint="default"/>
                <w:sz w:val="20"/>
                <w:szCs w:val="20"/>
              </w:rPr>
            </w:pPr>
            <w:r>
              <w:rPr>
                <w:rFonts w:ascii="Arial"/>
                <w:sz w:val="20"/>
              </w:rPr>
              <w:t>952,500</w:t>
            </w:r>
          </w:p>
        </w:tc>
        <w:tc>
          <w:tcPr>
            <w:tcW w:w="124" w:type="dxa"/>
            <w:tcBorders>
              <w:top w:val="nil" w:sz="6" w:space="0" w:color="auto"/>
              <w:left w:val="nil" w:sz="6" w:space="0" w:color="auto"/>
              <w:bottom w:val="nil" w:sz="6" w:space="0" w:color="auto"/>
              <w:right w:val="nil" w:sz="6" w:space="0" w:color="auto"/>
            </w:tcBorders>
          </w:tcPr>
          <w:p>
            <w:pPr/>
          </w:p>
        </w:tc>
        <w:tc>
          <w:tcPr>
            <w:tcW w:w="1553" w:type="dxa"/>
            <w:tcBorders>
              <w:top w:val="single" w:sz="6" w:space="0" w:color="000000"/>
              <w:left w:val="nil" w:sz="6" w:space="0" w:color="auto"/>
              <w:bottom w:val="single" w:sz="17" w:space="0" w:color="000000"/>
              <w:right w:val="nil" w:sz="6" w:space="0" w:color="auto"/>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right="137"/>
              <w:jc w:val="right"/>
              <w:rPr>
                <w:rFonts w:ascii="Arial" w:hAnsi="Arial" w:cs="Arial" w:eastAsia="Arial" w:hint="default"/>
                <w:sz w:val="20"/>
                <w:szCs w:val="20"/>
              </w:rPr>
            </w:pPr>
            <w:r>
              <w:rPr>
                <w:rFonts w:ascii="Arial"/>
                <w:spacing w:val="-1"/>
                <w:sz w:val="20"/>
              </w:rPr>
              <w:t>150,000</w:t>
            </w:r>
          </w:p>
        </w:tc>
      </w:tr>
    </w:tbl>
    <w:p>
      <w:pPr>
        <w:spacing w:line="240" w:lineRule="auto" w:before="2"/>
        <w:rPr>
          <w:rFonts w:ascii="宋体" w:hAnsi="宋体" w:cs="宋体" w:eastAsia="宋体" w:hint="default"/>
          <w:sz w:val="14"/>
          <w:szCs w:val="14"/>
        </w:rPr>
      </w:pPr>
    </w:p>
    <w:p>
      <w:pPr>
        <w:pStyle w:val="BodyText"/>
        <w:spacing w:line="284" w:lineRule="exact" w:before="61"/>
        <w:ind w:left="561" w:right="0"/>
        <w:jc w:val="left"/>
      </w:pPr>
      <w:r>
        <w:rPr>
          <w:spacing w:val="-3"/>
        </w:rPr>
        <w:t>于</w:t>
      </w:r>
      <w:r>
        <w:rPr>
          <w:rFonts w:ascii="Arial" w:hAnsi="Arial" w:cs="Arial" w:eastAsia="Arial" w:hint="default"/>
          <w:spacing w:val="-3"/>
        </w:rPr>
        <w:t>2012</w:t>
      </w:r>
      <w:r>
        <w:rPr>
          <w:spacing w:val="-3"/>
        </w:rPr>
        <w:t>年度，于授予期内确认的以股份为基础的职工薪酬约人民币</w:t>
      </w:r>
      <w:r>
        <w:rPr>
          <w:rFonts w:ascii="Arial" w:hAnsi="Arial" w:cs="Arial" w:eastAsia="Arial" w:hint="default"/>
          <w:spacing w:val="-3"/>
        </w:rPr>
        <w:t>1,432</w:t>
      </w:r>
      <w:r>
        <w:rPr>
          <w:spacing w:val="-3"/>
        </w:rPr>
        <w:t>万元（</w:t>
      </w:r>
      <w:r>
        <w:rPr>
          <w:rFonts w:ascii="Arial" w:hAnsi="Arial" w:cs="Arial" w:eastAsia="Arial" w:hint="default"/>
          <w:spacing w:val="-3"/>
        </w:rPr>
        <w:t>2011</w:t>
      </w:r>
      <w:r>
        <w:rPr>
          <w:spacing w:val="-3"/>
        </w:rPr>
        <w:t>年：约人民</w:t>
      </w:r>
      <w:r>
        <w:rPr>
          <w:spacing w:val="-81"/>
        </w:rPr>
        <w:t> </w:t>
      </w:r>
      <w:r>
        <w:rPr>
          <w:spacing w:val="-81"/>
        </w:rPr>
      </w:r>
      <w:r>
        <w:rPr/>
        <w:t>币</w:t>
      </w:r>
      <w:r>
        <w:rPr>
          <w:rFonts w:ascii="Arial" w:hAnsi="Arial" w:cs="Arial" w:eastAsia="Arial" w:hint="default"/>
        </w:rPr>
        <w:t>1,736</w:t>
      </w:r>
      <w:r>
        <w:rPr/>
        <w:t>万元）。</w:t>
      </w:r>
    </w:p>
    <w:p>
      <w:pPr>
        <w:spacing w:after="0" w:line="284" w:lineRule="exact"/>
        <w:jc w:val="left"/>
        <w:sectPr>
          <w:headerReference w:type="default" r:id="rId127"/>
          <w:pgSz w:w="11910" w:h="16840"/>
          <w:pgMar w:header="1184" w:footer="457" w:top="3040" w:bottom="640" w:left="1280" w:right="820"/>
        </w:sectPr>
      </w:pPr>
    </w:p>
    <w:p>
      <w:pPr>
        <w:spacing w:line="240" w:lineRule="auto" w:before="12"/>
        <w:rPr>
          <w:rFonts w:ascii="宋体" w:hAnsi="宋体" w:cs="宋体" w:eastAsia="宋体" w:hint="default"/>
          <w:sz w:val="14"/>
          <w:szCs w:val="14"/>
        </w:rPr>
      </w:pPr>
    </w:p>
    <w:p>
      <w:pPr>
        <w:pStyle w:val="BodyText"/>
        <w:spacing w:line="388" w:lineRule="auto" w:before="31"/>
        <w:ind w:left="564" w:right="1289" w:hanging="462"/>
        <w:jc w:val="left"/>
      </w:pPr>
      <w:r>
        <w:rPr>
          <w:rFonts w:ascii="Arial" w:hAnsi="Arial" w:cs="Arial" w:eastAsia="Arial" w:hint="default"/>
        </w:rPr>
        <w:t>46</w:t>
      </w:r>
      <w:r>
        <w:rPr/>
        <w:t>、股份支付（续）</w:t>
      </w:r>
      <w:r>
        <w:rPr>
          <w:w w:val="99"/>
        </w:rPr>
        <w:t> </w:t>
      </w:r>
      <w:r>
        <w:rPr>
          <w:w w:val="95"/>
        </w:rPr>
        <w:t>于</w:t>
      </w:r>
      <w:r>
        <w:rPr>
          <w:rFonts w:ascii="Arial" w:hAnsi="Arial" w:cs="Arial" w:eastAsia="Arial" w:hint="default"/>
          <w:w w:val="95"/>
        </w:rPr>
        <w:t>2012</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日，联通红筹公司未行使的股份期权的信息列示如下：</w:t>
      </w:r>
      <w:r>
        <w:rPr/>
      </w:r>
    </w:p>
    <w:p>
      <w:pPr>
        <w:spacing w:line="240" w:lineRule="auto" w:before="10"/>
        <w:rPr>
          <w:rFonts w:ascii="宋体" w:hAnsi="宋体" w:cs="宋体" w:eastAsia="宋体" w:hint="default"/>
          <w:sz w:val="12"/>
          <w:szCs w:val="12"/>
        </w:rPr>
      </w:pPr>
    </w:p>
    <w:tbl>
      <w:tblPr>
        <w:tblW w:w="0" w:type="auto"/>
        <w:jc w:val="left"/>
        <w:tblInd w:w="552" w:type="dxa"/>
        <w:tblLayout w:type="fixed"/>
        <w:tblCellMar>
          <w:top w:w="0" w:type="dxa"/>
          <w:left w:w="0" w:type="dxa"/>
          <w:bottom w:w="0" w:type="dxa"/>
          <w:right w:w="0" w:type="dxa"/>
        </w:tblCellMar>
        <w:tblLook w:val="01E0"/>
      </w:tblPr>
      <w:tblGrid>
        <w:gridCol w:w="1558"/>
        <w:gridCol w:w="1952"/>
        <w:gridCol w:w="1890"/>
        <w:gridCol w:w="1270"/>
        <w:gridCol w:w="1278"/>
        <w:gridCol w:w="1340"/>
      </w:tblGrid>
      <w:tr>
        <w:trPr>
          <w:trHeight w:val="814" w:hRule="exact"/>
        </w:trPr>
        <w:tc>
          <w:tcPr>
            <w:tcW w:w="1558"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377" w:right="0"/>
              <w:jc w:val="left"/>
              <w:rPr>
                <w:rFonts w:ascii="宋体" w:hAnsi="宋体" w:cs="宋体" w:eastAsia="宋体" w:hint="default"/>
                <w:sz w:val="16"/>
                <w:szCs w:val="16"/>
              </w:rPr>
            </w:pPr>
            <w:r>
              <w:rPr>
                <w:rFonts w:ascii="宋体" w:hAnsi="宋体" w:cs="宋体" w:eastAsia="宋体" w:hint="default"/>
                <w:sz w:val="16"/>
                <w:szCs w:val="16"/>
              </w:rPr>
              <w:t>期权授予日</w:t>
            </w:r>
          </w:p>
        </w:tc>
        <w:tc>
          <w:tcPr>
            <w:tcW w:w="1952"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622" w:right="0"/>
              <w:jc w:val="left"/>
              <w:rPr>
                <w:rFonts w:ascii="宋体" w:hAnsi="宋体" w:cs="宋体" w:eastAsia="宋体" w:hint="default"/>
                <w:sz w:val="16"/>
                <w:szCs w:val="16"/>
              </w:rPr>
            </w:pPr>
            <w:r>
              <w:rPr>
                <w:rFonts w:ascii="宋体" w:hAnsi="宋体" w:cs="宋体" w:eastAsia="宋体" w:hint="default"/>
                <w:sz w:val="16"/>
                <w:szCs w:val="16"/>
              </w:rPr>
              <w:t>期权生效期</w:t>
            </w:r>
          </w:p>
        </w:tc>
        <w:tc>
          <w:tcPr>
            <w:tcW w:w="1890"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271" w:right="0"/>
              <w:jc w:val="left"/>
              <w:rPr>
                <w:rFonts w:ascii="宋体" w:hAnsi="宋体" w:cs="宋体" w:eastAsia="宋体" w:hint="default"/>
                <w:sz w:val="16"/>
                <w:szCs w:val="16"/>
              </w:rPr>
            </w:pPr>
            <w:r>
              <w:rPr>
                <w:rFonts w:ascii="宋体" w:hAnsi="宋体" w:cs="宋体" w:eastAsia="宋体" w:hint="default"/>
                <w:sz w:val="16"/>
                <w:szCs w:val="16"/>
              </w:rPr>
              <w:t>期权可行使期（注）</w:t>
            </w:r>
          </w:p>
        </w:tc>
        <w:tc>
          <w:tcPr>
            <w:tcW w:w="1270"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138" w:right="0"/>
              <w:jc w:val="left"/>
              <w:rPr>
                <w:rFonts w:ascii="宋体" w:hAnsi="宋体" w:cs="宋体" w:eastAsia="宋体" w:hint="default"/>
                <w:sz w:val="16"/>
                <w:szCs w:val="16"/>
              </w:rPr>
            </w:pPr>
            <w:r>
              <w:rPr>
                <w:rFonts w:ascii="宋体" w:hAnsi="宋体" w:cs="宋体" w:eastAsia="宋体" w:hint="default"/>
                <w:sz w:val="16"/>
                <w:szCs w:val="16"/>
              </w:rPr>
              <w:t>期权行使价格</w:t>
            </w:r>
          </w:p>
        </w:tc>
        <w:tc>
          <w:tcPr>
            <w:tcW w:w="1278" w:type="dxa"/>
            <w:tcBorders>
              <w:top w:val="nil" w:sz="6" w:space="0" w:color="auto"/>
              <w:left w:val="nil" w:sz="6" w:space="0" w:color="auto"/>
              <w:bottom w:val="single" w:sz="6" w:space="0" w:color="000000"/>
              <w:right w:val="nil" w:sz="6" w:space="0" w:color="auto"/>
            </w:tcBorders>
          </w:tcPr>
          <w:p>
            <w:pPr>
              <w:pStyle w:val="TableParagraph"/>
              <w:spacing w:line="164" w:lineRule="exact"/>
              <w:ind w:left="307" w:right="0"/>
              <w:jc w:val="both"/>
              <w:rPr>
                <w:rFonts w:ascii="宋体" w:hAnsi="宋体" w:cs="宋体" w:eastAsia="宋体" w:hint="default"/>
                <w:sz w:val="16"/>
                <w:szCs w:val="16"/>
              </w:rPr>
            </w:pPr>
            <w:r>
              <w:rPr>
                <w:rFonts w:ascii="宋体" w:hAnsi="宋体" w:cs="宋体" w:eastAsia="宋体" w:hint="default"/>
                <w:sz w:val="16"/>
                <w:szCs w:val="16"/>
              </w:rPr>
              <w:t>于</w:t>
            </w:r>
            <w:r>
              <w:rPr>
                <w:rFonts w:ascii="宋体" w:hAnsi="宋体" w:cs="宋体" w:eastAsia="宋体" w:hint="default"/>
                <w:spacing w:val="-42"/>
                <w:sz w:val="16"/>
                <w:szCs w:val="16"/>
              </w:rPr>
              <w:t> </w:t>
            </w:r>
            <w:r>
              <w:rPr>
                <w:rFonts w:ascii="Arial" w:hAnsi="Arial" w:cs="Arial" w:eastAsia="Arial" w:hint="default"/>
                <w:sz w:val="16"/>
                <w:szCs w:val="16"/>
              </w:rPr>
              <w:t>2012</w:t>
            </w:r>
            <w:r>
              <w:rPr>
                <w:rFonts w:ascii="Arial" w:hAnsi="Arial" w:cs="Arial" w:eastAsia="Arial" w:hint="default"/>
                <w:spacing w:val="-6"/>
                <w:sz w:val="16"/>
                <w:szCs w:val="16"/>
              </w:rPr>
              <w:t> </w:t>
            </w:r>
            <w:r>
              <w:rPr>
                <w:rFonts w:ascii="宋体" w:hAnsi="宋体" w:cs="宋体" w:eastAsia="宋体" w:hint="default"/>
                <w:sz w:val="16"/>
                <w:szCs w:val="16"/>
              </w:rPr>
              <w:t>年</w:t>
            </w:r>
          </w:p>
          <w:p>
            <w:pPr>
              <w:pStyle w:val="TableParagraph"/>
              <w:spacing w:line="230" w:lineRule="auto" w:before="1"/>
              <w:ind w:left="284" w:right="192" w:firstLine="2"/>
              <w:jc w:val="both"/>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r>
              <w:rPr>
                <w:rFonts w:ascii="宋体" w:hAnsi="宋体" w:cs="宋体" w:eastAsia="宋体" w:hint="default"/>
                <w:w w:val="99"/>
                <w:sz w:val="16"/>
                <w:szCs w:val="16"/>
              </w:rPr>
              <w:t> </w:t>
            </w:r>
            <w:r>
              <w:rPr>
                <w:rFonts w:ascii="宋体" w:hAnsi="宋体" w:cs="宋体" w:eastAsia="宋体" w:hint="default"/>
                <w:sz w:val="16"/>
                <w:szCs w:val="16"/>
              </w:rPr>
              <w:t>未行使股份</w:t>
            </w:r>
            <w:r>
              <w:rPr>
                <w:rFonts w:ascii="宋体" w:hAnsi="宋体" w:cs="宋体" w:eastAsia="宋体" w:hint="default"/>
                <w:w w:val="99"/>
                <w:sz w:val="16"/>
                <w:szCs w:val="16"/>
              </w:rPr>
              <w:t> </w:t>
            </w:r>
            <w:r>
              <w:rPr>
                <w:rFonts w:ascii="宋体" w:hAnsi="宋体" w:cs="宋体" w:eastAsia="宋体" w:hint="default"/>
                <w:sz w:val="16"/>
                <w:szCs w:val="16"/>
              </w:rPr>
              <w:t>期权份数</w:t>
            </w:r>
          </w:p>
        </w:tc>
        <w:tc>
          <w:tcPr>
            <w:tcW w:w="1340" w:type="dxa"/>
            <w:tcBorders>
              <w:top w:val="nil" w:sz="6" w:space="0" w:color="auto"/>
              <w:left w:val="nil" w:sz="6" w:space="0" w:color="auto"/>
              <w:bottom w:val="single" w:sz="6" w:space="0" w:color="000000"/>
              <w:right w:val="nil" w:sz="6" w:space="0" w:color="auto"/>
            </w:tcBorders>
          </w:tcPr>
          <w:p>
            <w:pPr>
              <w:pStyle w:val="TableParagraph"/>
              <w:spacing w:line="164" w:lineRule="exact"/>
              <w:ind w:left="338" w:right="0"/>
              <w:jc w:val="both"/>
              <w:rPr>
                <w:rFonts w:ascii="宋体" w:hAnsi="宋体" w:cs="宋体" w:eastAsia="宋体" w:hint="default"/>
                <w:sz w:val="16"/>
                <w:szCs w:val="16"/>
              </w:rPr>
            </w:pPr>
            <w:r>
              <w:rPr>
                <w:rFonts w:ascii="宋体" w:hAnsi="宋体" w:cs="宋体" w:eastAsia="宋体" w:hint="default"/>
                <w:sz w:val="16"/>
                <w:szCs w:val="16"/>
              </w:rPr>
              <w:t>于</w:t>
            </w:r>
            <w:r>
              <w:rPr>
                <w:rFonts w:ascii="宋体" w:hAnsi="宋体" w:cs="宋体" w:eastAsia="宋体" w:hint="default"/>
                <w:spacing w:val="-42"/>
                <w:sz w:val="16"/>
                <w:szCs w:val="16"/>
              </w:rPr>
              <w:t> </w:t>
            </w:r>
            <w:r>
              <w:rPr>
                <w:rFonts w:ascii="Arial" w:hAnsi="Arial" w:cs="Arial" w:eastAsia="Arial" w:hint="default"/>
                <w:sz w:val="16"/>
                <w:szCs w:val="16"/>
              </w:rPr>
              <w:t>2011</w:t>
            </w:r>
            <w:r>
              <w:rPr>
                <w:rFonts w:ascii="Arial" w:hAnsi="Arial" w:cs="Arial" w:eastAsia="Arial" w:hint="default"/>
                <w:spacing w:val="-6"/>
                <w:sz w:val="16"/>
                <w:szCs w:val="16"/>
              </w:rPr>
              <w:t> </w:t>
            </w:r>
            <w:r>
              <w:rPr>
                <w:rFonts w:ascii="宋体" w:hAnsi="宋体" w:cs="宋体" w:eastAsia="宋体" w:hint="default"/>
                <w:sz w:val="16"/>
                <w:szCs w:val="16"/>
              </w:rPr>
              <w:t>年</w:t>
            </w:r>
          </w:p>
          <w:p>
            <w:pPr>
              <w:pStyle w:val="TableParagraph"/>
              <w:spacing w:line="230" w:lineRule="auto" w:before="1"/>
              <w:ind w:left="316" w:right="222" w:firstLine="2"/>
              <w:jc w:val="both"/>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r>
              <w:rPr>
                <w:rFonts w:ascii="宋体" w:hAnsi="宋体" w:cs="宋体" w:eastAsia="宋体" w:hint="default"/>
                <w:w w:val="99"/>
                <w:sz w:val="16"/>
                <w:szCs w:val="16"/>
              </w:rPr>
              <w:t> </w:t>
            </w:r>
            <w:r>
              <w:rPr>
                <w:rFonts w:ascii="宋体" w:hAnsi="宋体" w:cs="宋体" w:eastAsia="宋体" w:hint="default"/>
                <w:sz w:val="16"/>
                <w:szCs w:val="16"/>
              </w:rPr>
              <w:t>未行使股份</w:t>
            </w:r>
            <w:r>
              <w:rPr>
                <w:rFonts w:ascii="宋体" w:hAnsi="宋体" w:cs="宋体" w:eastAsia="宋体" w:hint="default"/>
                <w:w w:val="99"/>
                <w:sz w:val="16"/>
                <w:szCs w:val="16"/>
              </w:rPr>
              <w:t> </w:t>
            </w:r>
            <w:r>
              <w:rPr>
                <w:rFonts w:ascii="宋体" w:hAnsi="宋体" w:cs="宋体" w:eastAsia="宋体" w:hint="default"/>
                <w:sz w:val="16"/>
                <w:szCs w:val="16"/>
              </w:rPr>
              <w:t>期权份数</w:t>
            </w:r>
          </w:p>
        </w:tc>
      </w:tr>
      <w:tr>
        <w:trPr>
          <w:trHeight w:val="513" w:hRule="exact"/>
        </w:trPr>
        <w:tc>
          <w:tcPr>
            <w:tcW w:w="9289"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6"/>
                <w:szCs w:val="16"/>
              </w:rPr>
            </w:pPr>
            <w:r>
              <w:rPr>
                <w:rFonts w:ascii="宋体" w:hAnsi="宋体" w:cs="宋体" w:eastAsia="宋体" w:hint="default"/>
                <w:sz w:val="16"/>
                <w:szCs w:val="16"/>
              </w:rPr>
              <w:t>根据股份期权计划授予份数：</w:t>
            </w:r>
          </w:p>
        </w:tc>
      </w:tr>
      <w:tr>
        <w:trPr>
          <w:trHeight w:val="609" w:hRule="exact"/>
        </w:trPr>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7" w:right="0"/>
              <w:jc w:val="left"/>
              <w:rPr>
                <w:rFonts w:ascii="宋体" w:hAnsi="宋体" w:cs="宋体" w:eastAsia="宋体" w:hint="default"/>
                <w:sz w:val="16"/>
                <w:szCs w:val="16"/>
              </w:rPr>
            </w:pPr>
            <w:r>
              <w:rPr>
                <w:rFonts w:ascii="Arial" w:hAnsi="Arial" w:cs="Arial" w:eastAsia="Arial" w:hint="default"/>
                <w:sz w:val="16"/>
                <w:szCs w:val="16"/>
              </w:rPr>
              <w:t>2003</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Arial" w:hAnsi="Arial" w:cs="Arial" w:eastAsia="Arial" w:hint="default"/>
                <w:sz w:val="16"/>
                <w:szCs w:val="16"/>
              </w:rPr>
              <w:t>5</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21</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952" w:type="dxa"/>
            <w:tcBorders>
              <w:top w:val="nil" w:sz="6" w:space="0" w:color="auto"/>
              <w:left w:val="nil" w:sz="6" w:space="0" w:color="auto"/>
              <w:bottom w:val="nil" w:sz="6" w:space="0" w:color="auto"/>
              <w:right w:val="nil" w:sz="6" w:space="0" w:color="auto"/>
            </w:tcBorders>
          </w:tcPr>
          <w:p>
            <w:pPr>
              <w:pStyle w:val="TableParagraph"/>
              <w:spacing w:line="214" w:lineRule="exact" w:before="66"/>
              <w:ind w:left="120" w:right="0"/>
              <w:jc w:val="left"/>
              <w:rPr>
                <w:rFonts w:ascii="宋体" w:hAnsi="宋体" w:cs="宋体" w:eastAsia="宋体" w:hint="default"/>
                <w:sz w:val="16"/>
                <w:szCs w:val="16"/>
              </w:rPr>
            </w:pPr>
            <w:r>
              <w:rPr>
                <w:rFonts w:ascii="Arial" w:hAnsi="Arial" w:cs="Arial" w:eastAsia="Arial" w:hint="default"/>
                <w:sz w:val="16"/>
                <w:szCs w:val="16"/>
              </w:rPr>
              <w:t>2003</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5</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21</w:t>
            </w:r>
            <w:r>
              <w:rPr>
                <w:rFonts w:ascii="Arial" w:hAnsi="Arial" w:cs="Arial" w:eastAsia="Arial" w:hint="default"/>
                <w:spacing w:val="-5"/>
                <w:sz w:val="16"/>
                <w:szCs w:val="16"/>
              </w:rPr>
              <w:t> </w:t>
            </w:r>
            <w:r>
              <w:rPr>
                <w:rFonts w:ascii="宋体" w:hAnsi="宋体" w:cs="宋体" w:eastAsia="宋体" w:hint="default"/>
                <w:sz w:val="16"/>
                <w:szCs w:val="16"/>
              </w:rPr>
              <w:t>日至</w:t>
            </w:r>
          </w:p>
          <w:p>
            <w:pPr>
              <w:pStyle w:val="TableParagraph"/>
              <w:spacing w:line="214" w:lineRule="exact"/>
              <w:ind w:left="120" w:right="0"/>
              <w:jc w:val="left"/>
              <w:rPr>
                <w:rFonts w:ascii="宋体" w:hAnsi="宋体" w:cs="宋体" w:eastAsia="宋体" w:hint="default"/>
                <w:sz w:val="16"/>
                <w:szCs w:val="16"/>
              </w:rPr>
            </w:pPr>
            <w:r>
              <w:rPr>
                <w:rFonts w:ascii="Arial" w:hAnsi="Arial" w:cs="Arial" w:eastAsia="Arial" w:hint="default"/>
                <w:sz w:val="16"/>
                <w:szCs w:val="16"/>
              </w:rPr>
              <w:t>2006</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5</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21</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890" w:type="dxa"/>
            <w:tcBorders>
              <w:top w:val="nil" w:sz="6" w:space="0" w:color="auto"/>
              <w:left w:val="nil" w:sz="6" w:space="0" w:color="auto"/>
              <w:bottom w:val="nil" w:sz="6" w:space="0" w:color="auto"/>
              <w:right w:val="nil" w:sz="6" w:space="0" w:color="auto"/>
            </w:tcBorders>
          </w:tcPr>
          <w:p>
            <w:pPr>
              <w:pStyle w:val="TableParagraph"/>
              <w:spacing w:line="214" w:lineRule="exact" w:before="66"/>
              <w:ind w:left="132" w:right="0"/>
              <w:jc w:val="left"/>
              <w:rPr>
                <w:rFonts w:ascii="宋体" w:hAnsi="宋体" w:cs="宋体" w:eastAsia="宋体" w:hint="default"/>
                <w:sz w:val="16"/>
                <w:szCs w:val="16"/>
              </w:rPr>
            </w:pPr>
            <w:r>
              <w:rPr>
                <w:rFonts w:ascii="Arial" w:hAnsi="Arial" w:cs="Arial" w:eastAsia="Arial" w:hint="default"/>
                <w:sz w:val="16"/>
                <w:szCs w:val="16"/>
              </w:rPr>
              <w:t>2004</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5</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21</w:t>
            </w:r>
            <w:r>
              <w:rPr>
                <w:rFonts w:ascii="Arial" w:hAnsi="Arial" w:cs="Arial" w:eastAsia="Arial" w:hint="default"/>
                <w:spacing w:val="-5"/>
                <w:sz w:val="16"/>
                <w:szCs w:val="16"/>
              </w:rPr>
              <w:t> </w:t>
            </w:r>
            <w:r>
              <w:rPr>
                <w:rFonts w:ascii="宋体" w:hAnsi="宋体" w:cs="宋体" w:eastAsia="宋体" w:hint="default"/>
                <w:sz w:val="16"/>
                <w:szCs w:val="16"/>
              </w:rPr>
              <w:t>日至</w:t>
            </w:r>
          </w:p>
          <w:p>
            <w:pPr>
              <w:pStyle w:val="TableParagraph"/>
              <w:spacing w:line="214" w:lineRule="exact"/>
              <w:ind w:left="132" w:right="0"/>
              <w:jc w:val="left"/>
              <w:rPr>
                <w:rFonts w:ascii="宋体" w:hAnsi="宋体" w:cs="宋体" w:eastAsia="宋体" w:hint="default"/>
                <w:sz w:val="16"/>
                <w:szCs w:val="16"/>
              </w:rPr>
            </w:pPr>
            <w:r>
              <w:rPr>
                <w:rFonts w:ascii="Arial" w:hAnsi="Arial" w:cs="Arial" w:eastAsia="Arial" w:hint="default"/>
                <w:sz w:val="16"/>
                <w:szCs w:val="16"/>
              </w:rPr>
              <w:t>2013</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5</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20</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68"/>
              <w:jc w:val="right"/>
              <w:rPr>
                <w:rFonts w:ascii="宋体" w:hAnsi="宋体" w:cs="宋体" w:eastAsia="宋体" w:hint="default"/>
                <w:sz w:val="16"/>
                <w:szCs w:val="16"/>
              </w:rPr>
            </w:pPr>
            <w:r>
              <w:rPr>
                <w:rFonts w:ascii="宋体" w:hAnsi="宋体" w:cs="宋体" w:eastAsia="宋体" w:hint="default"/>
                <w:sz w:val="16"/>
                <w:szCs w:val="16"/>
              </w:rPr>
              <w:t>港币</w:t>
            </w:r>
            <w:r>
              <w:rPr>
                <w:rFonts w:ascii="宋体" w:hAnsi="宋体" w:cs="宋体" w:eastAsia="宋体" w:hint="default"/>
                <w:spacing w:val="-42"/>
                <w:sz w:val="16"/>
                <w:szCs w:val="16"/>
              </w:rPr>
              <w:t> </w:t>
            </w:r>
            <w:r>
              <w:rPr>
                <w:rFonts w:ascii="Arial" w:hAnsi="Arial" w:cs="Arial" w:eastAsia="Arial" w:hint="default"/>
                <w:sz w:val="16"/>
                <w:szCs w:val="16"/>
              </w:rPr>
              <w:t>4.30</w:t>
            </w:r>
            <w:r>
              <w:rPr>
                <w:rFonts w:ascii="Arial" w:hAnsi="Arial" w:cs="Arial" w:eastAsia="Arial" w:hint="default"/>
                <w:spacing w:val="-6"/>
                <w:sz w:val="16"/>
                <w:szCs w:val="16"/>
              </w:rPr>
              <w:t> </w:t>
            </w:r>
            <w:r>
              <w:rPr>
                <w:rFonts w:ascii="宋体" w:hAnsi="宋体" w:cs="宋体" w:eastAsia="宋体" w:hint="default"/>
                <w:sz w:val="16"/>
                <w:szCs w:val="16"/>
              </w:rPr>
              <w:t>元</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53"/>
              <w:jc w:val="right"/>
              <w:rPr>
                <w:rFonts w:ascii="Arial" w:hAnsi="Arial" w:cs="Arial" w:eastAsia="Arial" w:hint="default"/>
                <w:sz w:val="16"/>
                <w:szCs w:val="16"/>
              </w:rPr>
            </w:pPr>
            <w:r>
              <w:rPr>
                <w:rFonts w:ascii="Arial"/>
                <w:w w:val="95"/>
                <w:sz w:val="16"/>
              </w:rPr>
              <w:t>8,956,000</w:t>
            </w:r>
            <w:r>
              <w:rPr>
                <w:rFonts w:ascii="Arial"/>
                <w:sz w:val="16"/>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106"/>
              <w:jc w:val="right"/>
              <w:rPr>
                <w:rFonts w:ascii="Arial" w:hAnsi="Arial" w:cs="Arial" w:eastAsia="Arial" w:hint="default"/>
                <w:sz w:val="16"/>
                <w:szCs w:val="16"/>
              </w:rPr>
            </w:pPr>
            <w:r>
              <w:rPr>
                <w:rFonts w:ascii="Arial"/>
                <w:w w:val="95"/>
                <w:sz w:val="16"/>
              </w:rPr>
              <w:t>8,956,000</w:t>
            </w:r>
            <w:r>
              <w:rPr>
                <w:rFonts w:ascii="Arial"/>
                <w:sz w:val="16"/>
              </w:rPr>
            </w:r>
          </w:p>
        </w:tc>
      </w:tr>
      <w:tr>
        <w:trPr>
          <w:trHeight w:val="599" w:hRule="exact"/>
        </w:trPr>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7" w:right="0"/>
              <w:jc w:val="left"/>
              <w:rPr>
                <w:rFonts w:ascii="宋体" w:hAnsi="宋体" w:cs="宋体" w:eastAsia="宋体" w:hint="default"/>
                <w:sz w:val="16"/>
                <w:szCs w:val="16"/>
              </w:rPr>
            </w:pPr>
            <w:r>
              <w:rPr>
                <w:rFonts w:ascii="Arial" w:hAnsi="Arial" w:cs="Arial" w:eastAsia="Arial" w:hint="default"/>
                <w:sz w:val="16"/>
                <w:szCs w:val="16"/>
              </w:rPr>
              <w:t>2004</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Arial" w:hAnsi="Arial" w:cs="Arial" w:eastAsia="Arial" w:hint="default"/>
                <w:sz w:val="16"/>
                <w:szCs w:val="16"/>
              </w:rPr>
              <w:t>7</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20</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952" w:type="dxa"/>
            <w:tcBorders>
              <w:top w:val="nil" w:sz="6" w:space="0" w:color="auto"/>
              <w:left w:val="nil" w:sz="6" w:space="0" w:color="auto"/>
              <w:bottom w:val="nil" w:sz="6" w:space="0" w:color="auto"/>
              <w:right w:val="nil" w:sz="6" w:space="0" w:color="auto"/>
            </w:tcBorders>
          </w:tcPr>
          <w:p>
            <w:pPr>
              <w:pStyle w:val="TableParagraph"/>
              <w:spacing w:line="214" w:lineRule="exact" w:before="56"/>
              <w:ind w:left="120" w:right="0"/>
              <w:jc w:val="left"/>
              <w:rPr>
                <w:rFonts w:ascii="宋体" w:hAnsi="宋体" w:cs="宋体" w:eastAsia="宋体" w:hint="default"/>
                <w:sz w:val="16"/>
                <w:szCs w:val="16"/>
              </w:rPr>
            </w:pPr>
            <w:r>
              <w:rPr>
                <w:rFonts w:ascii="Arial" w:hAnsi="Arial" w:cs="Arial" w:eastAsia="Arial" w:hint="default"/>
                <w:sz w:val="16"/>
                <w:szCs w:val="16"/>
              </w:rPr>
              <w:t>2004</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7</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20</w:t>
            </w:r>
            <w:r>
              <w:rPr>
                <w:rFonts w:ascii="Arial" w:hAnsi="Arial" w:cs="Arial" w:eastAsia="Arial" w:hint="default"/>
                <w:spacing w:val="-5"/>
                <w:sz w:val="16"/>
                <w:szCs w:val="16"/>
              </w:rPr>
              <w:t> </w:t>
            </w:r>
            <w:r>
              <w:rPr>
                <w:rFonts w:ascii="宋体" w:hAnsi="宋体" w:cs="宋体" w:eastAsia="宋体" w:hint="default"/>
                <w:sz w:val="16"/>
                <w:szCs w:val="16"/>
              </w:rPr>
              <w:t>日至</w:t>
            </w:r>
          </w:p>
          <w:p>
            <w:pPr>
              <w:pStyle w:val="TableParagraph"/>
              <w:spacing w:line="214" w:lineRule="exact"/>
              <w:ind w:left="120" w:right="0"/>
              <w:jc w:val="left"/>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7</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20</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890" w:type="dxa"/>
            <w:tcBorders>
              <w:top w:val="nil" w:sz="6" w:space="0" w:color="auto"/>
              <w:left w:val="nil" w:sz="6" w:space="0" w:color="auto"/>
              <w:bottom w:val="nil" w:sz="6" w:space="0" w:color="auto"/>
              <w:right w:val="nil" w:sz="6" w:space="0" w:color="auto"/>
            </w:tcBorders>
          </w:tcPr>
          <w:p>
            <w:pPr>
              <w:pStyle w:val="TableParagraph"/>
              <w:spacing w:line="214" w:lineRule="exact" w:before="56"/>
              <w:ind w:left="132" w:right="0"/>
              <w:jc w:val="left"/>
              <w:rPr>
                <w:rFonts w:ascii="宋体" w:hAnsi="宋体" w:cs="宋体" w:eastAsia="宋体" w:hint="default"/>
                <w:sz w:val="16"/>
                <w:szCs w:val="16"/>
              </w:rPr>
            </w:pPr>
            <w:r>
              <w:rPr>
                <w:rFonts w:ascii="Arial" w:hAnsi="Arial" w:cs="Arial" w:eastAsia="Arial" w:hint="default"/>
                <w:sz w:val="16"/>
                <w:szCs w:val="16"/>
              </w:rPr>
              <w:t>2005</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7</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20</w:t>
            </w:r>
            <w:r>
              <w:rPr>
                <w:rFonts w:ascii="Arial" w:hAnsi="Arial" w:cs="Arial" w:eastAsia="Arial" w:hint="default"/>
                <w:spacing w:val="-5"/>
                <w:sz w:val="16"/>
                <w:szCs w:val="16"/>
              </w:rPr>
              <w:t> </w:t>
            </w:r>
            <w:r>
              <w:rPr>
                <w:rFonts w:ascii="宋体" w:hAnsi="宋体" w:cs="宋体" w:eastAsia="宋体" w:hint="default"/>
                <w:sz w:val="16"/>
                <w:szCs w:val="16"/>
              </w:rPr>
              <w:t>日至</w:t>
            </w:r>
          </w:p>
          <w:p>
            <w:pPr>
              <w:pStyle w:val="TableParagraph"/>
              <w:spacing w:line="214" w:lineRule="exact"/>
              <w:ind w:left="132" w:right="0"/>
              <w:jc w:val="left"/>
              <w:rPr>
                <w:rFonts w:ascii="宋体" w:hAnsi="宋体" w:cs="宋体" w:eastAsia="宋体" w:hint="default"/>
                <w:sz w:val="16"/>
                <w:szCs w:val="16"/>
              </w:rPr>
            </w:pPr>
            <w:r>
              <w:rPr>
                <w:rFonts w:ascii="Arial" w:hAnsi="Arial" w:cs="Arial" w:eastAsia="Arial" w:hint="default"/>
                <w:sz w:val="16"/>
                <w:szCs w:val="16"/>
              </w:rPr>
              <w:t>2013</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7</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19</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68"/>
              <w:jc w:val="right"/>
              <w:rPr>
                <w:rFonts w:ascii="宋体" w:hAnsi="宋体" w:cs="宋体" w:eastAsia="宋体" w:hint="default"/>
                <w:sz w:val="16"/>
                <w:szCs w:val="16"/>
              </w:rPr>
            </w:pPr>
            <w:r>
              <w:rPr>
                <w:rFonts w:ascii="宋体" w:hAnsi="宋体" w:cs="宋体" w:eastAsia="宋体" w:hint="default"/>
                <w:sz w:val="16"/>
                <w:szCs w:val="16"/>
              </w:rPr>
              <w:t>港币</w:t>
            </w:r>
            <w:r>
              <w:rPr>
                <w:rFonts w:ascii="宋体" w:hAnsi="宋体" w:cs="宋体" w:eastAsia="宋体" w:hint="default"/>
                <w:spacing w:val="-42"/>
                <w:sz w:val="16"/>
                <w:szCs w:val="16"/>
              </w:rPr>
              <w:t> </w:t>
            </w:r>
            <w:r>
              <w:rPr>
                <w:rFonts w:ascii="Arial" w:hAnsi="Arial" w:cs="Arial" w:eastAsia="Arial" w:hint="default"/>
                <w:sz w:val="16"/>
                <w:szCs w:val="16"/>
              </w:rPr>
              <w:t>5.92</w:t>
            </w:r>
            <w:r>
              <w:rPr>
                <w:rFonts w:ascii="Arial" w:hAnsi="Arial" w:cs="Arial" w:eastAsia="Arial" w:hint="default"/>
                <w:spacing w:val="-6"/>
                <w:sz w:val="16"/>
                <w:szCs w:val="16"/>
              </w:rPr>
              <w:t> </w:t>
            </w:r>
            <w:r>
              <w:rPr>
                <w:rFonts w:ascii="宋体" w:hAnsi="宋体" w:cs="宋体" w:eastAsia="宋体" w:hint="default"/>
                <w:sz w:val="16"/>
                <w:szCs w:val="16"/>
              </w:rPr>
              <w:t>元</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53"/>
              <w:jc w:val="right"/>
              <w:rPr>
                <w:rFonts w:ascii="Arial" w:hAnsi="Arial" w:cs="Arial" w:eastAsia="Arial" w:hint="default"/>
                <w:sz w:val="16"/>
                <w:szCs w:val="16"/>
              </w:rPr>
            </w:pPr>
            <w:r>
              <w:rPr>
                <w:rFonts w:ascii="Arial"/>
                <w:w w:val="95"/>
                <w:sz w:val="16"/>
              </w:rPr>
              <w:t>41,024,000</w:t>
            </w:r>
            <w:r>
              <w:rPr>
                <w:rFonts w:ascii="Arial"/>
                <w:sz w:val="16"/>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5"/>
              <w:jc w:val="right"/>
              <w:rPr>
                <w:rFonts w:ascii="Arial" w:hAnsi="Arial" w:cs="Arial" w:eastAsia="Arial" w:hint="default"/>
                <w:sz w:val="16"/>
                <w:szCs w:val="16"/>
              </w:rPr>
            </w:pPr>
            <w:r>
              <w:rPr>
                <w:rFonts w:ascii="Arial"/>
                <w:w w:val="95"/>
                <w:sz w:val="16"/>
              </w:rPr>
              <w:t>41,024,000</w:t>
            </w:r>
            <w:r>
              <w:rPr>
                <w:rFonts w:ascii="Arial"/>
                <w:sz w:val="16"/>
              </w:rPr>
            </w:r>
          </w:p>
        </w:tc>
      </w:tr>
      <w:tr>
        <w:trPr>
          <w:trHeight w:val="599" w:hRule="exact"/>
        </w:trPr>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7" w:right="0"/>
              <w:jc w:val="left"/>
              <w:rPr>
                <w:rFonts w:ascii="宋体" w:hAnsi="宋体" w:cs="宋体" w:eastAsia="宋体" w:hint="default"/>
                <w:sz w:val="16"/>
                <w:szCs w:val="16"/>
              </w:rPr>
            </w:pPr>
            <w:r>
              <w:rPr>
                <w:rFonts w:ascii="Arial" w:hAnsi="Arial" w:cs="Arial" w:eastAsia="Arial" w:hint="default"/>
                <w:sz w:val="16"/>
                <w:szCs w:val="16"/>
              </w:rPr>
              <w:t>2004</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1952" w:type="dxa"/>
            <w:tcBorders>
              <w:top w:val="nil" w:sz="6" w:space="0" w:color="auto"/>
              <w:left w:val="nil" w:sz="6" w:space="0" w:color="auto"/>
              <w:bottom w:val="nil" w:sz="6" w:space="0" w:color="auto"/>
              <w:right w:val="nil" w:sz="6" w:space="0" w:color="auto"/>
            </w:tcBorders>
          </w:tcPr>
          <w:p>
            <w:pPr>
              <w:pStyle w:val="TableParagraph"/>
              <w:spacing w:line="214" w:lineRule="exact" w:before="56"/>
              <w:ind w:left="120" w:right="0"/>
              <w:jc w:val="left"/>
              <w:rPr>
                <w:rFonts w:ascii="宋体" w:hAnsi="宋体" w:cs="宋体" w:eastAsia="宋体" w:hint="default"/>
                <w:sz w:val="16"/>
                <w:szCs w:val="16"/>
              </w:rPr>
            </w:pPr>
            <w:r>
              <w:rPr>
                <w:rFonts w:ascii="Arial" w:hAnsi="Arial" w:cs="Arial" w:eastAsia="Arial" w:hint="default"/>
                <w:sz w:val="16"/>
                <w:szCs w:val="16"/>
              </w:rPr>
              <w:t>2004</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21</w:t>
            </w:r>
            <w:r>
              <w:rPr>
                <w:rFonts w:ascii="Arial" w:hAnsi="Arial" w:cs="Arial" w:eastAsia="Arial" w:hint="default"/>
                <w:spacing w:val="-6"/>
                <w:sz w:val="16"/>
                <w:szCs w:val="16"/>
              </w:rPr>
              <w:t> </w:t>
            </w:r>
            <w:r>
              <w:rPr>
                <w:rFonts w:ascii="宋体" w:hAnsi="宋体" w:cs="宋体" w:eastAsia="宋体" w:hint="default"/>
                <w:sz w:val="16"/>
                <w:szCs w:val="16"/>
              </w:rPr>
              <w:t>日至</w:t>
            </w:r>
          </w:p>
          <w:p>
            <w:pPr>
              <w:pStyle w:val="TableParagraph"/>
              <w:spacing w:line="214" w:lineRule="exact"/>
              <w:ind w:left="120" w:right="0"/>
              <w:jc w:val="left"/>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1890" w:type="dxa"/>
            <w:tcBorders>
              <w:top w:val="nil" w:sz="6" w:space="0" w:color="auto"/>
              <w:left w:val="nil" w:sz="6" w:space="0" w:color="auto"/>
              <w:bottom w:val="nil" w:sz="6" w:space="0" w:color="auto"/>
              <w:right w:val="nil" w:sz="6" w:space="0" w:color="auto"/>
            </w:tcBorders>
          </w:tcPr>
          <w:p>
            <w:pPr>
              <w:pStyle w:val="TableParagraph"/>
              <w:spacing w:line="214" w:lineRule="exact" w:before="56"/>
              <w:ind w:left="132" w:right="0"/>
              <w:jc w:val="left"/>
              <w:rPr>
                <w:rFonts w:ascii="宋体" w:hAnsi="宋体" w:cs="宋体" w:eastAsia="宋体" w:hint="default"/>
                <w:sz w:val="16"/>
                <w:szCs w:val="16"/>
              </w:rPr>
            </w:pPr>
            <w:r>
              <w:rPr>
                <w:rFonts w:ascii="Arial" w:hAnsi="Arial" w:cs="Arial" w:eastAsia="Arial" w:hint="default"/>
                <w:sz w:val="16"/>
                <w:szCs w:val="16"/>
              </w:rPr>
              <w:t>2005</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21</w:t>
            </w:r>
            <w:r>
              <w:rPr>
                <w:rFonts w:ascii="Arial" w:hAnsi="Arial" w:cs="Arial" w:eastAsia="Arial" w:hint="default"/>
                <w:spacing w:val="-6"/>
                <w:sz w:val="16"/>
                <w:szCs w:val="16"/>
              </w:rPr>
              <w:t> </w:t>
            </w:r>
            <w:r>
              <w:rPr>
                <w:rFonts w:ascii="宋体" w:hAnsi="宋体" w:cs="宋体" w:eastAsia="宋体" w:hint="default"/>
                <w:sz w:val="16"/>
                <w:szCs w:val="16"/>
              </w:rPr>
              <w:t>日至</w:t>
            </w:r>
          </w:p>
          <w:p>
            <w:pPr>
              <w:pStyle w:val="TableParagraph"/>
              <w:spacing w:line="214" w:lineRule="exact"/>
              <w:ind w:left="132" w:right="0"/>
              <w:jc w:val="left"/>
              <w:rPr>
                <w:rFonts w:ascii="宋体" w:hAnsi="宋体" w:cs="宋体" w:eastAsia="宋体" w:hint="default"/>
                <w:sz w:val="16"/>
                <w:szCs w:val="16"/>
              </w:rPr>
            </w:pPr>
            <w:r>
              <w:rPr>
                <w:rFonts w:ascii="Arial" w:hAnsi="Arial" w:cs="Arial" w:eastAsia="Arial" w:hint="default"/>
                <w:sz w:val="16"/>
                <w:szCs w:val="16"/>
              </w:rPr>
              <w:t>2013</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20</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68"/>
              <w:jc w:val="right"/>
              <w:rPr>
                <w:rFonts w:ascii="宋体" w:hAnsi="宋体" w:cs="宋体" w:eastAsia="宋体" w:hint="default"/>
                <w:sz w:val="16"/>
                <w:szCs w:val="16"/>
              </w:rPr>
            </w:pPr>
            <w:r>
              <w:rPr>
                <w:rFonts w:ascii="宋体" w:hAnsi="宋体" w:cs="宋体" w:eastAsia="宋体" w:hint="default"/>
                <w:sz w:val="16"/>
                <w:szCs w:val="16"/>
              </w:rPr>
              <w:t>港币</w:t>
            </w:r>
            <w:r>
              <w:rPr>
                <w:rFonts w:ascii="宋体" w:hAnsi="宋体" w:cs="宋体" w:eastAsia="宋体" w:hint="default"/>
                <w:spacing w:val="-42"/>
                <w:sz w:val="16"/>
                <w:szCs w:val="16"/>
              </w:rPr>
              <w:t> </w:t>
            </w:r>
            <w:r>
              <w:rPr>
                <w:rFonts w:ascii="Arial" w:hAnsi="Arial" w:cs="Arial" w:eastAsia="Arial" w:hint="default"/>
                <w:sz w:val="16"/>
                <w:szCs w:val="16"/>
              </w:rPr>
              <w:t>6.20</w:t>
            </w:r>
            <w:r>
              <w:rPr>
                <w:rFonts w:ascii="Arial" w:hAnsi="Arial" w:cs="Arial" w:eastAsia="Arial" w:hint="default"/>
                <w:spacing w:val="-6"/>
                <w:sz w:val="16"/>
                <w:szCs w:val="16"/>
              </w:rPr>
              <w:t> </w:t>
            </w:r>
            <w:r>
              <w:rPr>
                <w:rFonts w:ascii="宋体" w:hAnsi="宋体" w:cs="宋体" w:eastAsia="宋体" w:hint="default"/>
                <w:sz w:val="16"/>
                <w:szCs w:val="16"/>
              </w:rPr>
              <w:t>元</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53"/>
              <w:jc w:val="right"/>
              <w:rPr>
                <w:rFonts w:ascii="Arial" w:hAnsi="Arial" w:cs="Arial" w:eastAsia="Arial" w:hint="default"/>
                <w:sz w:val="16"/>
                <w:szCs w:val="16"/>
              </w:rPr>
            </w:pPr>
            <w:r>
              <w:rPr>
                <w:rFonts w:ascii="Arial"/>
                <w:w w:val="95"/>
                <w:sz w:val="16"/>
              </w:rPr>
              <w:t>654,000</w:t>
            </w:r>
            <w:r>
              <w:rPr>
                <w:rFonts w:ascii="Arial"/>
                <w:sz w:val="16"/>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5"/>
              <w:jc w:val="right"/>
              <w:rPr>
                <w:rFonts w:ascii="Arial" w:hAnsi="Arial" w:cs="Arial" w:eastAsia="Arial" w:hint="default"/>
                <w:sz w:val="16"/>
                <w:szCs w:val="16"/>
              </w:rPr>
            </w:pPr>
            <w:r>
              <w:rPr>
                <w:rFonts w:ascii="Arial"/>
                <w:w w:val="95"/>
                <w:sz w:val="16"/>
              </w:rPr>
              <w:t>654,000</w:t>
            </w:r>
            <w:r>
              <w:rPr>
                <w:rFonts w:ascii="Arial"/>
                <w:sz w:val="16"/>
              </w:rPr>
            </w:r>
          </w:p>
        </w:tc>
      </w:tr>
      <w:tr>
        <w:trPr>
          <w:trHeight w:val="629" w:hRule="exact"/>
        </w:trPr>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7" w:right="0"/>
              <w:jc w:val="left"/>
              <w:rPr>
                <w:rFonts w:ascii="宋体" w:hAnsi="宋体" w:cs="宋体" w:eastAsia="宋体" w:hint="default"/>
                <w:sz w:val="16"/>
                <w:szCs w:val="16"/>
              </w:rPr>
            </w:pPr>
            <w:r>
              <w:rPr>
                <w:rFonts w:ascii="Arial" w:hAnsi="Arial" w:cs="Arial" w:eastAsia="Arial" w:hint="default"/>
                <w:sz w:val="16"/>
                <w:szCs w:val="16"/>
              </w:rPr>
              <w:t>2006</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Arial" w:hAnsi="Arial" w:cs="Arial" w:eastAsia="Arial" w:hint="default"/>
                <w:sz w:val="16"/>
                <w:szCs w:val="16"/>
              </w:rPr>
              <w:t>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15</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952" w:type="dxa"/>
            <w:tcBorders>
              <w:top w:val="nil" w:sz="6" w:space="0" w:color="auto"/>
              <w:left w:val="nil" w:sz="6" w:space="0" w:color="auto"/>
              <w:bottom w:val="nil" w:sz="6" w:space="0" w:color="auto"/>
              <w:right w:val="nil" w:sz="6" w:space="0" w:color="auto"/>
            </w:tcBorders>
          </w:tcPr>
          <w:p>
            <w:pPr>
              <w:pStyle w:val="TableParagraph"/>
              <w:spacing w:line="214" w:lineRule="exact" w:before="56"/>
              <w:ind w:left="120" w:right="0"/>
              <w:jc w:val="left"/>
              <w:rPr>
                <w:rFonts w:ascii="宋体" w:hAnsi="宋体" w:cs="宋体" w:eastAsia="宋体" w:hint="default"/>
                <w:sz w:val="16"/>
                <w:szCs w:val="16"/>
              </w:rPr>
            </w:pPr>
            <w:r>
              <w:rPr>
                <w:rFonts w:ascii="Arial" w:hAnsi="Arial" w:cs="Arial" w:eastAsia="Arial" w:hint="default"/>
                <w:sz w:val="16"/>
                <w:szCs w:val="16"/>
              </w:rPr>
              <w:t>2006</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15</w:t>
            </w:r>
            <w:r>
              <w:rPr>
                <w:rFonts w:ascii="Arial" w:hAnsi="Arial" w:cs="Arial" w:eastAsia="Arial" w:hint="default"/>
                <w:spacing w:val="-5"/>
                <w:sz w:val="16"/>
                <w:szCs w:val="16"/>
              </w:rPr>
              <w:t> </w:t>
            </w:r>
            <w:r>
              <w:rPr>
                <w:rFonts w:ascii="宋体" w:hAnsi="宋体" w:cs="宋体" w:eastAsia="宋体" w:hint="default"/>
                <w:sz w:val="16"/>
                <w:szCs w:val="16"/>
              </w:rPr>
              <w:t>日至</w:t>
            </w:r>
          </w:p>
          <w:p>
            <w:pPr>
              <w:pStyle w:val="TableParagraph"/>
              <w:spacing w:line="214" w:lineRule="exact"/>
              <w:ind w:left="120" w:right="0"/>
              <w:jc w:val="left"/>
              <w:rPr>
                <w:rFonts w:ascii="宋体" w:hAnsi="宋体" w:cs="宋体" w:eastAsia="宋体" w:hint="default"/>
                <w:sz w:val="16"/>
                <w:szCs w:val="16"/>
              </w:rPr>
            </w:pPr>
            <w:r>
              <w:rPr>
                <w:rFonts w:ascii="Arial" w:hAnsi="Arial" w:cs="Arial" w:eastAsia="Arial" w:hint="default"/>
                <w:sz w:val="16"/>
                <w:szCs w:val="16"/>
              </w:rPr>
              <w:t>2009</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15</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890" w:type="dxa"/>
            <w:tcBorders>
              <w:top w:val="nil" w:sz="6" w:space="0" w:color="auto"/>
              <w:left w:val="nil" w:sz="6" w:space="0" w:color="auto"/>
              <w:bottom w:val="nil" w:sz="6" w:space="0" w:color="auto"/>
              <w:right w:val="nil" w:sz="6" w:space="0" w:color="auto"/>
            </w:tcBorders>
          </w:tcPr>
          <w:p>
            <w:pPr>
              <w:pStyle w:val="TableParagraph"/>
              <w:spacing w:line="214" w:lineRule="exact" w:before="56"/>
              <w:ind w:left="132"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15</w:t>
            </w:r>
            <w:r>
              <w:rPr>
                <w:rFonts w:ascii="Arial" w:hAnsi="Arial" w:cs="Arial" w:eastAsia="Arial" w:hint="default"/>
                <w:spacing w:val="-5"/>
                <w:sz w:val="16"/>
                <w:szCs w:val="16"/>
              </w:rPr>
              <w:t> </w:t>
            </w:r>
            <w:r>
              <w:rPr>
                <w:rFonts w:ascii="宋体" w:hAnsi="宋体" w:cs="宋体" w:eastAsia="宋体" w:hint="default"/>
                <w:sz w:val="16"/>
                <w:szCs w:val="16"/>
              </w:rPr>
              <w:t>日至</w:t>
            </w:r>
          </w:p>
          <w:p>
            <w:pPr>
              <w:pStyle w:val="TableParagraph"/>
              <w:spacing w:line="214" w:lineRule="exact"/>
              <w:ind w:left="132" w:right="0"/>
              <w:jc w:val="lef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14</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68"/>
              <w:jc w:val="right"/>
              <w:rPr>
                <w:rFonts w:ascii="宋体" w:hAnsi="宋体" w:cs="宋体" w:eastAsia="宋体" w:hint="default"/>
                <w:sz w:val="16"/>
                <w:szCs w:val="16"/>
              </w:rPr>
            </w:pPr>
            <w:r>
              <w:rPr>
                <w:rFonts w:ascii="宋体" w:hAnsi="宋体" w:cs="宋体" w:eastAsia="宋体" w:hint="default"/>
                <w:sz w:val="16"/>
                <w:szCs w:val="16"/>
              </w:rPr>
              <w:t>港币</w:t>
            </w:r>
            <w:r>
              <w:rPr>
                <w:rFonts w:ascii="宋体" w:hAnsi="宋体" w:cs="宋体" w:eastAsia="宋体" w:hint="default"/>
                <w:spacing w:val="-42"/>
                <w:sz w:val="16"/>
                <w:szCs w:val="16"/>
              </w:rPr>
              <w:t> </w:t>
            </w:r>
            <w:r>
              <w:rPr>
                <w:rFonts w:ascii="Arial" w:hAnsi="Arial" w:cs="Arial" w:eastAsia="Arial" w:hint="default"/>
                <w:sz w:val="16"/>
                <w:szCs w:val="16"/>
              </w:rPr>
              <w:t>6.35</w:t>
            </w:r>
            <w:r>
              <w:rPr>
                <w:rFonts w:ascii="Arial" w:hAnsi="Arial" w:cs="Arial" w:eastAsia="Arial" w:hint="default"/>
                <w:spacing w:val="-6"/>
                <w:sz w:val="16"/>
                <w:szCs w:val="16"/>
              </w:rPr>
              <w:t> </w:t>
            </w:r>
            <w:r>
              <w:rPr>
                <w:rFonts w:ascii="宋体" w:hAnsi="宋体" w:cs="宋体" w:eastAsia="宋体" w:hint="default"/>
                <w:sz w:val="16"/>
                <w:szCs w:val="16"/>
              </w:rPr>
              <w:t>元</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53"/>
              <w:jc w:val="right"/>
              <w:rPr>
                <w:rFonts w:ascii="Arial" w:hAnsi="Arial" w:cs="Arial" w:eastAsia="Arial" w:hint="default"/>
                <w:sz w:val="16"/>
                <w:szCs w:val="16"/>
              </w:rPr>
            </w:pPr>
            <w:r>
              <w:rPr>
                <w:rFonts w:ascii="Arial"/>
                <w:w w:val="95"/>
                <w:sz w:val="16"/>
              </w:rPr>
              <w:t>151,406,000</w:t>
            </w:r>
            <w:r>
              <w:rPr>
                <w:rFonts w:ascii="Arial"/>
                <w:sz w:val="16"/>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5"/>
              <w:jc w:val="right"/>
              <w:rPr>
                <w:rFonts w:ascii="Arial" w:hAnsi="Arial" w:cs="Arial" w:eastAsia="Arial" w:hint="default"/>
                <w:sz w:val="16"/>
                <w:szCs w:val="16"/>
              </w:rPr>
            </w:pPr>
            <w:r>
              <w:rPr>
                <w:rFonts w:ascii="Arial"/>
                <w:w w:val="95"/>
                <w:sz w:val="16"/>
              </w:rPr>
              <w:t>151,556,000</w:t>
            </w:r>
            <w:r>
              <w:rPr>
                <w:rFonts w:ascii="Arial"/>
                <w:sz w:val="16"/>
              </w:rPr>
            </w:r>
          </w:p>
        </w:tc>
      </w:tr>
      <w:tr>
        <w:trPr>
          <w:trHeight w:val="430" w:hRule="exact"/>
        </w:trPr>
        <w:tc>
          <w:tcPr>
            <w:tcW w:w="9289"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16"/>
                <w:szCs w:val="16"/>
              </w:rPr>
            </w:pPr>
            <w:r>
              <w:rPr>
                <w:rFonts w:ascii="宋体" w:hAnsi="宋体" w:cs="宋体" w:eastAsia="宋体" w:hint="default"/>
                <w:sz w:val="16"/>
                <w:szCs w:val="16"/>
              </w:rPr>
              <w:t>根据特殊目的股份期权计划授予份数：</w:t>
            </w:r>
          </w:p>
        </w:tc>
      </w:tr>
      <w:tr>
        <w:trPr>
          <w:trHeight w:val="645" w:hRule="exact"/>
        </w:trPr>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35"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Arial" w:hAnsi="Arial" w:cs="Arial" w:eastAsia="Arial" w:hint="default"/>
                <w:sz w:val="16"/>
                <w:szCs w:val="16"/>
              </w:rPr>
              <w:t>10</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15</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1952" w:type="dxa"/>
            <w:tcBorders>
              <w:top w:val="nil" w:sz="6" w:space="0" w:color="auto"/>
              <w:left w:val="nil" w:sz="6" w:space="0" w:color="auto"/>
              <w:bottom w:val="nil" w:sz="6" w:space="0" w:color="auto"/>
              <w:right w:val="nil" w:sz="6" w:space="0" w:color="auto"/>
            </w:tcBorders>
          </w:tcPr>
          <w:p>
            <w:pPr>
              <w:pStyle w:val="TableParagraph"/>
              <w:spacing w:line="214" w:lineRule="exact" w:before="84"/>
              <w:ind w:left="120"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10</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15</w:t>
            </w:r>
            <w:r>
              <w:rPr>
                <w:rFonts w:ascii="Arial" w:hAnsi="Arial" w:cs="Arial" w:eastAsia="Arial" w:hint="default"/>
                <w:spacing w:val="-6"/>
                <w:sz w:val="16"/>
                <w:szCs w:val="16"/>
              </w:rPr>
              <w:t> </w:t>
            </w:r>
            <w:r>
              <w:rPr>
                <w:rFonts w:ascii="宋体" w:hAnsi="宋体" w:cs="宋体" w:eastAsia="宋体" w:hint="default"/>
                <w:sz w:val="16"/>
                <w:szCs w:val="16"/>
              </w:rPr>
              <w:t>日至</w:t>
            </w:r>
          </w:p>
          <w:p>
            <w:pPr>
              <w:pStyle w:val="TableParagraph"/>
              <w:spacing w:line="214" w:lineRule="exact"/>
              <w:ind w:left="120" w:right="0"/>
              <w:jc w:val="left"/>
              <w:rPr>
                <w:rFonts w:ascii="宋体" w:hAnsi="宋体" w:cs="宋体" w:eastAsia="宋体" w:hint="default"/>
                <w:sz w:val="16"/>
                <w:szCs w:val="16"/>
              </w:rPr>
            </w:pPr>
            <w:r>
              <w:rPr>
                <w:rFonts w:ascii="Arial" w:hAnsi="Arial" w:cs="Arial" w:eastAsia="Arial" w:hint="default"/>
                <w:sz w:val="16"/>
                <w:szCs w:val="16"/>
              </w:rPr>
              <w:t>2009</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5</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17</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890" w:type="dxa"/>
            <w:tcBorders>
              <w:top w:val="nil" w:sz="6" w:space="0" w:color="auto"/>
              <w:left w:val="nil" w:sz="6" w:space="0" w:color="auto"/>
              <w:bottom w:val="nil" w:sz="6" w:space="0" w:color="auto"/>
              <w:right w:val="nil" w:sz="6" w:space="0" w:color="auto"/>
            </w:tcBorders>
          </w:tcPr>
          <w:p>
            <w:pPr>
              <w:pStyle w:val="TableParagraph"/>
              <w:spacing w:line="214" w:lineRule="exact" w:before="84"/>
              <w:ind w:left="120"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10</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15</w:t>
            </w:r>
            <w:r>
              <w:rPr>
                <w:rFonts w:ascii="Arial" w:hAnsi="Arial" w:cs="Arial" w:eastAsia="Arial" w:hint="default"/>
                <w:spacing w:val="-6"/>
                <w:sz w:val="16"/>
                <w:szCs w:val="16"/>
              </w:rPr>
              <w:t> </w:t>
            </w:r>
            <w:r>
              <w:rPr>
                <w:rFonts w:ascii="宋体" w:hAnsi="宋体" w:cs="宋体" w:eastAsia="宋体" w:hint="default"/>
                <w:sz w:val="16"/>
                <w:szCs w:val="16"/>
              </w:rPr>
              <w:t>日至</w:t>
            </w:r>
          </w:p>
          <w:p>
            <w:pPr>
              <w:pStyle w:val="TableParagraph"/>
              <w:spacing w:line="214" w:lineRule="exact"/>
              <w:ind w:left="120" w:right="0"/>
              <w:jc w:val="left"/>
              <w:rPr>
                <w:rFonts w:ascii="宋体" w:hAnsi="宋体" w:cs="宋体" w:eastAsia="宋体" w:hint="default"/>
                <w:sz w:val="16"/>
                <w:szCs w:val="16"/>
              </w:rPr>
            </w:pPr>
            <w:r>
              <w:rPr>
                <w:rFonts w:ascii="Arial" w:hAnsi="Arial" w:cs="Arial" w:eastAsia="Arial" w:hint="default"/>
                <w:sz w:val="16"/>
                <w:szCs w:val="16"/>
              </w:rPr>
              <w:t>2013</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pacing w:val="-7"/>
                <w:sz w:val="16"/>
                <w:szCs w:val="16"/>
              </w:rPr>
              <w:t>11</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16</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68"/>
              <w:jc w:val="right"/>
              <w:rPr>
                <w:rFonts w:ascii="宋体" w:hAnsi="宋体" w:cs="宋体" w:eastAsia="宋体" w:hint="default"/>
                <w:sz w:val="16"/>
                <w:szCs w:val="16"/>
              </w:rPr>
            </w:pPr>
            <w:r>
              <w:rPr>
                <w:rFonts w:ascii="宋体" w:hAnsi="宋体" w:cs="宋体" w:eastAsia="宋体" w:hint="default"/>
                <w:sz w:val="16"/>
                <w:szCs w:val="16"/>
              </w:rPr>
              <w:t>港币</w:t>
            </w:r>
            <w:r>
              <w:rPr>
                <w:rFonts w:ascii="宋体" w:hAnsi="宋体" w:cs="宋体" w:eastAsia="宋体" w:hint="default"/>
                <w:spacing w:val="-42"/>
                <w:sz w:val="16"/>
                <w:szCs w:val="16"/>
              </w:rPr>
              <w:t> </w:t>
            </w:r>
            <w:r>
              <w:rPr>
                <w:rFonts w:ascii="Arial" w:hAnsi="Arial" w:cs="Arial" w:eastAsia="Arial" w:hint="default"/>
                <w:sz w:val="16"/>
                <w:szCs w:val="16"/>
              </w:rPr>
              <w:t>5.57</w:t>
            </w:r>
            <w:r>
              <w:rPr>
                <w:rFonts w:ascii="Arial" w:hAnsi="Arial" w:cs="Arial" w:eastAsia="Arial" w:hint="default"/>
                <w:spacing w:val="-6"/>
                <w:sz w:val="16"/>
                <w:szCs w:val="16"/>
              </w:rPr>
              <w:t> </w:t>
            </w:r>
            <w:r>
              <w:rPr>
                <w:rFonts w:ascii="宋体" w:hAnsi="宋体" w:cs="宋体" w:eastAsia="宋体" w:hint="default"/>
                <w:sz w:val="16"/>
                <w:szCs w:val="16"/>
              </w:rPr>
              <w:t>元</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1"/>
              <w:ind w:right="53"/>
              <w:jc w:val="right"/>
              <w:rPr>
                <w:rFonts w:ascii="Arial" w:hAnsi="Arial" w:cs="Arial" w:eastAsia="Arial" w:hint="default"/>
                <w:sz w:val="16"/>
                <w:szCs w:val="16"/>
              </w:rPr>
            </w:pPr>
            <w:r>
              <w:rPr>
                <w:rFonts w:ascii="Arial"/>
                <w:w w:val="95"/>
                <w:sz w:val="16"/>
              </w:rPr>
              <w:t>100,361,690</w:t>
            </w:r>
            <w:r>
              <w:rPr>
                <w:rFonts w:ascii="Arial"/>
                <w:sz w:val="16"/>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1"/>
              <w:ind w:right="105"/>
              <w:jc w:val="right"/>
              <w:rPr>
                <w:rFonts w:ascii="Arial" w:hAnsi="Arial" w:cs="Arial" w:eastAsia="Arial" w:hint="default"/>
                <w:sz w:val="16"/>
                <w:szCs w:val="16"/>
              </w:rPr>
            </w:pPr>
            <w:r>
              <w:rPr>
                <w:rFonts w:ascii="Arial"/>
                <w:w w:val="95"/>
                <w:sz w:val="16"/>
              </w:rPr>
              <w:t>100,361,690</w:t>
            </w:r>
            <w:r>
              <w:rPr>
                <w:rFonts w:ascii="Arial"/>
                <w:sz w:val="16"/>
              </w:rPr>
            </w:r>
          </w:p>
        </w:tc>
      </w:tr>
      <w:tr>
        <w:trPr>
          <w:trHeight w:val="644" w:hRule="exact"/>
        </w:trPr>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Arial" w:hAnsi="Arial" w:cs="Arial" w:eastAsia="Arial" w:hint="default"/>
                <w:sz w:val="16"/>
                <w:szCs w:val="16"/>
              </w:rPr>
              <w:t>10</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15</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1952" w:type="dxa"/>
            <w:tcBorders>
              <w:top w:val="nil" w:sz="6" w:space="0" w:color="auto"/>
              <w:left w:val="nil" w:sz="6" w:space="0" w:color="auto"/>
              <w:bottom w:val="nil" w:sz="6" w:space="0" w:color="auto"/>
              <w:right w:val="nil" w:sz="6" w:space="0" w:color="auto"/>
            </w:tcBorders>
          </w:tcPr>
          <w:p>
            <w:pPr>
              <w:pStyle w:val="TableParagraph"/>
              <w:spacing w:line="214" w:lineRule="exact" w:before="74"/>
              <w:ind w:left="120"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10</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15</w:t>
            </w:r>
            <w:r>
              <w:rPr>
                <w:rFonts w:ascii="Arial" w:hAnsi="Arial" w:cs="Arial" w:eastAsia="Arial" w:hint="default"/>
                <w:spacing w:val="-6"/>
                <w:sz w:val="16"/>
                <w:szCs w:val="16"/>
              </w:rPr>
              <w:t> </w:t>
            </w:r>
            <w:r>
              <w:rPr>
                <w:rFonts w:ascii="宋体" w:hAnsi="宋体" w:cs="宋体" w:eastAsia="宋体" w:hint="default"/>
                <w:sz w:val="16"/>
                <w:szCs w:val="16"/>
              </w:rPr>
              <w:t>日至</w:t>
            </w:r>
          </w:p>
          <w:p>
            <w:pPr>
              <w:pStyle w:val="TableParagraph"/>
              <w:spacing w:line="214" w:lineRule="exact"/>
              <w:ind w:left="120" w:right="0"/>
              <w:jc w:val="left"/>
              <w:rPr>
                <w:rFonts w:ascii="宋体" w:hAnsi="宋体" w:cs="宋体" w:eastAsia="宋体" w:hint="default"/>
                <w:sz w:val="16"/>
                <w:szCs w:val="16"/>
              </w:rPr>
            </w:pPr>
            <w:r>
              <w:rPr>
                <w:rFonts w:ascii="Arial" w:hAnsi="Arial" w:cs="Arial" w:eastAsia="Arial" w:hint="default"/>
                <w:sz w:val="16"/>
                <w:szCs w:val="16"/>
              </w:rPr>
              <w:t>2010</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6</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890" w:type="dxa"/>
            <w:tcBorders>
              <w:top w:val="nil" w:sz="6" w:space="0" w:color="auto"/>
              <w:left w:val="nil" w:sz="6" w:space="0" w:color="auto"/>
              <w:bottom w:val="nil" w:sz="6" w:space="0" w:color="auto"/>
              <w:right w:val="nil" w:sz="6" w:space="0" w:color="auto"/>
            </w:tcBorders>
          </w:tcPr>
          <w:p>
            <w:pPr>
              <w:pStyle w:val="TableParagraph"/>
              <w:spacing w:line="214" w:lineRule="exact" w:before="74"/>
              <w:ind w:left="120" w:right="0"/>
              <w:jc w:val="left"/>
              <w:rPr>
                <w:rFonts w:ascii="宋体" w:hAnsi="宋体" w:cs="宋体" w:eastAsia="宋体" w:hint="default"/>
                <w:sz w:val="16"/>
                <w:szCs w:val="16"/>
              </w:rPr>
            </w:pPr>
            <w:r>
              <w:rPr>
                <w:rFonts w:ascii="Arial" w:hAnsi="Arial" w:cs="Arial" w:eastAsia="Arial" w:hint="default"/>
                <w:sz w:val="16"/>
                <w:szCs w:val="16"/>
              </w:rPr>
              <w:t>2008</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10</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15</w:t>
            </w:r>
            <w:r>
              <w:rPr>
                <w:rFonts w:ascii="Arial" w:hAnsi="Arial" w:cs="Arial" w:eastAsia="Arial" w:hint="default"/>
                <w:spacing w:val="-6"/>
                <w:sz w:val="16"/>
                <w:szCs w:val="16"/>
              </w:rPr>
              <w:t> </w:t>
            </w:r>
            <w:r>
              <w:rPr>
                <w:rFonts w:ascii="宋体" w:hAnsi="宋体" w:cs="宋体" w:eastAsia="宋体" w:hint="default"/>
                <w:sz w:val="16"/>
                <w:szCs w:val="16"/>
              </w:rPr>
              <w:t>日至</w:t>
            </w:r>
          </w:p>
          <w:p>
            <w:pPr>
              <w:pStyle w:val="TableParagraph"/>
              <w:spacing w:line="214" w:lineRule="exact"/>
              <w:ind w:left="120" w:right="0"/>
              <w:jc w:val="left"/>
              <w:rPr>
                <w:rFonts w:ascii="宋体" w:hAnsi="宋体" w:cs="宋体" w:eastAsia="宋体" w:hint="default"/>
                <w:sz w:val="16"/>
                <w:szCs w:val="16"/>
              </w:rPr>
            </w:pPr>
            <w:r>
              <w:rPr>
                <w:rFonts w:ascii="Arial" w:hAnsi="Arial" w:cs="Arial" w:eastAsia="Arial" w:hint="default"/>
                <w:sz w:val="16"/>
                <w:szCs w:val="16"/>
              </w:rPr>
              <w:t>2013</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5</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68"/>
              <w:jc w:val="right"/>
              <w:rPr>
                <w:rFonts w:ascii="宋体" w:hAnsi="宋体" w:cs="宋体" w:eastAsia="宋体" w:hint="default"/>
                <w:sz w:val="16"/>
                <w:szCs w:val="16"/>
              </w:rPr>
            </w:pPr>
            <w:r>
              <w:rPr>
                <w:rFonts w:ascii="宋体" w:hAnsi="宋体" w:cs="宋体" w:eastAsia="宋体" w:hint="default"/>
                <w:sz w:val="16"/>
                <w:szCs w:val="16"/>
              </w:rPr>
              <w:t>港币</w:t>
            </w:r>
            <w:r>
              <w:rPr>
                <w:rFonts w:ascii="宋体" w:hAnsi="宋体" w:cs="宋体" w:eastAsia="宋体" w:hint="default"/>
                <w:spacing w:val="-42"/>
                <w:sz w:val="16"/>
                <w:szCs w:val="16"/>
              </w:rPr>
              <w:t> </w:t>
            </w:r>
            <w:r>
              <w:rPr>
                <w:rFonts w:ascii="Arial" w:hAnsi="Arial" w:cs="Arial" w:eastAsia="Arial" w:hint="default"/>
                <w:sz w:val="16"/>
                <w:szCs w:val="16"/>
              </w:rPr>
              <w:t>8.26</w:t>
            </w:r>
            <w:r>
              <w:rPr>
                <w:rFonts w:ascii="Arial" w:hAnsi="Arial" w:cs="Arial" w:eastAsia="Arial" w:hint="default"/>
                <w:spacing w:val="-6"/>
                <w:sz w:val="16"/>
                <w:szCs w:val="16"/>
              </w:rPr>
              <w:t> </w:t>
            </w:r>
            <w:r>
              <w:rPr>
                <w:rFonts w:ascii="宋体" w:hAnsi="宋体" w:cs="宋体" w:eastAsia="宋体" w:hint="default"/>
                <w:sz w:val="16"/>
                <w:szCs w:val="16"/>
              </w:rPr>
              <w:t>元</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tabs>
                <w:tab w:pos="332" w:val="left" w:leader="none"/>
                <w:tab w:pos="1186" w:val="left" w:leader="none"/>
              </w:tabs>
              <w:spacing w:line="240" w:lineRule="auto" w:before="121"/>
              <w:ind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88,929,468</w:t>
            </w:r>
            <w:r>
              <w:rPr>
                <w:rFonts w:ascii="Arial"/>
                <w:sz w:val="16"/>
                <w:u w:val="single" w:color="000000"/>
              </w:rPr>
              <w:tab/>
            </w:r>
            <w:r>
              <w:rPr>
                <w:rFonts w:ascii="Arial"/>
                <w:sz w:val="16"/>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tabs>
                <w:tab w:pos="341" w:val="left" w:leader="none"/>
                <w:tab w:pos="1249" w:val="left" w:leader="none"/>
              </w:tabs>
              <w:spacing w:line="240" w:lineRule="auto" w:before="121"/>
              <w:ind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88,929,468</w:t>
            </w:r>
            <w:r>
              <w:rPr>
                <w:rFonts w:ascii="Arial"/>
                <w:sz w:val="16"/>
                <w:u w:val="single" w:color="000000"/>
              </w:rPr>
              <w:tab/>
            </w:r>
            <w:r>
              <w:rPr>
                <w:rFonts w:ascii="Arial"/>
                <w:sz w:val="16"/>
              </w:rPr>
            </w:r>
          </w:p>
        </w:tc>
      </w:tr>
      <w:tr>
        <w:trPr>
          <w:trHeight w:val="322" w:hRule="exact"/>
        </w:trPr>
        <w:tc>
          <w:tcPr>
            <w:tcW w:w="1558"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53"/>
              <w:jc w:val="right"/>
              <w:rPr>
                <w:rFonts w:ascii="Arial" w:hAnsi="Arial" w:cs="Arial" w:eastAsia="Arial" w:hint="default"/>
                <w:sz w:val="16"/>
                <w:szCs w:val="16"/>
              </w:rPr>
            </w:pPr>
            <w:r>
              <w:rPr>
                <w:rFonts w:ascii="Arial"/>
                <w:w w:val="95"/>
                <w:sz w:val="16"/>
              </w:rPr>
              <w:t>391,331,158</w:t>
            </w:r>
            <w:r>
              <w:rPr>
                <w:rFonts w:ascii="Arial"/>
                <w:sz w:val="16"/>
              </w:rPr>
            </w:r>
          </w:p>
        </w:tc>
        <w:tc>
          <w:tcPr>
            <w:tcW w:w="1340"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105"/>
              <w:jc w:val="right"/>
              <w:rPr>
                <w:rFonts w:ascii="Arial" w:hAnsi="Arial" w:cs="Arial" w:eastAsia="Arial" w:hint="default"/>
                <w:sz w:val="16"/>
                <w:szCs w:val="16"/>
              </w:rPr>
            </w:pPr>
            <w:r>
              <w:rPr>
                <w:rFonts w:ascii="Arial"/>
                <w:w w:val="95"/>
                <w:sz w:val="16"/>
              </w:rPr>
              <w:t>391,481,158</w:t>
            </w:r>
            <w:r>
              <w:rPr>
                <w:rFonts w:ascii="Arial"/>
                <w:sz w:val="16"/>
              </w:rPr>
            </w:r>
          </w:p>
        </w:tc>
      </w:tr>
    </w:tbl>
    <w:p>
      <w:pPr>
        <w:spacing w:line="240" w:lineRule="auto" w:before="8"/>
        <w:rPr>
          <w:rFonts w:ascii="宋体" w:hAnsi="宋体" w:cs="宋体" w:eastAsia="宋体" w:hint="default"/>
          <w:sz w:val="10"/>
          <w:szCs w:val="10"/>
        </w:rPr>
      </w:pPr>
    </w:p>
    <w:p>
      <w:pPr>
        <w:pStyle w:val="BodyText"/>
        <w:spacing w:line="295" w:lineRule="exact" w:before="31"/>
        <w:ind w:left="606" w:right="0"/>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日，联通红筹公司未行使股份期权加权平均剩余合约期限为</w:t>
      </w:r>
      <w:r>
        <w:rPr>
          <w:rFonts w:ascii="Arial" w:hAnsi="Arial" w:cs="Arial" w:eastAsia="Arial" w:hint="default"/>
        </w:rPr>
        <w:t>0.94</w:t>
      </w:r>
      <w:r>
        <w:rPr/>
        <w:t>年（</w:t>
      </w:r>
      <w:r>
        <w:rPr>
          <w:rFonts w:ascii="Arial" w:hAnsi="Arial" w:cs="Arial" w:eastAsia="Arial" w:hint="default"/>
        </w:rPr>
        <w:t>2011</w:t>
      </w:r>
      <w:r>
        <w:rPr/>
        <w:t>年</w:t>
      </w:r>
    </w:p>
    <w:p>
      <w:pPr>
        <w:pStyle w:val="BodyText"/>
        <w:spacing w:line="295" w:lineRule="exact"/>
        <w:ind w:left="606" w:right="1289"/>
        <w:jc w:val="left"/>
      </w:pPr>
      <w:r>
        <w:rPr>
          <w:rFonts w:ascii="Arial" w:hAnsi="Arial" w:cs="Arial" w:eastAsia="Arial" w:hint="default"/>
        </w:rPr>
        <w:t>12</w:t>
      </w:r>
      <w:r>
        <w:rPr/>
        <w:t>月</w:t>
      </w:r>
      <w:r>
        <w:rPr>
          <w:rFonts w:ascii="Arial" w:hAnsi="Arial" w:cs="Arial" w:eastAsia="Arial" w:hint="default"/>
        </w:rPr>
        <w:t>31</w:t>
      </w:r>
      <w:r>
        <w:rPr/>
        <w:t>日：</w:t>
      </w:r>
      <w:r>
        <w:rPr>
          <w:rFonts w:ascii="Arial" w:hAnsi="Arial" w:cs="Arial" w:eastAsia="Arial" w:hint="default"/>
        </w:rPr>
        <w:t>0.94</w:t>
      </w:r>
      <w:r>
        <w:rPr/>
        <w:t>年）。</w:t>
      </w:r>
    </w:p>
    <w:p>
      <w:pPr>
        <w:spacing w:line="240" w:lineRule="auto" w:before="5"/>
        <w:rPr>
          <w:rFonts w:ascii="宋体" w:hAnsi="宋体" w:cs="宋体" w:eastAsia="宋体" w:hint="default"/>
          <w:sz w:val="15"/>
          <w:szCs w:val="15"/>
        </w:rPr>
      </w:pPr>
    </w:p>
    <w:p>
      <w:pPr>
        <w:pStyle w:val="BodyText"/>
        <w:spacing w:line="228" w:lineRule="auto"/>
        <w:ind w:left="1347" w:right="337" w:hanging="721"/>
        <w:jc w:val="both"/>
      </w:pPr>
      <w:r>
        <w:rPr/>
        <w:t>注：</w:t>
      </w:r>
      <w:r>
        <w:rPr>
          <w:spacing w:val="100"/>
        </w:rPr>
        <w:t> </w:t>
      </w:r>
      <w:r>
        <w:rPr/>
        <w:t>于</w:t>
      </w:r>
      <w:r>
        <w:rPr>
          <w:rFonts w:ascii="Arial" w:hAnsi="Arial" w:cs="Arial" w:eastAsia="Arial" w:hint="default"/>
        </w:rPr>
        <w:t>2009</w:t>
      </w:r>
      <w:r>
        <w:rPr/>
        <w:t>年</w:t>
      </w:r>
      <w:r>
        <w:rPr>
          <w:rFonts w:ascii="Arial" w:hAnsi="Arial" w:cs="Arial" w:eastAsia="Arial" w:hint="default"/>
        </w:rPr>
        <w:t>5</w:t>
      </w:r>
      <w:r>
        <w:rPr/>
        <w:t>月，联通红筹公司董事会根据股份期权计划的条款，将其中约</w:t>
      </w:r>
      <w:r>
        <w:rPr>
          <w:rFonts w:ascii="Arial" w:hAnsi="Arial" w:cs="Arial" w:eastAsia="Arial" w:hint="default"/>
        </w:rPr>
        <w:t>2,500</w:t>
      </w:r>
      <w:r>
        <w:rPr/>
        <w:t>万份期</w:t>
      </w:r>
      <w:r>
        <w:rPr>
          <w:spacing w:val="-108"/>
        </w:rPr>
        <w:t> </w:t>
      </w:r>
      <w:r>
        <w:rPr>
          <w:spacing w:val="-108"/>
        </w:rPr>
      </w:r>
      <w:r>
        <w:rPr>
          <w:spacing w:val="2"/>
        </w:rPr>
        <w:t>权的可行使期延长一年。延期的主要原因是，</w:t>
      </w:r>
      <w:r>
        <w:rPr>
          <w:rFonts w:ascii="Arial" w:hAnsi="Arial" w:cs="Arial" w:eastAsia="Arial" w:hint="default"/>
          <w:spacing w:val="2"/>
        </w:rPr>
        <w:t>(i)</w:t>
      </w:r>
      <w:r>
        <w:rPr>
          <w:spacing w:val="2"/>
        </w:rPr>
        <w:t>作为</w:t>
      </w:r>
      <w:r>
        <w:rPr>
          <w:rFonts w:ascii="Arial" w:hAnsi="Arial" w:cs="Arial" w:eastAsia="Arial" w:hint="default"/>
          <w:spacing w:val="2"/>
        </w:rPr>
        <w:t>2008</w:t>
      </w:r>
      <w:r>
        <w:rPr>
          <w:spacing w:val="2"/>
        </w:rPr>
        <w:t>年电信行业重组的一部份，</w:t>
      </w:r>
      <w:r>
        <w:rPr>
          <w:w w:val="99"/>
        </w:rPr>
        <w:t> </w:t>
      </w:r>
      <w:r>
        <w:rPr>
          <w:spacing w:val="-3"/>
        </w:rPr>
        <w:t>该等期权的持有人被调职到其他电信公司，根据股份期权计划，该等期权的持有人被确</w:t>
      </w:r>
      <w:r>
        <w:rPr>
          <w:w w:val="99"/>
        </w:rPr>
        <w:t> </w:t>
      </w:r>
      <w:r>
        <w:rPr>
          <w:spacing w:val="2"/>
        </w:rPr>
        <w:t>定为“被调动人员”，及</w:t>
      </w:r>
      <w:r>
        <w:rPr>
          <w:rFonts w:ascii="Arial" w:hAnsi="Arial" w:cs="Arial" w:eastAsia="Arial" w:hint="default"/>
          <w:spacing w:val="2"/>
        </w:rPr>
        <w:t>(ii)</w:t>
      </w:r>
      <w:r>
        <w:rPr>
          <w:spacing w:val="2"/>
        </w:rPr>
        <w:t>由于股份期权计划中的相关条款规定的强制性禁售，致使</w:t>
      </w:r>
      <w:r>
        <w:rPr>
          <w:w w:val="99"/>
        </w:rPr>
        <w:t> </w:t>
      </w:r>
      <w:r>
        <w:rPr>
          <w:spacing w:val="-3"/>
        </w:rPr>
        <w:t>该等期权未能行使。由于强制性禁售规定仍然有效，联通红筹公司董事会根据股份期权</w:t>
      </w:r>
      <w:r>
        <w:rPr>
          <w:w w:val="99"/>
        </w:rPr>
        <w:t> </w:t>
      </w:r>
      <w:r>
        <w:rPr>
          <w:w w:val="95"/>
        </w:rPr>
        <w:t>计划中的相关条款规定，将若干股份期权的行使期限分别于</w:t>
      </w:r>
      <w:r>
        <w:rPr>
          <w:rFonts w:ascii="Arial" w:hAnsi="Arial" w:cs="Arial" w:eastAsia="Arial" w:hint="default"/>
          <w:w w:val="95"/>
        </w:rPr>
        <w:t>2010</w:t>
      </w:r>
      <w:r>
        <w:rPr>
          <w:w w:val="95"/>
        </w:rPr>
        <w:t>年</w:t>
      </w:r>
      <w:r>
        <w:rPr>
          <w:rFonts w:ascii="Arial" w:hAnsi="Arial" w:cs="Arial" w:eastAsia="Arial" w:hint="default"/>
          <w:w w:val="95"/>
        </w:rPr>
        <w:t>3</w:t>
      </w:r>
      <w:r>
        <w:rPr>
          <w:w w:val="95"/>
        </w:rPr>
        <w:t>月、</w:t>
      </w:r>
      <w:r>
        <w:rPr>
          <w:rFonts w:ascii="Arial" w:hAnsi="Arial" w:cs="Arial" w:eastAsia="Arial" w:hint="default"/>
          <w:w w:val="95"/>
        </w:rPr>
        <w:t>2011</w:t>
      </w:r>
      <w:r>
        <w:rPr>
          <w:w w:val="95"/>
        </w:rPr>
        <w:t>年</w:t>
      </w:r>
      <w:r>
        <w:rPr>
          <w:rFonts w:ascii="Arial" w:hAnsi="Arial" w:cs="Arial" w:eastAsia="Arial" w:hint="default"/>
          <w:w w:val="95"/>
        </w:rPr>
        <w:t>3</w:t>
      </w:r>
      <w:r>
        <w:rPr>
          <w:w w:val="95"/>
        </w:rPr>
        <w:t>月及</w:t>
      </w:r>
      <w:r>
        <w:rPr>
          <w:w w:val="99"/>
        </w:rPr>
        <w:t> </w:t>
      </w:r>
      <w:r>
        <w:rPr>
          <w:rFonts w:ascii="Arial" w:hAnsi="Arial" w:cs="Arial" w:eastAsia="Arial" w:hint="default"/>
          <w:spacing w:val="-3"/>
        </w:rPr>
        <w:t>2012</w:t>
      </w:r>
      <w:r>
        <w:rPr>
          <w:spacing w:val="-3"/>
        </w:rPr>
        <w:t>年</w:t>
      </w:r>
      <w:r>
        <w:rPr>
          <w:rFonts w:ascii="Arial" w:hAnsi="Arial" w:cs="Arial" w:eastAsia="Arial" w:hint="default"/>
          <w:spacing w:val="-3"/>
        </w:rPr>
        <w:t>3</w:t>
      </w:r>
      <w:r>
        <w:rPr>
          <w:spacing w:val="-3"/>
        </w:rPr>
        <w:t>月及</w:t>
      </w:r>
      <w:r>
        <w:rPr>
          <w:rFonts w:ascii="Arial" w:hAnsi="Arial" w:cs="Arial" w:eastAsia="Arial" w:hint="default"/>
          <w:spacing w:val="-3"/>
        </w:rPr>
        <w:t>2013</w:t>
      </w:r>
      <w:r>
        <w:rPr>
          <w:spacing w:val="-3"/>
        </w:rPr>
        <w:t>年</w:t>
      </w:r>
      <w:r>
        <w:rPr>
          <w:rFonts w:ascii="Arial" w:hAnsi="Arial" w:cs="Arial" w:eastAsia="Arial" w:hint="default"/>
          <w:spacing w:val="-3"/>
        </w:rPr>
        <w:t>3</w:t>
      </w:r>
      <w:r>
        <w:rPr>
          <w:spacing w:val="-3"/>
        </w:rPr>
        <w:t>月先后每次延长一年。于</w:t>
      </w:r>
      <w:r>
        <w:rPr>
          <w:rFonts w:ascii="Arial" w:hAnsi="Arial" w:cs="Arial" w:eastAsia="Arial" w:hint="default"/>
          <w:spacing w:val="-3"/>
        </w:rPr>
        <w:t>2012</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日，被调动人员持有的有</w:t>
      </w:r>
      <w:r>
        <w:rPr>
          <w:w w:val="99"/>
        </w:rPr>
        <w:t> </w:t>
      </w:r>
      <w:r>
        <w:rPr/>
        <w:t>效股份期权为</w:t>
      </w:r>
      <w:r>
        <w:rPr>
          <w:rFonts w:ascii="Arial" w:hAnsi="Arial" w:cs="Arial" w:eastAsia="Arial" w:hint="default"/>
        </w:rPr>
        <w:t>2,344</w:t>
      </w:r>
      <w:r>
        <w:rPr/>
        <w:t>万股。</w:t>
      </w:r>
    </w:p>
    <w:p>
      <w:pPr>
        <w:spacing w:line="240" w:lineRule="auto" w:before="2"/>
        <w:rPr>
          <w:rFonts w:ascii="宋体" w:hAnsi="宋体" w:cs="宋体" w:eastAsia="宋体" w:hint="default"/>
          <w:sz w:val="15"/>
          <w:szCs w:val="15"/>
        </w:rPr>
      </w:pPr>
    </w:p>
    <w:p>
      <w:pPr>
        <w:pStyle w:val="BodyText"/>
        <w:spacing w:line="232" w:lineRule="auto"/>
        <w:ind w:left="1347" w:right="338"/>
        <w:jc w:val="both"/>
      </w:pPr>
      <w:r>
        <w:rPr/>
        <w:t>此外，于</w:t>
      </w:r>
      <w:r>
        <w:rPr>
          <w:rFonts w:ascii="Arial" w:hAnsi="Arial" w:cs="Arial" w:eastAsia="Arial" w:hint="default"/>
        </w:rPr>
        <w:t>2010</w:t>
      </w:r>
      <w:r>
        <w:rPr/>
        <w:t>年</w:t>
      </w:r>
      <w:r>
        <w:rPr>
          <w:rFonts w:ascii="Arial" w:hAnsi="Arial" w:cs="Arial" w:eastAsia="Arial" w:hint="default"/>
        </w:rPr>
        <w:t>3</w:t>
      </w:r>
      <w:r>
        <w:rPr/>
        <w:t>月、</w:t>
      </w:r>
      <w:r>
        <w:rPr>
          <w:rFonts w:ascii="Arial" w:hAnsi="Arial" w:cs="Arial" w:eastAsia="Arial" w:hint="default"/>
        </w:rPr>
        <w:t>2011</w:t>
      </w:r>
      <w:r>
        <w:rPr/>
        <w:t>年</w:t>
      </w:r>
      <w:r>
        <w:rPr>
          <w:rFonts w:ascii="Arial" w:hAnsi="Arial" w:cs="Arial" w:eastAsia="Arial" w:hint="default"/>
        </w:rPr>
        <w:t>3</w:t>
      </w:r>
      <w:r>
        <w:rPr/>
        <w:t>月、</w:t>
      </w:r>
      <w:r>
        <w:rPr>
          <w:rFonts w:ascii="Arial" w:hAnsi="Arial" w:cs="Arial" w:eastAsia="Arial" w:hint="default"/>
        </w:rPr>
        <w:t>2012</w:t>
      </w:r>
      <w:r>
        <w:rPr/>
        <w:t>年</w:t>
      </w:r>
      <w:r>
        <w:rPr>
          <w:rFonts w:ascii="Arial" w:hAnsi="Arial" w:cs="Arial" w:eastAsia="Arial" w:hint="default"/>
        </w:rPr>
        <w:t>3</w:t>
      </w:r>
      <w:r>
        <w:rPr/>
        <w:t>月及</w:t>
      </w:r>
      <w:r>
        <w:rPr>
          <w:rFonts w:ascii="Arial" w:hAnsi="Arial" w:cs="Arial" w:eastAsia="Arial" w:hint="default"/>
        </w:rPr>
        <w:t>2013</w:t>
      </w:r>
      <w:r>
        <w:rPr/>
        <w:t>年</w:t>
      </w:r>
      <w:r>
        <w:rPr>
          <w:rFonts w:ascii="Arial" w:hAnsi="Arial" w:cs="Arial" w:eastAsia="Arial" w:hint="default"/>
        </w:rPr>
        <w:t>3</w:t>
      </w:r>
      <w:r>
        <w:rPr/>
        <w:t>月，联通红筹公司董事会分</w:t>
      </w:r>
      <w:r>
        <w:rPr>
          <w:spacing w:val="-35"/>
        </w:rPr>
        <w:t> </w:t>
      </w:r>
      <w:r>
        <w:rPr>
          <w:spacing w:val="-35"/>
        </w:rPr>
      </w:r>
      <w:r>
        <w:rPr>
          <w:spacing w:val="-3"/>
          <w:w w:val="99"/>
        </w:rPr>
        <w:t>别根据股份期权计划及特殊目的股份期权计划的条款，将若干股份期权的最后可行使日</w:t>
      </w:r>
      <w:r>
        <w:rPr>
          <w:spacing w:val="-97"/>
          <w:w w:val="99"/>
        </w:rPr>
        <w:t> </w:t>
      </w:r>
      <w:r>
        <w:rPr>
          <w:spacing w:val="-97"/>
          <w:w w:val="99"/>
        </w:rPr>
      </w:r>
      <w:r>
        <w:rPr>
          <w:spacing w:val="-3"/>
          <w:w w:val="99"/>
        </w:rPr>
        <w:t>期延长一年。延期的原因是由于根据股份期权计划及特殊目的股份期权计划中相关条款</w:t>
      </w:r>
      <w:r>
        <w:rPr>
          <w:spacing w:val="-96"/>
          <w:w w:val="99"/>
        </w:rPr>
        <w:t> </w:t>
      </w:r>
      <w:r>
        <w:rPr>
          <w:spacing w:val="-96"/>
          <w:w w:val="99"/>
        </w:rPr>
      </w:r>
      <w:r>
        <w:rPr>
          <w:spacing w:val="-2"/>
        </w:rPr>
        <w:t>所规定的强制性禁售仍然有效，导致该等期权未能行使。</w:t>
      </w:r>
      <w:r>
        <w:rPr>
          <w:rFonts w:ascii="Arial" w:hAnsi="Arial" w:cs="Arial" w:eastAsia="Arial" w:hint="default"/>
          <w:spacing w:val="-2"/>
        </w:rPr>
        <w:t>2013</w:t>
      </w:r>
      <w:r>
        <w:rPr>
          <w:spacing w:val="-2"/>
        </w:rPr>
        <w:t>年</w:t>
      </w:r>
      <w:r>
        <w:rPr>
          <w:rFonts w:ascii="Arial" w:hAnsi="Arial" w:cs="Arial" w:eastAsia="Arial" w:hint="default"/>
          <w:spacing w:val="-2"/>
        </w:rPr>
        <w:t>3</w:t>
      </w:r>
      <w:r>
        <w:rPr>
          <w:spacing w:val="-2"/>
        </w:rPr>
        <w:t>月对最后可行使日期</w:t>
      </w:r>
      <w:r>
        <w:rPr>
          <w:spacing w:val="-95"/>
        </w:rPr>
        <w:t> </w:t>
      </w:r>
      <w:r>
        <w:rPr>
          <w:spacing w:val="-95"/>
        </w:rPr>
      </w:r>
      <w:r>
        <w:rPr/>
        <w:t>的修订预期不会对本集团</w:t>
      </w:r>
      <w:r>
        <w:rPr>
          <w:rFonts w:ascii="Arial" w:hAnsi="Arial" w:cs="Arial" w:eastAsia="Arial" w:hint="default"/>
        </w:rPr>
        <w:t>2013</w:t>
      </w:r>
      <w:r>
        <w:rPr/>
        <w:t>年度合并财务报表产生重大影响。</w:t>
      </w:r>
    </w:p>
    <w:p>
      <w:pPr>
        <w:spacing w:after="0" w:line="232" w:lineRule="auto"/>
        <w:jc w:val="both"/>
        <w:sectPr>
          <w:headerReference w:type="default" r:id="rId128"/>
          <w:pgSz w:w="11910" w:h="16840"/>
          <w:pgMar w:header="1184" w:footer="457" w:top="3040" w:bottom="640" w:left="1280" w:right="680"/>
        </w:sectPr>
      </w:pPr>
    </w:p>
    <w:p>
      <w:pPr>
        <w:spacing w:line="240" w:lineRule="auto" w:before="12"/>
        <w:rPr>
          <w:rFonts w:ascii="宋体" w:hAnsi="宋体" w:cs="宋体" w:eastAsia="宋体" w:hint="default"/>
          <w:sz w:val="14"/>
          <w:szCs w:val="14"/>
        </w:rPr>
      </w:pPr>
    </w:p>
    <w:p>
      <w:pPr>
        <w:pStyle w:val="BodyText"/>
        <w:spacing w:line="240" w:lineRule="auto" w:before="31"/>
        <w:ind w:left="122" w:right="0"/>
        <w:jc w:val="left"/>
      </w:pPr>
      <w:r>
        <w:rPr>
          <w:rFonts w:ascii="Arial" w:hAnsi="Arial" w:cs="Arial" w:eastAsia="Arial" w:hint="default"/>
        </w:rPr>
        <w:t>47</w:t>
      </w:r>
      <w:r>
        <w:rPr/>
        <w:t>、每股收益</w:t>
      </w:r>
    </w:p>
    <w:p>
      <w:pPr>
        <w:spacing w:line="240" w:lineRule="auto" w:before="0"/>
        <w:rPr>
          <w:rFonts w:ascii="宋体" w:hAnsi="宋体" w:cs="宋体" w:eastAsia="宋体" w:hint="default"/>
          <w:sz w:val="18"/>
          <w:szCs w:val="18"/>
        </w:rPr>
      </w:pPr>
    </w:p>
    <w:p>
      <w:pPr>
        <w:pStyle w:val="BodyText"/>
        <w:spacing w:line="240" w:lineRule="auto"/>
        <w:ind w:left="108" w:right="0"/>
        <w:jc w:val="left"/>
      </w:pPr>
      <w:r>
        <w:rPr>
          <w:rFonts w:ascii="Arial" w:hAnsi="Arial" w:cs="Arial" w:eastAsia="Arial" w:hint="default"/>
        </w:rPr>
        <w:t>(a) </w:t>
      </w:r>
      <w:r>
        <w:rPr>
          <w:rFonts w:ascii="Arial" w:hAnsi="Arial" w:cs="Arial" w:eastAsia="Arial" w:hint="default"/>
          <w:spacing w:val="38"/>
        </w:rPr>
        <w:t> </w:t>
      </w:r>
      <w:r>
        <w:rPr/>
        <w:t>基本每股收益</w:t>
      </w:r>
    </w:p>
    <w:p>
      <w:pPr>
        <w:spacing w:line="240" w:lineRule="auto" w:before="0"/>
        <w:rPr>
          <w:rFonts w:ascii="宋体" w:hAnsi="宋体" w:cs="宋体" w:eastAsia="宋体" w:hint="default"/>
          <w:sz w:val="20"/>
          <w:szCs w:val="20"/>
        </w:rPr>
      </w:pPr>
    </w:p>
    <w:p>
      <w:pPr>
        <w:pStyle w:val="BodyText"/>
        <w:spacing w:line="286" w:lineRule="exact"/>
        <w:ind w:left="544" w:right="124"/>
        <w:jc w:val="left"/>
      </w:pPr>
      <w:r>
        <w:rPr/>
        <w:t>基本每股收益以归属于母公司普通股股东的合并净利润除以母公司发行在外普通股的加权平均</w:t>
      </w:r>
      <w:r>
        <w:rPr>
          <w:w w:val="99"/>
        </w:rPr>
        <w:t> </w:t>
      </w:r>
      <w:r>
        <w:rPr/>
        <w:t>数计算：</w:t>
      </w:r>
    </w:p>
    <w:p>
      <w:pPr>
        <w:spacing w:line="240" w:lineRule="auto" w:before="5"/>
        <w:rPr>
          <w:rFonts w:ascii="宋体" w:hAnsi="宋体" w:cs="宋体" w:eastAsia="宋体" w:hint="default"/>
          <w:sz w:val="22"/>
          <w:szCs w:val="22"/>
        </w:rPr>
      </w:pPr>
    </w:p>
    <w:tbl>
      <w:tblPr>
        <w:tblW w:w="0" w:type="auto"/>
        <w:jc w:val="left"/>
        <w:tblInd w:w="370" w:type="dxa"/>
        <w:tblLayout w:type="fixed"/>
        <w:tblCellMar>
          <w:top w:w="0" w:type="dxa"/>
          <w:left w:w="0" w:type="dxa"/>
          <w:bottom w:w="0" w:type="dxa"/>
          <w:right w:w="0" w:type="dxa"/>
        </w:tblCellMar>
        <w:tblLook w:val="01E0"/>
      </w:tblPr>
      <w:tblGrid>
        <w:gridCol w:w="4782"/>
        <w:gridCol w:w="2501"/>
        <w:gridCol w:w="1948"/>
      </w:tblGrid>
      <w:tr>
        <w:trPr>
          <w:trHeight w:val="260" w:hRule="exact"/>
        </w:trPr>
        <w:tc>
          <w:tcPr>
            <w:tcW w:w="4782" w:type="dxa"/>
            <w:tcBorders>
              <w:top w:val="nil" w:sz="6" w:space="0" w:color="auto"/>
              <w:left w:val="nil" w:sz="6" w:space="0" w:color="auto"/>
              <w:bottom w:val="nil" w:sz="6" w:space="0" w:color="auto"/>
              <w:right w:val="nil" w:sz="6" w:space="0" w:color="auto"/>
            </w:tcBorders>
          </w:tcPr>
          <w:p>
            <w:pPr/>
          </w:p>
        </w:tc>
        <w:tc>
          <w:tcPr>
            <w:tcW w:w="2501" w:type="dxa"/>
            <w:tcBorders>
              <w:top w:val="nil" w:sz="6" w:space="0" w:color="auto"/>
              <w:left w:val="nil" w:sz="6" w:space="0" w:color="auto"/>
              <w:bottom w:val="single" w:sz="6" w:space="0" w:color="000000"/>
              <w:right w:val="nil" w:sz="6" w:space="0" w:color="auto"/>
            </w:tcBorders>
          </w:tcPr>
          <w:p>
            <w:pPr>
              <w:pStyle w:val="TableParagraph"/>
              <w:spacing w:line="235" w:lineRule="exact"/>
              <w:ind w:right="327"/>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948" w:type="dxa"/>
            <w:tcBorders>
              <w:top w:val="nil" w:sz="6" w:space="0" w:color="auto"/>
              <w:left w:val="nil" w:sz="6" w:space="0" w:color="auto"/>
              <w:bottom w:val="single" w:sz="6" w:space="0" w:color="000000"/>
              <w:right w:val="nil" w:sz="6" w:space="0" w:color="auto"/>
            </w:tcBorders>
          </w:tcPr>
          <w:p>
            <w:pPr>
              <w:pStyle w:val="TableParagraph"/>
              <w:spacing w:line="235" w:lineRule="exact"/>
              <w:ind w:right="54"/>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612" w:hRule="exact"/>
        </w:trPr>
        <w:tc>
          <w:tcPr>
            <w:tcW w:w="47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归属于母公司普通股股东的合并净利润</w:t>
            </w:r>
          </w:p>
        </w:tc>
        <w:tc>
          <w:tcPr>
            <w:tcW w:w="2501" w:type="dxa"/>
            <w:tcBorders>
              <w:top w:val="single" w:sz="6" w:space="0" w:color="000000"/>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381"/>
              <w:jc w:val="right"/>
              <w:rPr>
                <w:rFonts w:ascii="Arial" w:hAnsi="Arial" w:cs="Arial" w:eastAsia="Arial" w:hint="default"/>
                <w:sz w:val="22"/>
                <w:szCs w:val="22"/>
              </w:rPr>
            </w:pPr>
            <w:r>
              <w:rPr>
                <w:rFonts w:ascii="Arial"/>
                <w:spacing w:val="-1"/>
                <w:sz w:val="22"/>
              </w:rPr>
              <w:t>2,368,106,789</w:t>
            </w:r>
          </w:p>
        </w:tc>
        <w:tc>
          <w:tcPr>
            <w:tcW w:w="1948" w:type="dxa"/>
            <w:tcBorders>
              <w:top w:val="single" w:sz="6" w:space="0" w:color="000000"/>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88"/>
              <w:jc w:val="right"/>
              <w:rPr>
                <w:rFonts w:ascii="Arial" w:hAnsi="Arial" w:cs="Arial" w:eastAsia="Arial" w:hint="default"/>
                <w:sz w:val="22"/>
                <w:szCs w:val="22"/>
              </w:rPr>
            </w:pPr>
            <w:r>
              <w:rPr>
                <w:rFonts w:ascii="Arial"/>
                <w:spacing w:val="-1"/>
                <w:sz w:val="22"/>
              </w:rPr>
              <w:t>1,412,245,739</w:t>
            </w:r>
          </w:p>
        </w:tc>
      </w:tr>
      <w:tr>
        <w:trPr>
          <w:trHeight w:val="599" w:hRule="exact"/>
        </w:trPr>
        <w:tc>
          <w:tcPr>
            <w:tcW w:w="47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本公司发行在外普通股的加权平均数</w:t>
            </w:r>
          </w:p>
        </w:tc>
        <w:tc>
          <w:tcPr>
            <w:tcW w:w="2501" w:type="dxa"/>
            <w:tcBorders>
              <w:top w:val="single" w:sz="6" w:space="0" w:color="000000"/>
              <w:left w:val="nil" w:sz="6" w:space="0" w:color="auto"/>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381"/>
              <w:jc w:val="right"/>
              <w:rPr>
                <w:rFonts w:ascii="Arial" w:hAnsi="Arial" w:cs="Arial" w:eastAsia="Arial" w:hint="default"/>
                <w:sz w:val="22"/>
                <w:szCs w:val="22"/>
              </w:rPr>
            </w:pPr>
            <w:r>
              <w:rPr>
                <w:rFonts w:ascii="Arial"/>
                <w:spacing w:val="-1"/>
                <w:sz w:val="22"/>
              </w:rPr>
              <w:t>21,196,596,395</w:t>
            </w:r>
          </w:p>
        </w:tc>
        <w:tc>
          <w:tcPr>
            <w:tcW w:w="1948" w:type="dxa"/>
            <w:tcBorders>
              <w:top w:val="single" w:sz="6" w:space="0" w:color="000000"/>
              <w:left w:val="nil" w:sz="6" w:space="0" w:color="auto"/>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88"/>
              <w:jc w:val="right"/>
              <w:rPr>
                <w:rFonts w:ascii="Arial" w:hAnsi="Arial" w:cs="Arial" w:eastAsia="Arial" w:hint="default"/>
                <w:sz w:val="22"/>
                <w:szCs w:val="22"/>
              </w:rPr>
            </w:pPr>
            <w:r>
              <w:rPr>
                <w:rFonts w:ascii="Arial"/>
                <w:spacing w:val="-1"/>
                <w:sz w:val="22"/>
              </w:rPr>
              <w:t>21,196,596,395</w:t>
            </w:r>
          </w:p>
        </w:tc>
      </w:tr>
      <w:tr>
        <w:trPr>
          <w:trHeight w:val="614" w:hRule="exact"/>
        </w:trPr>
        <w:tc>
          <w:tcPr>
            <w:tcW w:w="47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基本每股收益</w:t>
            </w:r>
          </w:p>
        </w:tc>
        <w:tc>
          <w:tcPr>
            <w:tcW w:w="2501" w:type="dxa"/>
            <w:tcBorders>
              <w:top w:val="single" w:sz="6" w:space="0" w:color="000000"/>
              <w:left w:val="nil" w:sz="6" w:space="0" w:color="auto"/>
              <w:bottom w:val="single" w:sz="17"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96"/>
              <w:jc w:val="right"/>
              <w:rPr>
                <w:rFonts w:ascii="Arial" w:hAnsi="Arial" w:cs="Arial" w:eastAsia="Arial" w:hint="default"/>
                <w:sz w:val="22"/>
                <w:szCs w:val="22"/>
              </w:rPr>
            </w:pPr>
            <w:r>
              <w:rPr>
                <w:rFonts w:ascii="Arial"/>
                <w:w w:val="95"/>
                <w:sz w:val="22"/>
              </w:rPr>
              <w:t>0.1117</w:t>
            </w:r>
            <w:r>
              <w:rPr>
                <w:rFonts w:ascii="Arial"/>
                <w:sz w:val="22"/>
              </w:rPr>
            </w:r>
          </w:p>
        </w:tc>
        <w:tc>
          <w:tcPr>
            <w:tcW w:w="1948" w:type="dxa"/>
            <w:tcBorders>
              <w:top w:val="single" w:sz="6" w:space="0" w:color="000000"/>
              <w:left w:val="nil" w:sz="6" w:space="0" w:color="auto"/>
              <w:bottom w:val="single" w:sz="17"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85"/>
              <w:jc w:val="right"/>
              <w:rPr>
                <w:rFonts w:ascii="Arial" w:hAnsi="Arial" w:cs="Arial" w:eastAsia="Arial" w:hint="default"/>
                <w:sz w:val="22"/>
                <w:szCs w:val="22"/>
              </w:rPr>
            </w:pPr>
            <w:r>
              <w:rPr>
                <w:rFonts w:ascii="Arial"/>
                <w:w w:val="95"/>
                <w:sz w:val="22"/>
              </w:rPr>
              <w:t>0.0666</w:t>
            </w:r>
            <w:r>
              <w:rPr>
                <w:rFonts w:ascii="Arial"/>
                <w:sz w:val="22"/>
              </w:rPr>
            </w:r>
          </w:p>
        </w:tc>
      </w:tr>
    </w:tbl>
    <w:p>
      <w:pPr>
        <w:spacing w:line="240" w:lineRule="auto" w:before="2"/>
        <w:rPr>
          <w:rFonts w:ascii="宋体" w:hAnsi="宋体" w:cs="宋体" w:eastAsia="宋体" w:hint="default"/>
          <w:sz w:val="14"/>
          <w:szCs w:val="14"/>
        </w:rPr>
      </w:pPr>
    </w:p>
    <w:p>
      <w:pPr>
        <w:pStyle w:val="BodyText"/>
        <w:spacing w:line="240" w:lineRule="auto" w:before="31"/>
        <w:ind w:left="108" w:right="0"/>
        <w:jc w:val="left"/>
      </w:pPr>
      <w:r>
        <w:rPr>
          <w:rFonts w:ascii="Arial" w:hAnsi="Arial" w:cs="Arial" w:eastAsia="Arial" w:hint="default"/>
        </w:rPr>
        <w:t>(b) </w:t>
      </w:r>
      <w:r>
        <w:rPr>
          <w:rFonts w:ascii="Arial" w:hAnsi="Arial" w:cs="Arial" w:eastAsia="Arial" w:hint="default"/>
          <w:spacing w:val="38"/>
        </w:rPr>
        <w:t> </w:t>
      </w:r>
      <w:r>
        <w:rPr/>
        <w:t>稀释每股收益</w:t>
      </w:r>
    </w:p>
    <w:p>
      <w:pPr>
        <w:spacing w:line="240" w:lineRule="auto" w:before="7"/>
        <w:rPr>
          <w:rFonts w:ascii="宋体" w:hAnsi="宋体" w:cs="宋体" w:eastAsia="宋体" w:hint="default"/>
          <w:sz w:val="18"/>
          <w:szCs w:val="18"/>
        </w:rPr>
      </w:pPr>
    </w:p>
    <w:p>
      <w:pPr>
        <w:pStyle w:val="BodyText"/>
        <w:spacing w:line="232" w:lineRule="auto"/>
        <w:ind w:left="544" w:right="119"/>
        <w:jc w:val="both"/>
      </w:pPr>
      <w:r>
        <w:rPr/>
        <w:t>稀释每股收益以根据稀释性潜在普通股调整后的归属于母公司普通股股东的合并净利润除以调</w:t>
      </w:r>
      <w:r>
        <w:rPr>
          <w:w w:val="99"/>
        </w:rPr>
        <w:t> </w:t>
      </w:r>
      <w:r>
        <w:rPr/>
        <w:t>整后的本公司发行在外普通股的加权平均数计算。于 </w:t>
      </w:r>
      <w:r>
        <w:rPr>
          <w:rFonts w:ascii="Arial" w:hAnsi="Arial" w:cs="Arial" w:eastAsia="Arial" w:hint="default"/>
        </w:rPr>
        <w:t>2012</w:t>
      </w:r>
      <w:r>
        <w:rPr>
          <w:rFonts w:ascii="Arial" w:hAnsi="Arial" w:cs="Arial" w:eastAsia="Arial" w:hint="default"/>
          <w:spacing w:val="9"/>
        </w:rPr>
        <w:t> </w:t>
      </w:r>
      <w:r>
        <w:rPr/>
        <w:t>年度，本公司所属子公司联通红筹</w:t>
      </w:r>
      <w:r>
        <w:rPr>
          <w:w w:val="99"/>
        </w:rPr>
        <w:t> </w:t>
      </w:r>
      <w:r>
        <w:rPr/>
        <w:t>公司授予员工的股份期权以及亿迅公司发行的可转换债券对本公司归属于母公司普通股股东的</w:t>
      </w:r>
      <w:r>
        <w:rPr>
          <w:w w:val="99"/>
        </w:rPr>
        <w:t> </w:t>
      </w:r>
      <w:r>
        <w:rPr>
          <w:spacing w:val="-3"/>
        </w:rPr>
        <w:t>合并净利润具有稀释性影响（</w:t>
      </w:r>
      <w:r>
        <w:rPr>
          <w:rFonts w:ascii="Arial" w:hAnsi="Arial" w:cs="Arial" w:eastAsia="Arial" w:hint="default"/>
          <w:spacing w:val="-3"/>
        </w:rPr>
        <w:t>2011</w:t>
      </w:r>
      <w:r>
        <w:rPr>
          <w:rFonts w:ascii="Arial" w:hAnsi="Arial" w:cs="Arial" w:eastAsia="Arial" w:hint="default"/>
          <w:spacing w:val="-41"/>
        </w:rPr>
        <w:t> </w:t>
      </w:r>
      <w:r>
        <w:rPr/>
        <w:t>年：联通红筹公司授予员工的股份期权对本公司归属于母公</w:t>
      </w:r>
      <w:r>
        <w:rPr>
          <w:w w:val="99"/>
        </w:rPr>
        <w:t> </w:t>
      </w:r>
      <w:r>
        <w:rPr/>
        <w:t>司普通股股东的合并净利润具有稀释性影响），相关计算结果如下：</w:t>
      </w:r>
    </w:p>
    <w:p>
      <w:pPr>
        <w:spacing w:line="240" w:lineRule="auto" w:before="5"/>
        <w:rPr>
          <w:rFonts w:ascii="宋体" w:hAnsi="宋体" w:cs="宋体" w:eastAsia="宋体" w:hint="default"/>
          <w:sz w:val="24"/>
          <w:szCs w:val="24"/>
        </w:rPr>
      </w:pPr>
    </w:p>
    <w:tbl>
      <w:tblPr>
        <w:tblW w:w="0" w:type="auto"/>
        <w:jc w:val="left"/>
        <w:tblInd w:w="397" w:type="dxa"/>
        <w:tblLayout w:type="fixed"/>
        <w:tblCellMar>
          <w:top w:w="0" w:type="dxa"/>
          <w:left w:w="0" w:type="dxa"/>
          <w:bottom w:w="0" w:type="dxa"/>
          <w:right w:w="0" w:type="dxa"/>
        </w:tblCellMar>
        <w:tblLook w:val="01E0"/>
      </w:tblPr>
      <w:tblGrid>
        <w:gridCol w:w="4747"/>
        <w:gridCol w:w="2525"/>
        <w:gridCol w:w="1931"/>
      </w:tblGrid>
      <w:tr>
        <w:trPr>
          <w:trHeight w:val="261" w:hRule="exact"/>
        </w:trPr>
        <w:tc>
          <w:tcPr>
            <w:tcW w:w="4747" w:type="dxa"/>
            <w:tcBorders>
              <w:top w:val="nil" w:sz="6" w:space="0" w:color="auto"/>
              <w:left w:val="nil" w:sz="6" w:space="0" w:color="auto"/>
              <w:bottom w:val="nil" w:sz="6" w:space="0" w:color="auto"/>
              <w:right w:val="nil" w:sz="6" w:space="0" w:color="auto"/>
            </w:tcBorders>
          </w:tcPr>
          <w:p>
            <w:pPr/>
          </w:p>
        </w:tc>
        <w:tc>
          <w:tcPr>
            <w:tcW w:w="2525" w:type="dxa"/>
            <w:tcBorders>
              <w:top w:val="nil" w:sz="6" w:space="0" w:color="auto"/>
              <w:left w:val="nil" w:sz="6" w:space="0" w:color="auto"/>
              <w:bottom w:val="single" w:sz="6" w:space="0" w:color="000000"/>
              <w:right w:val="nil" w:sz="6" w:space="0" w:color="auto"/>
            </w:tcBorders>
          </w:tcPr>
          <w:p>
            <w:pPr>
              <w:pStyle w:val="TableParagraph"/>
              <w:spacing w:line="235" w:lineRule="exact"/>
              <w:ind w:right="298"/>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931" w:type="dxa"/>
            <w:tcBorders>
              <w:top w:val="nil" w:sz="6" w:space="0" w:color="auto"/>
              <w:left w:val="nil" w:sz="6" w:space="0" w:color="auto"/>
              <w:bottom w:val="single" w:sz="6" w:space="0" w:color="000000"/>
              <w:right w:val="nil" w:sz="6" w:space="0" w:color="auto"/>
            </w:tcBorders>
          </w:tcPr>
          <w:p>
            <w:pPr>
              <w:pStyle w:val="TableParagraph"/>
              <w:spacing w:line="235" w:lineRule="exact"/>
              <w:ind w:right="53"/>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612" w:hRule="exact"/>
        </w:trPr>
        <w:tc>
          <w:tcPr>
            <w:tcW w:w="47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稀释后归属于母公司普通股股东的合并净利润</w:t>
            </w:r>
          </w:p>
        </w:tc>
        <w:tc>
          <w:tcPr>
            <w:tcW w:w="2525" w:type="dxa"/>
            <w:tcBorders>
              <w:top w:val="single" w:sz="6" w:space="0" w:color="000000"/>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343"/>
              <w:jc w:val="right"/>
              <w:rPr>
                <w:rFonts w:ascii="Arial" w:hAnsi="Arial" w:cs="Arial" w:eastAsia="Arial" w:hint="default"/>
                <w:sz w:val="22"/>
                <w:szCs w:val="22"/>
              </w:rPr>
            </w:pPr>
            <w:r>
              <w:rPr>
                <w:rFonts w:ascii="Arial"/>
                <w:spacing w:val="-1"/>
                <w:sz w:val="22"/>
              </w:rPr>
              <w:t>2,330,408,973</w:t>
            </w:r>
          </w:p>
        </w:tc>
        <w:tc>
          <w:tcPr>
            <w:tcW w:w="1931" w:type="dxa"/>
            <w:tcBorders>
              <w:top w:val="single" w:sz="6" w:space="0" w:color="000000"/>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22" w:right="0"/>
              <w:jc w:val="left"/>
              <w:rPr>
                <w:rFonts w:ascii="Arial" w:hAnsi="Arial" w:cs="Arial" w:eastAsia="Arial" w:hint="default"/>
                <w:sz w:val="22"/>
                <w:szCs w:val="22"/>
              </w:rPr>
            </w:pPr>
            <w:r>
              <w:rPr>
                <w:rFonts w:ascii="Arial"/>
                <w:sz w:val="22"/>
              </w:rPr>
              <w:t>1,399,028,542</w:t>
            </w:r>
          </w:p>
        </w:tc>
      </w:tr>
      <w:tr>
        <w:trPr>
          <w:trHeight w:val="599" w:hRule="exact"/>
        </w:trPr>
        <w:tc>
          <w:tcPr>
            <w:tcW w:w="47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本公司发行在外普通股的加权平均数</w:t>
            </w:r>
          </w:p>
        </w:tc>
        <w:tc>
          <w:tcPr>
            <w:tcW w:w="2525" w:type="dxa"/>
            <w:tcBorders>
              <w:top w:val="single" w:sz="6" w:space="0" w:color="000000"/>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43"/>
              <w:jc w:val="right"/>
              <w:rPr>
                <w:rFonts w:ascii="Arial" w:hAnsi="Arial" w:cs="Arial" w:eastAsia="Arial" w:hint="default"/>
                <w:sz w:val="22"/>
                <w:szCs w:val="22"/>
              </w:rPr>
            </w:pPr>
            <w:r>
              <w:rPr>
                <w:rFonts w:ascii="Arial"/>
                <w:spacing w:val="-1"/>
                <w:sz w:val="22"/>
              </w:rPr>
              <w:t>21,196,596,395</w:t>
            </w:r>
          </w:p>
        </w:tc>
        <w:tc>
          <w:tcPr>
            <w:tcW w:w="1931" w:type="dxa"/>
            <w:tcBorders>
              <w:top w:val="single" w:sz="6" w:space="0" w:color="000000"/>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00" w:right="0"/>
              <w:jc w:val="left"/>
              <w:rPr>
                <w:rFonts w:ascii="Arial" w:hAnsi="Arial" w:cs="Arial" w:eastAsia="Arial" w:hint="default"/>
                <w:sz w:val="22"/>
                <w:szCs w:val="22"/>
              </w:rPr>
            </w:pPr>
            <w:r>
              <w:rPr>
                <w:rFonts w:ascii="Arial"/>
                <w:sz w:val="22"/>
              </w:rPr>
              <w:t>21,196,596,395</w:t>
            </w:r>
          </w:p>
        </w:tc>
      </w:tr>
      <w:tr>
        <w:trPr>
          <w:trHeight w:val="614" w:hRule="exact"/>
        </w:trPr>
        <w:tc>
          <w:tcPr>
            <w:tcW w:w="47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稀释每股收益</w:t>
            </w:r>
          </w:p>
        </w:tc>
        <w:tc>
          <w:tcPr>
            <w:tcW w:w="2525" w:type="dxa"/>
            <w:tcBorders>
              <w:top w:val="single" w:sz="6" w:space="0" w:color="000000"/>
              <w:left w:val="nil" w:sz="6" w:space="0" w:color="auto"/>
              <w:bottom w:val="single" w:sz="17"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42"/>
              <w:jc w:val="right"/>
              <w:rPr>
                <w:rFonts w:ascii="Arial" w:hAnsi="Arial" w:cs="Arial" w:eastAsia="Arial" w:hint="default"/>
                <w:sz w:val="22"/>
                <w:szCs w:val="22"/>
              </w:rPr>
            </w:pPr>
            <w:r>
              <w:rPr>
                <w:rFonts w:ascii="Arial"/>
                <w:w w:val="95"/>
                <w:sz w:val="22"/>
              </w:rPr>
              <w:t>0.1099</w:t>
            </w:r>
            <w:r>
              <w:rPr>
                <w:rFonts w:ascii="Arial"/>
                <w:sz w:val="22"/>
              </w:rPr>
            </w:r>
          </w:p>
        </w:tc>
        <w:tc>
          <w:tcPr>
            <w:tcW w:w="1931" w:type="dxa"/>
            <w:tcBorders>
              <w:top w:val="single" w:sz="6" w:space="0" w:color="000000"/>
              <w:left w:val="nil" w:sz="6" w:space="0" w:color="auto"/>
              <w:bottom w:val="single" w:sz="17"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85"/>
              <w:jc w:val="right"/>
              <w:rPr>
                <w:rFonts w:ascii="Arial" w:hAnsi="Arial" w:cs="Arial" w:eastAsia="Arial" w:hint="default"/>
                <w:sz w:val="22"/>
                <w:szCs w:val="22"/>
              </w:rPr>
            </w:pPr>
            <w:r>
              <w:rPr>
                <w:rFonts w:ascii="Arial"/>
                <w:w w:val="95"/>
                <w:sz w:val="22"/>
              </w:rPr>
              <w:t>0.0660</w:t>
            </w:r>
            <w:r>
              <w:rPr>
                <w:rFonts w:ascii="Arial"/>
                <w:sz w:val="22"/>
              </w:rPr>
            </w:r>
          </w:p>
        </w:tc>
      </w:tr>
    </w:tbl>
    <w:p>
      <w:pPr>
        <w:spacing w:after="0" w:line="240" w:lineRule="auto"/>
        <w:jc w:val="right"/>
        <w:rPr>
          <w:rFonts w:ascii="Arial" w:hAnsi="Arial" w:cs="Arial" w:eastAsia="Arial" w:hint="default"/>
          <w:sz w:val="22"/>
          <w:szCs w:val="22"/>
        </w:rPr>
        <w:sectPr>
          <w:headerReference w:type="default" r:id="rId129"/>
          <w:pgSz w:w="11910" w:h="16840"/>
          <w:pgMar w:header="1184" w:footer="457" w:top="3040" w:bottom="640" w:left="1260" w:right="940"/>
        </w:sectPr>
      </w:pPr>
    </w:p>
    <w:p>
      <w:pPr>
        <w:spacing w:line="240" w:lineRule="auto" w:before="12"/>
        <w:rPr>
          <w:rFonts w:ascii="宋体" w:hAnsi="宋体" w:cs="宋体" w:eastAsia="宋体" w:hint="default"/>
          <w:sz w:val="14"/>
          <w:szCs w:val="14"/>
        </w:rPr>
      </w:pPr>
    </w:p>
    <w:p>
      <w:pPr>
        <w:pStyle w:val="BodyText"/>
        <w:spacing w:line="240" w:lineRule="auto" w:before="31"/>
        <w:ind w:left="102" w:right="110"/>
        <w:jc w:val="left"/>
      </w:pPr>
      <w:r>
        <w:rPr>
          <w:rFonts w:ascii="Arial" w:hAnsi="Arial" w:cs="Arial" w:eastAsia="Arial" w:hint="default"/>
        </w:rPr>
        <w:t>48</w:t>
      </w:r>
      <w:r>
        <w:rPr/>
        <w:t>、其他综合损失</w:t>
      </w:r>
    </w:p>
    <w:p>
      <w:pPr>
        <w:spacing w:line="240" w:lineRule="auto" w:before="3"/>
        <w:rPr>
          <w:rFonts w:ascii="宋体" w:hAnsi="宋体" w:cs="宋体" w:eastAsia="宋体" w:hint="default"/>
          <w:sz w:val="23"/>
          <w:szCs w:val="23"/>
        </w:rPr>
      </w:pPr>
    </w:p>
    <w:tbl>
      <w:tblPr>
        <w:tblW w:w="0" w:type="auto"/>
        <w:jc w:val="left"/>
        <w:tblInd w:w="378" w:type="dxa"/>
        <w:tblLayout w:type="fixed"/>
        <w:tblCellMar>
          <w:top w:w="0" w:type="dxa"/>
          <w:left w:w="0" w:type="dxa"/>
          <w:bottom w:w="0" w:type="dxa"/>
          <w:right w:w="0" w:type="dxa"/>
        </w:tblCellMar>
        <w:tblLook w:val="01E0"/>
      </w:tblPr>
      <w:tblGrid>
        <w:gridCol w:w="4990"/>
        <w:gridCol w:w="2327"/>
        <w:gridCol w:w="1947"/>
      </w:tblGrid>
      <w:tr>
        <w:trPr>
          <w:trHeight w:val="260" w:hRule="exact"/>
        </w:trPr>
        <w:tc>
          <w:tcPr>
            <w:tcW w:w="4990" w:type="dxa"/>
            <w:tcBorders>
              <w:top w:val="nil" w:sz="6" w:space="0" w:color="auto"/>
              <w:left w:val="nil" w:sz="6" w:space="0" w:color="auto"/>
              <w:bottom w:val="nil" w:sz="6" w:space="0" w:color="auto"/>
              <w:right w:val="nil" w:sz="6" w:space="0" w:color="auto"/>
            </w:tcBorders>
          </w:tcPr>
          <w:p>
            <w:pPr/>
          </w:p>
        </w:tc>
        <w:tc>
          <w:tcPr>
            <w:tcW w:w="2327" w:type="dxa"/>
            <w:tcBorders>
              <w:top w:val="nil" w:sz="6" w:space="0" w:color="auto"/>
              <w:left w:val="nil" w:sz="6" w:space="0" w:color="auto"/>
              <w:bottom w:val="single" w:sz="6" w:space="0" w:color="000000"/>
              <w:right w:val="nil" w:sz="6" w:space="0" w:color="auto"/>
            </w:tcBorders>
          </w:tcPr>
          <w:p>
            <w:pPr>
              <w:pStyle w:val="TableParagraph"/>
              <w:spacing w:line="235" w:lineRule="exact"/>
              <w:ind w:left="996" w:right="0"/>
              <w:jc w:val="lef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947" w:type="dxa"/>
            <w:tcBorders>
              <w:top w:val="nil" w:sz="6" w:space="0" w:color="auto"/>
              <w:left w:val="nil" w:sz="6" w:space="0" w:color="auto"/>
              <w:bottom w:val="single" w:sz="6" w:space="0" w:color="000000"/>
              <w:right w:val="nil" w:sz="6" w:space="0" w:color="auto"/>
            </w:tcBorders>
          </w:tcPr>
          <w:p>
            <w:pPr>
              <w:pStyle w:val="TableParagraph"/>
              <w:spacing w:line="235" w:lineRule="exact"/>
              <w:ind w:right="53"/>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59" w:hRule="exact"/>
        </w:trPr>
        <w:tc>
          <w:tcPr>
            <w:tcW w:w="499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可供出售金融资产公允价值变动金额</w:t>
            </w:r>
          </w:p>
        </w:tc>
        <w:tc>
          <w:tcPr>
            <w:tcW w:w="2327"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41" w:right="0"/>
              <w:jc w:val="left"/>
              <w:rPr>
                <w:rFonts w:ascii="Arial" w:hAnsi="Arial" w:cs="Arial" w:eastAsia="Arial" w:hint="default"/>
                <w:sz w:val="22"/>
                <w:szCs w:val="22"/>
              </w:rPr>
            </w:pPr>
            <w:r>
              <w:rPr>
                <w:rFonts w:ascii="Arial"/>
                <w:sz w:val="22"/>
              </w:rPr>
              <w:t>(1,530,511,493)</w:t>
            </w:r>
          </w:p>
        </w:tc>
        <w:tc>
          <w:tcPr>
            <w:tcW w:w="1947"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32" w:right="0"/>
              <w:jc w:val="left"/>
              <w:rPr>
                <w:rFonts w:ascii="Arial" w:hAnsi="Arial" w:cs="Arial" w:eastAsia="Arial" w:hint="default"/>
                <w:sz w:val="22"/>
                <w:szCs w:val="22"/>
              </w:rPr>
            </w:pPr>
            <w:r>
              <w:rPr>
                <w:rFonts w:ascii="Arial"/>
                <w:sz w:val="22"/>
              </w:rPr>
              <w:t>(2,629,018,539)</w:t>
            </w:r>
          </w:p>
        </w:tc>
      </w:tr>
      <w:tr>
        <w:trPr>
          <w:trHeight w:val="293" w:hRule="exact"/>
        </w:trPr>
        <w:tc>
          <w:tcPr>
            <w:tcW w:w="4990"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减：可供出售金融资产的所得税影响</w:t>
            </w:r>
          </w:p>
        </w:tc>
        <w:tc>
          <w:tcPr>
            <w:tcW w:w="2327" w:type="dxa"/>
            <w:tcBorders>
              <w:top w:val="nil" w:sz="6" w:space="0" w:color="auto"/>
              <w:left w:val="nil" w:sz="6" w:space="0" w:color="auto"/>
              <w:bottom w:val="nil" w:sz="6" w:space="0" w:color="auto"/>
              <w:right w:val="nil" w:sz="6" w:space="0" w:color="auto"/>
            </w:tcBorders>
          </w:tcPr>
          <w:p>
            <w:pPr>
              <w:pStyle w:val="TableParagraph"/>
              <w:tabs>
                <w:tab w:pos="699" w:val="left" w:leader="none"/>
                <w:tab w:pos="2917" w:val="left" w:leader="none"/>
              </w:tabs>
              <w:spacing w:line="240" w:lineRule="auto" w:before="17"/>
              <w:ind w:right="-591"/>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383,795,552</w:t>
            </w:r>
            <w:r>
              <w:rPr>
                <w:rFonts w:ascii="Arial"/>
                <w:sz w:val="22"/>
                <w:u w:val="single" w:color="000000"/>
              </w:rPr>
              <w:t> </w:t>
            </w:r>
            <w:r>
              <w:rPr>
                <w:rFonts w:ascii="Arial"/>
                <w:spacing w:val="-22"/>
                <w:sz w:val="22"/>
                <w:u w:val="single" w:color="000000"/>
              </w:rPr>
              <w:t> </w:t>
            </w:r>
            <w:r>
              <w:rPr>
                <w:rFonts w:ascii="Arial"/>
                <w:spacing w:val="-22"/>
                <w:sz w:val="22"/>
              </w:rPr>
            </w:r>
            <w:r>
              <w:rPr>
                <w:rFonts w:ascii="Arial"/>
                <w:spacing w:val="10"/>
                <w:sz w:val="22"/>
              </w:rPr>
              <w:t> </w:t>
            </w:r>
            <w:r>
              <w:rPr>
                <w:rFonts w:ascii="Arial"/>
                <w:spacing w:val="10"/>
                <w:w w:val="99"/>
                <w:sz w:val="22"/>
              </w:rPr>
            </w:r>
            <w:r>
              <w:rPr>
                <w:rFonts w:ascii="Arial"/>
                <w:w w:val="99"/>
                <w:sz w:val="22"/>
                <w:u w:val="single" w:color="000000"/>
              </w:rPr>
              <w:t> </w:t>
            </w:r>
            <w:r>
              <w:rPr>
                <w:rFonts w:ascii="Arial"/>
                <w:sz w:val="22"/>
                <w:u w:val="single" w:color="000000"/>
              </w:rPr>
              <w:tab/>
            </w:r>
            <w:r>
              <w:rPr>
                <w:rFonts w:ascii="Arial"/>
                <w:sz w:val="22"/>
              </w:rPr>
            </w:r>
          </w:p>
        </w:tc>
        <w:tc>
          <w:tcPr>
            <w:tcW w:w="1947" w:type="dxa"/>
            <w:tcBorders>
              <w:top w:val="nil" w:sz="6" w:space="0" w:color="auto"/>
              <w:left w:val="nil" w:sz="6" w:space="0" w:color="auto"/>
              <w:bottom w:val="nil" w:sz="6" w:space="0" w:color="auto"/>
              <w:right w:val="nil" w:sz="6" w:space="0" w:color="auto"/>
            </w:tcBorders>
          </w:tcPr>
          <w:p>
            <w:pPr>
              <w:pStyle w:val="TableParagraph"/>
              <w:tabs>
                <w:tab w:pos="1357"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5"/>
                <w:sz w:val="22"/>
                <w:u w:val="single" w:color="000000"/>
              </w:rPr>
              <w:t>655,980,803</w:t>
            </w:r>
            <w:r>
              <w:rPr>
                <w:rFonts w:ascii="Arial"/>
                <w:sz w:val="22"/>
                <w:u w:val="single" w:color="000000"/>
              </w:rPr>
              <w:tab/>
            </w:r>
            <w:r>
              <w:rPr>
                <w:rFonts w:ascii="Arial"/>
                <w:sz w:val="22"/>
              </w:rPr>
            </w:r>
          </w:p>
        </w:tc>
      </w:tr>
      <w:tr>
        <w:trPr>
          <w:trHeight w:val="419" w:hRule="exact"/>
        </w:trPr>
        <w:tc>
          <w:tcPr>
            <w:tcW w:w="4990"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41" w:right="0"/>
              <w:jc w:val="left"/>
              <w:rPr>
                <w:rFonts w:ascii="Arial" w:hAnsi="Arial" w:cs="Arial" w:eastAsia="Arial" w:hint="default"/>
                <w:sz w:val="22"/>
                <w:szCs w:val="22"/>
              </w:rPr>
            </w:pPr>
            <w:r>
              <w:rPr>
                <w:rFonts w:ascii="Arial"/>
                <w:sz w:val="22"/>
              </w:rPr>
              <w:t>(1,146,715,941)</w:t>
            </w:r>
          </w:p>
        </w:tc>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32" w:right="0"/>
              <w:jc w:val="left"/>
              <w:rPr>
                <w:rFonts w:ascii="Arial" w:hAnsi="Arial" w:cs="Arial" w:eastAsia="Arial" w:hint="default"/>
                <w:sz w:val="22"/>
                <w:szCs w:val="22"/>
              </w:rPr>
            </w:pPr>
            <w:r>
              <w:rPr>
                <w:rFonts w:ascii="Arial"/>
                <w:sz w:val="22"/>
              </w:rPr>
              <w:t>(1,973,037,736)</w:t>
            </w:r>
          </w:p>
        </w:tc>
      </w:tr>
      <w:tr>
        <w:trPr>
          <w:trHeight w:val="545" w:hRule="exact"/>
        </w:trPr>
        <w:tc>
          <w:tcPr>
            <w:tcW w:w="499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00" w:right="0"/>
              <w:jc w:val="left"/>
              <w:rPr>
                <w:rFonts w:ascii="宋体" w:hAnsi="宋体" w:cs="宋体" w:eastAsia="宋体" w:hint="default"/>
                <w:sz w:val="22"/>
                <w:szCs w:val="22"/>
              </w:rPr>
            </w:pPr>
            <w:r>
              <w:rPr>
                <w:rFonts w:ascii="宋体" w:hAnsi="宋体" w:cs="宋体" w:eastAsia="宋体" w:hint="default"/>
                <w:sz w:val="22"/>
                <w:szCs w:val="22"/>
              </w:rPr>
              <w:t>外币财务报表折算差额</w:t>
            </w:r>
          </w:p>
        </w:tc>
        <w:tc>
          <w:tcPr>
            <w:tcW w:w="2327" w:type="dxa"/>
            <w:tcBorders>
              <w:top w:val="nil" w:sz="6" w:space="0" w:color="auto"/>
              <w:left w:val="nil" w:sz="6" w:space="0" w:color="auto"/>
              <w:bottom w:val="nil" w:sz="6" w:space="0" w:color="auto"/>
              <w:right w:val="nil" w:sz="6" w:space="0" w:color="auto"/>
            </w:tcBorders>
          </w:tcPr>
          <w:p>
            <w:pPr>
              <w:pStyle w:val="TableParagraph"/>
              <w:tabs>
                <w:tab w:pos="870" w:val="left" w:leader="none"/>
                <w:tab w:pos="2965" w:val="left" w:leader="none"/>
              </w:tabs>
              <w:spacing w:line="240" w:lineRule="auto" w:before="143"/>
              <w:ind w:right="-639"/>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(2,025,620)</w:t>
            </w:r>
            <w:r>
              <w:rPr>
                <w:rFonts w:ascii="Arial"/>
                <w:w w:val="95"/>
                <w:sz w:val="22"/>
              </w:rPr>
            </w:r>
            <w:r>
              <w:rPr>
                <w:rFonts w:ascii="Arial"/>
                <w:sz w:val="22"/>
              </w:rPr>
              <w:t> </w:t>
            </w:r>
            <w:r>
              <w:rPr>
                <w:rFonts w:ascii="Arial"/>
                <w:spacing w:val="-21"/>
                <w:sz w:val="22"/>
              </w:rPr>
              <w:t> </w:t>
            </w:r>
            <w:r>
              <w:rPr>
                <w:rFonts w:ascii="Arial"/>
                <w:spacing w:val="-21"/>
                <w:w w:val="99"/>
                <w:sz w:val="22"/>
              </w:rPr>
            </w:r>
            <w:r>
              <w:rPr>
                <w:rFonts w:ascii="Arial"/>
                <w:w w:val="99"/>
                <w:sz w:val="22"/>
                <w:u w:val="single" w:color="000000"/>
              </w:rPr>
              <w:t> </w:t>
            </w:r>
            <w:r>
              <w:rPr>
                <w:rFonts w:ascii="Arial"/>
                <w:sz w:val="22"/>
                <w:u w:val="single" w:color="000000"/>
              </w:rPr>
              <w:tab/>
            </w:r>
            <w:r>
              <w:rPr>
                <w:rFonts w:ascii="Arial"/>
                <w:sz w:val="22"/>
              </w:rPr>
            </w:r>
          </w:p>
        </w:tc>
        <w:tc>
          <w:tcPr>
            <w:tcW w:w="1947" w:type="dxa"/>
            <w:tcBorders>
              <w:top w:val="nil" w:sz="6" w:space="0" w:color="auto"/>
              <w:left w:val="nil" w:sz="6" w:space="0" w:color="auto"/>
              <w:bottom w:val="nil" w:sz="6" w:space="0" w:color="auto"/>
              <w:right w:val="nil" w:sz="6" w:space="0" w:color="auto"/>
            </w:tcBorders>
          </w:tcPr>
          <w:p>
            <w:pPr>
              <w:pStyle w:val="TableParagraph"/>
              <w:tabs>
                <w:tab w:pos="1309" w:val="left" w:leader="none"/>
              </w:tabs>
              <w:spacing w:line="240" w:lineRule="auto" w:before="143"/>
              <w:ind w:right="0"/>
              <w:jc w:val="right"/>
              <w:rPr>
                <w:rFonts w:ascii="Arial" w:hAnsi="Arial" w:cs="Arial" w:eastAsia="Arial" w:hint="default"/>
                <w:sz w:val="22"/>
                <w:szCs w:val="22"/>
              </w:rPr>
            </w:pPr>
            <w:r>
              <w:rPr>
                <w:rFonts w:ascii="Arial"/>
                <w:w w:val="99"/>
                <w:sz w:val="22"/>
              </w:rPr>
            </w:r>
            <w:r>
              <w:rPr>
                <w:rFonts w:ascii="Arial"/>
                <w:w w:val="95"/>
                <w:sz w:val="22"/>
                <w:u w:val="single" w:color="000000"/>
              </w:rPr>
              <w:t>(17,441,095)</w:t>
            </w:r>
            <w:r>
              <w:rPr>
                <w:rFonts w:ascii="Arial"/>
                <w:sz w:val="22"/>
                <w:u w:val="single" w:color="000000"/>
              </w:rPr>
              <w:tab/>
            </w:r>
            <w:r>
              <w:rPr>
                <w:rFonts w:ascii="Arial"/>
                <w:sz w:val="22"/>
              </w:rPr>
            </w:r>
          </w:p>
        </w:tc>
      </w:tr>
      <w:tr>
        <w:trPr>
          <w:trHeight w:val="431" w:hRule="exact"/>
        </w:trPr>
        <w:tc>
          <w:tcPr>
            <w:tcW w:w="499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27"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441" w:right="0"/>
              <w:jc w:val="left"/>
              <w:rPr>
                <w:rFonts w:ascii="Arial" w:hAnsi="Arial" w:cs="Arial" w:eastAsia="Arial" w:hint="default"/>
                <w:sz w:val="22"/>
                <w:szCs w:val="22"/>
              </w:rPr>
            </w:pPr>
            <w:r>
              <w:rPr>
                <w:rFonts w:ascii="Arial"/>
                <w:sz w:val="22"/>
              </w:rPr>
              <w:t>(1,148,741,561)</w:t>
            </w:r>
          </w:p>
        </w:tc>
        <w:tc>
          <w:tcPr>
            <w:tcW w:w="1947"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332" w:right="0"/>
              <w:jc w:val="left"/>
              <w:rPr>
                <w:rFonts w:ascii="Arial" w:hAnsi="Arial" w:cs="Arial" w:eastAsia="Arial" w:hint="default"/>
                <w:sz w:val="22"/>
                <w:szCs w:val="22"/>
              </w:rPr>
            </w:pPr>
            <w:r>
              <w:rPr>
                <w:rFonts w:ascii="Arial"/>
                <w:sz w:val="22"/>
              </w:rPr>
              <w:t>(1,990,478,831)</w:t>
            </w:r>
          </w:p>
        </w:tc>
      </w:tr>
    </w:tbl>
    <w:p>
      <w:pPr>
        <w:spacing w:line="240" w:lineRule="auto" w:before="1"/>
        <w:rPr>
          <w:rFonts w:ascii="宋体" w:hAnsi="宋体" w:cs="宋体" w:eastAsia="宋体" w:hint="default"/>
          <w:sz w:val="14"/>
          <w:szCs w:val="14"/>
        </w:rPr>
      </w:pPr>
    </w:p>
    <w:p>
      <w:pPr>
        <w:pStyle w:val="BodyText"/>
        <w:spacing w:line="240" w:lineRule="auto" w:before="31"/>
        <w:ind w:left="130" w:right="110"/>
        <w:jc w:val="left"/>
      </w:pPr>
      <w:r>
        <w:rPr>
          <w:rFonts w:ascii="Arial" w:hAnsi="Arial" w:cs="Arial" w:eastAsia="Arial" w:hint="default"/>
        </w:rPr>
        <w:t>49</w:t>
      </w:r>
      <w:r>
        <w:rPr/>
        <w:t>、现金流量表项目注释</w:t>
      </w:r>
    </w:p>
    <w:p>
      <w:pPr>
        <w:spacing w:line="240" w:lineRule="auto" w:before="13"/>
        <w:rPr>
          <w:rFonts w:ascii="宋体" w:hAnsi="宋体" w:cs="宋体" w:eastAsia="宋体" w:hint="default"/>
          <w:sz w:val="17"/>
          <w:szCs w:val="17"/>
        </w:rPr>
      </w:pPr>
    </w:p>
    <w:p>
      <w:pPr>
        <w:pStyle w:val="BodyText"/>
        <w:spacing w:line="240" w:lineRule="auto"/>
        <w:ind w:left="102" w:right="110"/>
        <w:jc w:val="left"/>
      </w:pPr>
      <w:r>
        <w:rPr>
          <w:rFonts w:ascii="Arial" w:hAnsi="Arial" w:cs="Arial" w:eastAsia="Arial" w:hint="default"/>
        </w:rPr>
        <w:t>(a) </w:t>
      </w:r>
      <w:r>
        <w:rPr>
          <w:rFonts w:ascii="Arial" w:hAnsi="Arial" w:cs="Arial" w:eastAsia="Arial" w:hint="default"/>
          <w:spacing w:val="20"/>
        </w:rPr>
        <w:t> </w:t>
      </w:r>
      <w:r>
        <w:rPr/>
        <w:t>收到的其他与经营活动有关的现金</w:t>
      </w:r>
    </w:p>
    <w:p>
      <w:pPr>
        <w:spacing w:line="240" w:lineRule="auto" w:before="2"/>
        <w:rPr>
          <w:rFonts w:ascii="宋体" w:hAnsi="宋体" w:cs="宋体" w:eastAsia="宋体" w:hint="default"/>
          <w:sz w:val="23"/>
          <w:szCs w:val="23"/>
        </w:rPr>
      </w:pPr>
    </w:p>
    <w:tbl>
      <w:tblPr>
        <w:tblW w:w="0" w:type="auto"/>
        <w:jc w:val="left"/>
        <w:tblInd w:w="365" w:type="dxa"/>
        <w:tblLayout w:type="fixed"/>
        <w:tblCellMar>
          <w:top w:w="0" w:type="dxa"/>
          <w:left w:w="0" w:type="dxa"/>
          <w:bottom w:w="0" w:type="dxa"/>
          <w:right w:w="0" w:type="dxa"/>
        </w:tblCellMar>
        <w:tblLook w:val="01E0"/>
      </w:tblPr>
      <w:tblGrid>
        <w:gridCol w:w="5002"/>
        <w:gridCol w:w="2465"/>
        <w:gridCol w:w="1819"/>
      </w:tblGrid>
      <w:tr>
        <w:trPr>
          <w:trHeight w:val="260" w:hRule="exact"/>
        </w:trPr>
        <w:tc>
          <w:tcPr>
            <w:tcW w:w="5002"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single" w:sz="6" w:space="0" w:color="000000"/>
              <w:right w:val="nil" w:sz="6" w:space="0" w:color="auto"/>
            </w:tcBorders>
          </w:tcPr>
          <w:p>
            <w:pPr>
              <w:pStyle w:val="TableParagraph"/>
              <w:spacing w:line="235" w:lineRule="exact"/>
              <w:ind w:left="1000" w:right="0"/>
              <w:jc w:val="lef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819" w:type="dxa"/>
            <w:tcBorders>
              <w:top w:val="nil" w:sz="6" w:space="0" w:color="auto"/>
              <w:left w:val="nil" w:sz="6" w:space="0" w:color="auto"/>
              <w:bottom w:val="single" w:sz="6" w:space="0" w:color="000000"/>
              <w:right w:val="nil" w:sz="6" w:space="0" w:color="auto"/>
            </w:tcBorders>
          </w:tcPr>
          <w:p>
            <w:pPr>
              <w:pStyle w:val="TableParagraph"/>
              <w:spacing w:line="235" w:lineRule="exact"/>
              <w:ind w:left="778"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59" w:hRule="exact"/>
        </w:trPr>
        <w:tc>
          <w:tcPr>
            <w:tcW w:w="50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违约赔款收入</w:t>
            </w:r>
          </w:p>
        </w:tc>
        <w:tc>
          <w:tcPr>
            <w:tcW w:w="2465"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86" w:right="0"/>
              <w:jc w:val="left"/>
              <w:rPr>
                <w:rFonts w:ascii="Arial" w:hAnsi="Arial" w:cs="Arial" w:eastAsia="Arial" w:hint="default"/>
                <w:sz w:val="22"/>
                <w:szCs w:val="22"/>
              </w:rPr>
            </w:pPr>
            <w:r>
              <w:rPr>
                <w:rFonts w:ascii="Arial"/>
                <w:sz w:val="22"/>
              </w:rPr>
              <w:t>411,741,453</w:t>
            </w:r>
          </w:p>
        </w:tc>
        <w:tc>
          <w:tcPr>
            <w:tcW w:w="1819"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80" w:right="0"/>
              <w:jc w:val="left"/>
              <w:rPr>
                <w:rFonts w:ascii="Arial" w:hAnsi="Arial" w:cs="Arial" w:eastAsia="Arial" w:hint="default"/>
                <w:sz w:val="22"/>
                <w:szCs w:val="22"/>
              </w:rPr>
            </w:pPr>
            <w:r>
              <w:rPr>
                <w:rFonts w:ascii="Arial"/>
                <w:sz w:val="22"/>
              </w:rPr>
              <w:t>283,366,673</w:t>
            </w:r>
          </w:p>
        </w:tc>
      </w:tr>
      <w:tr>
        <w:trPr>
          <w:trHeight w:val="285" w:hRule="exact"/>
        </w:trPr>
        <w:tc>
          <w:tcPr>
            <w:tcW w:w="5002"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政府补助</w:t>
            </w: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86" w:right="0"/>
              <w:jc w:val="left"/>
              <w:rPr>
                <w:rFonts w:ascii="Arial" w:hAnsi="Arial" w:cs="Arial" w:eastAsia="Arial" w:hint="default"/>
                <w:sz w:val="22"/>
                <w:szCs w:val="22"/>
              </w:rPr>
            </w:pPr>
            <w:r>
              <w:rPr>
                <w:rFonts w:ascii="Arial"/>
                <w:sz w:val="22"/>
              </w:rPr>
              <w:t>106,939,304</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01" w:right="0"/>
              <w:jc w:val="left"/>
              <w:rPr>
                <w:rFonts w:ascii="Arial" w:hAnsi="Arial" w:cs="Arial" w:eastAsia="Arial" w:hint="default"/>
                <w:sz w:val="22"/>
                <w:szCs w:val="22"/>
              </w:rPr>
            </w:pPr>
            <w:r>
              <w:rPr>
                <w:rFonts w:ascii="Arial"/>
                <w:sz w:val="22"/>
              </w:rPr>
              <w:t>90,339,218</w:t>
            </w:r>
          </w:p>
        </w:tc>
      </w:tr>
      <w:tr>
        <w:trPr>
          <w:trHeight w:val="419" w:hRule="exact"/>
        </w:trPr>
        <w:tc>
          <w:tcPr>
            <w:tcW w:w="5002"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465" w:type="dxa"/>
            <w:tcBorders>
              <w:top w:val="nil" w:sz="6" w:space="0" w:color="auto"/>
              <w:left w:val="nil" w:sz="6" w:space="0" w:color="auto"/>
              <w:bottom w:val="nil" w:sz="6" w:space="0" w:color="auto"/>
              <w:right w:val="nil" w:sz="6" w:space="0" w:color="auto"/>
            </w:tcBorders>
          </w:tcPr>
          <w:p>
            <w:pPr>
              <w:pStyle w:val="TableParagraph"/>
              <w:tabs>
                <w:tab w:pos="686" w:val="left" w:leader="none"/>
                <w:tab w:pos="2945" w:val="left" w:leader="none"/>
              </w:tabs>
              <w:spacing w:line="240" w:lineRule="auto" w:before="17"/>
              <w:ind w:right="-481"/>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223,326,962 </w:t>
            </w:r>
            <w:r>
              <w:rPr>
                <w:rFonts w:ascii="Arial"/>
                <w:spacing w:val="-4"/>
                <w:sz w:val="22"/>
                <w:u w:val="single" w:color="000000"/>
              </w:rPr>
              <w:t> </w:t>
            </w:r>
            <w:r>
              <w:rPr>
                <w:rFonts w:ascii="Arial"/>
                <w:spacing w:val="-4"/>
                <w:sz w:val="22"/>
              </w:rPr>
            </w:r>
            <w:r>
              <w:rPr>
                <w:rFonts w:ascii="Arial"/>
                <w:spacing w:val="8"/>
                <w:sz w:val="22"/>
              </w:rPr>
              <w:t> </w:t>
            </w:r>
            <w:r>
              <w:rPr>
                <w:rFonts w:ascii="Arial"/>
                <w:spacing w:val="8"/>
                <w:w w:val="99"/>
                <w:sz w:val="22"/>
              </w:rPr>
            </w:r>
            <w:r>
              <w:rPr>
                <w:rFonts w:ascii="Arial"/>
                <w:w w:val="99"/>
                <w:sz w:val="22"/>
                <w:u w:val="single" w:color="000000"/>
              </w:rPr>
              <w:t> </w:t>
            </w:r>
            <w:r>
              <w:rPr>
                <w:rFonts w:ascii="Arial"/>
                <w:sz w:val="22"/>
                <w:u w:val="single" w:color="000000"/>
              </w:rPr>
              <w:tab/>
            </w:r>
            <w:r>
              <w:rPr>
                <w:rFonts w:ascii="Arial"/>
                <w:sz w:val="22"/>
              </w:rPr>
            </w:r>
          </w:p>
        </w:tc>
        <w:tc>
          <w:tcPr>
            <w:tcW w:w="1819" w:type="dxa"/>
            <w:tcBorders>
              <w:top w:val="nil" w:sz="6" w:space="0" w:color="auto"/>
              <w:left w:val="nil" w:sz="6" w:space="0" w:color="auto"/>
              <w:bottom w:val="nil" w:sz="6" w:space="0" w:color="auto"/>
              <w:right w:val="nil" w:sz="6" w:space="0" w:color="auto"/>
            </w:tcBorders>
          </w:tcPr>
          <w:p>
            <w:pPr>
              <w:pStyle w:val="TableParagraph"/>
              <w:tabs>
                <w:tab w:pos="1818" w:val="left" w:leader="none"/>
              </w:tabs>
              <w:spacing w:line="240" w:lineRule="auto" w:before="17"/>
              <w:ind w:left="480" w:right="0"/>
              <w:jc w:val="left"/>
              <w:rPr>
                <w:rFonts w:ascii="Arial" w:hAnsi="Arial" w:cs="Arial" w:eastAsia="Arial" w:hint="default"/>
                <w:sz w:val="22"/>
                <w:szCs w:val="22"/>
              </w:rPr>
            </w:pPr>
            <w:r>
              <w:rPr>
                <w:rFonts w:ascii="Arial"/>
                <w:w w:val="99"/>
                <w:sz w:val="22"/>
              </w:rPr>
            </w:r>
            <w:r>
              <w:rPr>
                <w:rFonts w:ascii="Arial"/>
                <w:sz w:val="22"/>
                <w:u w:val="single" w:color="000000"/>
              </w:rPr>
              <w:t>174,225,618</w:t>
              <w:tab/>
            </w:r>
            <w:r>
              <w:rPr>
                <w:rFonts w:ascii="Arial"/>
                <w:sz w:val="22"/>
              </w:rPr>
            </w:r>
          </w:p>
        </w:tc>
      </w:tr>
      <w:tr>
        <w:trPr>
          <w:trHeight w:val="431" w:hRule="exact"/>
        </w:trPr>
        <w:tc>
          <w:tcPr>
            <w:tcW w:w="500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465"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686" w:right="0"/>
              <w:jc w:val="left"/>
              <w:rPr>
                <w:rFonts w:ascii="Arial" w:hAnsi="Arial" w:cs="Arial" w:eastAsia="Arial" w:hint="default"/>
                <w:sz w:val="22"/>
                <w:szCs w:val="22"/>
              </w:rPr>
            </w:pPr>
            <w:r>
              <w:rPr>
                <w:rFonts w:ascii="Arial"/>
                <w:sz w:val="22"/>
              </w:rPr>
              <w:t>742,007,719</w:t>
            </w:r>
          </w:p>
        </w:tc>
        <w:tc>
          <w:tcPr>
            <w:tcW w:w="1819"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480" w:right="0"/>
              <w:jc w:val="left"/>
              <w:rPr>
                <w:rFonts w:ascii="Arial" w:hAnsi="Arial" w:cs="Arial" w:eastAsia="Arial" w:hint="default"/>
                <w:sz w:val="22"/>
                <w:szCs w:val="22"/>
              </w:rPr>
            </w:pPr>
            <w:r>
              <w:rPr>
                <w:rFonts w:ascii="Arial"/>
                <w:sz w:val="22"/>
              </w:rPr>
              <w:t>547,931,509</w:t>
            </w:r>
          </w:p>
        </w:tc>
      </w:tr>
    </w:tbl>
    <w:p>
      <w:pPr>
        <w:spacing w:line="240" w:lineRule="auto" w:before="1"/>
        <w:rPr>
          <w:rFonts w:ascii="宋体" w:hAnsi="宋体" w:cs="宋体" w:eastAsia="宋体" w:hint="default"/>
          <w:sz w:val="14"/>
          <w:szCs w:val="14"/>
        </w:rPr>
      </w:pPr>
    </w:p>
    <w:p>
      <w:pPr>
        <w:pStyle w:val="BodyText"/>
        <w:spacing w:line="240" w:lineRule="auto" w:before="31"/>
        <w:ind w:left="102" w:right="110"/>
        <w:jc w:val="left"/>
      </w:pPr>
      <w:r>
        <w:rPr>
          <w:rFonts w:ascii="Arial" w:hAnsi="Arial" w:cs="Arial" w:eastAsia="Arial" w:hint="default"/>
        </w:rPr>
        <w:t>(b) </w:t>
      </w:r>
      <w:r>
        <w:rPr>
          <w:rFonts w:ascii="Arial" w:hAnsi="Arial" w:cs="Arial" w:eastAsia="Arial" w:hint="default"/>
          <w:spacing w:val="20"/>
        </w:rPr>
        <w:t> </w:t>
      </w:r>
      <w:r>
        <w:rPr/>
        <w:t>收到的其他与投资活动有关的现金</w:t>
      </w:r>
    </w:p>
    <w:p>
      <w:pPr>
        <w:spacing w:line="240" w:lineRule="auto" w:before="2"/>
        <w:rPr>
          <w:rFonts w:ascii="宋体" w:hAnsi="宋体" w:cs="宋体" w:eastAsia="宋体" w:hint="default"/>
          <w:sz w:val="23"/>
          <w:szCs w:val="23"/>
        </w:rPr>
      </w:pPr>
    </w:p>
    <w:tbl>
      <w:tblPr>
        <w:tblW w:w="0" w:type="auto"/>
        <w:jc w:val="left"/>
        <w:tblInd w:w="365" w:type="dxa"/>
        <w:tblLayout w:type="fixed"/>
        <w:tblCellMar>
          <w:top w:w="0" w:type="dxa"/>
          <w:left w:w="0" w:type="dxa"/>
          <w:bottom w:w="0" w:type="dxa"/>
          <w:right w:w="0" w:type="dxa"/>
        </w:tblCellMar>
        <w:tblLook w:val="01E0"/>
      </w:tblPr>
      <w:tblGrid>
        <w:gridCol w:w="5002"/>
        <w:gridCol w:w="2453"/>
        <w:gridCol w:w="1809"/>
      </w:tblGrid>
      <w:tr>
        <w:trPr>
          <w:trHeight w:val="261" w:hRule="exact"/>
        </w:trPr>
        <w:tc>
          <w:tcPr>
            <w:tcW w:w="5002"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single" w:sz="6" w:space="0" w:color="000000"/>
              <w:right w:val="nil" w:sz="6" w:space="0" w:color="auto"/>
            </w:tcBorders>
          </w:tcPr>
          <w:p>
            <w:pPr>
              <w:pStyle w:val="TableParagraph"/>
              <w:spacing w:line="235" w:lineRule="exact"/>
              <w:ind w:left="979" w:right="0"/>
              <w:jc w:val="lef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809" w:type="dxa"/>
            <w:tcBorders>
              <w:top w:val="nil" w:sz="6" w:space="0" w:color="auto"/>
              <w:left w:val="nil" w:sz="6" w:space="0" w:color="auto"/>
              <w:bottom w:val="single" w:sz="6" w:space="0" w:color="000000"/>
              <w:right w:val="nil" w:sz="6" w:space="0" w:color="auto"/>
            </w:tcBorders>
          </w:tcPr>
          <w:p>
            <w:pPr>
              <w:pStyle w:val="TableParagraph"/>
              <w:spacing w:line="235" w:lineRule="exact"/>
              <w:ind w:right="53"/>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822" w:hRule="exact"/>
        </w:trPr>
        <w:tc>
          <w:tcPr>
            <w:tcW w:w="50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9"/>
              <w:ind w:left="200" w:right="0"/>
              <w:jc w:val="left"/>
              <w:rPr>
                <w:rFonts w:ascii="宋体" w:hAnsi="宋体" w:cs="宋体" w:eastAsia="宋体" w:hint="default"/>
                <w:sz w:val="22"/>
                <w:szCs w:val="22"/>
              </w:rPr>
            </w:pPr>
            <w:r>
              <w:rPr>
                <w:rFonts w:ascii="Arial" w:hAnsi="Arial" w:cs="Arial" w:eastAsia="Arial" w:hint="default"/>
                <w:sz w:val="22"/>
                <w:szCs w:val="22"/>
              </w:rPr>
              <w:t>3</w:t>
            </w:r>
            <w:r>
              <w:rPr>
                <w:rFonts w:ascii="Arial" w:hAnsi="Arial" w:cs="Arial" w:eastAsia="Arial" w:hint="default"/>
                <w:spacing w:val="-14"/>
                <w:sz w:val="22"/>
                <w:szCs w:val="22"/>
              </w:rPr>
              <w:t> </w:t>
            </w:r>
            <w:r>
              <w:rPr>
                <w:rFonts w:ascii="宋体" w:hAnsi="宋体" w:cs="宋体" w:eastAsia="宋体" w:hint="default"/>
                <w:sz w:val="22"/>
                <w:szCs w:val="22"/>
              </w:rPr>
              <w:t>个月以上银行存款及限制性存款的减少</w:t>
            </w:r>
          </w:p>
        </w:tc>
        <w:tc>
          <w:tcPr>
            <w:tcW w:w="2453" w:type="dxa"/>
            <w:tcBorders>
              <w:top w:val="single" w:sz="6" w:space="0" w:color="000000"/>
              <w:left w:val="nil" w:sz="6" w:space="0" w:color="auto"/>
              <w:bottom w:val="single" w:sz="17"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87" w:right="0"/>
              <w:jc w:val="left"/>
              <w:rPr>
                <w:rFonts w:ascii="Arial" w:hAnsi="Arial" w:cs="Arial" w:eastAsia="Arial" w:hint="default"/>
                <w:sz w:val="22"/>
                <w:szCs w:val="22"/>
              </w:rPr>
            </w:pPr>
            <w:r>
              <w:rPr>
                <w:rFonts w:ascii="Arial"/>
                <w:sz w:val="22"/>
              </w:rPr>
              <w:t>288,324,452</w:t>
            </w:r>
          </w:p>
        </w:tc>
        <w:tc>
          <w:tcPr>
            <w:tcW w:w="1809" w:type="dxa"/>
            <w:tcBorders>
              <w:top w:val="single" w:sz="6" w:space="0" w:color="000000"/>
              <w:left w:val="nil" w:sz="6" w:space="0" w:color="auto"/>
              <w:bottom w:val="single" w:sz="17"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3"/>
              <w:jc w:val="right"/>
              <w:rPr>
                <w:rFonts w:ascii="Arial" w:hAnsi="Arial" w:cs="Arial" w:eastAsia="Arial" w:hint="default"/>
                <w:sz w:val="22"/>
                <w:szCs w:val="22"/>
              </w:rPr>
            </w:pPr>
            <w:r>
              <w:rPr>
                <w:rFonts w:ascii="Arial"/>
                <w:w w:val="95"/>
                <w:sz w:val="22"/>
              </w:rPr>
              <w:t>181,172,648</w:t>
            </w:r>
            <w:r>
              <w:rPr>
                <w:rFonts w:ascii="Arial"/>
                <w:sz w:val="22"/>
              </w:rPr>
            </w:r>
          </w:p>
        </w:tc>
      </w:tr>
    </w:tbl>
    <w:p>
      <w:pPr>
        <w:spacing w:line="240" w:lineRule="auto" w:before="2"/>
        <w:rPr>
          <w:rFonts w:ascii="宋体" w:hAnsi="宋体" w:cs="宋体" w:eastAsia="宋体" w:hint="default"/>
          <w:sz w:val="14"/>
          <w:szCs w:val="14"/>
        </w:rPr>
      </w:pPr>
    </w:p>
    <w:p>
      <w:pPr>
        <w:pStyle w:val="BodyText"/>
        <w:spacing w:line="240" w:lineRule="auto" w:before="31"/>
        <w:ind w:left="116" w:right="110"/>
        <w:jc w:val="left"/>
      </w:pPr>
      <w:r>
        <w:rPr>
          <w:rFonts w:ascii="Arial" w:hAnsi="Arial" w:cs="Arial" w:eastAsia="Arial" w:hint="default"/>
        </w:rPr>
        <w:t>(c) </w:t>
      </w:r>
      <w:r>
        <w:rPr>
          <w:rFonts w:ascii="Arial" w:hAnsi="Arial" w:cs="Arial" w:eastAsia="Arial" w:hint="default"/>
          <w:spacing w:val="17"/>
        </w:rPr>
        <w:t> </w:t>
      </w:r>
      <w:r>
        <w:rPr/>
        <w:t>支付的其他与投资活动有关的现金</w:t>
      </w:r>
    </w:p>
    <w:p>
      <w:pPr>
        <w:spacing w:line="240" w:lineRule="auto" w:before="2"/>
        <w:rPr>
          <w:rFonts w:ascii="宋体" w:hAnsi="宋体" w:cs="宋体" w:eastAsia="宋体" w:hint="default"/>
          <w:sz w:val="23"/>
          <w:szCs w:val="23"/>
        </w:rPr>
      </w:pPr>
    </w:p>
    <w:tbl>
      <w:tblPr>
        <w:tblW w:w="0" w:type="auto"/>
        <w:jc w:val="left"/>
        <w:tblInd w:w="365" w:type="dxa"/>
        <w:tblLayout w:type="fixed"/>
        <w:tblCellMar>
          <w:top w:w="0" w:type="dxa"/>
          <w:left w:w="0" w:type="dxa"/>
          <w:bottom w:w="0" w:type="dxa"/>
          <w:right w:w="0" w:type="dxa"/>
        </w:tblCellMar>
        <w:tblLook w:val="01E0"/>
      </w:tblPr>
      <w:tblGrid>
        <w:gridCol w:w="5002"/>
        <w:gridCol w:w="2398"/>
        <w:gridCol w:w="1885"/>
      </w:tblGrid>
      <w:tr>
        <w:trPr>
          <w:trHeight w:val="260" w:hRule="exact"/>
        </w:trPr>
        <w:tc>
          <w:tcPr>
            <w:tcW w:w="5002"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single" w:sz="6" w:space="0" w:color="000000"/>
              <w:right w:val="nil" w:sz="6" w:space="0" w:color="auto"/>
            </w:tcBorders>
          </w:tcPr>
          <w:p>
            <w:pPr>
              <w:pStyle w:val="TableParagraph"/>
              <w:spacing w:line="235" w:lineRule="exact"/>
              <w:ind w:right="414"/>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885" w:type="dxa"/>
            <w:tcBorders>
              <w:top w:val="nil" w:sz="6" w:space="0" w:color="auto"/>
              <w:left w:val="nil" w:sz="6" w:space="0" w:color="auto"/>
              <w:bottom w:val="single" w:sz="6" w:space="0" w:color="000000"/>
              <w:right w:val="nil" w:sz="6" w:space="0" w:color="auto"/>
            </w:tcBorders>
          </w:tcPr>
          <w:p>
            <w:pPr>
              <w:pStyle w:val="TableParagraph"/>
              <w:spacing w:line="235" w:lineRule="exact"/>
              <w:ind w:right="54"/>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823" w:hRule="exact"/>
        </w:trPr>
        <w:tc>
          <w:tcPr>
            <w:tcW w:w="50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9"/>
              <w:ind w:left="200" w:right="0"/>
              <w:jc w:val="left"/>
              <w:rPr>
                <w:rFonts w:ascii="宋体" w:hAnsi="宋体" w:cs="宋体" w:eastAsia="宋体" w:hint="default"/>
                <w:sz w:val="22"/>
                <w:szCs w:val="22"/>
              </w:rPr>
            </w:pPr>
            <w:r>
              <w:rPr>
                <w:rFonts w:ascii="Arial" w:hAnsi="Arial" w:cs="Arial" w:eastAsia="Arial" w:hint="default"/>
                <w:sz w:val="22"/>
                <w:szCs w:val="22"/>
              </w:rPr>
              <w:t>3</w:t>
            </w:r>
            <w:r>
              <w:rPr>
                <w:rFonts w:ascii="Arial" w:hAnsi="Arial" w:cs="Arial" w:eastAsia="Arial" w:hint="default"/>
                <w:spacing w:val="-14"/>
                <w:sz w:val="22"/>
                <w:szCs w:val="22"/>
              </w:rPr>
              <w:t> </w:t>
            </w:r>
            <w:r>
              <w:rPr>
                <w:rFonts w:ascii="宋体" w:hAnsi="宋体" w:cs="宋体" w:eastAsia="宋体" w:hint="default"/>
                <w:sz w:val="22"/>
                <w:szCs w:val="22"/>
              </w:rPr>
              <w:t>个月以上银行存款及限制性存款的增加</w:t>
            </w:r>
          </w:p>
        </w:tc>
        <w:tc>
          <w:tcPr>
            <w:tcW w:w="2398" w:type="dxa"/>
            <w:tcBorders>
              <w:top w:val="single" w:sz="6" w:space="0" w:color="000000"/>
              <w:left w:val="nil" w:sz="6" w:space="0" w:color="auto"/>
              <w:bottom w:val="single" w:sz="17"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68"/>
              <w:jc w:val="right"/>
              <w:rPr>
                <w:rFonts w:ascii="Arial" w:hAnsi="Arial" w:cs="Arial" w:eastAsia="Arial" w:hint="default"/>
                <w:sz w:val="22"/>
                <w:szCs w:val="22"/>
              </w:rPr>
            </w:pPr>
            <w:r>
              <w:rPr>
                <w:rFonts w:ascii="Arial"/>
                <w:w w:val="95"/>
                <w:sz w:val="22"/>
              </w:rPr>
              <w:t>(16,363,723)</w:t>
            </w:r>
            <w:r>
              <w:rPr>
                <w:rFonts w:ascii="Arial"/>
                <w:sz w:val="22"/>
              </w:rPr>
            </w:r>
          </w:p>
        </w:tc>
        <w:tc>
          <w:tcPr>
            <w:tcW w:w="1885" w:type="dxa"/>
            <w:tcBorders>
              <w:top w:val="single" w:sz="6" w:space="0" w:color="000000"/>
              <w:left w:val="nil" w:sz="6" w:space="0" w:color="auto"/>
              <w:bottom w:val="single" w:sz="17"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6"/>
              <w:jc w:val="right"/>
              <w:rPr>
                <w:rFonts w:ascii="Arial" w:hAnsi="Arial" w:cs="Arial" w:eastAsia="Arial" w:hint="default"/>
                <w:sz w:val="22"/>
                <w:szCs w:val="22"/>
              </w:rPr>
            </w:pPr>
            <w:r>
              <w:rPr>
                <w:rFonts w:ascii="Arial"/>
                <w:w w:val="95"/>
                <w:sz w:val="22"/>
              </w:rPr>
              <w:t>(212,436,455)</w:t>
            </w:r>
            <w:r>
              <w:rPr>
                <w:rFonts w:ascii="Arial"/>
                <w:sz w:val="22"/>
              </w:rPr>
            </w:r>
          </w:p>
        </w:tc>
      </w:tr>
    </w:tbl>
    <w:p>
      <w:pPr>
        <w:spacing w:after="0" w:line="240" w:lineRule="auto"/>
        <w:jc w:val="right"/>
        <w:rPr>
          <w:rFonts w:ascii="Arial" w:hAnsi="Arial" w:cs="Arial" w:eastAsia="Arial" w:hint="default"/>
          <w:sz w:val="22"/>
          <w:szCs w:val="22"/>
        </w:rPr>
        <w:sectPr>
          <w:headerReference w:type="default" r:id="rId130"/>
          <w:pgSz w:w="11910" w:h="16840"/>
          <w:pgMar w:header="1184" w:footer="457" w:top="3040" w:bottom="640" w:left="1280" w:right="860"/>
        </w:sectPr>
      </w:pPr>
    </w:p>
    <w:p>
      <w:pPr>
        <w:spacing w:line="240" w:lineRule="auto" w:before="12"/>
        <w:rPr>
          <w:rFonts w:ascii="宋体" w:hAnsi="宋体" w:cs="宋体" w:eastAsia="宋体" w:hint="default"/>
          <w:sz w:val="14"/>
          <w:szCs w:val="14"/>
        </w:rPr>
      </w:pPr>
    </w:p>
    <w:p>
      <w:pPr>
        <w:pStyle w:val="BodyText"/>
        <w:spacing w:line="369" w:lineRule="auto" w:before="31"/>
        <w:ind w:left="102" w:right="7228" w:firstLine="14"/>
        <w:jc w:val="left"/>
      </w:pPr>
      <w:r>
        <w:rPr>
          <w:rFonts w:ascii="Arial" w:hAnsi="Arial" w:cs="Arial" w:eastAsia="Arial" w:hint="default"/>
        </w:rPr>
        <w:t>50</w:t>
      </w:r>
      <w:r>
        <w:rPr/>
        <w:t>、现金流量表补充资料</w:t>
      </w:r>
      <w:r>
        <w:rPr>
          <w:w w:val="99"/>
        </w:rPr>
        <w:t> </w:t>
      </w:r>
      <w:r>
        <w:rPr>
          <w:rFonts w:ascii="Arial" w:hAnsi="Arial" w:cs="Arial" w:eastAsia="Arial" w:hint="default"/>
        </w:rPr>
        <w:t>(a)  </w:t>
      </w:r>
      <w:r>
        <w:rPr>
          <w:rFonts w:ascii="Arial" w:hAnsi="Arial" w:cs="Arial" w:eastAsia="Arial" w:hint="default"/>
          <w:spacing w:val="1"/>
        </w:rPr>
        <w:t> </w:t>
      </w:r>
      <w:r>
        <w:rPr/>
        <w:t>现金流量表补充资料</w:t>
      </w:r>
    </w:p>
    <w:p>
      <w:pPr>
        <w:pStyle w:val="BodyText"/>
        <w:spacing w:line="240" w:lineRule="auto" w:before="29"/>
        <w:ind w:left="520" w:right="0"/>
        <w:jc w:val="left"/>
      </w:pPr>
      <w:r>
        <w:rPr/>
        <w:t>将合并净利润调节为经营活动现金流量：</w:t>
      </w:r>
    </w:p>
    <w:p>
      <w:pPr>
        <w:spacing w:line="240" w:lineRule="auto" w:before="9"/>
        <w:rPr>
          <w:rFonts w:ascii="宋体" w:hAnsi="宋体" w:cs="宋体" w:eastAsia="宋体" w:hint="default"/>
          <w:sz w:val="18"/>
          <w:szCs w:val="18"/>
        </w:rPr>
      </w:pPr>
    </w:p>
    <w:tbl>
      <w:tblPr>
        <w:tblW w:w="0" w:type="auto"/>
        <w:jc w:val="left"/>
        <w:tblInd w:w="350" w:type="dxa"/>
        <w:tblLayout w:type="fixed"/>
        <w:tblCellMar>
          <w:top w:w="0" w:type="dxa"/>
          <w:left w:w="0" w:type="dxa"/>
          <w:bottom w:w="0" w:type="dxa"/>
          <w:right w:w="0" w:type="dxa"/>
        </w:tblCellMar>
        <w:tblLook w:val="01E0"/>
      </w:tblPr>
      <w:tblGrid>
        <w:gridCol w:w="5077"/>
        <w:gridCol w:w="2081"/>
        <w:gridCol w:w="119"/>
        <w:gridCol w:w="2080"/>
      </w:tblGrid>
      <w:tr>
        <w:trPr>
          <w:trHeight w:val="261" w:hRule="exact"/>
        </w:trPr>
        <w:tc>
          <w:tcPr>
            <w:tcW w:w="5077"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single" w:sz="6" w:space="0" w:color="000000"/>
              <w:right w:val="nil" w:sz="6" w:space="0" w:color="auto"/>
            </w:tcBorders>
          </w:tcPr>
          <w:p>
            <w:pPr>
              <w:pStyle w:val="TableParagraph"/>
              <w:spacing w:line="235" w:lineRule="exact"/>
              <w:ind w:right="42"/>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19"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single" w:sz="6" w:space="0" w:color="000000"/>
              <w:right w:val="nil" w:sz="6" w:space="0" w:color="auto"/>
            </w:tcBorders>
          </w:tcPr>
          <w:p>
            <w:pPr>
              <w:pStyle w:val="TableParagraph"/>
              <w:spacing w:line="235" w:lineRule="exact"/>
              <w:ind w:right="54"/>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86" w:hRule="exact"/>
        </w:trPr>
        <w:tc>
          <w:tcPr>
            <w:tcW w:w="50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合并净利润</w:t>
            </w:r>
          </w:p>
        </w:tc>
        <w:tc>
          <w:tcPr>
            <w:tcW w:w="2081"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31"/>
              <w:jc w:val="right"/>
              <w:rPr>
                <w:rFonts w:ascii="Arial" w:hAnsi="Arial" w:cs="Arial" w:eastAsia="Arial" w:hint="default"/>
                <w:sz w:val="22"/>
                <w:szCs w:val="22"/>
              </w:rPr>
            </w:pPr>
            <w:r>
              <w:rPr>
                <w:rFonts w:ascii="Arial"/>
                <w:spacing w:val="-1"/>
                <w:sz w:val="22"/>
              </w:rPr>
              <w:t>7,025,428,513</w:t>
            </w:r>
          </w:p>
        </w:tc>
        <w:tc>
          <w:tcPr>
            <w:tcW w:w="119" w:type="dxa"/>
            <w:tcBorders>
              <w:top w:val="nil" w:sz="6" w:space="0" w:color="auto"/>
              <w:left w:val="nil" w:sz="6" w:space="0" w:color="auto"/>
              <w:bottom w:val="nil" w:sz="6" w:space="0" w:color="auto"/>
              <w:right w:val="nil" w:sz="6" w:space="0" w:color="auto"/>
            </w:tcBorders>
          </w:tcPr>
          <w:p>
            <w:pPr/>
          </w:p>
        </w:tc>
        <w:tc>
          <w:tcPr>
            <w:tcW w:w="2080"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22"/>
              <w:jc w:val="right"/>
              <w:rPr>
                <w:rFonts w:ascii="Arial" w:hAnsi="Arial" w:cs="Arial" w:eastAsia="Arial" w:hint="default"/>
                <w:sz w:val="22"/>
                <w:szCs w:val="22"/>
              </w:rPr>
            </w:pPr>
            <w:r>
              <w:rPr>
                <w:rFonts w:ascii="Arial"/>
                <w:spacing w:val="-1"/>
                <w:sz w:val="22"/>
              </w:rPr>
              <w:t>4,187,965,385</w:t>
            </w:r>
          </w:p>
        </w:tc>
      </w:tr>
      <w:tr>
        <w:trPr>
          <w:trHeight w:val="285" w:hRule="exact"/>
        </w:trPr>
        <w:tc>
          <w:tcPr>
            <w:tcW w:w="5077"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加：资产减值损失</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1"/>
              <w:jc w:val="right"/>
              <w:rPr>
                <w:rFonts w:ascii="Arial" w:hAnsi="Arial" w:cs="Arial" w:eastAsia="Arial" w:hint="default"/>
                <w:sz w:val="22"/>
                <w:szCs w:val="22"/>
              </w:rPr>
            </w:pPr>
            <w:r>
              <w:rPr>
                <w:rFonts w:ascii="Arial"/>
                <w:spacing w:val="-1"/>
                <w:sz w:val="22"/>
              </w:rPr>
              <w:t>3,294,126,554</w:t>
            </w:r>
          </w:p>
        </w:tc>
        <w:tc>
          <w:tcPr>
            <w:tcW w:w="119"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2"/>
              <w:jc w:val="right"/>
              <w:rPr>
                <w:rFonts w:ascii="Arial" w:hAnsi="Arial" w:cs="Arial" w:eastAsia="Arial" w:hint="default"/>
                <w:sz w:val="22"/>
                <w:szCs w:val="22"/>
              </w:rPr>
            </w:pPr>
            <w:r>
              <w:rPr>
                <w:rFonts w:ascii="Arial"/>
                <w:spacing w:val="-1"/>
                <w:sz w:val="22"/>
              </w:rPr>
              <w:t>2,771,213,069</w:t>
            </w:r>
          </w:p>
        </w:tc>
      </w:tr>
      <w:tr>
        <w:trPr>
          <w:trHeight w:val="285" w:hRule="exact"/>
        </w:trPr>
        <w:tc>
          <w:tcPr>
            <w:tcW w:w="5077" w:type="dxa"/>
            <w:tcBorders>
              <w:top w:val="nil" w:sz="6" w:space="0" w:color="auto"/>
              <w:left w:val="nil" w:sz="6" w:space="0" w:color="auto"/>
              <w:bottom w:val="nil" w:sz="6" w:space="0" w:color="auto"/>
              <w:right w:val="nil" w:sz="6" w:space="0" w:color="auto"/>
            </w:tcBorders>
          </w:tcPr>
          <w:p>
            <w:pPr>
              <w:pStyle w:val="TableParagraph"/>
              <w:spacing w:line="239" w:lineRule="exact"/>
              <w:ind w:left="661" w:right="0"/>
              <w:jc w:val="left"/>
              <w:rPr>
                <w:rFonts w:ascii="宋体" w:hAnsi="宋体" w:cs="宋体" w:eastAsia="宋体" w:hint="default"/>
                <w:sz w:val="22"/>
                <w:szCs w:val="22"/>
              </w:rPr>
            </w:pPr>
            <w:r>
              <w:rPr>
                <w:rFonts w:ascii="宋体" w:hAnsi="宋体" w:cs="宋体" w:eastAsia="宋体" w:hint="default"/>
                <w:sz w:val="22"/>
                <w:szCs w:val="22"/>
              </w:rPr>
              <w:t>固定资产折旧</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19" w:right="0"/>
              <w:jc w:val="left"/>
              <w:rPr>
                <w:rFonts w:ascii="Arial" w:hAnsi="Arial" w:cs="Arial" w:eastAsia="Arial" w:hint="default"/>
                <w:sz w:val="22"/>
                <w:szCs w:val="22"/>
              </w:rPr>
            </w:pPr>
            <w:r>
              <w:rPr>
                <w:rFonts w:ascii="Arial"/>
                <w:sz w:val="22"/>
              </w:rPr>
              <w:t>57,808,437,311</w:t>
            </w:r>
          </w:p>
        </w:tc>
        <w:tc>
          <w:tcPr>
            <w:tcW w:w="119"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2"/>
              <w:jc w:val="right"/>
              <w:rPr>
                <w:rFonts w:ascii="Arial" w:hAnsi="Arial" w:cs="Arial" w:eastAsia="Arial" w:hint="default"/>
                <w:sz w:val="22"/>
                <w:szCs w:val="22"/>
              </w:rPr>
            </w:pPr>
            <w:r>
              <w:rPr>
                <w:rFonts w:ascii="Arial"/>
                <w:spacing w:val="-1"/>
                <w:sz w:val="22"/>
              </w:rPr>
              <w:t>55,227,798,412</w:t>
            </w:r>
          </w:p>
        </w:tc>
      </w:tr>
      <w:tr>
        <w:trPr>
          <w:trHeight w:val="286" w:hRule="exact"/>
        </w:trPr>
        <w:tc>
          <w:tcPr>
            <w:tcW w:w="5077" w:type="dxa"/>
            <w:tcBorders>
              <w:top w:val="nil" w:sz="6" w:space="0" w:color="auto"/>
              <w:left w:val="nil" w:sz="6" w:space="0" w:color="auto"/>
              <w:bottom w:val="nil" w:sz="6" w:space="0" w:color="auto"/>
              <w:right w:val="nil" w:sz="6" w:space="0" w:color="auto"/>
            </w:tcBorders>
          </w:tcPr>
          <w:p>
            <w:pPr>
              <w:pStyle w:val="TableParagraph"/>
              <w:spacing w:line="239" w:lineRule="exact"/>
              <w:ind w:left="661" w:right="0"/>
              <w:jc w:val="left"/>
              <w:rPr>
                <w:rFonts w:ascii="宋体" w:hAnsi="宋体" w:cs="宋体" w:eastAsia="宋体" w:hint="default"/>
                <w:sz w:val="22"/>
                <w:szCs w:val="22"/>
              </w:rPr>
            </w:pPr>
            <w:r>
              <w:rPr>
                <w:rFonts w:ascii="宋体" w:hAnsi="宋体" w:cs="宋体" w:eastAsia="宋体" w:hint="default"/>
                <w:sz w:val="22"/>
                <w:szCs w:val="22"/>
              </w:rPr>
              <w:t>无形资产摊销</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1"/>
              <w:jc w:val="right"/>
              <w:rPr>
                <w:rFonts w:ascii="Arial" w:hAnsi="Arial" w:cs="Arial" w:eastAsia="Arial" w:hint="default"/>
                <w:sz w:val="22"/>
                <w:szCs w:val="22"/>
              </w:rPr>
            </w:pPr>
            <w:r>
              <w:rPr>
                <w:rFonts w:ascii="Arial"/>
                <w:spacing w:val="-1"/>
                <w:sz w:val="22"/>
              </w:rPr>
              <w:t>2,370,259,432</w:t>
            </w:r>
          </w:p>
        </w:tc>
        <w:tc>
          <w:tcPr>
            <w:tcW w:w="119"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2"/>
              <w:jc w:val="right"/>
              <w:rPr>
                <w:rFonts w:ascii="Arial" w:hAnsi="Arial" w:cs="Arial" w:eastAsia="Arial" w:hint="default"/>
                <w:sz w:val="22"/>
                <w:szCs w:val="22"/>
              </w:rPr>
            </w:pPr>
            <w:r>
              <w:rPr>
                <w:rFonts w:ascii="Arial"/>
                <w:spacing w:val="-1"/>
                <w:sz w:val="22"/>
              </w:rPr>
              <w:t>1,982,376,679</w:t>
            </w:r>
          </w:p>
        </w:tc>
      </w:tr>
      <w:tr>
        <w:trPr>
          <w:trHeight w:val="286" w:hRule="exact"/>
        </w:trPr>
        <w:tc>
          <w:tcPr>
            <w:tcW w:w="5077" w:type="dxa"/>
            <w:tcBorders>
              <w:top w:val="nil" w:sz="6" w:space="0" w:color="auto"/>
              <w:left w:val="nil" w:sz="6" w:space="0" w:color="auto"/>
              <w:bottom w:val="nil" w:sz="6" w:space="0" w:color="auto"/>
              <w:right w:val="nil" w:sz="6" w:space="0" w:color="auto"/>
            </w:tcBorders>
          </w:tcPr>
          <w:p>
            <w:pPr>
              <w:pStyle w:val="TableParagraph"/>
              <w:spacing w:line="239" w:lineRule="exact"/>
              <w:ind w:left="661" w:right="0"/>
              <w:jc w:val="left"/>
              <w:rPr>
                <w:rFonts w:ascii="宋体" w:hAnsi="宋体" w:cs="宋体" w:eastAsia="宋体" w:hint="default"/>
                <w:sz w:val="22"/>
                <w:szCs w:val="22"/>
              </w:rPr>
            </w:pPr>
            <w:r>
              <w:rPr>
                <w:rFonts w:ascii="宋体" w:hAnsi="宋体" w:cs="宋体" w:eastAsia="宋体" w:hint="default"/>
                <w:sz w:val="22"/>
                <w:szCs w:val="22"/>
              </w:rPr>
              <w:t>长期待摊费用摊销</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1"/>
              <w:jc w:val="right"/>
              <w:rPr>
                <w:rFonts w:ascii="Arial" w:hAnsi="Arial" w:cs="Arial" w:eastAsia="Arial" w:hint="default"/>
                <w:sz w:val="22"/>
                <w:szCs w:val="22"/>
              </w:rPr>
            </w:pPr>
            <w:r>
              <w:rPr>
                <w:rFonts w:ascii="Arial"/>
                <w:spacing w:val="-1"/>
                <w:sz w:val="22"/>
              </w:rPr>
              <w:t>2,759,834,416</w:t>
            </w:r>
          </w:p>
        </w:tc>
        <w:tc>
          <w:tcPr>
            <w:tcW w:w="119"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2"/>
              <w:jc w:val="right"/>
              <w:rPr>
                <w:rFonts w:ascii="Arial" w:hAnsi="Arial" w:cs="Arial" w:eastAsia="Arial" w:hint="default"/>
                <w:sz w:val="22"/>
                <w:szCs w:val="22"/>
              </w:rPr>
            </w:pPr>
            <w:r>
              <w:rPr>
                <w:rFonts w:ascii="Arial"/>
                <w:spacing w:val="-1"/>
                <w:sz w:val="22"/>
              </w:rPr>
              <w:t>2,526,823,562</w:t>
            </w:r>
          </w:p>
        </w:tc>
      </w:tr>
      <w:tr>
        <w:trPr>
          <w:trHeight w:val="286" w:hRule="exact"/>
        </w:trPr>
        <w:tc>
          <w:tcPr>
            <w:tcW w:w="5077" w:type="dxa"/>
            <w:tcBorders>
              <w:top w:val="nil" w:sz="6" w:space="0" w:color="auto"/>
              <w:left w:val="nil" w:sz="6" w:space="0" w:color="auto"/>
              <w:bottom w:val="nil" w:sz="6" w:space="0" w:color="auto"/>
              <w:right w:val="nil" w:sz="6" w:space="0" w:color="auto"/>
            </w:tcBorders>
          </w:tcPr>
          <w:p>
            <w:pPr>
              <w:pStyle w:val="TableParagraph"/>
              <w:spacing w:line="239" w:lineRule="exact"/>
              <w:ind w:left="661" w:right="0"/>
              <w:jc w:val="left"/>
              <w:rPr>
                <w:rFonts w:ascii="宋体" w:hAnsi="宋体" w:cs="宋体" w:eastAsia="宋体" w:hint="default"/>
                <w:sz w:val="22"/>
                <w:szCs w:val="22"/>
              </w:rPr>
            </w:pPr>
            <w:r>
              <w:rPr>
                <w:rFonts w:ascii="宋体" w:hAnsi="宋体" w:cs="宋体" w:eastAsia="宋体" w:hint="default"/>
                <w:sz w:val="22"/>
                <w:szCs w:val="22"/>
              </w:rPr>
              <w:t>长期待摊费用增加</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9"/>
              <w:jc w:val="right"/>
              <w:rPr>
                <w:rFonts w:ascii="Arial" w:hAnsi="Arial" w:cs="Arial" w:eastAsia="Arial" w:hint="default"/>
                <w:sz w:val="22"/>
                <w:szCs w:val="22"/>
              </w:rPr>
            </w:pPr>
            <w:r>
              <w:rPr>
                <w:rFonts w:ascii="Arial"/>
                <w:w w:val="95"/>
                <w:sz w:val="22"/>
              </w:rPr>
              <w:t>(1,550,432,444)</w:t>
            </w:r>
            <w:r>
              <w:rPr>
                <w:rFonts w:ascii="Arial"/>
                <w:sz w:val="22"/>
              </w:rPr>
            </w:r>
          </w:p>
        </w:tc>
        <w:tc>
          <w:tcPr>
            <w:tcW w:w="119"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1"/>
              <w:jc w:val="right"/>
              <w:rPr>
                <w:rFonts w:ascii="Arial" w:hAnsi="Arial" w:cs="Arial" w:eastAsia="Arial" w:hint="default"/>
                <w:sz w:val="22"/>
                <w:szCs w:val="22"/>
              </w:rPr>
            </w:pPr>
            <w:r>
              <w:rPr>
                <w:rFonts w:ascii="Arial"/>
                <w:w w:val="95"/>
                <w:sz w:val="22"/>
              </w:rPr>
              <w:t>(1,543,341,733)</w:t>
            </w:r>
            <w:r>
              <w:rPr>
                <w:rFonts w:ascii="Arial"/>
                <w:sz w:val="22"/>
              </w:rPr>
            </w:r>
          </w:p>
        </w:tc>
      </w:tr>
      <w:tr>
        <w:trPr>
          <w:trHeight w:val="284" w:hRule="exact"/>
        </w:trPr>
        <w:tc>
          <w:tcPr>
            <w:tcW w:w="5077" w:type="dxa"/>
            <w:tcBorders>
              <w:top w:val="nil" w:sz="6" w:space="0" w:color="auto"/>
              <w:left w:val="nil" w:sz="6" w:space="0" w:color="auto"/>
              <w:bottom w:val="nil" w:sz="6" w:space="0" w:color="auto"/>
              <w:right w:val="nil" w:sz="6" w:space="0" w:color="auto"/>
            </w:tcBorders>
          </w:tcPr>
          <w:p>
            <w:pPr>
              <w:pStyle w:val="TableParagraph"/>
              <w:spacing w:line="239" w:lineRule="exact"/>
              <w:ind w:left="661" w:right="0"/>
              <w:jc w:val="left"/>
              <w:rPr>
                <w:rFonts w:ascii="宋体" w:hAnsi="宋体" w:cs="宋体" w:eastAsia="宋体" w:hint="default"/>
                <w:sz w:val="22"/>
                <w:szCs w:val="22"/>
              </w:rPr>
            </w:pPr>
            <w:r>
              <w:rPr>
                <w:rFonts w:ascii="宋体" w:hAnsi="宋体" w:cs="宋体" w:eastAsia="宋体" w:hint="default"/>
                <w:sz w:val="22"/>
                <w:szCs w:val="22"/>
              </w:rPr>
              <w:t>处置固定资产、无形资产的净收益</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9"/>
              <w:jc w:val="right"/>
              <w:rPr>
                <w:rFonts w:ascii="Arial" w:hAnsi="Arial" w:cs="Arial" w:eastAsia="Arial" w:hint="default"/>
                <w:sz w:val="22"/>
                <w:szCs w:val="22"/>
              </w:rPr>
            </w:pPr>
            <w:r>
              <w:rPr>
                <w:rFonts w:ascii="Arial"/>
                <w:w w:val="95"/>
                <w:sz w:val="22"/>
              </w:rPr>
              <w:t>(630,982,877)</w:t>
            </w:r>
            <w:r>
              <w:rPr>
                <w:rFonts w:ascii="Arial"/>
                <w:sz w:val="22"/>
              </w:rPr>
            </w:r>
          </w:p>
        </w:tc>
        <w:tc>
          <w:tcPr>
            <w:tcW w:w="119"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0"/>
              <w:jc w:val="right"/>
              <w:rPr>
                <w:rFonts w:ascii="Arial" w:hAnsi="Arial" w:cs="Arial" w:eastAsia="Arial" w:hint="default"/>
                <w:sz w:val="22"/>
                <w:szCs w:val="22"/>
              </w:rPr>
            </w:pPr>
            <w:r>
              <w:rPr>
                <w:rFonts w:ascii="Arial"/>
                <w:w w:val="95"/>
                <w:sz w:val="22"/>
              </w:rPr>
              <w:t>(433,460,678)</w:t>
            </w:r>
            <w:r>
              <w:rPr>
                <w:rFonts w:ascii="Arial"/>
                <w:sz w:val="22"/>
              </w:rPr>
            </w:r>
          </w:p>
        </w:tc>
      </w:tr>
      <w:tr>
        <w:trPr>
          <w:trHeight w:val="286" w:hRule="exact"/>
        </w:trPr>
        <w:tc>
          <w:tcPr>
            <w:tcW w:w="5077" w:type="dxa"/>
            <w:tcBorders>
              <w:top w:val="nil" w:sz="6" w:space="0" w:color="auto"/>
              <w:left w:val="nil" w:sz="6" w:space="0" w:color="auto"/>
              <w:bottom w:val="nil" w:sz="6" w:space="0" w:color="auto"/>
              <w:right w:val="nil" w:sz="6" w:space="0" w:color="auto"/>
            </w:tcBorders>
          </w:tcPr>
          <w:p>
            <w:pPr>
              <w:pStyle w:val="TableParagraph"/>
              <w:spacing w:line="239" w:lineRule="exact"/>
              <w:ind w:left="661" w:right="0"/>
              <w:jc w:val="left"/>
              <w:rPr>
                <w:rFonts w:ascii="宋体" w:hAnsi="宋体" w:cs="宋体" w:eastAsia="宋体" w:hint="default"/>
                <w:sz w:val="22"/>
                <w:szCs w:val="22"/>
              </w:rPr>
            </w:pPr>
            <w:r>
              <w:rPr>
                <w:rFonts w:ascii="宋体" w:hAnsi="宋体" w:cs="宋体" w:eastAsia="宋体" w:hint="default"/>
                <w:sz w:val="22"/>
                <w:szCs w:val="22"/>
              </w:rPr>
              <w:t>以股份为基础支付的员工薪酬</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0"/>
              <w:jc w:val="right"/>
              <w:rPr>
                <w:rFonts w:ascii="Arial" w:hAnsi="Arial" w:cs="Arial" w:eastAsia="Arial" w:hint="default"/>
                <w:sz w:val="22"/>
                <w:szCs w:val="22"/>
              </w:rPr>
            </w:pPr>
            <w:r>
              <w:rPr>
                <w:rFonts w:ascii="Arial"/>
                <w:w w:val="95"/>
                <w:sz w:val="22"/>
              </w:rPr>
              <w:t>14,319,568</w:t>
            </w:r>
            <w:r>
              <w:rPr>
                <w:rFonts w:ascii="Arial"/>
                <w:sz w:val="22"/>
              </w:rPr>
            </w:r>
          </w:p>
        </w:tc>
        <w:tc>
          <w:tcPr>
            <w:tcW w:w="119"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3"/>
              <w:jc w:val="right"/>
              <w:rPr>
                <w:rFonts w:ascii="Arial" w:hAnsi="Arial" w:cs="Arial" w:eastAsia="Arial" w:hint="default"/>
                <w:sz w:val="22"/>
                <w:szCs w:val="22"/>
              </w:rPr>
            </w:pPr>
            <w:r>
              <w:rPr>
                <w:rFonts w:ascii="Arial"/>
                <w:w w:val="95"/>
                <w:sz w:val="22"/>
              </w:rPr>
              <w:t>17,356,207</w:t>
            </w:r>
            <w:r>
              <w:rPr>
                <w:rFonts w:ascii="Arial"/>
                <w:sz w:val="22"/>
              </w:rPr>
            </w:r>
          </w:p>
        </w:tc>
      </w:tr>
      <w:tr>
        <w:trPr>
          <w:trHeight w:val="286" w:hRule="exact"/>
        </w:trPr>
        <w:tc>
          <w:tcPr>
            <w:tcW w:w="5077" w:type="dxa"/>
            <w:tcBorders>
              <w:top w:val="nil" w:sz="6" w:space="0" w:color="auto"/>
              <w:left w:val="nil" w:sz="6" w:space="0" w:color="auto"/>
              <w:bottom w:val="nil" w:sz="6" w:space="0" w:color="auto"/>
              <w:right w:val="nil" w:sz="6" w:space="0" w:color="auto"/>
            </w:tcBorders>
          </w:tcPr>
          <w:p>
            <w:pPr>
              <w:pStyle w:val="TableParagraph"/>
              <w:spacing w:line="239" w:lineRule="exact"/>
              <w:ind w:left="661"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1"/>
              <w:jc w:val="right"/>
              <w:rPr>
                <w:rFonts w:ascii="Arial" w:hAnsi="Arial" w:cs="Arial" w:eastAsia="Arial" w:hint="default"/>
                <w:sz w:val="22"/>
                <w:szCs w:val="22"/>
              </w:rPr>
            </w:pPr>
            <w:r>
              <w:rPr>
                <w:rFonts w:ascii="Arial"/>
                <w:spacing w:val="-1"/>
                <w:sz w:val="22"/>
              </w:rPr>
              <w:t>3,081,923,897</w:t>
            </w:r>
          </w:p>
        </w:tc>
        <w:tc>
          <w:tcPr>
            <w:tcW w:w="119"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2"/>
              <w:jc w:val="right"/>
              <w:rPr>
                <w:rFonts w:ascii="Arial" w:hAnsi="Arial" w:cs="Arial" w:eastAsia="Arial" w:hint="default"/>
                <w:sz w:val="22"/>
                <w:szCs w:val="22"/>
              </w:rPr>
            </w:pPr>
            <w:r>
              <w:rPr>
                <w:rFonts w:ascii="Arial"/>
                <w:spacing w:val="-1"/>
                <w:sz w:val="22"/>
              </w:rPr>
              <w:t>1,035,135,140</w:t>
            </w:r>
          </w:p>
        </w:tc>
      </w:tr>
      <w:tr>
        <w:trPr>
          <w:trHeight w:val="286" w:hRule="exact"/>
        </w:trPr>
        <w:tc>
          <w:tcPr>
            <w:tcW w:w="5077" w:type="dxa"/>
            <w:tcBorders>
              <w:top w:val="nil" w:sz="6" w:space="0" w:color="auto"/>
              <w:left w:val="nil" w:sz="6" w:space="0" w:color="auto"/>
              <w:bottom w:val="nil" w:sz="6" w:space="0" w:color="auto"/>
              <w:right w:val="nil" w:sz="6" w:space="0" w:color="auto"/>
            </w:tcBorders>
          </w:tcPr>
          <w:p>
            <w:pPr>
              <w:pStyle w:val="TableParagraph"/>
              <w:spacing w:line="239" w:lineRule="exact"/>
              <w:ind w:left="661" w:right="0"/>
              <w:jc w:val="left"/>
              <w:rPr>
                <w:rFonts w:ascii="宋体" w:hAnsi="宋体" w:cs="宋体" w:eastAsia="宋体" w:hint="default"/>
                <w:sz w:val="22"/>
                <w:szCs w:val="22"/>
              </w:rPr>
            </w:pPr>
            <w:r>
              <w:rPr>
                <w:rFonts w:ascii="宋体" w:hAnsi="宋体" w:cs="宋体" w:eastAsia="宋体" w:hint="default"/>
                <w:sz w:val="22"/>
                <w:szCs w:val="22"/>
              </w:rPr>
              <w:t>投资收益</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9"/>
              <w:jc w:val="right"/>
              <w:rPr>
                <w:rFonts w:ascii="Arial" w:hAnsi="Arial" w:cs="Arial" w:eastAsia="Arial" w:hint="default"/>
                <w:sz w:val="22"/>
                <w:szCs w:val="22"/>
              </w:rPr>
            </w:pPr>
            <w:r>
              <w:rPr>
                <w:rFonts w:ascii="Arial"/>
                <w:w w:val="95"/>
                <w:sz w:val="22"/>
              </w:rPr>
              <w:t>(417,326,751)</w:t>
            </w:r>
            <w:r>
              <w:rPr>
                <w:rFonts w:ascii="Arial"/>
                <w:sz w:val="22"/>
              </w:rPr>
            </w:r>
          </w:p>
        </w:tc>
        <w:tc>
          <w:tcPr>
            <w:tcW w:w="119"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0"/>
              <w:jc w:val="right"/>
              <w:rPr>
                <w:rFonts w:ascii="Arial" w:hAnsi="Arial" w:cs="Arial" w:eastAsia="Arial" w:hint="default"/>
                <w:sz w:val="22"/>
                <w:szCs w:val="22"/>
              </w:rPr>
            </w:pPr>
            <w:r>
              <w:rPr>
                <w:rFonts w:ascii="Arial"/>
                <w:w w:val="95"/>
                <w:sz w:val="22"/>
              </w:rPr>
              <w:t>(866,240,576)</w:t>
            </w:r>
            <w:r>
              <w:rPr>
                <w:rFonts w:ascii="Arial"/>
                <w:sz w:val="22"/>
              </w:rPr>
            </w:r>
          </w:p>
        </w:tc>
      </w:tr>
      <w:tr>
        <w:trPr>
          <w:trHeight w:val="285" w:hRule="exact"/>
        </w:trPr>
        <w:tc>
          <w:tcPr>
            <w:tcW w:w="5077" w:type="dxa"/>
            <w:tcBorders>
              <w:top w:val="nil" w:sz="6" w:space="0" w:color="auto"/>
              <w:left w:val="nil" w:sz="6" w:space="0" w:color="auto"/>
              <w:bottom w:val="nil" w:sz="6" w:space="0" w:color="auto"/>
              <w:right w:val="nil" w:sz="6" w:space="0" w:color="auto"/>
            </w:tcBorders>
          </w:tcPr>
          <w:p>
            <w:pPr>
              <w:pStyle w:val="TableParagraph"/>
              <w:spacing w:line="239" w:lineRule="exact"/>
              <w:ind w:left="661" w:right="0"/>
              <w:jc w:val="left"/>
              <w:rPr>
                <w:rFonts w:ascii="宋体" w:hAnsi="宋体" w:cs="宋体" w:eastAsia="宋体" w:hint="default"/>
                <w:sz w:val="22"/>
                <w:szCs w:val="22"/>
              </w:rPr>
            </w:pPr>
            <w:r>
              <w:rPr>
                <w:rFonts w:ascii="宋体" w:hAnsi="宋体" w:cs="宋体" w:eastAsia="宋体" w:hint="default"/>
                <w:sz w:val="22"/>
                <w:szCs w:val="22"/>
              </w:rPr>
              <w:t>西班牙电信代扣代缴所分配股利所得税</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0"/>
              <w:jc w:val="right"/>
              <w:rPr>
                <w:rFonts w:ascii="Arial" w:hAnsi="Arial" w:cs="Arial" w:eastAsia="Arial" w:hint="default"/>
                <w:sz w:val="22"/>
                <w:szCs w:val="22"/>
              </w:rPr>
            </w:pPr>
            <w:r>
              <w:rPr>
                <w:rFonts w:ascii="Arial"/>
                <w:w w:val="95"/>
                <w:sz w:val="22"/>
              </w:rPr>
              <w:t>26,379,654</w:t>
            </w:r>
            <w:r>
              <w:rPr>
                <w:rFonts w:ascii="Arial"/>
                <w:sz w:val="22"/>
              </w:rPr>
            </w:r>
          </w:p>
        </w:tc>
        <w:tc>
          <w:tcPr>
            <w:tcW w:w="119"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2"/>
              <w:jc w:val="right"/>
              <w:rPr>
                <w:rFonts w:ascii="Arial" w:hAnsi="Arial" w:cs="Arial" w:eastAsia="Arial" w:hint="default"/>
                <w:sz w:val="22"/>
                <w:szCs w:val="22"/>
              </w:rPr>
            </w:pPr>
            <w:r>
              <w:rPr>
                <w:rFonts w:ascii="Arial"/>
                <w:w w:val="95"/>
                <w:sz w:val="22"/>
              </w:rPr>
              <w:t>50,745,543</w:t>
            </w:r>
            <w:r>
              <w:rPr>
                <w:rFonts w:ascii="Arial"/>
                <w:sz w:val="22"/>
              </w:rPr>
            </w:r>
          </w:p>
        </w:tc>
      </w:tr>
      <w:tr>
        <w:trPr>
          <w:trHeight w:val="285" w:hRule="exact"/>
        </w:trPr>
        <w:tc>
          <w:tcPr>
            <w:tcW w:w="5077" w:type="dxa"/>
            <w:tcBorders>
              <w:top w:val="nil" w:sz="6" w:space="0" w:color="auto"/>
              <w:left w:val="nil" w:sz="6" w:space="0" w:color="auto"/>
              <w:bottom w:val="nil" w:sz="6" w:space="0" w:color="auto"/>
              <w:right w:val="nil" w:sz="6" w:space="0" w:color="auto"/>
            </w:tcBorders>
          </w:tcPr>
          <w:p>
            <w:pPr>
              <w:pStyle w:val="TableParagraph"/>
              <w:spacing w:line="239" w:lineRule="exact"/>
              <w:ind w:left="661" w:right="0"/>
              <w:jc w:val="left"/>
              <w:rPr>
                <w:rFonts w:ascii="宋体" w:hAnsi="宋体" w:cs="宋体" w:eastAsia="宋体" w:hint="default"/>
                <w:sz w:val="22"/>
                <w:szCs w:val="22"/>
              </w:rPr>
            </w:pPr>
            <w:r>
              <w:rPr>
                <w:rFonts w:ascii="宋体" w:hAnsi="宋体" w:cs="宋体" w:eastAsia="宋体" w:hint="default"/>
                <w:sz w:val="22"/>
                <w:szCs w:val="22"/>
              </w:rPr>
              <w:t>递延所得税资产减少（增加）</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9"/>
              <w:jc w:val="right"/>
              <w:rPr>
                <w:rFonts w:ascii="Arial" w:hAnsi="Arial" w:cs="Arial" w:eastAsia="Arial" w:hint="default"/>
                <w:sz w:val="22"/>
                <w:szCs w:val="22"/>
              </w:rPr>
            </w:pPr>
            <w:r>
              <w:rPr>
                <w:rFonts w:ascii="Arial"/>
                <w:w w:val="95"/>
                <w:sz w:val="22"/>
              </w:rPr>
              <w:t>(182,395,681)</w:t>
            </w:r>
            <w:r>
              <w:rPr>
                <w:rFonts w:ascii="Arial"/>
                <w:sz w:val="22"/>
              </w:rPr>
            </w:r>
          </w:p>
        </w:tc>
        <w:tc>
          <w:tcPr>
            <w:tcW w:w="119"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1"/>
              <w:jc w:val="right"/>
              <w:rPr>
                <w:rFonts w:ascii="Arial" w:hAnsi="Arial" w:cs="Arial" w:eastAsia="Arial" w:hint="default"/>
                <w:sz w:val="22"/>
                <w:szCs w:val="22"/>
              </w:rPr>
            </w:pPr>
            <w:r>
              <w:rPr>
                <w:rFonts w:ascii="Arial"/>
                <w:w w:val="95"/>
                <w:sz w:val="22"/>
              </w:rPr>
              <w:t>611,939,293</w:t>
            </w:r>
            <w:r>
              <w:rPr>
                <w:rFonts w:ascii="Arial"/>
                <w:sz w:val="22"/>
              </w:rPr>
            </w:r>
          </w:p>
        </w:tc>
      </w:tr>
      <w:tr>
        <w:trPr>
          <w:trHeight w:val="286" w:hRule="exact"/>
        </w:trPr>
        <w:tc>
          <w:tcPr>
            <w:tcW w:w="5077" w:type="dxa"/>
            <w:tcBorders>
              <w:top w:val="nil" w:sz="6" w:space="0" w:color="auto"/>
              <w:left w:val="nil" w:sz="6" w:space="0" w:color="auto"/>
              <w:bottom w:val="nil" w:sz="6" w:space="0" w:color="auto"/>
              <w:right w:val="nil" w:sz="6" w:space="0" w:color="auto"/>
            </w:tcBorders>
          </w:tcPr>
          <w:p>
            <w:pPr>
              <w:pStyle w:val="TableParagraph"/>
              <w:spacing w:line="239" w:lineRule="exact"/>
              <w:ind w:left="661" w:right="0"/>
              <w:jc w:val="left"/>
              <w:rPr>
                <w:rFonts w:ascii="宋体" w:hAnsi="宋体" w:cs="宋体" w:eastAsia="宋体" w:hint="default"/>
                <w:sz w:val="22"/>
                <w:szCs w:val="22"/>
              </w:rPr>
            </w:pPr>
            <w:r>
              <w:rPr>
                <w:rFonts w:ascii="宋体" w:hAnsi="宋体" w:cs="宋体" w:eastAsia="宋体" w:hint="default"/>
                <w:sz w:val="22"/>
                <w:szCs w:val="22"/>
              </w:rPr>
              <w:t>递延所得税负债减少</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8"/>
              <w:jc w:val="right"/>
              <w:rPr>
                <w:rFonts w:ascii="Arial" w:hAnsi="Arial" w:cs="Arial" w:eastAsia="Arial" w:hint="default"/>
                <w:sz w:val="22"/>
                <w:szCs w:val="22"/>
              </w:rPr>
            </w:pPr>
            <w:r>
              <w:rPr>
                <w:rFonts w:ascii="Arial"/>
                <w:w w:val="95"/>
                <w:sz w:val="22"/>
              </w:rPr>
              <w:t>(1,265,911)</w:t>
            </w:r>
            <w:r>
              <w:rPr>
                <w:rFonts w:ascii="Arial"/>
                <w:sz w:val="22"/>
              </w:rPr>
            </w:r>
          </w:p>
        </w:tc>
        <w:tc>
          <w:tcPr>
            <w:tcW w:w="119"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9"/>
              <w:jc w:val="right"/>
              <w:rPr>
                <w:rFonts w:ascii="Arial" w:hAnsi="Arial" w:cs="Arial" w:eastAsia="Arial" w:hint="default"/>
                <w:sz w:val="22"/>
                <w:szCs w:val="22"/>
              </w:rPr>
            </w:pPr>
            <w:r>
              <w:rPr>
                <w:rFonts w:ascii="Arial"/>
                <w:w w:val="95"/>
                <w:sz w:val="22"/>
              </w:rPr>
              <w:t>(6,571,836)</w:t>
            </w:r>
            <w:r>
              <w:rPr>
                <w:rFonts w:ascii="Arial"/>
                <w:sz w:val="22"/>
              </w:rPr>
            </w:r>
          </w:p>
        </w:tc>
      </w:tr>
      <w:tr>
        <w:trPr>
          <w:trHeight w:val="286" w:hRule="exact"/>
        </w:trPr>
        <w:tc>
          <w:tcPr>
            <w:tcW w:w="5077" w:type="dxa"/>
            <w:tcBorders>
              <w:top w:val="nil" w:sz="6" w:space="0" w:color="auto"/>
              <w:left w:val="nil" w:sz="6" w:space="0" w:color="auto"/>
              <w:bottom w:val="nil" w:sz="6" w:space="0" w:color="auto"/>
              <w:right w:val="nil" w:sz="6" w:space="0" w:color="auto"/>
            </w:tcBorders>
          </w:tcPr>
          <w:p>
            <w:pPr>
              <w:pStyle w:val="TableParagraph"/>
              <w:spacing w:line="239" w:lineRule="exact"/>
              <w:ind w:left="661" w:right="0"/>
              <w:jc w:val="left"/>
              <w:rPr>
                <w:rFonts w:ascii="宋体" w:hAnsi="宋体" w:cs="宋体" w:eastAsia="宋体" w:hint="default"/>
                <w:sz w:val="22"/>
                <w:szCs w:val="22"/>
              </w:rPr>
            </w:pPr>
            <w:r>
              <w:rPr>
                <w:rFonts w:ascii="宋体" w:hAnsi="宋体" w:cs="宋体" w:eastAsia="宋体" w:hint="default"/>
                <w:sz w:val="22"/>
                <w:szCs w:val="22"/>
              </w:rPr>
              <w:t>存货的增加</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9"/>
              <w:jc w:val="right"/>
              <w:rPr>
                <w:rFonts w:ascii="Arial" w:hAnsi="Arial" w:cs="Arial" w:eastAsia="Arial" w:hint="default"/>
                <w:sz w:val="22"/>
                <w:szCs w:val="22"/>
              </w:rPr>
            </w:pPr>
            <w:r>
              <w:rPr>
                <w:rFonts w:ascii="Arial"/>
                <w:w w:val="95"/>
                <w:sz w:val="22"/>
              </w:rPr>
              <w:t>(1,293,120,251)</w:t>
            </w:r>
            <w:r>
              <w:rPr>
                <w:rFonts w:ascii="Arial"/>
                <w:sz w:val="22"/>
              </w:rPr>
            </w:r>
          </w:p>
        </w:tc>
        <w:tc>
          <w:tcPr>
            <w:tcW w:w="119"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9"/>
              <w:jc w:val="right"/>
              <w:rPr>
                <w:rFonts w:ascii="Arial" w:hAnsi="Arial" w:cs="Arial" w:eastAsia="Arial" w:hint="default"/>
                <w:sz w:val="22"/>
                <w:szCs w:val="22"/>
              </w:rPr>
            </w:pPr>
            <w:r>
              <w:rPr>
                <w:rFonts w:ascii="Arial"/>
                <w:w w:val="95"/>
                <w:sz w:val="22"/>
              </w:rPr>
              <w:t>(1,049,541,543)</w:t>
            </w:r>
            <w:r>
              <w:rPr>
                <w:rFonts w:ascii="Arial"/>
                <w:sz w:val="22"/>
              </w:rPr>
            </w:r>
          </w:p>
        </w:tc>
      </w:tr>
      <w:tr>
        <w:trPr>
          <w:trHeight w:val="285" w:hRule="exact"/>
        </w:trPr>
        <w:tc>
          <w:tcPr>
            <w:tcW w:w="5077" w:type="dxa"/>
            <w:tcBorders>
              <w:top w:val="nil" w:sz="6" w:space="0" w:color="auto"/>
              <w:left w:val="nil" w:sz="6" w:space="0" w:color="auto"/>
              <w:bottom w:val="nil" w:sz="6" w:space="0" w:color="auto"/>
              <w:right w:val="nil" w:sz="6" w:space="0" w:color="auto"/>
            </w:tcBorders>
          </w:tcPr>
          <w:p>
            <w:pPr>
              <w:pStyle w:val="TableParagraph"/>
              <w:spacing w:line="239" w:lineRule="exact"/>
              <w:ind w:left="661" w:right="0"/>
              <w:jc w:val="left"/>
              <w:rPr>
                <w:rFonts w:ascii="宋体" w:hAnsi="宋体" w:cs="宋体" w:eastAsia="宋体" w:hint="default"/>
                <w:sz w:val="22"/>
                <w:szCs w:val="22"/>
              </w:rPr>
            </w:pPr>
            <w:r>
              <w:rPr>
                <w:rFonts w:ascii="宋体" w:hAnsi="宋体" w:cs="宋体" w:eastAsia="宋体" w:hint="default"/>
                <w:sz w:val="22"/>
                <w:szCs w:val="22"/>
              </w:rPr>
              <w:t>经营性应收项目的增加</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7"/>
              <w:jc w:val="right"/>
              <w:rPr>
                <w:rFonts w:ascii="Arial" w:hAnsi="Arial" w:cs="Arial" w:eastAsia="Arial" w:hint="default"/>
                <w:sz w:val="22"/>
                <w:szCs w:val="22"/>
              </w:rPr>
            </w:pPr>
            <w:r>
              <w:rPr>
                <w:rFonts w:ascii="Arial"/>
                <w:w w:val="95"/>
                <w:sz w:val="22"/>
              </w:rPr>
              <w:t>(8,343,835,349)</w:t>
            </w:r>
            <w:r>
              <w:rPr>
                <w:rFonts w:ascii="Arial"/>
                <w:sz w:val="22"/>
              </w:rPr>
            </w:r>
          </w:p>
        </w:tc>
        <w:tc>
          <w:tcPr>
            <w:tcW w:w="119"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9"/>
              <w:jc w:val="right"/>
              <w:rPr>
                <w:rFonts w:ascii="Arial" w:hAnsi="Arial" w:cs="Arial" w:eastAsia="Arial" w:hint="default"/>
                <w:sz w:val="22"/>
                <w:szCs w:val="22"/>
              </w:rPr>
            </w:pPr>
            <w:r>
              <w:rPr>
                <w:rFonts w:ascii="Arial"/>
                <w:w w:val="95"/>
                <w:sz w:val="22"/>
              </w:rPr>
              <w:t>(5,550,033,348)</w:t>
            </w:r>
            <w:r>
              <w:rPr>
                <w:rFonts w:ascii="Arial"/>
                <w:sz w:val="22"/>
              </w:rPr>
            </w:r>
          </w:p>
        </w:tc>
      </w:tr>
      <w:tr>
        <w:trPr>
          <w:trHeight w:val="293" w:hRule="exact"/>
        </w:trPr>
        <w:tc>
          <w:tcPr>
            <w:tcW w:w="5077" w:type="dxa"/>
            <w:tcBorders>
              <w:top w:val="nil" w:sz="6" w:space="0" w:color="auto"/>
              <w:left w:val="nil" w:sz="6" w:space="0" w:color="auto"/>
              <w:bottom w:val="nil" w:sz="6" w:space="0" w:color="auto"/>
              <w:right w:val="nil" w:sz="6" w:space="0" w:color="auto"/>
            </w:tcBorders>
          </w:tcPr>
          <w:p>
            <w:pPr>
              <w:pStyle w:val="TableParagraph"/>
              <w:spacing w:line="239" w:lineRule="exact"/>
              <w:ind w:left="661" w:right="0"/>
              <w:jc w:val="left"/>
              <w:rPr>
                <w:rFonts w:ascii="宋体" w:hAnsi="宋体" w:cs="宋体" w:eastAsia="宋体" w:hint="default"/>
                <w:sz w:val="22"/>
                <w:szCs w:val="22"/>
              </w:rPr>
            </w:pPr>
            <w:r>
              <w:rPr>
                <w:rFonts w:ascii="宋体" w:hAnsi="宋体" w:cs="宋体" w:eastAsia="宋体" w:hint="default"/>
                <w:sz w:val="22"/>
                <w:szCs w:val="22"/>
              </w:rPr>
              <w:t>经营性应付项目的增加</w:t>
            </w:r>
          </w:p>
        </w:tc>
        <w:tc>
          <w:tcPr>
            <w:tcW w:w="2081" w:type="dxa"/>
            <w:tcBorders>
              <w:top w:val="nil" w:sz="6" w:space="0" w:color="auto"/>
              <w:left w:val="nil" w:sz="6" w:space="0" w:color="auto"/>
              <w:bottom w:val="nil" w:sz="6" w:space="0" w:color="auto"/>
              <w:right w:val="nil" w:sz="6" w:space="0" w:color="auto"/>
            </w:tcBorders>
          </w:tcPr>
          <w:p>
            <w:pPr>
              <w:pStyle w:val="TableParagraph"/>
              <w:tabs>
                <w:tab w:pos="419" w:val="left" w:leader="none"/>
                <w:tab w:pos="2081"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10,777,055,102</w:t>
              <w:tab/>
            </w:r>
            <w:r>
              <w:rPr>
                <w:rFonts w:ascii="Arial"/>
                <w:spacing w:val="-1"/>
                <w:sz w:val="22"/>
              </w:rPr>
            </w:r>
          </w:p>
        </w:tc>
        <w:tc>
          <w:tcPr>
            <w:tcW w:w="119"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Style w:val="TableParagraph"/>
              <w:tabs>
                <w:tab w:pos="418" w:val="left" w:leader="none"/>
                <w:tab w:pos="2072"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10,490,699,330</w:t>
              <w:tab/>
            </w:r>
            <w:r>
              <w:rPr>
                <w:rFonts w:ascii="Arial"/>
                <w:spacing w:val="-1"/>
                <w:sz w:val="22"/>
              </w:rPr>
            </w:r>
          </w:p>
        </w:tc>
      </w:tr>
      <w:tr>
        <w:trPr>
          <w:trHeight w:val="304" w:hRule="exact"/>
        </w:trPr>
        <w:tc>
          <w:tcPr>
            <w:tcW w:w="5077"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2081" w:type="dxa"/>
            <w:tcBorders>
              <w:top w:val="nil" w:sz="6" w:space="0" w:color="auto"/>
              <w:left w:val="nil" w:sz="6" w:space="0" w:color="auto"/>
              <w:bottom w:val="single" w:sz="17" w:space="0" w:color="000000"/>
              <w:right w:val="nil" w:sz="6" w:space="0" w:color="auto"/>
            </w:tcBorders>
          </w:tcPr>
          <w:p>
            <w:pPr>
              <w:pStyle w:val="TableParagraph"/>
              <w:spacing w:line="240" w:lineRule="auto" w:before="25"/>
              <w:ind w:left="419" w:right="0"/>
              <w:jc w:val="left"/>
              <w:rPr>
                <w:rFonts w:ascii="Arial" w:hAnsi="Arial" w:cs="Arial" w:eastAsia="Arial" w:hint="default"/>
                <w:sz w:val="22"/>
                <w:szCs w:val="22"/>
              </w:rPr>
            </w:pPr>
            <w:r>
              <w:rPr>
                <w:rFonts w:ascii="Arial"/>
                <w:sz w:val="22"/>
              </w:rPr>
              <w:t>74,738,405,183</w:t>
            </w:r>
          </w:p>
        </w:tc>
        <w:tc>
          <w:tcPr>
            <w:tcW w:w="119"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single" w:sz="17" w:space="0" w:color="000000"/>
              <w:right w:val="nil" w:sz="6" w:space="0" w:color="auto"/>
            </w:tcBorders>
          </w:tcPr>
          <w:p>
            <w:pPr>
              <w:pStyle w:val="TableParagraph"/>
              <w:spacing w:line="240" w:lineRule="auto" w:before="25"/>
              <w:ind w:right="122"/>
              <w:jc w:val="right"/>
              <w:rPr>
                <w:rFonts w:ascii="Arial" w:hAnsi="Arial" w:cs="Arial" w:eastAsia="Arial" w:hint="default"/>
                <w:sz w:val="22"/>
                <w:szCs w:val="22"/>
              </w:rPr>
            </w:pPr>
            <w:r>
              <w:rPr>
                <w:rFonts w:ascii="Arial"/>
                <w:spacing w:val="-1"/>
                <w:sz w:val="22"/>
              </w:rPr>
              <w:t>69,452,862,906</w:t>
            </w:r>
          </w:p>
        </w:tc>
      </w:tr>
    </w:tbl>
    <w:p>
      <w:pPr>
        <w:spacing w:line="240" w:lineRule="auto" w:before="7"/>
        <w:rPr>
          <w:rFonts w:ascii="宋体" w:hAnsi="宋体" w:cs="宋体" w:eastAsia="宋体" w:hint="default"/>
          <w:sz w:val="8"/>
          <w:szCs w:val="8"/>
        </w:rPr>
      </w:pPr>
    </w:p>
    <w:p>
      <w:pPr>
        <w:pStyle w:val="BodyText"/>
        <w:spacing w:line="240" w:lineRule="auto" w:before="31"/>
        <w:ind w:left="520" w:right="0"/>
        <w:jc w:val="left"/>
      </w:pPr>
      <w:r>
        <w:rPr/>
        <w:t>不涉及现金收支的重大投资筹资活动</w:t>
      </w:r>
    </w:p>
    <w:p>
      <w:pPr>
        <w:spacing w:line="240" w:lineRule="auto" w:before="11"/>
        <w:rPr>
          <w:rFonts w:ascii="宋体" w:hAnsi="宋体" w:cs="宋体" w:eastAsia="宋体" w:hint="default"/>
          <w:sz w:val="18"/>
          <w:szCs w:val="18"/>
        </w:rPr>
      </w:pPr>
    </w:p>
    <w:tbl>
      <w:tblPr>
        <w:tblW w:w="0" w:type="auto"/>
        <w:jc w:val="left"/>
        <w:tblInd w:w="350" w:type="dxa"/>
        <w:tblLayout w:type="fixed"/>
        <w:tblCellMar>
          <w:top w:w="0" w:type="dxa"/>
          <w:left w:w="0" w:type="dxa"/>
          <w:bottom w:w="0" w:type="dxa"/>
          <w:right w:w="0" w:type="dxa"/>
        </w:tblCellMar>
        <w:tblLook w:val="01E0"/>
      </w:tblPr>
      <w:tblGrid>
        <w:gridCol w:w="5077"/>
        <w:gridCol w:w="2081"/>
        <w:gridCol w:w="119"/>
        <w:gridCol w:w="2080"/>
      </w:tblGrid>
      <w:tr>
        <w:trPr>
          <w:trHeight w:val="260" w:hRule="exact"/>
        </w:trPr>
        <w:tc>
          <w:tcPr>
            <w:tcW w:w="5077"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single" w:sz="6" w:space="0" w:color="000000"/>
              <w:right w:val="nil" w:sz="6" w:space="0" w:color="auto"/>
            </w:tcBorders>
          </w:tcPr>
          <w:p>
            <w:pPr>
              <w:pStyle w:val="TableParagraph"/>
              <w:spacing w:line="235" w:lineRule="exact"/>
              <w:ind w:right="42"/>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19"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single" w:sz="6" w:space="0" w:color="000000"/>
              <w:right w:val="nil" w:sz="6" w:space="0" w:color="auto"/>
            </w:tcBorders>
          </w:tcPr>
          <w:p>
            <w:pPr>
              <w:pStyle w:val="TableParagraph"/>
              <w:spacing w:line="235" w:lineRule="exact"/>
              <w:ind w:right="54"/>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70" w:hRule="exact"/>
        </w:trPr>
        <w:tc>
          <w:tcPr>
            <w:tcW w:w="50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融资租赁（附注十二）</w:t>
            </w:r>
          </w:p>
        </w:tc>
        <w:tc>
          <w:tcPr>
            <w:tcW w:w="2081" w:type="dxa"/>
            <w:tcBorders>
              <w:top w:val="single" w:sz="6"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30"/>
              <w:jc w:val="right"/>
              <w:rPr>
                <w:rFonts w:ascii="Arial" w:hAnsi="Arial" w:cs="Arial" w:eastAsia="Arial" w:hint="default"/>
                <w:sz w:val="22"/>
                <w:szCs w:val="22"/>
              </w:rPr>
            </w:pPr>
            <w:r>
              <w:rPr>
                <w:rFonts w:ascii="Arial"/>
                <w:w w:val="95"/>
                <w:sz w:val="22"/>
              </w:rPr>
              <w:t>380,704,171</w:t>
            </w:r>
            <w:r>
              <w:rPr>
                <w:rFonts w:ascii="Arial"/>
                <w:sz w:val="22"/>
              </w:rPr>
            </w:r>
          </w:p>
        </w:tc>
        <w:tc>
          <w:tcPr>
            <w:tcW w:w="119" w:type="dxa"/>
            <w:tcBorders>
              <w:top w:val="nil" w:sz="6" w:space="0" w:color="auto"/>
              <w:left w:val="nil" w:sz="6" w:space="0" w:color="auto"/>
              <w:bottom w:val="nil" w:sz="6" w:space="0" w:color="auto"/>
              <w:right w:val="nil" w:sz="6" w:space="0" w:color="auto"/>
            </w:tcBorders>
          </w:tcPr>
          <w:p>
            <w:pPr/>
          </w:p>
        </w:tc>
        <w:tc>
          <w:tcPr>
            <w:tcW w:w="2080" w:type="dxa"/>
            <w:tcBorders>
              <w:top w:val="single" w:sz="6"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24"/>
              <w:jc w:val="right"/>
              <w:rPr>
                <w:rFonts w:ascii="Arial" w:hAnsi="Arial" w:cs="Arial" w:eastAsia="Arial" w:hint="default"/>
                <w:sz w:val="22"/>
                <w:szCs w:val="22"/>
              </w:rPr>
            </w:pPr>
            <w:r>
              <w:rPr>
                <w:rFonts w:ascii="Arial"/>
                <w:w w:val="99"/>
                <w:sz w:val="22"/>
              </w:rPr>
              <w:t>-</w:t>
            </w:r>
            <w:r>
              <w:rPr>
                <w:rFonts w:ascii="Arial"/>
                <w:sz w:val="22"/>
              </w:rPr>
            </w:r>
          </w:p>
        </w:tc>
      </w:tr>
    </w:tbl>
    <w:p>
      <w:pPr>
        <w:spacing w:line="240" w:lineRule="auto" w:before="11"/>
        <w:rPr>
          <w:rFonts w:ascii="宋体" w:hAnsi="宋体" w:cs="宋体" w:eastAsia="宋体" w:hint="default"/>
          <w:sz w:val="8"/>
          <w:szCs w:val="8"/>
        </w:rPr>
      </w:pPr>
    </w:p>
    <w:p>
      <w:pPr>
        <w:pStyle w:val="BodyText"/>
        <w:spacing w:line="240" w:lineRule="auto" w:before="31"/>
        <w:ind w:left="520" w:right="0"/>
        <w:jc w:val="left"/>
      </w:pPr>
      <w:r>
        <w:rPr/>
        <w:t>现金及现金等价物净变动情况</w:t>
      </w:r>
    </w:p>
    <w:p>
      <w:pPr>
        <w:spacing w:line="240" w:lineRule="auto" w:before="10"/>
        <w:rPr>
          <w:rFonts w:ascii="宋体" w:hAnsi="宋体" w:cs="宋体" w:eastAsia="宋体" w:hint="default"/>
          <w:sz w:val="18"/>
          <w:szCs w:val="18"/>
        </w:rPr>
      </w:pPr>
    </w:p>
    <w:tbl>
      <w:tblPr>
        <w:tblW w:w="0" w:type="auto"/>
        <w:jc w:val="left"/>
        <w:tblInd w:w="345" w:type="dxa"/>
        <w:tblLayout w:type="fixed"/>
        <w:tblCellMar>
          <w:top w:w="0" w:type="dxa"/>
          <w:left w:w="0" w:type="dxa"/>
          <w:bottom w:w="0" w:type="dxa"/>
          <w:right w:w="0" w:type="dxa"/>
        </w:tblCellMar>
        <w:tblLook w:val="01E0"/>
      </w:tblPr>
      <w:tblGrid>
        <w:gridCol w:w="5077"/>
        <w:gridCol w:w="2086"/>
        <w:gridCol w:w="119"/>
        <w:gridCol w:w="2080"/>
      </w:tblGrid>
      <w:tr>
        <w:trPr>
          <w:trHeight w:val="261" w:hRule="exact"/>
        </w:trPr>
        <w:tc>
          <w:tcPr>
            <w:tcW w:w="5077"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single" w:sz="6" w:space="0" w:color="000000"/>
              <w:right w:val="nil" w:sz="6" w:space="0" w:color="auto"/>
            </w:tcBorders>
          </w:tcPr>
          <w:p>
            <w:pPr>
              <w:pStyle w:val="TableParagraph"/>
              <w:spacing w:line="235" w:lineRule="exact"/>
              <w:ind w:right="42"/>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19"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single" w:sz="6" w:space="0" w:color="000000"/>
              <w:right w:val="nil" w:sz="6" w:space="0" w:color="auto"/>
            </w:tcBorders>
          </w:tcPr>
          <w:p>
            <w:pPr>
              <w:pStyle w:val="TableParagraph"/>
              <w:spacing w:line="235" w:lineRule="exact"/>
              <w:ind w:right="54"/>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58" w:hRule="exact"/>
        </w:trPr>
        <w:tc>
          <w:tcPr>
            <w:tcW w:w="507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现金的年末余额</w:t>
            </w:r>
          </w:p>
        </w:tc>
        <w:tc>
          <w:tcPr>
            <w:tcW w:w="2086"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43" w:right="0"/>
              <w:jc w:val="left"/>
              <w:rPr>
                <w:rFonts w:ascii="Arial" w:hAnsi="Arial" w:cs="Arial" w:eastAsia="Arial" w:hint="default"/>
                <w:sz w:val="22"/>
                <w:szCs w:val="22"/>
              </w:rPr>
            </w:pPr>
            <w:r>
              <w:rPr>
                <w:rFonts w:ascii="Arial"/>
                <w:sz w:val="22"/>
              </w:rPr>
              <w:t>17,574,448,338</w:t>
            </w:r>
          </w:p>
        </w:tc>
        <w:tc>
          <w:tcPr>
            <w:tcW w:w="119" w:type="dxa"/>
            <w:tcBorders>
              <w:top w:val="nil" w:sz="6" w:space="0" w:color="auto"/>
              <w:left w:val="nil" w:sz="6" w:space="0" w:color="auto"/>
              <w:bottom w:val="nil" w:sz="6" w:space="0" w:color="auto"/>
              <w:right w:val="nil" w:sz="6" w:space="0" w:color="auto"/>
            </w:tcBorders>
          </w:tcPr>
          <w:p>
            <w:pPr/>
          </w:p>
        </w:tc>
        <w:tc>
          <w:tcPr>
            <w:tcW w:w="208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32"/>
              <w:jc w:val="right"/>
              <w:rPr>
                <w:rFonts w:ascii="Arial" w:hAnsi="Arial" w:cs="Arial" w:eastAsia="Arial" w:hint="default"/>
                <w:sz w:val="22"/>
                <w:szCs w:val="22"/>
              </w:rPr>
            </w:pPr>
            <w:r>
              <w:rPr>
                <w:rFonts w:ascii="Arial"/>
                <w:spacing w:val="-1"/>
                <w:sz w:val="22"/>
              </w:rPr>
              <w:t>14,699,332,974</w:t>
            </w:r>
          </w:p>
        </w:tc>
      </w:tr>
      <w:tr>
        <w:trPr>
          <w:trHeight w:val="286" w:hRule="exact"/>
        </w:trPr>
        <w:tc>
          <w:tcPr>
            <w:tcW w:w="5077"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减：现金的年初余额</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0"/>
              <w:jc w:val="right"/>
              <w:rPr>
                <w:rFonts w:ascii="Arial" w:hAnsi="Arial" w:cs="Arial" w:eastAsia="Arial" w:hint="default"/>
                <w:sz w:val="22"/>
                <w:szCs w:val="22"/>
              </w:rPr>
            </w:pPr>
            <w:r>
              <w:rPr>
                <w:rFonts w:ascii="Arial"/>
                <w:w w:val="95"/>
                <w:sz w:val="22"/>
              </w:rPr>
              <w:t>(14,699,332,974)</w:t>
            </w:r>
            <w:r>
              <w:rPr>
                <w:rFonts w:ascii="Arial"/>
                <w:sz w:val="22"/>
              </w:rPr>
            </w:r>
          </w:p>
        </w:tc>
        <w:tc>
          <w:tcPr>
            <w:tcW w:w="119"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9"/>
              <w:jc w:val="right"/>
              <w:rPr>
                <w:rFonts w:ascii="Arial" w:hAnsi="Arial" w:cs="Arial" w:eastAsia="Arial" w:hint="default"/>
                <w:sz w:val="22"/>
                <w:szCs w:val="22"/>
              </w:rPr>
            </w:pPr>
            <w:r>
              <w:rPr>
                <w:rFonts w:ascii="Arial"/>
                <w:w w:val="95"/>
                <w:sz w:val="22"/>
              </w:rPr>
              <w:t>(22,194,701,544)</w:t>
            </w:r>
            <w:r>
              <w:rPr>
                <w:rFonts w:ascii="Arial"/>
                <w:sz w:val="22"/>
              </w:rPr>
            </w:r>
          </w:p>
        </w:tc>
      </w:tr>
      <w:tr>
        <w:trPr>
          <w:trHeight w:val="285" w:hRule="exact"/>
        </w:trPr>
        <w:tc>
          <w:tcPr>
            <w:tcW w:w="5077"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加：现金等价物的年末余额</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0"/>
              <w:jc w:val="right"/>
              <w:rPr>
                <w:rFonts w:ascii="Arial" w:hAnsi="Arial" w:cs="Arial" w:eastAsia="Arial" w:hint="default"/>
                <w:sz w:val="22"/>
                <w:szCs w:val="22"/>
              </w:rPr>
            </w:pPr>
            <w:r>
              <w:rPr>
                <w:rFonts w:ascii="Arial"/>
                <w:w w:val="95"/>
                <w:sz w:val="22"/>
              </w:rPr>
              <w:t>713,543,031</w:t>
            </w:r>
            <w:r>
              <w:rPr>
                <w:rFonts w:ascii="Arial"/>
                <w:sz w:val="22"/>
              </w:rPr>
            </w:r>
          </w:p>
        </w:tc>
        <w:tc>
          <w:tcPr>
            <w:tcW w:w="119"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9"/>
              <w:jc w:val="right"/>
              <w:rPr>
                <w:rFonts w:ascii="Arial" w:hAnsi="Arial" w:cs="Arial" w:eastAsia="Arial" w:hint="default"/>
                <w:sz w:val="22"/>
                <w:szCs w:val="22"/>
              </w:rPr>
            </w:pPr>
            <w:r>
              <w:rPr>
                <w:rFonts w:ascii="Arial"/>
                <w:w w:val="95"/>
                <w:sz w:val="22"/>
              </w:rPr>
              <w:t>435,638,569</w:t>
            </w:r>
            <w:r>
              <w:rPr>
                <w:rFonts w:ascii="Arial"/>
                <w:sz w:val="22"/>
              </w:rPr>
            </w:r>
          </w:p>
        </w:tc>
      </w:tr>
      <w:tr>
        <w:trPr>
          <w:trHeight w:val="293" w:hRule="exact"/>
        </w:trPr>
        <w:tc>
          <w:tcPr>
            <w:tcW w:w="5077"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减：现金等价物的年初余额</w:t>
            </w:r>
          </w:p>
        </w:tc>
        <w:tc>
          <w:tcPr>
            <w:tcW w:w="2086" w:type="dxa"/>
            <w:tcBorders>
              <w:top w:val="nil" w:sz="6" w:space="0" w:color="auto"/>
              <w:left w:val="nil" w:sz="6" w:space="0" w:color="auto"/>
              <w:bottom w:val="nil" w:sz="6" w:space="0" w:color="auto"/>
              <w:right w:val="nil" w:sz="6" w:space="0" w:color="auto"/>
            </w:tcBorders>
          </w:tcPr>
          <w:p>
            <w:pPr>
              <w:pStyle w:val="TableParagraph"/>
              <w:tabs>
                <w:tab w:pos="674" w:val="left" w:leader="none"/>
              </w:tabs>
              <w:spacing w:line="240" w:lineRule="auto" w:before="17"/>
              <w:ind w:right="41"/>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(435,638,569)</w:t>
            </w:r>
            <w:r>
              <w:rPr>
                <w:rFonts w:ascii="Arial"/>
                <w:w w:val="95"/>
                <w:sz w:val="22"/>
              </w:rPr>
            </w:r>
            <w:r>
              <w:rPr>
                <w:rFonts w:ascii="Arial"/>
                <w:sz w:val="22"/>
              </w:rPr>
            </w:r>
          </w:p>
        </w:tc>
        <w:tc>
          <w:tcPr>
            <w:tcW w:w="119"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Style w:val="TableParagraph"/>
              <w:tabs>
                <w:tab w:pos="649" w:val="left" w:leader="none"/>
                <w:tab w:pos="2079"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(425,087,038)</w:t>
            </w:r>
            <w:r>
              <w:rPr>
                <w:rFonts w:ascii="Arial"/>
                <w:sz w:val="22"/>
                <w:u w:val="single" w:color="000000"/>
              </w:rPr>
              <w:tab/>
            </w:r>
            <w:r>
              <w:rPr>
                <w:rFonts w:ascii="Arial"/>
                <w:sz w:val="22"/>
              </w:rPr>
            </w:r>
          </w:p>
        </w:tc>
      </w:tr>
      <w:tr>
        <w:trPr>
          <w:trHeight w:val="304" w:hRule="exact"/>
        </w:trPr>
        <w:tc>
          <w:tcPr>
            <w:tcW w:w="5077"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2"/>
                <w:szCs w:val="22"/>
              </w:rPr>
            </w:pPr>
            <w:r>
              <w:rPr>
                <w:rFonts w:ascii="宋体" w:hAnsi="宋体" w:cs="宋体" w:eastAsia="宋体" w:hint="default"/>
                <w:sz w:val="22"/>
                <w:szCs w:val="22"/>
              </w:rPr>
              <w:t>现金及现金等价物净增加（减少）额</w:t>
            </w:r>
          </w:p>
        </w:tc>
        <w:tc>
          <w:tcPr>
            <w:tcW w:w="2086" w:type="dxa"/>
            <w:tcBorders>
              <w:top w:val="nil" w:sz="6" w:space="0" w:color="auto"/>
              <w:left w:val="nil" w:sz="6" w:space="0" w:color="auto"/>
              <w:bottom w:val="single" w:sz="17" w:space="0" w:color="000000"/>
              <w:right w:val="nil" w:sz="6" w:space="0" w:color="auto"/>
            </w:tcBorders>
          </w:tcPr>
          <w:p>
            <w:pPr>
              <w:pStyle w:val="TableParagraph"/>
              <w:spacing w:line="240" w:lineRule="auto" w:before="25"/>
              <w:ind w:right="112"/>
              <w:jc w:val="right"/>
              <w:rPr>
                <w:rFonts w:ascii="Arial" w:hAnsi="Arial" w:cs="Arial" w:eastAsia="Arial" w:hint="default"/>
                <w:sz w:val="22"/>
                <w:szCs w:val="22"/>
              </w:rPr>
            </w:pPr>
            <w:r>
              <w:rPr>
                <w:rFonts w:ascii="Arial"/>
                <w:spacing w:val="-1"/>
                <w:sz w:val="22"/>
              </w:rPr>
              <w:t>3,153,019,826</w:t>
            </w:r>
          </w:p>
        </w:tc>
        <w:tc>
          <w:tcPr>
            <w:tcW w:w="119"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single" w:sz="17" w:space="0" w:color="000000"/>
              <w:right w:val="nil" w:sz="6" w:space="0" w:color="auto"/>
            </w:tcBorders>
          </w:tcPr>
          <w:p>
            <w:pPr>
              <w:pStyle w:val="TableParagraph"/>
              <w:spacing w:line="240" w:lineRule="auto" w:before="25"/>
              <w:ind w:right="59"/>
              <w:jc w:val="right"/>
              <w:rPr>
                <w:rFonts w:ascii="Arial" w:hAnsi="Arial" w:cs="Arial" w:eastAsia="Arial" w:hint="default"/>
                <w:sz w:val="22"/>
                <w:szCs w:val="22"/>
              </w:rPr>
            </w:pPr>
            <w:r>
              <w:rPr>
                <w:rFonts w:ascii="Arial"/>
                <w:w w:val="95"/>
                <w:sz w:val="22"/>
              </w:rPr>
              <w:t>(7,484,817,039)</w:t>
            </w:r>
            <w:r>
              <w:rPr>
                <w:rFonts w:ascii="Arial"/>
                <w:sz w:val="22"/>
              </w:rPr>
            </w:r>
          </w:p>
        </w:tc>
      </w:tr>
    </w:tbl>
    <w:p>
      <w:pPr>
        <w:spacing w:after="0" w:line="240" w:lineRule="auto"/>
        <w:jc w:val="right"/>
        <w:rPr>
          <w:rFonts w:ascii="Arial" w:hAnsi="Arial" w:cs="Arial" w:eastAsia="Arial" w:hint="default"/>
          <w:sz w:val="22"/>
          <w:szCs w:val="22"/>
        </w:rPr>
        <w:sectPr>
          <w:headerReference w:type="default" r:id="rId131"/>
          <w:pgSz w:w="11910" w:h="16840"/>
          <w:pgMar w:header="1184" w:footer="457" w:top="3040" w:bottom="640" w:left="1280" w:right="820"/>
        </w:sectPr>
      </w:pPr>
    </w:p>
    <w:p>
      <w:pPr>
        <w:spacing w:line="240" w:lineRule="auto" w:before="12"/>
        <w:rPr>
          <w:rFonts w:ascii="宋体" w:hAnsi="宋体" w:cs="宋体" w:eastAsia="宋体" w:hint="default"/>
          <w:sz w:val="14"/>
          <w:szCs w:val="14"/>
        </w:rPr>
      </w:pPr>
    </w:p>
    <w:p>
      <w:pPr>
        <w:pStyle w:val="BodyText"/>
        <w:spacing w:line="408" w:lineRule="auto" w:before="31"/>
        <w:ind w:left="102" w:right="6408"/>
        <w:jc w:val="left"/>
      </w:pPr>
      <w:r>
        <w:rPr>
          <w:rFonts w:ascii="Arial" w:hAnsi="Arial" w:cs="Arial" w:eastAsia="Arial" w:hint="default"/>
          <w:w w:val="95"/>
        </w:rPr>
        <w:t>50</w:t>
      </w:r>
      <w:r>
        <w:rPr>
          <w:w w:val="95"/>
        </w:rPr>
        <w:t>、现金流量表补充资料（续）</w:t>
      </w:r>
      <w:r>
        <w:rPr>
          <w:spacing w:val="45"/>
          <w:w w:val="95"/>
        </w:rPr>
        <w:t> </w:t>
      </w:r>
      <w:r>
        <w:rPr>
          <w:rFonts w:ascii="Arial" w:hAnsi="Arial" w:cs="Arial" w:eastAsia="Arial" w:hint="default"/>
        </w:rPr>
        <w:t>(b)  </w:t>
      </w:r>
      <w:r>
        <w:rPr>
          <w:rFonts w:ascii="Arial" w:hAnsi="Arial" w:cs="Arial" w:eastAsia="Arial" w:hint="default"/>
          <w:spacing w:val="2"/>
        </w:rPr>
        <w:t> </w:t>
      </w:r>
      <w:r>
        <w:rPr/>
        <w:t>现金及现金等价物</w:t>
      </w:r>
    </w:p>
    <w:p>
      <w:pPr>
        <w:spacing w:line="240" w:lineRule="auto" w:before="1"/>
        <w:rPr>
          <w:rFonts w:ascii="宋体" w:hAnsi="宋体" w:cs="宋体" w:eastAsia="宋体" w:hint="default"/>
          <w:sz w:val="10"/>
          <w:szCs w:val="10"/>
        </w:rPr>
      </w:pPr>
    </w:p>
    <w:tbl>
      <w:tblPr>
        <w:tblW w:w="0" w:type="auto"/>
        <w:jc w:val="left"/>
        <w:tblInd w:w="345" w:type="dxa"/>
        <w:tblLayout w:type="fixed"/>
        <w:tblCellMar>
          <w:top w:w="0" w:type="dxa"/>
          <w:left w:w="0" w:type="dxa"/>
          <w:bottom w:w="0" w:type="dxa"/>
          <w:right w:w="0" w:type="dxa"/>
        </w:tblCellMar>
        <w:tblLook w:val="01E0"/>
      </w:tblPr>
      <w:tblGrid>
        <w:gridCol w:w="4615"/>
        <w:gridCol w:w="2198"/>
        <w:gridCol w:w="136"/>
        <w:gridCol w:w="2203"/>
      </w:tblGrid>
      <w:tr>
        <w:trPr>
          <w:trHeight w:val="261" w:hRule="exact"/>
        </w:trPr>
        <w:tc>
          <w:tcPr>
            <w:tcW w:w="4615" w:type="dxa"/>
            <w:tcBorders>
              <w:top w:val="nil" w:sz="6" w:space="0" w:color="auto"/>
              <w:left w:val="nil" w:sz="6" w:space="0" w:color="auto"/>
              <w:bottom w:val="nil" w:sz="6" w:space="0" w:color="auto"/>
              <w:right w:val="nil" w:sz="6" w:space="0" w:color="auto"/>
            </w:tcBorders>
          </w:tcPr>
          <w:p>
            <w:pPr/>
          </w:p>
        </w:tc>
        <w:tc>
          <w:tcPr>
            <w:tcW w:w="2198" w:type="dxa"/>
            <w:tcBorders>
              <w:top w:val="nil" w:sz="6" w:space="0" w:color="auto"/>
              <w:left w:val="nil" w:sz="6" w:space="0" w:color="auto"/>
              <w:bottom w:val="single" w:sz="6" w:space="0" w:color="000000"/>
              <w:right w:val="nil" w:sz="6" w:space="0" w:color="auto"/>
            </w:tcBorders>
          </w:tcPr>
          <w:p>
            <w:pPr>
              <w:pStyle w:val="TableParagraph"/>
              <w:spacing w:line="235" w:lineRule="exact"/>
              <w:ind w:left="185" w:right="0"/>
              <w:jc w:val="lef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36" w:type="dxa"/>
            <w:tcBorders>
              <w:top w:val="nil" w:sz="6" w:space="0" w:color="auto"/>
              <w:left w:val="nil" w:sz="6" w:space="0" w:color="auto"/>
              <w:bottom w:val="nil" w:sz="6" w:space="0" w:color="auto"/>
              <w:right w:val="nil" w:sz="6" w:space="0" w:color="auto"/>
            </w:tcBorders>
          </w:tcPr>
          <w:p>
            <w:pPr/>
          </w:p>
        </w:tc>
        <w:tc>
          <w:tcPr>
            <w:tcW w:w="2203" w:type="dxa"/>
            <w:tcBorders>
              <w:top w:val="nil" w:sz="6" w:space="0" w:color="auto"/>
              <w:left w:val="nil" w:sz="6" w:space="0" w:color="auto"/>
              <w:bottom w:val="single" w:sz="6" w:space="0" w:color="000000"/>
              <w:right w:val="nil" w:sz="6" w:space="0" w:color="auto"/>
            </w:tcBorders>
          </w:tcPr>
          <w:p>
            <w:pPr>
              <w:pStyle w:val="TableParagraph"/>
              <w:spacing w:line="235" w:lineRule="exact"/>
              <w:ind w:left="211"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3" w:hRule="exact"/>
        </w:trPr>
        <w:tc>
          <w:tcPr>
            <w:tcW w:w="46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现金</w:t>
            </w:r>
          </w:p>
        </w:tc>
        <w:tc>
          <w:tcPr>
            <w:tcW w:w="2198"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38"/>
              <w:jc w:val="right"/>
              <w:rPr>
                <w:rFonts w:ascii="Arial" w:hAnsi="Arial" w:cs="Arial" w:eastAsia="Arial" w:hint="default"/>
                <w:sz w:val="22"/>
                <w:szCs w:val="22"/>
              </w:rPr>
            </w:pPr>
            <w:r>
              <w:rPr>
                <w:rFonts w:ascii="Arial"/>
                <w:spacing w:val="-1"/>
                <w:sz w:val="22"/>
              </w:rPr>
              <w:t>17,574,448,338</w:t>
            </w:r>
          </w:p>
        </w:tc>
        <w:tc>
          <w:tcPr>
            <w:tcW w:w="136" w:type="dxa"/>
            <w:tcBorders>
              <w:top w:val="nil" w:sz="6" w:space="0" w:color="auto"/>
              <w:left w:val="nil" w:sz="6" w:space="0" w:color="auto"/>
              <w:bottom w:val="single" w:sz="6" w:space="0" w:color="000000"/>
              <w:right w:val="nil" w:sz="6" w:space="0" w:color="auto"/>
            </w:tcBorders>
          </w:tcPr>
          <w:p>
            <w:pPr/>
          </w:p>
        </w:tc>
        <w:tc>
          <w:tcPr>
            <w:tcW w:w="2203"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35" w:right="0"/>
              <w:jc w:val="left"/>
              <w:rPr>
                <w:rFonts w:ascii="Arial" w:hAnsi="Arial" w:cs="Arial" w:eastAsia="Arial" w:hint="default"/>
                <w:sz w:val="22"/>
                <w:szCs w:val="22"/>
              </w:rPr>
            </w:pPr>
            <w:r>
              <w:rPr>
                <w:rFonts w:ascii="Arial"/>
                <w:sz w:val="22"/>
              </w:rPr>
              <w:t>14,699,332,974</w:t>
            </w:r>
          </w:p>
        </w:tc>
      </w:tr>
      <w:tr>
        <w:trPr>
          <w:trHeight w:val="305" w:hRule="exact"/>
        </w:trPr>
        <w:tc>
          <w:tcPr>
            <w:tcW w:w="4615" w:type="dxa"/>
            <w:tcBorders>
              <w:top w:val="nil" w:sz="6" w:space="0" w:color="auto"/>
              <w:left w:val="nil" w:sz="6" w:space="0" w:color="auto"/>
              <w:bottom w:val="nil" w:sz="6" w:space="0" w:color="auto"/>
              <w:right w:val="single" w:sz="6" w:space="0" w:color="000000"/>
            </w:tcBorders>
          </w:tcPr>
          <w:p>
            <w:pPr>
              <w:pStyle w:val="TableParagraph"/>
              <w:spacing w:line="25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其中：库存现金</w:t>
            </w:r>
          </w:p>
        </w:tc>
        <w:tc>
          <w:tcPr>
            <w:tcW w:w="2198" w:type="dxa"/>
            <w:tcBorders>
              <w:top w:val="single" w:sz="6" w:space="0" w:color="000000"/>
              <w:left w:val="single" w:sz="6" w:space="0" w:color="000000"/>
              <w:bottom w:val="nil" w:sz="6" w:space="0" w:color="auto"/>
              <w:right w:val="nil" w:sz="6" w:space="0" w:color="auto"/>
            </w:tcBorders>
          </w:tcPr>
          <w:p>
            <w:pPr>
              <w:pStyle w:val="TableParagraph"/>
              <w:spacing w:line="240" w:lineRule="auto" w:before="30"/>
              <w:ind w:right="129"/>
              <w:jc w:val="right"/>
              <w:rPr>
                <w:rFonts w:ascii="Arial" w:hAnsi="Arial" w:cs="Arial" w:eastAsia="Arial" w:hint="default"/>
                <w:sz w:val="22"/>
                <w:szCs w:val="22"/>
              </w:rPr>
            </w:pPr>
            <w:r>
              <w:rPr>
                <w:rFonts w:ascii="Arial"/>
                <w:w w:val="95"/>
                <w:sz w:val="22"/>
              </w:rPr>
              <w:t>5,260,165</w:t>
            </w:r>
            <w:r>
              <w:rPr>
                <w:rFonts w:ascii="Arial"/>
                <w:sz w:val="22"/>
              </w:rPr>
            </w:r>
          </w:p>
        </w:tc>
        <w:tc>
          <w:tcPr>
            <w:tcW w:w="136" w:type="dxa"/>
            <w:tcBorders>
              <w:top w:val="single" w:sz="6" w:space="0" w:color="000000"/>
              <w:left w:val="nil" w:sz="6" w:space="0" w:color="auto"/>
              <w:bottom w:val="nil" w:sz="6" w:space="0" w:color="auto"/>
              <w:right w:val="nil" w:sz="6" w:space="0" w:color="auto"/>
            </w:tcBorders>
          </w:tcPr>
          <w:p>
            <w:pPr/>
          </w:p>
        </w:tc>
        <w:tc>
          <w:tcPr>
            <w:tcW w:w="2203" w:type="dxa"/>
            <w:tcBorders>
              <w:top w:val="single" w:sz="6" w:space="0" w:color="000000"/>
              <w:left w:val="nil" w:sz="6" w:space="0" w:color="auto"/>
              <w:bottom w:val="nil" w:sz="6" w:space="0" w:color="auto"/>
              <w:right w:val="single" w:sz="6" w:space="0" w:color="000000"/>
            </w:tcBorders>
          </w:tcPr>
          <w:p>
            <w:pPr>
              <w:pStyle w:val="TableParagraph"/>
              <w:spacing w:line="240" w:lineRule="auto" w:before="30"/>
              <w:ind w:left="1084" w:right="0"/>
              <w:jc w:val="left"/>
              <w:rPr>
                <w:rFonts w:ascii="Arial" w:hAnsi="Arial" w:cs="Arial" w:eastAsia="Arial" w:hint="default"/>
                <w:sz w:val="22"/>
                <w:szCs w:val="22"/>
              </w:rPr>
            </w:pPr>
            <w:r>
              <w:rPr>
                <w:rFonts w:ascii="Arial"/>
                <w:sz w:val="22"/>
              </w:rPr>
              <w:t>5,991,560</w:t>
            </w:r>
          </w:p>
        </w:tc>
      </w:tr>
      <w:tr>
        <w:trPr>
          <w:trHeight w:val="281" w:hRule="exact"/>
        </w:trPr>
        <w:tc>
          <w:tcPr>
            <w:tcW w:w="4615" w:type="dxa"/>
            <w:tcBorders>
              <w:top w:val="nil" w:sz="6" w:space="0" w:color="auto"/>
              <w:left w:val="nil" w:sz="6" w:space="0" w:color="auto"/>
              <w:bottom w:val="nil" w:sz="6" w:space="0" w:color="auto"/>
              <w:right w:val="single" w:sz="6" w:space="0" w:color="000000"/>
            </w:tcBorders>
          </w:tcPr>
          <w:p>
            <w:pPr>
              <w:pStyle w:val="TableParagraph"/>
              <w:spacing w:line="239" w:lineRule="exact"/>
              <w:ind w:left="863" w:right="0"/>
              <w:jc w:val="left"/>
              <w:rPr>
                <w:rFonts w:ascii="宋体" w:hAnsi="宋体" w:cs="宋体" w:eastAsia="宋体" w:hint="default"/>
                <w:sz w:val="22"/>
                <w:szCs w:val="22"/>
              </w:rPr>
            </w:pPr>
            <w:r>
              <w:rPr>
                <w:rFonts w:ascii="宋体" w:hAnsi="宋体" w:cs="宋体" w:eastAsia="宋体" w:hint="default"/>
                <w:sz w:val="22"/>
                <w:szCs w:val="22"/>
              </w:rPr>
              <w:t>可随时用于支付的银行存款</w:t>
            </w:r>
          </w:p>
        </w:tc>
        <w:tc>
          <w:tcPr>
            <w:tcW w:w="2198" w:type="dxa"/>
            <w:tcBorders>
              <w:top w:val="nil" w:sz="6" w:space="0" w:color="auto"/>
              <w:left w:val="single" w:sz="6" w:space="0" w:color="000000"/>
              <w:bottom w:val="single" w:sz="6" w:space="0" w:color="000000"/>
              <w:right w:val="nil" w:sz="6" w:space="0" w:color="auto"/>
            </w:tcBorders>
          </w:tcPr>
          <w:p>
            <w:pPr>
              <w:pStyle w:val="TableParagraph"/>
              <w:spacing w:line="240" w:lineRule="auto" w:before="17"/>
              <w:ind w:right="130"/>
              <w:jc w:val="right"/>
              <w:rPr>
                <w:rFonts w:ascii="Arial" w:hAnsi="Arial" w:cs="Arial" w:eastAsia="Arial" w:hint="default"/>
                <w:sz w:val="22"/>
                <w:szCs w:val="22"/>
              </w:rPr>
            </w:pPr>
            <w:r>
              <w:rPr>
                <w:rFonts w:ascii="Arial"/>
                <w:spacing w:val="-1"/>
                <w:sz w:val="22"/>
              </w:rPr>
              <w:t>17,569,188,173</w:t>
            </w:r>
          </w:p>
        </w:tc>
        <w:tc>
          <w:tcPr>
            <w:tcW w:w="136" w:type="dxa"/>
            <w:tcBorders>
              <w:top w:val="nil" w:sz="6" w:space="0" w:color="auto"/>
              <w:left w:val="nil" w:sz="6" w:space="0" w:color="auto"/>
              <w:bottom w:val="single" w:sz="6" w:space="0" w:color="000000"/>
              <w:right w:val="nil" w:sz="6" w:space="0" w:color="auto"/>
            </w:tcBorders>
          </w:tcPr>
          <w:p>
            <w:pPr/>
          </w:p>
        </w:tc>
        <w:tc>
          <w:tcPr>
            <w:tcW w:w="2203" w:type="dxa"/>
            <w:tcBorders>
              <w:top w:val="nil" w:sz="6" w:space="0" w:color="auto"/>
              <w:left w:val="nil" w:sz="6" w:space="0" w:color="auto"/>
              <w:bottom w:val="single" w:sz="6" w:space="0" w:color="000000"/>
              <w:right w:val="single" w:sz="6" w:space="0" w:color="000000"/>
            </w:tcBorders>
          </w:tcPr>
          <w:p>
            <w:pPr>
              <w:pStyle w:val="TableParagraph"/>
              <w:spacing w:line="240" w:lineRule="auto" w:before="17"/>
              <w:ind w:left="535" w:right="0"/>
              <w:jc w:val="left"/>
              <w:rPr>
                <w:rFonts w:ascii="Arial" w:hAnsi="Arial" w:cs="Arial" w:eastAsia="Arial" w:hint="default"/>
                <w:sz w:val="22"/>
                <w:szCs w:val="22"/>
              </w:rPr>
            </w:pPr>
            <w:r>
              <w:rPr>
                <w:rFonts w:ascii="Arial"/>
                <w:sz w:val="22"/>
              </w:rPr>
              <w:t>14,693,341,414</w:t>
            </w:r>
          </w:p>
        </w:tc>
      </w:tr>
      <w:tr>
        <w:trPr>
          <w:trHeight w:val="692" w:hRule="exact"/>
        </w:trPr>
        <w:tc>
          <w:tcPr>
            <w:tcW w:w="46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198"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tabs>
                <w:tab w:pos="835" w:val="left" w:leader="none"/>
                <w:tab w:pos="2197" w:val="left" w:leader="none"/>
              </w:tabs>
              <w:spacing w:line="240" w:lineRule="auto"/>
              <w:ind w:left="-1"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713,543,031</w:t>
            </w:r>
            <w:r>
              <w:rPr>
                <w:rFonts w:ascii="Arial"/>
                <w:sz w:val="22"/>
                <w:u w:val="single" w:color="000000"/>
              </w:rPr>
              <w:tab/>
            </w:r>
            <w:r>
              <w:rPr>
                <w:rFonts w:ascii="Arial"/>
                <w:sz w:val="22"/>
              </w:rPr>
            </w:r>
          </w:p>
        </w:tc>
        <w:tc>
          <w:tcPr>
            <w:tcW w:w="136" w:type="dxa"/>
            <w:tcBorders>
              <w:top w:val="single" w:sz="6" w:space="0" w:color="000000"/>
              <w:left w:val="nil" w:sz="6" w:space="0" w:color="auto"/>
              <w:bottom w:val="nil" w:sz="6" w:space="0" w:color="auto"/>
              <w:right w:val="nil" w:sz="6" w:space="0" w:color="auto"/>
            </w:tcBorders>
          </w:tcPr>
          <w:p>
            <w:pPr/>
          </w:p>
        </w:tc>
        <w:tc>
          <w:tcPr>
            <w:tcW w:w="2203"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tabs>
                <w:tab w:pos="841" w:val="left" w:leader="none"/>
                <w:tab w:pos="2203" w:val="left" w:leader="none"/>
              </w:tabs>
              <w:spacing w:line="240" w:lineRule="auto"/>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435,638,569</w:t>
              <w:tab/>
            </w:r>
            <w:r>
              <w:rPr>
                <w:rFonts w:ascii="Arial"/>
                <w:sz w:val="22"/>
              </w:rPr>
            </w:r>
          </w:p>
        </w:tc>
      </w:tr>
      <w:tr>
        <w:trPr>
          <w:trHeight w:val="431" w:hRule="exact"/>
        </w:trPr>
        <w:tc>
          <w:tcPr>
            <w:tcW w:w="461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年末现金及现金等价物余额</w:t>
            </w:r>
          </w:p>
        </w:tc>
        <w:tc>
          <w:tcPr>
            <w:tcW w:w="2198"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37"/>
              <w:jc w:val="right"/>
              <w:rPr>
                <w:rFonts w:ascii="Arial" w:hAnsi="Arial" w:cs="Arial" w:eastAsia="Arial" w:hint="default"/>
                <w:sz w:val="22"/>
                <w:szCs w:val="22"/>
              </w:rPr>
            </w:pPr>
            <w:r>
              <w:rPr>
                <w:rFonts w:ascii="Arial"/>
                <w:spacing w:val="-1"/>
                <w:sz w:val="22"/>
              </w:rPr>
              <w:t>18,287,991,369</w:t>
            </w:r>
          </w:p>
        </w:tc>
        <w:tc>
          <w:tcPr>
            <w:tcW w:w="136" w:type="dxa"/>
            <w:tcBorders>
              <w:top w:val="nil" w:sz="6" w:space="0" w:color="auto"/>
              <w:left w:val="nil" w:sz="6" w:space="0" w:color="auto"/>
              <w:bottom w:val="nil" w:sz="6" w:space="0" w:color="auto"/>
              <w:right w:val="nil" w:sz="6" w:space="0" w:color="auto"/>
            </w:tcBorders>
          </w:tcPr>
          <w:p>
            <w:pPr/>
          </w:p>
        </w:tc>
        <w:tc>
          <w:tcPr>
            <w:tcW w:w="2203"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535" w:right="0"/>
              <w:jc w:val="left"/>
              <w:rPr>
                <w:rFonts w:ascii="Arial" w:hAnsi="Arial" w:cs="Arial" w:eastAsia="Arial" w:hint="default"/>
                <w:sz w:val="22"/>
                <w:szCs w:val="22"/>
              </w:rPr>
            </w:pPr>
            <w:r>
              <w:rPr>
                <w:rFonts w:ascii="Arial"/>
                <w:sz w:val="22"/>
              </w:rPr>
              <w:t>15,134,971,543</w:t>
            </w:r>
          </w:p>
        </w:tc>
      </w:tr>
    </w:tbl>
    <w:p>
      <w:pPr>
        <w:spacing w:line="240" w:lineRule="auto" w:before="1"/>
        <w:rPr>
          <w:rFonts w:ascii="宋体" w:hAnsi="宋体" w:cs="宋体" w:eastAsia="宋体" w:hint="default"/>
          <w:sz w:val="14"/>
          <w:szCs w:val="14"/>
        </w:rPr>
      </w:pPr>
    </w:p>
    <w:p>
      <w:pPr>
        <w:pStyle w:val="BodyText"/>
        <w:spacing w:line="240" w:lineRule="auto" w:before="31"/>
        <w:ind w:left="102" w:right="0"/>
        <w:jc w:val="left"/>
        <w:rPr>
          <w:rFonts w:ascii="黑体" w:hAnsi="黑体" w:cs="黑体" w:eastAsia="黑体" w:hint="default"/>
        </w:rPr>
      </w:pPr>
      <w:r>
        <w:rPr>
          <w:rFonts w:ascii="黑体" w:hAnsi="黑体" w:cs="黑体" w:eastAsia="黑体" w:hint="default"/>
        </w:rPr>
        <w:t>六</w:t>
      </w:r>
      <w:r>
        <w:rPr>
          <w:rFonts w:ascii="黑体" w:hAnsi="黑体" w:cs="黑体" w:eastAsia="黑体" w:hint="default"/>
          <w:spacing w:val="86"/>
        </w:rPr>
        <w:t> </w:t>
      </w:r>
      <w:r>
        <w:rPr>
          <w:rFonts w:ascii="黑体" w:hAnsi="黑体" w:cs="黑体" w:eastAsia="黑体" w:hint="default"/>
        </w:rPr>
        <w:t>分部信息</w:t>
      </w:r>
    </w:p>
    <w:p>
      <w:pPr>
        <w:spacing w:line="240" w:lineRule="auto" w:before="4"/>
        <w:rPr>
          <w:rFonts w:ascii="黑体" w:hAnsi="黑体" w:cs="黑体" w:eastAsia="黑体" w:hint="default"/>
          <w:sz w:val="21"/>
          <w:szCs w:val="21"/>
        </w:rPr>
      </w:pPr>
    </w:p>
    <w:p>
      <w:pPr>
        <w:pStyle w:val="BodyText"/>
        <w:spacing w:line="286" w:lineRule="exact"/>
        <w:ind w:left="534" w:right="216"/>
        <w:jc w:val="left"/>
      </w:pPr>
      <w:r>
        <w:rPr>
          <w:spacing w:val="-2"/>
        </w:rPr>
        <w:t>本公司的执行董事已被认定为主要经营决策者。经营分部以主要经营决策者定期审阅用以分配</w:t>
      </w:r>
      <w:r>
        <w:rPr>
          <w:w w:val="99"/>
        </w:rPr>
        <w:t> </w:t>
      </w:r>
      <w:r>
        <w:rPr/>
        <w:t>资源及评估分部表现的内部财务报告为基础进行辨别。</w:t>
      </w:r>
    </w:p>
    <w:p>
      <w:pPr>
        <w:spacing w:line="240" w:lineRule="auto" w:before="3"/>
        <w:rPr>
          <w:rFonts w:ascii="宋体" w:hAnsi="宋体" w:cs="宋体" w:eastAsia="宋体" w:hint="default"/>
          <w:sz w:val="19"/>
          <w:szCs w:val="19"/>
        </w:rPr>
      </w:pPr>
    </w:p>
    <w:p>
      <w:pPr>
        <w:pStyle w:val="BodyText"/>
        <w:spacing w:line="286" w:lineRule="exact"/>
        <w:ind w:left="534" w:right="0"/>
        <w:jc w:val="left"/>
      </w:pPr>
      <w:r>
        <w:rPr/>
        <w:t>于</w:t>
      </w:r>
      <w:r>
        <w:rPr>
          <w:spacing w:val="-62"/>
        </w:rPr>
        <w:t> </w:t>
      </w:r>
      <w:r>
        <w:rPr>
          <w:rFonts w:ascii="Arial" w:hAnsi="Arial" w:cs="Arial" w:eastAsia="Arial" w:hint="default"/>
        </w:rPr>
        <w:t>2012</w:t>
      </w:r>
      <w:r>
        <w:rPr>
          <w:rFonts w:ascii="Arial" w:hAnsi="Arial" w:cs="Arial" w:eastAsia="Arial" w:hint="default"/>
          <w:spacing w:val="-13"/>
        </w:rPr>
        <w:t> </w:t>
      </w:r>
      <w:r>
        <w:rPr/>
        <w:t>年</w:t>
      </w:r>
      <w:r>
        <w:rPr>
          <w:spacing w:val="-62"/>
        </w:rPr>
        <w:t> </w:t>
      </w:r>
      <w:r>
        <w:rPr>
          <w:rFonts w:ascii="Arial" w:hAnsi="Arial" w:cs="Arial" w:eastAsia="Arial" w:hint="default"/>
        </w:rPr>
        <w:t>1</w:t>
      </w:r>
      <w:r>
        <w:rPr>
          <w:rFonts w:ascii="Arial" w:hAnsi="Arial" w:cs="Arial" w:eastAsia="Arial" w:hint="default"/>
          <w:spacing w:val="-13"/>
        </w:rPr>
        <w:t> </w:t>
      </w:r>
      <w:r>
        <w:rPr/>
        <w:t>月</w:t>
      </w:r>
      <w:r>
        <w:rPr>
          <w:spacing w:val="-62"/>
        </w:rPr>
        <w:t> </w:t>
      </w:r>
      <w:r>
        <w:rPr>
          <w:rFonts w:ascii="Arial" w:hAnsi="Arial" w:cs="Arial" w:eastAsia="Arial" w:hint="default"/>
        </w:rPr>
        <w:t>1</w:t>
      </w:r>
      <w:r>
        <w:rPr>
          <w:rFonts w:ascii="Arial" w:hAnsi="Arial" w:cs="Arial" w:eastAsia="Arial" w:hint="default"/>
          <w:spacing w:val="-13"/>
        </w:rPr>
        <w:t> </w:t>
      </w:r>
      <w:r>
        <w:rPr/>
        <w:t>日之前，移动业务和固网业务被辨别为本集团的主要经营分部，且主要经营</w:t>
      </w:r>
      <w:r>
        <w:rPr>
          <w:w w:val="99"/>
        </w:rPr>
        <w:t> </w:t>
      </w:r>
      <w:r>
        <w:rPr/>
        <w:t>决策者以直接归属于经营分部的收入及成本来评价经营分部的经营成果。</w:t>
      </w:r>
    </w:p>
    <w:p>
      <w:pPr>
        <w:spacing w:line="240" w:lineRule="auto" w:before="10"/>
        <w:rPr>
          <w:rFonts w:ascii="宋体" w:hAnsi="宋体" w:cs="宋体" w:eastAsia="宋体" w:hint="default"/>
          <w:sz w:val="17"/>
          <w:szCs w:val="17"/>
        </w:rPr>
      </w:pPr>
    </w:p>
    <w:p>
      <w:pPr>
        <w:pStyle w:val="BodyText"/>
        <w:spacing w:line="232" w:lineRule="auto"/>
        <w:ind w:left="534" w:right="109"/>
        <w:jc w:val="left"/>
      </w:pPr>
      <w:r>
        <w:rPr/>
        <w:t>鉴于融合电信业务模式的深入发展，以及移动业务与固网业务的共同成本费用金额日渐重大，</w:t>
      </w:r>
      <w:r>
        <w:rPr>
          <w:w w:val="99"/>
        </w:rPr>
        <w:t> 于</w:t>
      </w:r>
      <w:r>
        <w:rPr>
          <w:spacing w:val="-57"/>
          <w:w w:val="99"/>
        </w:rPr>
        <w:t> </w:t>
      </w:r>
      <w:r>
        <w:rPr>
          <w:rFonts w:ascii="Arial" w:hAnsi="Arial" w:cs="Arial" w:eastAsia="Arial" w:hint="default"/>
          <w:w w:val="99"/>
        </w:rPr>
        <w:t>2012</w:t>
      </w:r>
      <w:r>
        <w:rPr>
          <w:rFonts w:ascii="Arial" w:hAnsi="Arial" w:cs="Arial" w:eastAsia="Arial" w:hint="default"/>
          <w:spacing w:val="-7"/>
          <w:w w:val="99"/>
        </w:rPr>
        <w:t> </w:t>
      </w:r>
      <w:r>
        <w:rPr>
          <w:spacing w:val="-3"/>
          <w:w w:val="99"/>
        </w:rPr>
        <w:t>年度，本集团的内部成本管理方式从以业务种类进行管理改变为以职能部门进行管理。</w:t>
      </w:r>
      <w:r>
        <w:rPr>
          <w:w w:val="99"/>
        </w:rPr>
        <w:t> </w:t>
      </w:r>
      <w:r>
        <w:rPr/>
        <w:t>在融合业务模式下，随着通过各职能部门组织经营活动的能力增强，主要经营决策者不再基于</w:t>
      </w:r>
      <w:r>
        <w:rPr>
          <w:w w:val="99"/>
        </w:rPr>
        <w:t> </w:t>
      </w:r>
      <w:r>
        <w:rPr/>
        <w:t>直接归属的收入及成本分别评估移动业务及固网业务的经营成果。自</w:t>
      </w:r>
      <w:r>
        <w:rPr>
          <w:spacing w:val="-56"/>
        </w:rPr>
        <w:t> </w:t>
      </w:r>
      <w:r>
        <w:rPr>
          <w:rFonts w:ascii="Arial" w:hAnsi="Arial" w:cs="Arial" w:eastAsia="Arial" w:hint="default"/>
        </w:rPr>
        <w:t>2012</w:t>
      </w:r>
      <w:r>
        <w:rPr>
          <w:rFonts w:ascii="Arial" w:hAnsi="Arial" w:cs="Arial" w:eastAsia="Arial" w:hint="default"/>
          <w:spacing w:val="-10"/>
        </w:rPr>
        <w:t> </w:t>
      </w:r>
      <w:r>
        <w:rPr/>
        <w:t>年</w:t>
      </w:r>
      <w:r>
        <w:rPr>
          <w:spacing w:val="-59"/>
        </w:rPr>
        <w:t> </w:t>
      </w:r>
      <w:r>
        <w:rPr>
          <w:rFonts w:ascii="Arial" w:hAnsi="Arial" w:cs="Arial" w:eastAsia="Arial" w:hint="default"/>
        </w:rPr>
        <w:t>1</w:t>
      </w:r>
      <w:r>
        <w:rPr>
          <w:rFonts w:ascii="Arial" w:hAnsi="Arial" w:cs="Arial" w:eastAsia="Arial" w:hint="default"/>
          <w:spacing w:val="-10"/>
        </w:rPr>
        <w:t> </w:t>
      </w:r>
      <w:r>
        <w:rPr/>
        <w:t>月</w:t>
      </w:r>
      <w:r>
        <w:rPr>
          <w:spacing w:val="-59"/>
        </w:rPr>
        <w:t> </w:t>
      </w:r>
      <w:r>
        <w:rPr>
          <w:rFonts w:ascii="Arial" w:hAnsi="Arial" w:cs="Arial" w:eastAsia="Arial" w:hint="default"/>
        </w:rPr>
        <w:t>1</w:t>
      </w:r>
      <w:r>
        <w:rPr>
          <w:rFonts w:ascii="Arial" w:hAnsi="Arial" w:cs="Arial" w:eastAsia="Arial" w:hint="default"/>
          <w:spacing w:val="-10"/>
        </w:rPr>
        <w:t> </w:t>
      </w:r>
      <w:r>
        <w:rPr>
          <w:spacing w:val="-4"/>
        </w:rPr>
        <w:t>日起，主</w:t>
      </w:r>
      <w:r>
        <w:rPr>
          <w:w w:val="99"/>
        </w:rPr>
        <w:t> </w:t>
      </w:r>
      <w:r>
        <w:rPr/>
        <w:t>要经营决策者开始根据内部管理职能分配资源，并将本集团视为一个整体而非以业务之种类或</w:t>
      </w:r>
      <w:r>
        <w:rPr>
          <w:w w:val="99"/>
        </w:rPr>
        <w:t> </w:t>
      </w:r>
      <w:r>
        <w:rPr/>
        <w:t>地区角度进行业绩评估。因此，本集团只有一个经营分部，且无需列示分部资料。</w:t>
      </w:r>
    </w:p>
    <w:p>
      <w:pPr>
        <w:spacing w:line="240" w:lineRule="auto" w:before="5"/>
        <w:rPr>
          <w:rFonts w:ascii="宋体" w:hAnsi="宋体" w:cs="宋体" w:eastAsia="宋体" w:hint="default"/>
          <w:sz w:val="21"/>
          <w:szCs w:val="21"/>
        </w:rPr>
      </w:pPr>
    </w:p>
    <w:p>
      <w:pPr>
        <w:pStyle w:val="BodyText"/>
        <w:spacing w:line="286" w:lineRule="exact"/>
        <w:ind w:left="534" w:right="216"/>
        <w:jc w:val="left"/>
      </w:pPr>
      <w:r>
        <w:rPr>
          <w:spacing w:val="-2"/>
        </w:rPr>
        <w:t>本集团主要在中国大陆经营，所以没有列示地区资料。在所有列报期间，本集团均没有从单一</w:t>
      </w:r>
      <w:r>
        <w:rPr>
          <w:w w:val="99"/>
        </w:rPr>
        <w:t> </w:t>
      </w:r>
      <w:r>
        <w:rPr/>
        <w:t>外部客户取得占本集团收入总额的</w:t>
      </w:r>
      <w:r>
        <w:rPr>
          <w:spacing w:val="-62"/>
        </w:rPr>
        <w:t> </w:t>
      </w:r>
      <w:r>
        <w:rPr>
          <w:rFonts w:ascii="Arial" w:hAnsi="Arial" w:cs="Arial" w:eastAsia="Arial" w:hint="default"/>
        </w:rPr>
        <w:t>10%</w:t>
      </w:r>
      <w:r>
        <w:rPr/>
        <w:t>或以上的收入。</w:t>
      </w:r>
    </w:p>
    <w:p>
      <w:pPr>
        <w:spacing w:after="0" w:line="286" w:lineRule="exact"/>
        <w:jc w:val="left"/>
        <w:sectPr>
          <w:headerReference w:type="default" r:id="rId132"/>
          <w:pgSz w:w="11910" w:h="16840"/>
          <w:pgMar w:header="1184" w:footer="457" w:top="3040" w:bottom="640" w:left="1280" w:right="920"/>
        </w:sectPr>
      </w:pPr>
    </w:p>
    <w:p>
      <w:pPr>
        <w:spacing w:line="240" w:lineRule="auto" w:before="0"/>
        <w:rPr>
          <w:rFonts w:ascii="宋体" w:hAnsi="宋体" w:cs="宋体" w:eastAsia="宋体" w:hint="default"/>
          <w:sz w:val="15"/>
          <w:szCs w:val="15"/>
        </w:rPr>
      </w:pPr>
    </w:p>
    <w:p>
      <w:pPr>
        <w:pStyle w:val="BodyText"/>
        <w:tabs>
          <w:tab w:pos="524" w:val="left" w:leader="none"/>
        </w:tabs>
        <w:spacing w:line="240" w:lineRule="auto" w:before="31"/>
        <w:ind w:left="102" w:right="0"/>
        <w:jc w:val="left"/>
        <w:rPr>
          <w:rFonts w:ascii="黑体" w:hAnsi="黑体" w:cs="黑体" w:eastAsia="黑体" w:hint="default"/>
        </w:rPr>
      </w:pPr>
      <w:r>
        <w:rPr>
          <w:rFonts w:ascii="黑体" w:hAnsi="黑体" w:cs="黑体" w:eastAsia="黑体" w:hint="default"/>
          <w:w w:val="95"/>
        </w:rPr>
        <w:t>七</w:t>
        <w:tab/>
      </w:r>
      <w:r>
        <w:rPr>
          <w:rFonts w:ascii="黑体" w:hAnsi="黑体" w:cs="黑体" w:eastAsia="黑体" w:hint="default"/>
        </w:rPr>
        <w:t>关联方关系及其交易</w:t>
      </w:r>
    </w:p>
    <w:p>
      <w:pPr>
        <w:spacing w:line="240" w:lineRule="auto" w:before="1"/>
        <w:rPr>
          <w:rFonts w:ascii="黑体" w:hAnsi="黑体" w:cs="黑体" w:eastAsia="黑体" w:hint="default"/>
          <w:sz w:val="19"/>
          <w:szCs w:val="19"/>
        </w:rPr>
      </w:pPr>
    </w:p>
    <w:p>
      <w:pPr>
        <w:pStyle w:val="BodyText"/>
        <w:spacing w:line="240" w:lineRule="auto"/>
        <w:ind w:left="102" w:right="0"/>
        <w:jc w:val="left"/>
      </w:pPr>
      <w:r>
        <w:rPr>
          <w:rFonts w:ascii="Arial" w:hAnsi="Arial" w:cs="Arial" w:eastAsia="Arial" w:hint="default"/>
        </w:rPr>
        <w:t>1</w:t>
      </w:r>
      <w:r>
        <w:rPr/>
        <w:t>、</w:t>
      </w:r>
      <w:r>
        <w:rPr>
          <w:spacing w:val="-38"/>
        </w:rPr>
        <w:t> </w:t>
      </w:r>
      <w:r>
        <w:rPr/>
        <w:t>母公司情况</w:t>
      </w:r>
    </w:p>
    <w:p>
      <w:pPr>
        <w:spacing w:line="240" w:lineRule="auto" w:before="0"/>
        <w:rPr>
          <w:rFonts w:ascii="宋体" w:hAnsi="宋体" w:cs="宋体" w:eastAsia="宋体" w:hint="default"/>
          <w:sz w:val="18"/>
          <w:szCs w:val="18"/>
        </w:rPr>
      </w:pPr>
    </w:p>
    <w:p>
      <w:pPr>
        <w:pStyle w:val="BodyText"/>
        <w:spacing w:line="240" w:lineRule="auto"/>
        <w:ind w:left="102" w:right="0"/>
        <w:jc w:val="left"/>
      </w:pPr>
      <w:r>
        <w:rPr>
          <w:rFonts w:ascii="Arial" w:hAnsi="Arial" w:cs="Arial" w:eastAsia="Arial" w:hint="default"/>
        </w:rPr>
        <w:t>(a) </w:t>
      </w:r>
      <w:r>
        <w:rPr>
          <w:rFonts w:ascii="Arial" w:hAnsi="Arial" w:cs="Arial" w:eastAsia="Arial" w:hint="default"/>
          <w:spacing w:val="23"/>
        </w:rPr>
        <w:t> </w:t>
      </w:r>
      <w:r>
        <w:rPr/>
        <w:t>母公司基本情况</w:t>
      </w:r>
    </w:p>
    <w:p>
      <w:pPr>
        <w:spacing w:line="240" w:lineRule="auto" w:before="1"/>
        <w:rPr>
          <w:rFonts w:ascii="宋体" w:hAnsi="宋体" w:cs="宋体" w:eastAsia="宋体" w:hint="default"/>
          <w:sz w:val="23"/>
          <w:szCs w:val="23"/>
        </w:rPr>
      </w:pPr>
    </w:p>
    <w:tbl>
      <w:tblPr>
        <w:tblW w:w="0" w:type="auto"/>
        <w:jc w:val="left"/>
        <w:tblInd w:w="317" w:type="dxa"/>
        <w:tblLayout w:type="fixed"/>
        <w:tblCellMar>
          <w:top w:w="0" w:type="dxa"/>
          <w:left w:w="0" w:type="dxa"/>
          <w:bottom w:w="0" w:type="dxa"/>
          <w:right w:w="0" w:type="dxa"/>
        </w:tblCellMar>
        <w:tblLook w:val="01E0"/>
      </w:tblPr>
      <w:tblGrid>
        <w:gridCol w:w="1522"/>
        <w:gridCol w:w="1675"/>
        <w:gridCol w:w="1039"/>
        <w:gridCol w:w="1223"/>
        <w:gridCol w:w="2194"/>
        <w:gridCol w:w="1538"/>
      </w:tblGrid>
      <w:tr>
        <w:trPr>
          <w:trHeight w:val="261" w:hRule="exact"/>
        </w:trPr>
        <w:tc>
          <w:tcPr>
            <w:tcW w:w="1522"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single" w:sz="6" w:space="0" w:color="000000"/>
              <w:right w:val="nil" w:sz="6" w:space="0" w:color="auto"/>
            </w:tcBorders>
          </w:tcPr>
          <w:p>
            <w:pPr>
              <w:pStyle w:val="TableParagraph"/>
              <w:spacing w:line="220" w:lineRule="exact"/>
              <w:ind w:left="326" w:right="0"/>
              <w:jc w:val="left"/>
              <w:rPr>
                <w:rFonts w:ascii="宋体" w:hAnsi="宋体" w:cs="宋体" w:eastAsia="宋体" w:hint="default"/>
                <w:sz w:val="22"/>
                <w:szCs w:val="22"/>
              </w:rPr>
            </w:pPr>
            <w:r>
              <w:rPr>
                <w:rFonts w:ascii="宋体" w:hAnsi="宋体" w:cs="宋体" w:eastAsia="宋体" w:hint="default"/>
                <w:sz w:val="22"/>
                <w:szCs w:val="22"/>
              </w:rPr>
              <w:t>企业类型</w:t>
            </w:r>
          </w:p>
        </w:tc>
        <w:tc>
          <w:tcPr>
            <w:tcW w:w="1039" w:type="dxa"/>
            <w:tcBorders>
              <w:top w:val="nil" w:sz="6" w:space="0" w:color="auto"/>
              <w:left w:val="nil" w:sz="6" w:space="0" w:color="auto"/>
              <w:bottom w:val="single" w:sz="6" w:space="0" w:color="000000"/>
              <w:right w:val="nil" w:sz="6" w:space="0" w:color="auto"/>
            </w:tcBorders>
          </w:tcPr>
          <w:p>
            <w:pPr>
              <w:pStyle w:val="TableParagraph"/>
              <w:spacing w:line="220" w:lineRule="exact"/>
              <w:ind w:right="39"/>
              <w:jc w:val="center"/>
              <w:rPr>
                <w:rFonts w:ascii="宋体" w:hAnsi="宋体" w:cs="宋体" w:eastAsia="宋体" w:hint="default"/>
                <w:sz w:val="22"/>
                <w:szCs w:val="22"/>
              </w:rPr>
            </w:pPr>
            <w:r>
              <w:rPr>
                <w:rFonts w:ascii="宋体" w:hAnsi="宋体" w:cs="宋体" w:eastAsia="宋体" w:hint="default"/>
                <w:sz w:val="22"/>
                <w:szCs w:val="22"/>
              </w:rPr>
              <w:t>注册地</w:t>
            </w:r>
          </w:p>
        </w:tc>
        <w:tc>
          <w:tcPr>
            <w:tcW w:w="1223" w:type="dxa"/>
            <w:tcBorders>
              <w:top w:val="nil" w:sz="6" w:space="0" w:color="auto"/>
              <w:left w:val="nil" w:sz="6" w:space="0" w:color="auto"/>
              <w:bottom w:val="single" w:sz="6" w:space="0" w:color="000000"/>
              <w:right w:val="nil" w:sz="6" w:space="0" w:color="auto"/>
            </w:tcBorders>
          </w:tcPr>
          <w:p>
            <w:pPr>
              <w:pStyle w:val="TableParagraph"/>
              <w:spacing w:line="220" w:lineRule="exact"/>
              <w:ind w:left="76" w:right="0"/>
              <w:jc w:val="center"/>
              <w:rPr>
                <w:rFonts w:ascii="宋体" w:hAnsi="宋体" w:cs="宋体" w:eastAsia="宋体" w:hint="default"/>
                <w:sz w:val="22"/>
                <w:szCs w:val="22"/>
              </w:rPr>
            </w:pPr>
            <w:r>
              <w:rPr>
                <w:rFonts w:ascii="宋体" w:hAnsi="宋体" w:cs="宋体" w:eastAsia="宋体" w:hint="default"/>
                <w:sz w:val="22"/>
                <w:szCs w:val="22"/>
              </w:rPr>
              <w:t>法人代表</w:t>
            </w:r>
          </w:p>
        </w:tc>
        <w:tc>
          <w:tcPr>
            <w:tcW w:w="2194" w:type="dxa"/>
            <w:tcBorders>
              <w:top w:val="nil" w:sz="6" w:space="0" w:color="auto"/>
              <w:left w:val="nil" w:sz="6" w:space="0" w:color="auto"/>
              <w:bottom w:val="single" w:sz="6" w:space="0" w:color="000000"/>
              <w:right w:val="nil" w:sz="6" w:space="0" w:color="auto"/>
            </w:tcBorders>
          </w:tcPr>
          <w:p>
            <w:pPr>
              <w:pStyle w:val="TableParagraph"/>
              <w:spacing w:line="220" w:lineRule="exact"/>
              <w:ind w:left="51" w:right="0"/>
              <w:jc w:val="center"/>
              <w:rPr>
                <w:rFonts w:ascii="宋体" w:hAnsi="宋体" w:cs="宋体" w:eastAsia="宋体" w:hint="default"/>
                <w:sz w:val="22"/>
                <w:szCs w:val="22"/>
              </w:rPr>
            </w:pPr>
            <w:r>
              <w:rPr>
                <w:rFonts w:ascii="宋体" w:hAnsi="宋体" w:cs="宋体" w:eastAsia="宋体" w:hint="default"/>
                <w:sz w:val="22"/>
                <w:szCs w:val="22"/>
              </w:rPr>
              <w:t>业务性质</w:t>
            </w:r>
          </w:p>
        </w:tc>
        <w:tc>
          <w:tcPr>
            <w:tcW w:w="1538" w:type="dxa"/>
            <w:tcBorders>
              <w:top w:val="nil" w:sz="6" w:space="0" w:color="auto"/>
              <w:left w:val="nil" w:sz="6" w:space="0" w:color="auto"/>
              <w:bottom w:val="single" w:sz="6" w:space="0" w:color="000000"/>
              <w:right w:val="nil" w:sz="6" w:space="0" w:color="auto"/>
            </w:tcBorders>
          </w:tcPr>
          <w:p>
            <w:pPr>
              <w:pStyle w:val="TableParagraph"/>
              <w:spacing w:line="220" w:lineRule="exact"/>
              <w:ind w:left="102" w:right="0"/>
              <w:jc w:val="center"/>
              <w:rPr>
                <w:rFonts w:ascii="宋体" w:hAnsi="宋体" w:cs="宋体" w:eastAsia="宋体" w:hint="default"/>
                <w:sz w:val="22"/>
                <w:szCs w:val="22"/>
              </w:rPr>
            </w:pPr>
            <w:r>
              <w:rPr>
                <w:rFonts w:ascii="宋体" w:hAnsi="宋体" w:cs="宋体" w:eastAsia="宋体" w:hint="default"/>
                <w:sz w:val="22"/>
                <w:szCs w:val="22"/>
              </w:rPr>
              <w:t>组织机构代码</w:t>
            </w:r>
          </w:p>
        </w:tc>
      </w:tr>
      <w:tr>
        <w:trPr>
          <w:trHeight w:val="398"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1675" w:type="dxa"/>
            <w:tcBorders>
              <w:top w:val="single" w:sz="6" w:space="0" w:color="000000"/>
              <w:left w:val="nil" w:sz="6" w:space="0" w:color="auto"/>
              <w:bottom w:val="nil" w:sz="6" w:space="0" w:color="auto"/>
              <w:right w:val="nil" w:sz="6" w:space="0" w:color="auto"/>
            </w:tcBorders>
          </w:tcPr>
          <w:p>
            <w:pPr>
              <w:pStyle w:val="TableParagraph"/>
              <w:spacing w:line="240" w:lineRule="auto" w:before="76"/>
              <w:ind w:left="185" w:right="0"/>
              <w:jc w:val="left"/>
              <w:rPr>
                <w:rFonts w:ascii="宋体" w:hAnsi="宋体" w:cs="宋体" w:eastAsia="宋体" w:hint="default"/>
                <w:sz w:val="22"/>
                <w:szCs w:val="22"/>
              </w:rPr>
            </w:pPr>
            <w:r>
              <w:rPr>
                <w:rFonts w:ascii="宋体" w:hAnsi="宋体" w:cs="宋体" w:eastAsia="宋体" w:hint="default"/>
                <w:sz w:val="22"/>
                <w:szCs w:val="22"/>
              </w:rPr>
              <w:t>有限责任公司</w:t>
            </w:r>
          </w:p>
        </w:tc>
        <w:tc>
          <w:tcPr>
            <w:tcW w:w="1039" w:type="dxa"/>
            <w:tcBorders>
              <w:top w:val="single" w:sz="6" w:space="0" w:color="000000"/>
              <w:left w:val="nil" w:sz="6" w:space="0" w:color="auto"/>
              <w:bottom w:val="nil" w:sz="6" w:space="0" w:color="auto"/>
              <w:right w:val="nil" w:sz="6" w:space="0" w:color="auto"/>
            </w:tcBorders>
          </w:tcPr>
          <w:p>
            <w:pPr>
              <w:pStyle w:val="TableParagraph"/>
              <w:spacing w:line="240" w:lineRule="auto" w:before="76"/>
              <w:ind w:right="37"/>
              <w:jc w:val="center"/>
              <w:rPr>
                <w:rFonts w:ascii="宋体" w:hAnsi="宋体" w:cs="宋体" w:eastAsia="宋体" w:hint="default"/>
                <w:sz w:val="22"/>
                <w:szCs w:val="22"/>
              </w:rPr>
            </w:pPr>
            <w:r>
              <w:rPr>
                <w:rFonts w:ascii="宋体" w:hAnsi="宋体" w:cs="宋体" w:eastAsia="宋体" w:hint="default"/>
                <w:sz w:val="22"/>
                <w:szCs w:val="22"/>
              </w:rPr>
              <w:t>北京</w:t>
            </w:r>
          </w:p>
        </w:tc>
        <w:tc>
          <w:tcPr>
            <w:tcW w:w="1223" w:type="dxa"/>
            <w:tcBorders>
              <w:top w:val="single" w:sz="6" w:space="0" w:color="000000"/>
              <w:left w:val="nil" w:sz="6" w:space="0" w:color="auto"/>
              <w:bottom w:val="nil" w:sz="6" w:space="0" w:color="auto"/>
              <w:right w:val="nil" w:sz="6" w:space="0" w:color="auto"/>
            </w:tcBorders>
          </w:tcPr>
          <w:p>
            <w:pPr>
              <w:pStyle w:val="TableParagraph"/>
              <w:spacing w:line="240" w:lineRule="auto" w:before="76"/>
              <w:ind w:left="77" w:right="0"/>
              <w:jc w:val="center"/>
              <w:rPr>
                <w:rFonts w:ascii="宋体" w:hAnsi="宋体" w:cs="宋体" w:eastAsia="宋体" w:hint="default"/>
                <w:sz w:val="22"/>
                <w:szCs w:val="22"/>
              </w:rPr>
            </w:pPr>
            <w:r>
              <w:rPr>
                <w:rFonts w:ascii="宋体" w:hAnsi="宋体" w:cs="宋体" w:eastAsia="宋体" w:hint="default"/>
                <w:sz w:val="22"/>
                <w:szCs w:val="22"/>
              </w:rPr>
              <w:t>常小兵</w:t>
            </w:r>
          </w:p>
        </w:tc>
        <w:tc>
          <w:tcPr>
            <w:tcW w:w="2194" w:type="dxa"/>
            <w:tcBorders>
              <w:top w:val="single" w:sz="6" w:space="0" w:color="000000"/>
              <w:left w:val="nil" w:sz="6" w:space="0" w:color="auto"/>
              <w:bottom w:val="nil" w:sz="6" w:space="0" w:color="auto"/>
              <w:right w:val="nil" w:sz="6" w:space="0" w:color="auto"/>
            </w:tcBorders>
          </w:tcPr>
          <w:p>
            <w:pPr>
              <w:pStyle w:val="TableParagraph"/>
              <w:spacing w:line="240" w:lineRule="auto" w:before="76"/>
              <w:ind w:left="51" w:right="0"/>
              <w:jc w:val="center"/>
              <w:rPr>
                <w:rFonts w:ascii="宋体" w:hAnsi="宋体" w:cs="宋体" w:eastAsia="宋体" w:hint="default"/>
                <w:sz w:val="22"/>
                <w:szCs w:val="22"/>
              </w:rPr>
            </w:pPr>
            <w:r>
              <w:rPr>
                <w:rFonts w:ascii="宋体" w:hAnsi="宋体" w:cs="宋体" w:eastAsia="宋体" w:hint="default"/>
                <w:sz w:val="22"/>
                <w:szCs w:val="22"/>
              </w:rPr>
              <w:t>电信业务及投资控股</w:t>
            </w:r>
          </w:p>
        </w:tc>
        <w:tc>
          <w:tcPr>
            <w:tcW w:w="1538" w:type="dxa"/>
            <w:tcBorders>
              <w:top w:val="single" w:sz="6" w:space="0" w:color="000000"/>
              <w:left w:val="nil" w:sz="6" w:space="0" w:color="auto"/>
              <w:bottom w:val="nil" w:sz="6" w:space="0" w:color="auto"/>
              <w:right w:val="nil" w:sz="6" w:space="0" w:color="auto"/>
            </w:tcBorders>
          </w:tcPr>
          <w:p>
            <w:pPr>
              <w:pStyle w:val="TableParagraph"/>
              <w:spacing w:line="240" w:lineRule="auto" w:before="143"/>
              <w:ind w:left="79" w:right="0"/>
              <w:jc w:val="center"/>
              <w:rPr>
                <w:rFonts w:ascii="Arial" w:hAnsi="Arial" w:cs="Arial" w:eastAsia="Arial" w:hint="default"/>
                <w:sz w:val="22"/>
                <w:szCs w:val="22"/>
              </w:rPr>
            </w:pPr>
            <w:r>
              <w:rPr>
                <w:rFonts w:ascii="Arial"/>
                <w:sz w:val="22"/>
              </w:rPr>
              <w:t>100016501</w:t>
            </w:r>
          </w:p>
        </w:tc>
      </w:tr>
    </w:tbl>
    <w:p>
      <w:pPr>
        <w:spacing w:line="240" w:lineRule="auto" w:before="8"/>
        <w:rPr>
          <w:rFonts w:ascii="宋体" w:hAnsi="宋体" w:cs="宋体" w:eastAsia="宋体" w:hint="default"/>
          <w:sz w:val="14"/>
          <w:szCs w:val="14"/>
        </w:rPr>
      </w:pPr>
    </w:p>
    <w:p>
      <w:pPr>
        <w:pStyle w:val="BodyText"/>
        <w:spacing w:line="240" w:lineRule="auto" w:before="31"/>
        <w:ind w:left="522" w:right="0"/>
        <w:jc w:val="left"/>
      </w:pPr>
      <w:r>
        <w:rPr/>
        <w:t>本公司的最终控制方为联通集团。联通集团为国资委直属的中央企业。</w:t>
      </w:r>
    </w:p>
    <w:p>
      <w:pPr>
        <w:spacing w:line="240" w:lineRule="auto" w:before="2"/>
        <w:rPr>
          <w:rFonts w:ascii="宋体" w:hAnsi="宋体" w:cs="宋体" w:eastAsia="宋体" w:hint="default"/>
          <w:sz w:val="19"/>
          <w:szCs w:val="19"/>
        </w:rPr>
      </w:pPr>
    </w:p>
    <w:p>
      <w:pPr>
        <w:pStyle w:val="BodyText"/>
        <w:spacing w:line="240" w:lineRule="auto"/>
        <w:ind w:left="102" w:right="0"/>
        <w:jc w:val="left"/>
      </w:pPr>
      <w:r>
        <w:rPr>
          <w:rFonts w:ascii="Arial" w:hAnsi="Arial" w:cs="Arial" w:eastAsia="Arial" w:hint="default"/>
        </w:rPr>
        <w:t>(b) </w:t>
      </w:r>
      <w:r>
        <w:rPr>
          <w:rFonts w:ascii="Arial" w:hAnsi="Arial" w:cs="Arial" w:eastAsia="Arial" w:hint="default"/>
          <w:spacing w:val="22"/>
        </w:rPr>
        <w:t> </w:t>
      </w:r>
      <w:r>
        <w:rPr/>
        <w:t>母公司注册资本及其变化</w:t>
      </w:r>
    </w:p>
    <w:p>
      <w:pPr>
        <w:spacing w:line="240" w:lineRule="auto" w:before="1"/>
        <w:rPr>
          <w:rFonts w:ascii="宋体" w:hAnsi="宋体" w:cs="宋体" w:eastAsia="宋体" w:hint="default"/>
          <w:sz w:val="23"/>
          <w:szCs w:val="23"/>
        </w:rPr>
      </w:pPr>
    </w:p>
    <w:tbl>
      <w:tblPr>
        <w:tblW w:w="0" w:type="auto"/>
        <w:jc w:val="left"/>
        <w:tblInd w:w="317" w:type="dxa"/>
        <w:tblLayout w:type="fixed"/>
        <w:tblCellMar>
          <w:top w:w="0" w:type="dxa"/>
          <w:left w:w="0" w:type="dxa"/>
          <w:bottom w:w="0" w:type="dxa"/>
          <w:right w:w="0" w:type="dxa"/>
        </w:tblCellMar>
        <w:tblLook w:val="01E0"/>
      </w:tblPr>
      <w:tblGrid>
        <w:gridCol w:w="1522"/>
        <w:gridCol w:w="2137"/>
        <w:gridCol w:w="1635"/>
        <w:gridCol w:w="1869"/>
        <w:gridCol w:w="2011"/>
      </w:tblGrid>
      <w:tr>
        <w:trPr>
          <w:trHeight w:val="261" w:hRule="exact"/>
        </w:trPr>
        <w:tc>
          <w:tcPr>
            <w:tcW w:w="1522"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single" w:sz="6" w:space="0" w:color="000000"/>
              <w:right w:val="nil" w:sz="6" w:space="0" w:color="auto"/>
            </w:tcBorders>
          </w:tcPr>
          <w:p>
            <w:pPr>
              <w:pStyle w:val="TableParagraph"/>
              <w:spacing w:line="235" w:lineRule="exact"/>
              <w:ind w:right="118"/>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635" w:type="dxa"/>
            <w:tcBorders>
              <w:top w:val="nil" w:sz="6" w:space="0" w:color="auto"/>
              <w:left w:val="nil" w:sz="6" w:space="0" w:color="auto"/>
              <w:bottom w:val="single" w:sz="6" w:space="0" w:color="000000"/>
              <w:right w:val="nil" w:sz="6" w:space="0" w:color="auto"/>
            </w:tcBorders>
          </w:tcPr>
          <w:p>
            <w:pPr>
              <w:pStyle w:val="TableParagraph"/>
              <w:spacing w:line="220" w:lineRule="exact"/>
              <w:ind w:left="727" w:right="0"/>
              <w:jc w:val="left"/>
              <w:rPr>
                <w:rFonts w:ascii="宋体" w:hAnsi="宋体" w:cs="宋体" w:eastAsia="宋体" w:hint="default"/>
                <w:sz w:val="22"/>
                <w:szCs w:val="22"/>
              </w:rPr>
            </w:pPr>
            <w:r>
              <w:rPr>
                <w:rFonts w:ascii="宋体" w:hAnsi="宋体" w:cs="宋体" w:eastAsia="宋体" w:hint="default"/>
                <w:sz w:val="22"/>
                <w:szCs w:val="22"/>
              </w:rPr>
              <w:t>本年增加</w:t>
            </w:r>
          </w:p>
        </w:tc>
        <w:tc>
          <w:tcPr>
            <w:tcW w:w="1869" w:type="dxa"/>
            <w:tcBorders>
              <w:top w:val="nil" w:sz="6" w:space="0" w:color="auto"/>
              <w:left w:val="nil" w:sz="6" w:space="0" w:color="auto"/>
              <w:bottom w:val="single" w:sz="6" w:space="0" w:color="000000"/>
              <w:right w:val="nil" w:sz="6" w:space="0" w:color="auto"/>
            </w:tcBorders>
          </w:tcPr>
          <w:p>
            <w:pPr>
              <w:pStyle w:val="TableParagraph"/>
              <w:spacing w:line="220" w:lineRule="exact"/>
              <w:ind w:right="67"/>
              <w:jc w:val="right"/>
              <w:rPr>
                <w:rFonts w:ascii="宋体" w:hAnsi="宋体" w:cs="宋体" w:eastAsia="宋体" w:hint="default"/>
                <w:sz w:val="22"/>
                <w:szCs w:val="22"/>
              </w:rPr>
            </w:pPr>
            <w:r>
              <w:rPr>
                <w:rFonts w:ascii="宋体" w:hAnsi="宋体" w:cs="宋体" w:eastAsia="宋体" w:hint="default"/>
                <w:w w:val="95"/>
                <w:sz w:val="22"/>
                <w:szCs w:val="22"/>
              </w:rPr>
              <w:t>本年减少</w:t>
            </w:r>
            <w:r>
              <w:rPr>
                <w:rFonts w:ascii="宋体" w:hAnsi="宋体" w:cs="宋体" w:eastAsia="宋体" w:hint="default"/>
                <w:sz w:val="22"/>
                <w:szCs w:val="22"/>
              </w:rPr>
            </w:r>
          </w:p>
        </w:tc>
        <w:tc>
          <w:tcPr>
            <w:tcW w:w="2011" w:type="dxa"/>
            <w:tcBorders>
              <w:top w:val="nil" w:sz="6" w:space="0" w:color="auto"/>
              <w:left w:val="nil" w:sz="6" w:space="0" w:color="auto"/>
              <w:bottom w:val="single" w:sz="6" w:space="0" w:color="000000"/>
              <w:right w:val="nil" w:sz="6" w:space="0" w:color="auto"/>
            </w:tcBorders>
          </w:tcPr>
          <w:p>
            <w:pPr>
              <w:pStyle w:val="TableParagraph"/>
              <w:spacing w:line="235" w:lineRule="exact"/>
              <w:ind w:right="25"/>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70"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2137"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18"/>
              <w:jc w:val="right"/>
              <w:rPr>
                <w:rFonts w:ascii="Arial" w:hAnsi="Arial" w:cs="Arial" w:eastAsia="Arial" w:hint="default"/>
                <w:sz w:val="22"/>
                <w:szCs w:val="22"/>
              </w:rPr>
            </w:pPr>
            <w:r>
              <w:rPr>
                <w:rFonts w:ascii="Arial"/>
                <w:spacing w:val="-1"/>
                <w:sz w:val="22"/>
              </w:rPr>
              <w:t>104,396,419,361</w:t>
            </w:r>
          </w:p>
        </w:tc>
        <w:tc>
          <w:tcPr>
            <w:tcW w:w="1635"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20" w:right="0"/>
              <w:jc w:val="left"/>
              <w:rPr>
                <w:rFonts w:ascii="Arial" w:hAnsi="Arial" w:cs="Arial" w:eastAsia="Arial" w:hint="default"/>
                <w:sz w:val="22"/>
                <w:szCs w:val="22"/>
              </w:rPr>
            </w:pPr>
            <w:r>
              <w:rPr>
                <w:rFonts w:ascii="Arial"/>
                <w:sz w:val="22"/>
              </w:rPr>
              <w:t>2,792,257,629</w:t>
            </w:r>
          </w:p>
        </w:tc>
        <w:tc>
          <w:tcPr>
            <w:tcW w:w="1869"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73"/>
              <w:jc w:val="right"/>
              <w:rPr>
                <w:rFonts w:ascii="Arial" w:hAnsi="Arial" w:cs="Arial" w:eastAsia="Arial" w:hint="default"/>
                <w:sz w:val="22"/>
                <w:szCs w:val="22"/>
              </w:rPr>
            </w:pPr>
            <w:r>
              <w:rPr>
                <w:rFonts w:ascii="Arial"/>
                <w:w w:val="95"/>
                <w:sz w:val="22"/>
              </w:rPr>
              <w:t>(717,478,086)</w:t>
            </w:r>
            <w:r>
              <w:rPr>
                <w:rFonts w:ascii="Arial"/>
                <w:sz w:val="22"/>
              </w:rPr>
            </w:r>
          </w:p>
        </w:tc>
        <w:tc>
          <w:tcPr>
            <w:tcW w:w="2011"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70"/>
              <w:jc w:val="right"/>
              <w:rPr>
                <w:rFonts w:ascii="Arial" w:hAnsi="Arial" w:cs="Arial" w:eastAsia="Arial" w:hint="default"/>
                <w:sz w:val="22"/>
                <w:szCs w:val="22"/>
              </w:rPr>
            </w:pPr>
            <w:r>
              <w:rPr>
                <w:rFonts w:ascii="Arial"/>
                <w:spacing w:val="-1"/>
                <w:sz w:val="22"/>
              </w:rPr>
              <w:t>106,471,198,904</w:t>
            </w:r>
          </w:p>
        </w:tc>
      </w:tr>
    </w:tbl>
    <w:p>
      <w:pPr>
        <w:spacing w:line="240" w:lineRule="auto" w:before="1"/>
        <w:rPr>
          <w:rFonts w:ascii="宋体" w:hAnsi="宋体" w:cs="宋体" w:eastAsia="宋体" w:hint="default"/>
          <w:sz w:val="14"/>
          <w:szCs w:val="14"/>
        </w:rPr>
      </w:pPr>
    </w:p>
    <w:p>
      <w:pPr>
        <w:pStyle w:val="BodyText"/>
        <w:spacing w:line="240" w:lineRule="auto" w:before="31"/>
        <w:ind w:left="102" w:right="0"/>
        <w:jc w:val="left"/>
      </w:pPr>
      <w:r>
        <w:rPr>
          <w:rFonts w:ascii="Arial" w:hAnsi="Arial" w:cs="Arial" w:eastAsia="Arial" w:hint="default"/>
        </w:rPr>
        <w:t>(c) </w:t>
      </w:r>
      <w:r>
        <w:rPr>
          <w:rFonts w:ascii="Arial" w:hAnsi="Arial" w:cs="Arial" w:eastAsia="Arial" w:hint="default"/>
          <w:spacing w:val="30"/>
        </w:rPr>
        <w:t> </w:t>
      </w:r>
      <w:r>
        <w:rPr/>
        <w:t>母公司对本公司的持股比例和表决权比例</w:t>
      </w:r>
    </w:p>
    <w:p>
      <w:pPr>
        <w:spacing w:line="240" w:lineRule="auto" w:before="2"/>
        <w:rPr>
          <w:rFonts w:ascii="宋体" w:hAnsi="宋体" w:cs="宋体" w:eastAsia="宋体" w:hint="default"/>
          <w:sz w:val="23"/>
          <w:szCs w:val="23"/>
        </w:rPr>
      </w:pPr>
    </w:p>
    <w:tbl>
      <w:tblPr>
        <w:tblW w:w="0" w:type="auto"/>
        <w:jc w:val="left"/>
        <w:tblInd w:w="344" w:type="dxa"/>
        <w:tblLayout w:type="fixed"/>
        <w:tblCellMar>
          <w:top w:w="0" w:type="dxa"/>
          <w:left w:w="0" w:type="dxa"/>
          <w:bottom w:w="0" w:type="dxa"/>
          <w:right w:w="0" w:type="dxa"/>
        </w:tblCellMar>
        <w:tblLook w:val="01E0"/>
      </w:tblPr>
      <w:tblGrid>
        <w:gridCol w:w="3647"/>
        <w:gridCol w:w="1457"/>
        <w:gridCol w:w="1264"/>
        <w:gridCol w:w="106"/>
        <w:gridCol w:w="1246"/>
        <w:gridCol w:w="1447"/>
      </w:tblGrid>
      <w:tr>
        <w:trPr>
          <w:trHeight w:val="261" w:hRule="exact"/>
        </w:trPr>
        <w:tc>
          <w:tcPr>
            <w:tcW w:w="6368" w:type="dxa"/>
            <w:gridSpan w:val="3"/>
            <w:tcBorders>
              <w:top w:val="nil" w:sz="6" w:space="0" w:color="auto"/>
              <w:left w:val="nil" w:sz="6" w:space="0" w:color="auto"/>
              <w:bottom w:val="nil" w:sz="6" w:space="0" w:color="auto"/>
              <w:right w:val="nil" w:sz="6" w:space="0" w:color="auto"/>
            </w:tcBorders>
          </w:tcPr>
          <w:p>
            <w:pPr>
              <w:pStyle w:val="TableParagraph"/>
              <w:spacing w:line="235" w:lineRule="exact"/>
              <w:ind w:left="4050" w:right="0"/>
              <w:jc w:val="lef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798" w:type="dxa"/>
            <w:gridSpan w:val="3"/>
            <w:tcBorders>
              <w:top w:val="nil" w:sz="6" w:space="0" w:color="auto"/>
              <w:left w:val="nil" w:sz="6" w:space="0" w:color="auto"/>
              <w:bottom w:val="single" w:sz="6" w:space="0" w:color="000000"/>
              <w:right w:val="nil" w:sz="6" w:space="0" w:color="auto"/>
            </w:tcBorders>
          </w:tcPr>
          <w:p>
            <w:pPr>
              <w:pStyle w:val="TableParagraph"/>
              <w:spacing w:line="235" w:lineRule="exact"/>
              <w:ind w:left="494"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300" w:hRule="exact"/>
        </w:trPr>
        <w:tc>
          <w:tcPr>
            <w:tcW w:w="3647" w:type="dxa"/>
            <w:tcBorders>
              <w:top w:val="nil" w:sz="6" w:space="0" w:color="auto"/>
              <w:left w:val="nil" w:sz="6" w:space="0" w:color="auto"/>
              <w:bottom w:val="nil" w:sz="6" w:space="0" w:color="auto"/>
              <w:right w:val="nil" w:sz="6" w:space="0" w:color="auto"/>
            </w:tcBorders>
          </w:tcPr>
          <w:p>
            <w:pPr/>
          </w:p>
        </w:tc>
        <w:tc>
          <w:tcPr>
            <w:tcW w:w="1457" w:type="dxa"/>
            <w:tcBorders>
              <w:top w:val="single" w:sz="6" w:space="0" w:color="000000"/>
              <w:left w:val="nil" w:sz="6" w:space="0" w:color="auto"/>
              <w:bottom w:val="single" w:sz="6" w:space="0" w:color="000000"/>
              <w:right w:val="nil" w:sz="6" w:space="0" w:color="auto"/>
            </w:tcBorders>
          </w:tcPr>
          <w:p>
            <w:pPr>
              <w:pStyle w:val="TableParagraph"/>
              <w:spacing w:line="252" w:lineRule="exact"/>
              <w:ind w:right="150"/>
              <w:jc w:val="right"/>
              <w:rPr>
                <w:rFonts w:ascii="宋体" w:hAnsi="宋体" w:cs="宋体" w:eastAsia="宋体" w:hint="default"/>
                <w:sz w:val="22"/>
                <w:szCs w:val="22"/>
              </w:rPr>
            </w:pPr>
            <w:r>
              <w:rPr>
                <w:rFonts w:ascii="宋体" w:hAnsi="宋体" w:cs="宋体" w:eastAsia="宋体" w:hint="default"/>
                <w:w w:val="95"/>
                <w:sz w:val="22"/>
                <w:szCs w:val="22"/>
              </w:rPr>
              <w:t>持股比例</w:t>
            </w:r>
            <w:r>
              <w:rPr>
                <w:rFonts w:ascii="宋体" w:hAnsi="宋体" w:cs="宋体" w:eastAsia="宋体" w:hint="default"/>
                <w:sz w:val="22"/>
                <w:szCs w:val="22"/>
              </w:rPr>
            </w:r>
          </w:p>
        </w:tc>
        <w:tc>
          <w:tcPr>
            <w:tcW w:w="1264" w:type="dxa"/>
            <w:tcBorders>
              <w:top w:val="single" w:sz="6" w:space="0" w:color="000000"/>
              <w:left w:val="nil" w:sz="6" w:space="0" w:color="auto"/>
              <w:bottom w:val="single" w:sz="6" w:space="0" w:color="000000"/>
              <w:right w:val="nil" w:sz="6" w:space="0" w:color="auto"/>
            </w:tcBorders>
          </w:tcPr>
          <w:p>
            <w:pPr>
              <w:pStyle w:val="TableParagraph"/>
              <w:spacing w:line="252" w:lineRule="exact"/>
              <w:ind w:right="10"/>
              <w:jc w:val="right"/>
              <w:rPr>
                <w:rFonts w:ascii="宋体" w:hAnsi="宋体" w:cs="宋体" w:eastAsia="宋体" w:hint="default"/>
                <w:sz w:val="22"/>
                <w:szCs w:val="22"/>
              </w:rPr>
            </w:pPr>
            <w:r>
              <w:rPr>
                <w:rFonts w:ascii="宋体" w:hAnsi="宋体" w:cs="宋体" w:eastAsia="宋体" w:hint="default"/>
                <w:w w:val="95"/>
                <w:sz w:val="22"/>
                <w:szCs w:val="22"/>
              </w:rPr>
              <w:t>表决权比例</w:t>
            </w:r>
            <w:r>
              <w:rPr>
                <w:rFonts w:ascii="宋体" w:hAnsi="宋体" w:cs="宋体" w:eastAsia="宋体" w:hint="default"/>
                <w:sz w:val="22"/>
                <w:szCs w:val="22"/>
              </w:rPr>
            </w:r>
          </w:p>
        </w:tc>
        <w:tc>
          <w:tcPr>
            <w:tcW w:w="106" w:type="dxa"/>
            <w:tcBorders>
              <w:top w:val="nil" w:sz="6" w:space="0" w:color="auto"/>
              <w:left w:val="nil" w:sz="6" w:space="0" w:color="auto"/>
              <w:bottom w:val="nil" w:sz="6" w:space="0" w:color="auto"/>
              <w:right w:val="nil" w:sz="6" w:space="0" w:color="auto"/>
            </w:tcBorders>
          </w:tcPr>
          <w:p>
            <w:pPr/>
          </w:p>
        </w:tc>
        <w:tc>
          <w:tcPr>
            <w:tcW w:w="1246" w:type="dxa"/>
            <w:tcBorders>
              <w:top w:val="single" w:sz="6" w:space="0" w:color="000000"/>
              <w:left w:val="nil" w:sz="6" w:space="0" w:color="auto"/>
              <w:bottom w:val="single" w:sz="6" w:space="0" w:color="000000"/>
              <w:right w:val="nil" w:sz="6" w:space="0" w:color="auto"/>
            </w:tcBorders>
          </w:tcPr>
          <w:p>
            <w:pPr>
              <w:pStyle w:val="TableParagraph"/>
              <w:spacing w:line="252" w:lineRule="exact"/>
              <w:ind w:right="47"/>
              <w:jc w:val="right"/>
              <w:rPr>
                <w:rFonts w:ascii="宋体" w:hAnsi="宋体" w:cs="宋体" w:eastAsia="宋体" w:hint="default"/>
                <w:sz w:val="22"/>
                <w:szCs w:val="22"/>
              </w:rPr>
            </w:pPr>
            <w:r>
              <w:rPr>
                <w:rFonts w:ascii="宋体" w:hAnsi="宋体" w:cs="宋体" w:eastAsia="宋体" w:hint="default"/>
                <w:w w:val="95"/>
                <w:sz w:val="22"/>
                <w:szCs w:val="22"/>
              </w:rPr>
              <w:t>持股比例</w:t>
            </w:r>
            <w:r>
              <w:rPr>
                <w:rFonts w:ascii="宋体" w:hAnsi="宋体" w:cs="宋体" w:eastAsia="宋体" w:hint="default"/>
                <w:sz w:val="22"/>
                <w:szCs w:val="22"/>
              </w:rPr>
            </w:r>
          </w:p>
        </w:tc>
        <w:tc>
          <w:tcPr>
            <w:tcW w:w="1447" w:type="dxa"/>
            <w:tcBorders>
              <w:top w:val="single" w:sz="6" w:space="0" w:color="000000"/>
              <w:left w:val="nil" w:sz="6" w:space="0" w:color="auto"/>
              <w:bottom w:val="single" w:sz="6" w:space="0" w:color="000000"/>
              <w:right w:val="nil" w:sz="6" w:space="0" w:color="auto"/>
            </w:tcBorders>
          </w:tcPr>
          <w:p>
            <w:pPr>
              <w:pStyle w:val="TableParagraph"/>
              <w:spacing w:line="252" w:lineRule="exact"/>
              <w:ind w:right="52"/>
              <w:jc w:val="right"/>
              <w:rPr>
                <w:rFonts w:ascii="宋体" w:hAnsi="宋体" w:cs="宋体" w:eastAsia="宋体" w:hint="default"/>
                <w:sz w:val="22"/>
                <w:szCs w:val="22"/>
              </w:rPr>
            </w:pPr>
            <w:r>
              <w:rPr>
                <w:rFonts w:ascii="宋体" w:hAnsi="宋体" w:cs="宋体" w:eastAsia="宋体" w:hint="default"/>
                <w:w w:val="95"/>
                <w:sz w:val="22"/>
                <w:szCs w:val="22"/>
              </w:rPr>
              <w:t>表决权比例</w:t>
            </w:r>
            <w:r>
              <w:rPr>
                <w:rFonts w:ascii="宋体" w:hAnsi="宋体" w:cs="宋体" w:eastAsia="宋体" w:hint="default"/>
                <w:sz w:val="22"/>
                <w:szCs w:val="22"/>
              </w:rPr>
            </w:r>
          </w:p>
        </w:tc>
      </w:tr>
      <w:tr>
        <w:trPr>
          <w:trHeight w:val="538" w:hRule="exact"/>
        </w:trPr>
        <w:tc>
          <w:tcPr>
            <w:tcW w:w="364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1457"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51"/>
              <w:jc w:val="right"/>
              <w:rPr>
                <w:rFonts w:ascii="Arial" w:hAnsi="Arial" w:cs="Arial" w:eastAsia="Arial" w:hint="default"/>
                <w:sz w:val="22"/>
                <w:szCs w:val="22"/>
              </w:rPr>
            </w:pPr>
            <w:r>
              <w:rPr>
                <w:rFonts w:ascii="Arial"/>
                <w:w w:val="95"/>
                <w:sz w:val="22"/>
              </w:rPr>
              <w:t>62.18%</w:t>
            </w:r>
            <w:r>
              <w:rPr>
                <w:rFonts w:ascii="Arial"/>
                <w:sz w:val="22"/>
              </w:rPr>
            </w:r>
          </w:p>
        </w:tc>
        <w:tc>
          <w:tcPr>
            <w:tcW w:w="1264"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53"/>
              <w:jc w:val="right"/>
              <w:rPr>
                <w:rFonts w:ascii="Arial" w:hAnsi="Arial" w:cs="Arial" w:eastAsia="Arial" w:hint="default"/>
                <w:sz w:val="22"/>
                <w:szCs w:val="22"/>
              </w:rPr>
            </w:pPr>
            <w:r>
              <w:rPr>
                <w:rFonts w:ascii="Arial"/>
                <w:w w:val="95"/>
                <w:sz w:val="22"/>
              </w:rPr>
              <w:t>62.18%</w:t>
            </w:r>
            <w:r>
              <w:rPr>
                <w:rFonts w:ascii="Arial"/>
                <w:sz w:val="22"/>
              </w:rPr>
            </w:r>
          </w:p>
        </w:tc>
        <w:tc>
          <w:tcPr>
            <w:tcW w:w="106" w:type="dxa"/>
            <w:tcBorders>
              <w:top w:val="nil" w:sz="6" w:space="0" w:color="auto"/>
              <w:left w:val="nil" w:sz="6" w:space="0" w:color="auto"/>
              <w:bottom w:val="nil" w:sz="6" w:space="0" w:color="auto"/>
              <w:right w:val="nil" w:sz="6" w:space="0" w:color="auto"/>
            </w:tcBorders>
          </w:tcPr>
          <w:p>
            <w:pPr/>
          </w:p>
        </w:tc>
        <w:tc>
          <w:tcPr>
            <w:tcW w:w="1246"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62"/>
              <w:jc w:val="right"/>
              <w:rPr>
                <w:rFonts w:ascii="Arial" w:hAnsi="Arial" w:cs="Arial" w:eastAsia="Arial" w:hint="default"/>
                <w:sz w:val="22"/>
                <w:szCs w:val="22"/>
              </w:rPr>
            </w:pPr>
            <w:r>
              <w:rPr>
                <w:rFonts w:ascii="Arial"/>
                <w:w w:val="95"/>
                <w:sz w:val="22"/>
              </w:rPr>
              <w:t>61.05%</w:t>
            </w:r>
            <w:r>
              <w:rPr>
                <w:rFonts w:ascii="Arial"/>
                <w:sz w:val="22"/>
              </w:rPr>
            </w:r>
          </w:p>
        </w:tc>
        <w:tc>
          <w:tcPr>
            <w:tcW w:w="1447"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2"/>
              <w:jc w:val="right"/>
              <w:rPr>
                <w:rFonts w:ascii="Arial" w:hAnsi="Arial" w:cs="Arial" w:eastAsia="Arial" w:hint="default"/>
                <w:sz w:val="22"/>
                <w:szCs w:val="22"/>
              </w:rPr>
            </w:pPr>
            <w:r>
              <w:rPr>
                <w:rFonts w:ascii="Arial"/>
                <w:w w:val="95"/>
                <w:sz w:val="22"/>
              </w:rPr>
              <w:t>61.05%</w:t>
            </w:r>
            <w:r>
              <w:rPr>
                <w:rFonts w:ascii="Arial"/>
                <w:sz w:val="22"/>
              </w:rPr>
            </w:r>
          </w:p>
        </w:tc>
      </w:tr>
    </w:tbl>
    <w:p>
      <w:pPr>
        <w:spacing w:line="240" w:lineRule="auto" w:before="13"/>
        <w:rPr>
          <w:rFonts w:ascii="宋体" w:hAnsi="宋体" w:cs="宋体" w:eastAsia="宋体" w:hint="default"/>
          <w:sz w:val="12"/>
          <w:szCs w:val="12"/>
        </w:rPr>
      </w:pPr>
    </w:p>
    <w:p>
      <w:pPr>
        <w:pStyle w:val="BodyText"/>
        <w:spacing w:line="408" w:lineRule="auto" w:before="31"/>
        <w:ind w:left="522" w:right="4328" w:hanging="420"/>
        <w:jc w:val="left"/>
      </w:pPr>
      <w:r>
        <w:rPr>
          <w:rFonts w:ascii="Arial" w:hAnsi="Arial" w:cs="Arial" w:eastAsia="Arial" w:hint="default"/>
        </w:rPr>
        <w:t>2</w:t>
      </w:r>
      <w:r>
        <w:rPr/>
        <w:t>、</w:t>
      </w:r>
      <w:r>
        <w:rPr>
          <w:spacing w:val="-36"/>
        </w:rPr>
        <w:t> </w:t>
      </w:r>
      <w:r>
        <w:rPr/>
        <w:t>子公司情况</w:t>
      </w:r>
      <w:r>
        <w:rPr>
          <w:w w:val="99"/>
        </w:rPr>
        <w:t> </w:t>
      </w:r>
      <w:r>
        <w:rPr>
          <w:w w:val="95"/>
        </w:rPr>
        <w:t>子公司的基本情况及相关信息见附注四。</w:t>
      </w:r>
      <w:r>
        <w:rPr/>
      </w:r>
    </w:p>
    <w:p>
      <w:pPr>
        <w:pStyle w:val="BodyText"/>
        <w:spacing w:line="240" w:lineRule="auto" w:before="74"/>
        <w:ind w:left="102" w:right="0"/>
        <w:jc w:val="left"/>
      </w:pPr>
      <w:r>
        <w:rPr>
          <w:rFonts w:ascii="Arial" w:hAnsi="Arial" w:cs="Arial" w:eastAsia="Arial" w:hint="default"/>
        </w:rPr>
        <w:t>3</w:t>
      </w:r>
      <w:r>
        <w:rPr/>
        <w:t>、</w:t>
      </w:r>
      <w:r>
        <w:rPr>
          <w:spacing w:val="-39"/>
        </w:rPr>
        <w:t> </w:t>
      </w:r>
      <w:r>
        <w:rPr/>
        <w:t>其他关联方情况</w:t>
      </w:r>
    </w:p>
    <w:p>
      <w:pPr>
        <w:spacing w:line="240" w:lineRule="auto" w:before="2"/>
        <w:rPr>
          <w:rFonts w:ascii="宋体" w:hAnsi="宋体" w:cs="宋体" w:eastAsia="宋体" w:hint="default"/>
          <w:sz w:val="21"/>
          <w:szCs w:val="21"/>
        </w:rPr>
      </w:pPr>
    </w:p>
    <w:tbl>
      <w:tblPr>
        <w:tblW w:w="0" w:type="auto"/>
        <w:jc w:val="left"/>
        <w:tblInd w:w="394" w:type="dxa"/>
        <w:tblLayout w:type="fixed"/>
        <w:tblCellMar>
          <w:top w:w="0" w:type="dxa"/>
          <w:left w:w="0" w:type="dxa"/>
          <w:bottom w:w="0" w:type="dxa"/>
          <w:right w:w="0" w:type="dxa"/>
        </w:tblCellMar>
        <w:tblLook w:val="01E0"/>
      </w:tblPr>
      <w:tblGrid>
        <w:gridCol w:w="615"/>
        <w:gridCol w:w="4720"/>
        <w:gridCol w:w="2438"/>
        <w:gridCol w:w="172"/>
        <w:gridCol w:w="1234"/>
      </w:tblGrid>
      <w:tr>
        <w:trPr>
          <w:trHeight w:val="237" w:hRule="exact"/>
        </w:trPr>
        <w:tc>
          <w:tcPr>
            <w:tcW w:w="615" w:type="dxa"/>
            <w:tcBorders>
              <w:top w:val="nil" w:sz="6" w:space="0" w:color="auto"/>
              <w:left w:val="nil" w:sz="6" w:space="0" w:color="auto"/>
              <w:bottom w:val="nil" w:sz="6" w:space="0" w:color="auto"/>
              <w:right w:val="nil" w:sz="6" w:space="0" w:color="auto"/>
            </w:tcBorders>
          </w:tcPr>
          <w:p>
            <w:pPr/>
          </w:p>
        </w:tc>
        <w:tc>
          <w:tcPr>
            <w:tcW w:w="4720" w:type="dxa"/>
            <w:tcBorders>
              <w:top w:val="nil" w:sz="6" w:space="0" w:color="auto"/>
              <w:left w:val="nil" w:sz="6" w:space="0" w:color="auto"/>
              <w:bottom w:val="nil" w:sz="6" w:space="0" w:color="auto"/>
              <w:right w:val="nil" w:sz="6" w:space="0" w:color="auto"/>
            </w:tcBorders>
          </w:tcPr>
          <w:p>
            <w:pPr/>
          </w:p>
        </w:tc>
        <w:tc>
          <w:tcPr>
            <w:tcW w:w="2438" w:type="dxa"/>
            <w:tcBorders>
              <w:top w:val="nil" w:sz="6" w:space="0" w:color="auto"/>
              <w:left w:val="nil" w:sz="6" w:space="0" w:color="auto"/>
              <w:bottom w:val="single" w:sz="6" w:space="0" w:color="000000"/>
              <w:right w:val="nil" w:sz="6" w:space="0" w:color="auto"/>
            </w:tcBorders>
          </w:tcPr>
          <w:p>
            <w:pPr>
              <w:pStyle w:val="TableParagraph"/>
              <w:spacing w:line="200" w:lineRule="exact"/>
              <w:ind w:right="0"/>
              <w:jc w:val="right"/>
              <w:rPr>
                <w:rFonts w:ascii="宋体" w:hAnsi="宋体" w:cs="宋体" w:eastAsia="宋体" w:hint="default"/>
                <w:sz w:val="20"/>
                <w:szCs w:val="20"/>
              </w:rPr>
            </w:pPr>
            <w:r>
              <w:rPr>
                <w:rFonts w:ascii="宋体" w:hAnsi="宋体" w:cs="宋体" w:eastAsia="宋体" w:hint="default"/>
                <w:spacing w:val="-1"/>
                <w:sz w:val="20"/>
                <w:szCs w:val="20"/>
              </w:rPr>
              <w:t>与本集团的关系</w:t>
            </w:r>
          </w:p>
        </w:tc>
        <w:tc>
          <w:tcPr>
            <w:tcW w:w="172"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single" w:sz="6" w:space="0" w:color="000000"/>
              <w:right w:val="nil" w:sz="6" w:space="0" w:color="auto"/>
            </w:tcBorders>
          </w:tcPr>
          <w:p>
            <w:pPr>
              <w:pStyle w:val="TableParagraph"/>
              <w:spacing w:line="200" w:lineRule="exact"/>
              <w:ind w:right="0"/>
              <w:jc w:val="right"/>
              <w:rPr>
                <w:rFonts w:ascii="宋体" w:hAnsi="宋体" w:cs="宋体" w:eastAsia="宋体" w:hint="default"/>
                <w:sz w:val="20"/>
                <w:szCs w:val="20"/>
              </w:rPr>
            </w:pPr>
            <w:r>
              <w:rPr>
                <w:rFonts w:ascii="宋体" w:hAnsi="宋体" w:cs="宋体" w:eastAsia="宋体" w:hint="default"/>
                <w:spacing w:val="-1"/>
                <w:sz w:val="20"/>
                <w:szCs w:val="20"/>
              </w:rPr>
              <w:t>组织机构代码</w:t>
            </w:r>
          </w:p>
        </w:tc>
      </w:tr>
      <w:tr>
        <w:trPr>
          <w:trHeight w:val="538" w:hRule="exact"/>
        </w:trPr>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41" w:right="0"/>
              <w:jc w:val="center"/>
              <w:rPr>
                <w:rFonts w:ascii="Arial" w:hAnsi="Arial" w:cs="Arial" w:eastAsia="Arial" w:hint="default"/>
                <w:sz w:val="20"/>
                <w:szCs w:val="20"/>
              </w:rPr>
            </w:pPr>
            <w:r>
              <w:rPr>
                <w:rFonts w:ascii="Arial"/>
                <w:sz w:val="20"/>
              </w:rPr>
              <w:t>(1)</w:t>
            </w:r>
          </w:p>
        </w:tc>
        <w:tc>
          <w:tcPr>
            <w:tcW w:w="47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58" w:right="0"/>
              <w:jc w:val="left"/>
              <w:rPr>
                <w:rFonts w:ascii="宋体" w:hAnsi="宋体" w:cs="宋体" w:eastAsia="宋体" w:hint="default"/>
                <w:sz w:val="20"/>
                <w:szCs w:val="20"/>
              </w:rPr>
            </w:pPr>
            <w:r>
              <w:rPr>
                <w:rFonts w:ascii="宋体" w:hAnsi="宋体" w:cs="宋体" w:eastAsia="宋体" w:hint="default"/>
                <w:sz w:val="20"/>
                <w:szCs w:val="20"/>
              </w:rPr>
              <w:t>联通进出口</w:t>
            </w:r>
          </w:p>
        </w:tc>
        <w:tc>
          <w:tcPr>
            <w:tcW w:w="2438" w:type="dxa"/>
            <w:tcBorders>
              <w:top w:val="single" w:sz="6" w:space="0" w:color="000000"/>
              <w:left w:val="nil" w:sz="6" w:space="0" w:color="auto"/>
              <w:bottom w:val="nil" w:sz="6" w:space="0" w:color="auto"/>
              <w:right w:val="nil" w:sz="6" w:space="0" w:color="auto"/>
            </w:tcBorders>
          </w:tcPr>
          <w:p>
            <w:pPr>
              <w:pStyle w:val="TableParagraph"/>
              <w:spacing w:line="230" w:lineRule="exact"/>
              <w:ind w:left="36" w:right="0"/>
              <w:jc w:val="left"/>
              <w:rPr>
                <w:rFonts w:ascii="宋体" w:hAnsi="宋体" w:cs="宋体" w:eastAsia="宋体" w:hint="default"/>
                <w:sz w:val="20"/>
                <w:szCs w:val="20"/>
              </w:rPr>
            </w:pPr>
            <w:r>
              <w:rPr>
                <w:rFonts w:ascii="宋体" w:hAnsi="宋体" w:cs="宋体" w:eastAsia="宋体" w:hint="default"/>
                <w:spacing w:val="-1"/>
                <w:sz w:val="20"/>
                <w:szCs w:val="20"/>
              </w:rPr>
              <w:t>联通集团全资子公司，本公</w:t>
            </w:r>
          </w:p>
          <w:p>
            <w:pPr>
              <w:pStyle w:val="TableParagraph"/>
              <w:spacing w:line="275" w:lineRule="exact"/>
              <w:ind w:left="36" w:right="0"/>
              <w:jc w:val="left"/>
              <w:rPr>
                <w:rFonts w:ascii="Arial" w:hAnsi="Arial" w:cs="Arial" w:eastAsia="Arial" w:hint="default"/>
                <w:sz w:val="20"/>
                <w:szCs w:val="20"/>
              </w:rPr>
            </w:pPr>
            <w:r>
              <w:rPr>
                <w:rFonts w:ascii="宋体" w:hAnsi="宋体" w:cs="宋体" w:eastAsia="宋体" w:hint="default"/>
                <w:spacing w:val="-6"/>
                <w:sz w:val="20"/>
                <w:szCs w:val="20"/>
              </w:rPr>
              <w:t>司股东之一，持股</w:t>
            </w:r>
            <w:r>
              <w:rPr>
                <w:rFonts w:ascii="宋体" w:hAnsi="宋体" w:cs="宋体" w:eastAsia="宋体" w:hint="default"/>
                <w:spacing w:val="-44"/>
                <w:sz w:val="20"/>
                <w:szCs w:val="20"/>
              </w:rPr>
              <w:t> </w:t>
            </w:r>
            <w:r>
              <w:rPr>
                <w:rFonts w:ascii="Arial" w:hAnsi="Arial" w:cs="Arial" w:eastAsia="Arial" w:hint="default"/>
                <w:sz w:val="20"/>
                <w:szCs w:val="20"/>
              </w:rPr>
              <w:t>0.0027%</w:t>
            </w:r>
          </w:p>
        </w:tc>
        <w:tc>
          <w:tcPr>
            <w:tcW w:w="172" w:type="dxa"/>
            <w:tcBorders>
              <w:top w:val="nil" w:sz="6" w:space="0" w:color="auto"/>
              <w:left w:val="nil" w:sz="6" w:space="0" w:color="auto"/>
              <w:bottom w:val="nil" w:sz="6" w:space="0" w:color="auto"/>
              <w:right w:val="nil" w:sz="6" w:space="0" w:color="auto"/>
            </w:tcBorders>
          </w:tcPr>
          <w:p>
            <w:pPr/>
          </w:p>
        </w:tc>
        <w:tc>
          <w:tcPr>
            <w:tcW w:w="1234"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51" w:right="0"/>
              <w:jc w:val="left"/>
              <w:rPr>
                <w:rFonts w:ascii="Arial" w:hAnsi="Arial" w:cs="Arial" w:eastAsia="Arial" w:hint="default"/>
                <w:sz w:val="20"/>
                <w:szCs w:val="20"/>
              </w:rPr>
            </w:pPr>
            <w:r>
              <w:rPr>
                <w:rFonts w:ascii="Arial"/>
                <w:sz w:val="20"/>
              </w:rPr>
              <w:t>100018021</w:t>
            </w:r>
          </w:p>
        </w:tc>
      </w:tr>
      <w:tr>
        <w:trPr>
          <w:trHeight w:val="259" w:hRule="exact"/>
        </w:trPr>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1" w:right="0"/>
              <w:jc w:val="center"/>
              <w:rPr>
                <w:rFonts w:ascii="Arial" w:hAnsi="Arial" w:cs="Arial" w:eastAsia="Arial" w:hint="default"/>
                <w:sz w:val="20"/>
                <w:szCs w:val="20"/>
              </w:rPr>
            </w:pPr>
            <w:r>
              <w:rPr>
                <w:rFonts w:ascii="Arial"/>
                <w:sz w:val="20"/>
              </w:rPr>
              <w:t>(2)</w:t>
            </w:r>
          </w:p>
        </w:tc>
        <w:tc>
          <w:tcPr>
            <w:tcW w:w="4720" w:type="dxa"/>
            <w:tcBorders>
              <w:top w:val="nil" w:sz="6" w:space="0" w:color="auto"/>
              <w:left w:val="nil" w:sz="6" w:space="0" w:color="auto"/>
              <w:bottom w:val="nil" w:sz="6" w:space="0" w:color="auto"/>
              <w:right w:val="nil" w:sz="6" w:space="0" w:color="auto"/>
            </w:tcBorders>
          </w:tcPr>
          <w:p>
            <w:pPr>
              <w:pStyle w:val="TableParagraph"/>
              <w:spacing w:line="219" w:lineRule="exact"/>
              <w:ind w:left="58" w:right="0"/>
              <w:jc w:val="left"/>
              <w:rPr>
                <w:rFonts w:ascii="宋体" w:hAnsi="宋体" w:cs="宋体" w:eastAsia="宋体" w:hint="default"/>
                <w:sz w:val="20"/>
                <w:szCs w:val="20"/>
              </w:rPr>
            </w:pPr>
            <w:r>
              <w:rPr>
                <w:rFonts w:ascii="宋体" w:hAnsi="宋体" w:cs="宋体" w:eastAsia="宋体" w:hint="default"/>
                <w:sz w:val="20"/>
                <w:szCs w:val="20"/>
              </w:rPr>
              <w:t>联通时科</w:t>
            </w:r>
          </w:p>
        </w:tc>
        <w:tc>
          <w:tcPr>
            <w:tcW w:w="2438" w:type="dxa"/>
            <w:tcBorders>
              <w:top w:val="nil" w:sz="6" w:space="0" w:color="auto"/>
              <w:left w:val="nil" w:sz="6" w:space="0" w:color="auto"/>
              <w:bottom w:val="nil" w:sz="6" w:space="0" w:color="auto"/>
              <w:right w:val="nil" w:sz="6" w:space="0" w:color="auto"/>
            </w:tcBorders>
          </w:tcPr>
          <w:p>
            <w:pPr>
              <w:pStyle w:val="TableParagraph"/>
              <w:spacing w:line="219" w:lineRule="exact"/>
              <w:ind w:right="1"/>
              <w:jc w:val="right"/>
              <w:rPr>
                <w:rFonts w:ascii="宋体" w:hAnsi="宋体" w:cs="宋体" w:eastAsia="宋体" w:hint="default"/>
                <w:sz w:val="20"/>
                <w:szCs w:val="20"/>
              </w:rPr>
            </w:pPr>
            <w:r>
              <w:rPr>
                <w:rFonts w:ascii="宋体" w:hAnsi="宋体" w:cs="宋体" w:eastAsia="宋体" w:hint="default"/>
                <w:spacing w:val="-1"/>
                <w:sz w:val="20"/>
                <w:szCs w:val="20"/>
              </w:rPr>
              <w:t>与本公司同受联通集团控制</w:t>
            </w:r>
          </w:p>
        </w:tc>
        <w:tc>
          <w:tcPr>
            <w:tcW w:w="172"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51" w:right="0"/>
              <w:jc w:val="left"/>
              <w:rPr>
                <w:rFonts w:ascii="Arial" w:hAnsi="Arial" w:cs="Arial" w:eastAsia="Arial" w:hint="default"/>
                <w:sz w:val="20"/>
                <w:szCs w:val="20"/>
              </w:rPr>
            </w:pPr>
            <w:r>
              <w:rPr>
                <w:rFonts w:ascii="Arial"/>
                <w:sz w:val="20"/>
              </w:rPr>
              <w:t>755256282</w:t>
            </w:r>
          </w:p>
        </w:tc>
      </w:tr>
      <w:tr>
        <w:trPr>
          <w:trHeight w:val="260" w:hRule="exact"/>
        </w:trPr>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41" w:right="0"/>
              <w:jc w:val="center"/>
              <w:rPr>
                <w:rFonts w:ascii="Arial" w:hAnsi="Arial" w:cs="Arial" w:eastAsia="Arial" w:hint="default"/>
                <w:sz w:val="20"/>
                <w:szCs w:val="20"/>
              </w:rPr>
            </w:pPr>
            <w:r>
              <w:rPr>
                <w:rFonts w:ascii="Arial"/>
                <w:sz w:val="20"/>
              </w:rPr>
              <w:t>(3)</w:t>
            </w:r>
          </w:p>
        </w:tc>
        <w:tc>
          <w:tcPr>
            <w:tcW w:w="4720" w:type="dxa"/>
            <w:tcBorders>
              <w:top w:val="nil" w:sz="6" w:space="0" w:color="auto"/>
              <w:left w:val="nil" w:sz="6" w:space="0" w:color="auto"/>
              <w:bottom w:val="nil" w:sz="6" w:space="0" w:color="auto"/>
              <w:right w:val="nil" w:sz="6" w:space="0" w:color="auto"/>
            </w:tcBorders>
          </w:tcPr>
          <w:p>
            <w:pPr>
              <w:pStyle w:val="TableParagraph"/>
              <w:spacing w:line="233" w:lineRule="exact"/>
              <w:ind w:left="58" w:right="0"/>
              <w:jc w:val="left"/>
              <w:rPr>
                <w:rFonts w:ascii="Arial" w:hAnsi="Arial" w:cs="Arial" w:eastAsia="Arial" w:hint="default"/>
                <w:sz w:val="20"/>
                <w:szCs w:val="20"/>
              </w:rPr>
            </w:pPr>
            <w:r>
              <w:rPr>
                <w:rFonts w:ascii="宋体" w:hAnsi="宋体" w:cs="宋体" w:eastAsia="宋体" w:hint="default"/>
                <w:sz w:val="20"/>
                <w:szCs w:val="20"/>
              </w:rPr>
              <w:t>网通</w:t>
            </w:r>
            <w:r>
              <w:rPr>
                <w:rFonts w:ascii="宋体" w:hAnsi="宋体" w:cs="宋体" w:eastAsia="宋体" w:hint="default"/>
                <w:spacing w:val="-52"/>
                <w:sz w:val="20"/>
                <w:szCs w:val="20"/>
              </w:rPr>
              <w:t> </w:t>
            </w:r>
            <w:r>
              <w:rPr>
                <w:rFonts w:ascii="Arial" w:hAnsi="Arial" w:cs="Arial" w:eastAsia="Arial" w:hint="default"/>
                <w:sz w:val="20"/>
                <w:szCs w:val="20"/>
              </w:rPr>
              <w:t>BVI</w:t>
            </w:r>
          </w:p>
        </w:tc>
        <w:tc>
          <w:tcPr>
            <w:tcW w:w="2438" w:type="dxa"/>
            <w:tcBorders>
              <w:top w:val="nil" w:sz="6" w:space="0" w:color="auto"/>
              <w:left w:val="nil" w:sz="6" w:space="0" w:color="auto"/>
              <w:bottom w:val="nil" w:sz="6" w:space="0" w:color="auto"/>
              <w:right w:val="nil" w:sz="6" w:space="0" w:color="auto"/>
            </w:tcBorders>
          </w:tcPr>
          <w:p>
            <w:pPr>
              <w:pStyle w:val="TableParagraph"/>
              <w:spacing w:line="219" w:lineRule="exact"/>
              <w:ind w:right="1"/>
              <w:jc w:val="right"/>
              <w:rPr>
                <w:rFonts w:ascii="宋体" w:hAnsi="宋体" w:cs="宋体" w:eastAsia="宋体" w:hint="default"/>
                <w:sz w:val="20"/>
                <w:szCs w:val="20"/>
              </w:rPr>
            </w:pPr>
            <w:r>
              <w:rPr>
                <w:rFonts w:ascii="宋体" w:hAnsi="宋体" w:cs="宋体" w:eastAsia="宋体" w:hint="default"/>
                <w:spacing w:val="-1"/>
                <w:sz w:val="20"/>
                <w:szCs w:val="20"/>
              </w:rPr>
              <w:t>与本公司同受联通集团控制</w:t>
            </w:r>
          </w:p>
        </w:tc>
        <w:tc>
          <w:tcPr>
            <w:tcW w:w="172"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19" w:lineRule="exact"/>
              <w:ind w:right="78"/>
              <w:jc w:val="right"/>
              <w:rPr>
                <w:rFonts w:ascii="宋体" w:hAnsi="宋体" w:cs="宋体" w:eastAsia="宋体" w:hint="default"/>
                <w:sz w:val="20"/>
                <w:szCs w:val="20"/>
              </w:rPr>
            </w:pPr>
            <w:r>
              <w:rPr>
                <w:rFonts w:ascii="宋体" w:hAnsi="宋体" w:cs="宋体" w:eastAsia="宋体" w:hint="default"/>
                <w:sz w:val="20"/>
                <w:szCs w:val="20"/>
              </w:rPr>
              <w:t>不适用</w:t>
            </w:r>
          </w:p>
        </w:tc>
      </w:tr>
      <w:tr>
        <w:trPr>
          <w:trHeight w:val="259" w:hRule="exact"/>
        </w:trPr>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1" w:right="0"/>
              <w:jc w:val="center"/>
              <w:rPr>
                <w:rFonts w:ascii="Arial" w:hAnsi="Arial" w:cs="Arial" w:eastAsia="Arial" w:hint="default"/>
                <w:sz w:val="20"/>
                <w:szCs w:val="20"/>
              </w:rPr>
            </w:pPr>
            <w:r>
              <w:rPr>
                <w:rFonts w:ascii="Arial"/>
                <w:sz w:val="20"/>
              </w:rPr>
              <w:t>(4)</w:t>
            </w:r>
          </w:p>
        </w:tc>
        <w:tc>
          <w:tcPr>
            <w:tcW w:w="4720" w:type="dxa"/>
            <w:tcBorders>
              <w:top w:val="nil" w:sz="6" w:space="0" w:color="auto"/>
              <w:left w:val="nil" w:sz="6" w:space="0" w:color="auto"/>
              <w:bottom w:val="nil" w:sz="6" w:space="0" w:color="auto"/>
              <w:right w:val="nil" w:sz="6" w:space="0" w:color="auto"/>
            </w:tcBorders>
          </w:tcPr>
          <w:p>
            <w:pPr>
              <w:pStyle w:val="TableParagraph"/>
              <w:spacing w:line="232" w:lineRule="exact"/>
              <w:ind w:left="58" w:right="0"/>
              <w:jc w:val="left"/>
              <w:rPr>
                <w:rFonts w:ascii="宋体" w:hAnsi="宋体" w:cs="宋体" w:eastAsia="宋体" w:hint="default"/>
                <w:sz w:val="20"/>
                <w:szCs w:val="20"/>
              </w:rPr>
            </w:pPr>
            <w:r>
              <w:rPr>
                <w:rFonts w:ascii="宋体" w:hAnsi="宋体" w:cs="宋体" w:eastAsia="宋体" w:hint="default"/>
                <w:sz w:val="20"/>
                <w:szCs w:val="20"/>
              </w:rPr>
              <w:t>联通集团</w:t>
            </w:r>
            <w:r>
              <w:rPr>
                <w:rFonts w:ascii="宋体" w:hAnsi="宋体" w:cs="宋体" w:eastAsia="宋体" w:hint="default"/>
                <w:spacing w:val="-51"/>
                <w:sz w:val="20"/>
                <w:szCs w:val="20"/>
              </w:rPr>
              <w:t> </w:t>
            </w:r>
            <w:r>
              <w:rPr>
                <w:rFonts w:ascii="Arial" w:hAnsi="Arial" w:cs="Arial" w:eastAsia="Arial" w:hint="default"/>
                <w:sz w:val="20"/>
                <w:szCs w:val="20"/>
              </w:rPr>
              <w:t>BVI</w:t>
            </w:r>
            <w:r>
              <w:rPr>
                <w:rFonts w:ascii="Arial" w:hAnsi="Arial" w:cs="Arial" w:eastAsia="Arial" w:hint="default"/>
                <w:spacing w:val="-7"/>
                <w:sz w:val="20"/>
                <w:szCs w:val="20"/>
              </w:rPr>
              <w:t> </w:t>
            </w:r>
            <w:r>
              <w:rPr>
                <w:rFonts w:ascii="宋体" w:hAnsi="宋体" w:cs="宋体" w:eastAsia="宋体" w:hint="default"/>
                <w:sz w:val="20"/>
                <w:szCs w:val="20"/>
              </w:rPr>
              <w:t>公司</w:t>
            </w:r>
          </w:p>
        </w:tc>
        <w:tc>
          <w:tcPr>
            <w:tcW w:w="2438" w:type="dxa"/>
            <w:tcBorders>
              <w:top w:val="nil" w:sz="6" w:space="0" w:color="auto"/>
              <w:left w:val="nil" w:sz="6" w:space="0" w:color="auto"/>
              <w:bottom w:val="nil" w:sz="6" w:space="0" w:color="auto"/>
              <w:right w:val="nil" w:sz="6" w:space="0" w:color="auto"/>
            </w:tcBorders>
          </w:tcPr>
          <w:p>
            <w:pPr>
              <w:pStyle w:val="TableParagraph"/>
              <w:spacing w:line="218" w:lineRule="exact"/>
              <w:ind w:right="1"/>
              <w:jc w:val="right"/>
              <w:rPr>
                <w:rFonts w:ascii="宋体" w:hAnsi="宋体" w:cs="宋体" w:eastAsia="宋体" w:hint="default"/>
                <w:sz w:val="20"/>
                <w:szCs w:val="20"/>
              </w:rPr>
            </w:pPr>
            <w:r>
              <w:rPr>
                <w:rFonts w:ascii="宋体" w:hAnsi="宋体" w:cs="宋体" w:eastAsia="宋体" w:hint="default"/>
                <w:spacing w:val="-1"/>
                <w:sz w:val="20"/>
                <w:szCs w:val="20"/>
              </w:rPr>
              <w:t>与本公司同受联通集团控制</w:t>
            </w:r>
          </w:p>
        </w:tc>
        <w:tc>
          <w:tcPr>
            <w:tcW w:w="172"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18" w:lineRule="exact"/>
              <w:ind w:right="78"/>
              <w:jc w:val="right"/>
              <w:rPr>
                <w:rFonts w:ascii="宋体" w:hAnsi="宋体" w:cs="宋体" w:eastAsia="宋体" w:hint="default"/>
                <w:sz w:val="20"/>
                <w:szCs w:val="20"/>
              </w:rPr>
            </w:pPr>
            <w:r>
              <w:rPr>
                <w:rFonts w:ascii="宋体" w:hAnsi="宋体" w:cs="宋体" w:eastAsia="宋体" w:hint="default"/>
                <w:sz w:val="20"/>
                <w:szCs w:val="20"/>
              </w:rPr>
              <w:t>不适用</w:t>
            </w:r>
          </w:p>
        </w:tc>
      </w:tr>
      <w:tr>
        <w:trPr>
          <w:trHeight w:val="260" w:hRule="exact"/>
        </w:trPr>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1" w:right="0"/>
              <w:jc w:val="center"/>
              <w:rPr>
                <w:rFonts w:ascii="Arial" w:hAnsi="Arial" w:cs="Arial" w:eastAsia="Arial" w:hint="default"/>
                <w:sz w:val="20"/>
                <w:szCs w:val="20"/>
              </w:rPr>
            </w:pPr>
            <w:r>
              <w:rPr>
                <w:rFonts w:ascii="Arial"/>
                <w:sz w:val="20"/>
              </w:rPr>
              <w:t>(5)</w:t>
            </w:r>
          </w:p>
        </w:tc>
        <w:tc>
          <w:tcPr>
            <w:tcW w:w="4720" w:type="dxa"/>
            <w:tcBorders>
              <w:top w:val="nil" w:sz="6" w:space="0" w:color="auto"/>
              <w:left w:val="nil" w:sz="6" w:space="0" w:color="auto"/>
              <w:bottom w:val="nil" w:sz="6" w:space="0" w:color="auto"/>
              <w:right w:val="nil" w:sz="6" w:space="0" w:color="auto"/>
            </w:tcBorders>
          </w:tcPr>
          <w:p>
            <w:pPr>
              <w:pStyle w:val="TableParagraph"/>
              <w:spacing w:line="218" w:lineRule="exact"/>
              <w:ind w:left="58" w:right="0"/>
              <w:jc w:val="left"/>
              <w:rPr>
                <w:rFonts w:ascii="宋体" w:hAnsi="宋体" w:cs="宋体" w:eastAsia="宋体" w:hint="default"/>
                <w:sz w:val="20"/>
                <w:szCs w:val="20"/>
              </w:rPr>
            </w:pPr>
            <w:r>
              <w:rPr>
                <w:rFonts w:ascii="宋体" w:hAnsi="宋体" w:cs="宋体" w:eastAsia="宋体" w:hint="default"/>
                <w:sz w:val="20"/>
                <w:szCs w:val="20"/>
              </w:rPr>
              <w:t>中国联通集团北京市通信有限公司及其附属公司</w:t>
            </w:r>
          </w:p>
        </w:tc>
        <w:tc>
          <w:tcPr>
            <w:tcW w:w="2438" w:type="dxa"/>
            <w:tcBorders>
              <w:top w:val="nil" w:sz="6" w:space="0" w:color="auto"/>
              <w:left w:val="nil" w:sz="6" w:space="0" w:color="auto"/>
              <w:bottom w:val="nil" w:sz="6" w:space="0" w:color="auto"/>
              <w:right w:val="nil" w:sz="6" w:space="0" w:color="auto"/>
            </w:tcBorders>
          </w:tcPr>
          <w:p>
            <w:pPr>
              <w:pStyle w:val="TableParagraph"/>
              <w:spacing w:line="218" w:lineRule="exact"/>
              <w:ind w:right="1"/>
              <w:jc w:val="right"/>
              <w:rPr>
                <w:rFonts w:ascii="宋体" w:hAnsi="宋体" w:cs="宋体" w:eastAsia="宋体" w:hint="default"/>
                <w:sz w:val="20"/>
                <w:szCs w:val="20"/>
              </w:rPr>
            </w:pPr>
            <w:r>
              <w:rPr>
                <w:rFonts w:ascii="宋体" w:hAnsi="宋体" w:cs="宋体" w:eastAsia="宋体" w:hint="default"/>
                <w:spacing w:val="-1"/>
                <w:sz w:val="20"/>
                <w:szCs w:val="20"/>
              </w:rPr>
              <w:t>与本公司同受联通集团控制</w:t>
            </w:r>
          </w:p>
        </w:tc>
        <w:tc>
          <w:tcPr>
            <w:tcW w:w="172"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51" w:right="0"/>
              <w:jc w:val="left"/>
              <w:rPr>
                <w:rFonts w:ascii="Arial" w:hAnsi="Arial" w:cs="Arial" w:eastAsia="Arial" w:hint="default"/>
                <w:sz w:val="20"/>
                <w:szCs w:val="20"/>
              </w:rPr>
            </w:pPr>
            <w:r>
              <w:rPr>
                <w:rFonts w:ascii="Arial"/>
                <w:sz w:val="20"/>
              </w:rPr>
              <w:t>633648886</w:t>
            </w:r>
          </w:p>
        </w:tc>
      </w:tr>
      <w:tr>
        <w:trPr>
          <w:trHeight w:val="259" w:hRule="exact"/>
        </w:trPr>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1" w:right="0"/>
              <w:jc w:val="center"/>
              <w:rPr>
                <w:rFonts w:ascii="Arial" w:hAnsi="Arial" w:cs="Arial" w:eastAsia="Arial" w:hint="default"/>
                <w:sz w:val="20"/>
                <w:szCs w:val="20"/>
              </w:rPr>
            </w:pPr>
            <w:r>
              <w:rPr>
                <w:rFonts w:ascii="Arial"/>
                <w:sz w:val="20"/>
              </w:rPr>
              <w:t>(6)</w:t>
            </w:r>
          </w:p>
        </w:tc>
        <w:tc>
          <w:tcPr>
            <w:tcW w:w="4720" w:type="dxa"/>
            <w:tcBorders>
              <w:top w:val="nil" w:sz="6" w:space="0" w:color="auto"/>
              <w:left w:val="nil" w:sz="6" w:space="0" w:color="auto"/>
              <w:bottom w:val="nil" w:sz="6" w:space="0" w:color="auto"/>
              <w:right w:val="nil" w:sz="6" w:space="0" w:color="auto"/>
            </w:tcBorders>
          </w:tcPr>
          <w:p>
            <w:pPr>
              <w:pStyle w:val="TableParagraph"/>
              <w:spacing w:line="219" w:lineRule="exact"/>
              <w:ind w:left="58" w:right="0"/>
              <w:jc w:val="left"/>
              <w:rPr>
                <w:rFonts w:ascii="宋体" w:hAnsi="宋体" w:cs="宋体" w:eastAsia="宋体" w:hint="default"/>
                <w:sz w:val="20"/>
                <w:szCs w:val="20"/>
              </w:rPr>
            </w:pPr>
            <w:r>
              <w:rPr>
                <w:rFonts w:ascii="宋体" w:hAnsi="宋体" w:cs="宋体" w:eastAsia="宋体" w:hint="default"/>
                <w:sz w:val="20"/>
                <w:szCs w:val="20"/>
              </w:rPr>
              <w:t>天津市联通通信有限公司及其附属公司</w:t>
            </w:r>
          </w:p>
        </w:tc>
        <w:tc>
          <w:tcPr>
            <w:tcW w:w="2438" w:type="dxa"/>
            <w:tcBorders>
              <w:top w:val="nil" w:sz="6" w:space="0" w:color="auto"/>
              <w:left w:val="nil" w:sz="6" w:space="0" w:color="auto"/>
              <w:bottom w:val="nil" w:sz="6" w:space="0" w:color="auto"/>
              <w:right w:val="nil" w:sz="6" w:space="0" w:color="auto"/>
            </w:tcBorders>
          </w:tcPr>
          <w:p>
            <w:pPr>
              <w:pStyle w:val="TableParagraph"/>
              <w:spacing w:line="219" w:lineRule="exact"/>
              <w:ind w:right="1"/>
              <w:jc w:val="right"/>
              <w:rPr>
                <w:rFonts w:ascii="宋体" w:hAnsi="宋体" w:cs="宋体" w:eastAsia="宋体" w:hint="default"/>
                <w:sz w:val="20"/>
                <w:szCs w:val="20"/>
              </w:rPr>
            </w:pPr>
            <w:r>
              <w:rPr>
                <w:rFonts w:ascii="宋体" w:hAnsi="宋体" w:cs="宋体" w:eastAsia="宋体" w:hint="default"/>
                <w:spacing w:val="-1"/>
                <w:sz w:val="20"/>
                <w:szCs w:val="20"/>
              </w:rPr>
              <w:t>与本公司同受联通集团控制</w:t>
            </w:r>
          </w:p>
        </w:tc>
        <w:tc>
          <w:tcPr>
            <w:tcW w:w="172"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51" w:right="0"/>
              <w:jc w:val="left"/>
              <w:rPr>
                <w:rFonts w:ascii="Arial" w:hAnsi="Arial" w:cs="Arial" w:eastAsia="Arial" w:hint="default"/>
                <w:sz w:val="20"/>
                <w:szCs w:val="20"/>
              </w:rPr>
            </w:pPr>
            <w:r>
              <w:rPr>
                <w:rFonts w:ascii="Arial"/>
                <w:sz w:val="20"/>
              </w:rPr>
              <w:t>722998714</w:t>
            </w:r>
          </w:p>
        </w:tc>
      </w:tr>
      <w:tr>
        <w:trPr>
          <w:trHeight w:val="259" w:hRule="exact"/>
        </w:trPr>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1" w:right="0"/>
              <w:jc w:val="center"/>
              <w:rPr>
                <w:rFonts w:ascii="Arial" w:hAnsi="Arial" w:cs="Arial" w:eastAsia="Arial" w:hint="default"/>
                <w:sz w:val="20"/>
                <w:szCs w:val="20"/>
              </w:rPr>
            </w:pPr>
            <w:r>
              <w:rPr>
                <w:rFonts w:ascii="Arial"/>
                <w:sz w:val="20"/>
              </w:rPr>
              <w:t>(7)</w:t>
            </w:r>
          </w:p>
        </w:tc>
        <w:tc>
          <w:tcPr>
            <w:tcW w:w="4720" w:type="dxa"/>
            <w:tcBorders>
              <w:top w:val="nil" w:sz="6" w:space="0" w:color="auto"/>
              <w:left w:val="nil" w:sz="6" w:space="0" w:color="auto"/>
              <w:bottom w:val="nil" w:sz="6" w:space="0" w:color="auto"/>
              <w:right w:val="nil" w:sz="6" w:space="0" w:color="auto"/>
            </w:tcBorders>
          </w:tcPr>
          <w:p>
            <w:pPr>
              <w:pStyle w:val="TableParagraph"/>
              <w:spacing w:line="219" w:lineRule="exact"/>
              <w:ind w:left="58" w:right="0"/>
              <w:jc w:val="left"/>
              <w:rPr>
                <w:rFonts w:ascii="宋体" w:hAnsi="宋体" w:cs="宋体" w:eastAsia="宋体" w:hint="default"/>
                <w:sz w:val="20"/>
                <w:szCs w:val="20"/>
              </w:rPr>
            </w:pPr>
            <w:r>
              <w:rPr>
                <w:rFonts w:ascii="宋体" w:hAnsi="宋体" w:cs="宋体" w:eastAsia="宋体" w:hint="default"/>
                <w:sz w:val="20"/>
                <w:szCs w:val="20"/>
              </w:rPr>
              <w:t>中国联通集团河北省通信有限公司及其附属公司</w:t>
            </w:r>
          </w:p>
        </w:tc>
        <w:tc>
          <w:tcPr>
            <w:tcW w:w="2438" w:type="dxa"/>
            <w:tcBorders>
              <w:top w:val="nil" w:sz="6" w:space="0" w:color="auto"/>
              <w:left w:val="nil" w:sz="6" w:space="0" w:color="auto"/>
              <w:bottom w:val="nil" w:sz="6" w:space="0" w:color="auto"/>
              <w:right w:val="nil" w:sz="6" w:space="0" w:color="auto"/>
            </w:tcBorders>
          </w:tcPr>
          <w:p>
            <w:pPr>
              <w:pStyle w:val="TableParagraph"/>
              <w:spacing w:line="219" w:lineRule="exact"/>
              <w:ind w:right="1"/>
              <w:jc w:val="right"/>
              <w:rPr>
                <w:rFonts w:ascii="宋体" w:hAnsi="宋体" w:cs="宋体" w:eastAsia="宋体" w:hint="default"/>
                <w:sz w:val="20"/>
                <w:szCs w:val="20"/>
              </w:rPr>
            </w:pPr>
            <w:r>
              <w:rPr>
                <w:rFonts w:ascii="宋体" w:hAnsi="宋体" w:cs="宋体" w:eastAsia="宋体" w:hint="default"/>
                <w:spacing w:val="-1"/>
                <w:sz w:val="20"/>
                <w:szCs w:val="20"/>
              </w:rPr>
              <w:t>与本公司同受联通集团控制</w:t>
            </w:r>
          </w:p>
        </w:tc>
        <w:tc>
          <w:tcPr>
            <w:tcW w:w="172"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51" w:right="0"/>
              <w:jc w:val="left"/>
              <w:rPr>
                <w:rFonts w:ascii="Arial" w:hAnsi="Arial" w:cs="Arial" w:eastAsia="Arial" w:hint="default"/>
                <w:sz w:val="20"/>
                <w:szCs w:val="20"/>
              </w:rPr>
            </w:pPr>
            <w:r>
              <w:rPr>
                <w:rFonts w:ascii="Arial"/>
                <w:sz w:val="20"/>
              </w:rPr>
              <w:t>601042513</w:t>
            </w:r>
          </w:p>
        </w:tc>
      </w:tr>
      <w:tr>
        <w:trPr>
          <w:trHeight w:val="259" w:hRule="exact"/>
        </w:trPr>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1" w:right="0"/>
              <w:jc w:val="center"/>
              <w:rPr>
                <w:rFonts w:ascii="Arial" w:hAnsi="Arial" w:cs="Arial" w:eastAsia="Arial" w:hint="default"/>
                <w:sz w:val="20"/>
                <w:szCs w:val="20"/>
              </w:rPr>
            </w:pPr>
            <w:r>
              <w:rPr>
                <w:rFonts w:ascii="Arial"/>
                <w:sz w:val="20"/>
              </w:rPr>
              <w:t>(8)</w:t>
            </w:r>
          </w:p>
        </w:tc>
        <w:tc>
          <w:tcPr>
            <w:tcW w:w="4720" w:type="dxa"/>
            <w:tcBorders>
              <w:top w:val="nil" w:sz="6" w:space="0" w:color="auto"/>
              <w:left w:val="nil" w:sz="6" w:space="0" w:color="auto"/>
              <w:bottom w:val="nil" w:sz="6" w:space="0" w:color="auto"/>
              <w:right w:val="nil" w:sz="6" w:space="0" w:color="auto"/>
            </w:tcBorders>
          </w:tcPr>
          <w:p>
            <w:pPr>
              <w:pStyle w:val="TableParagraph"/>
              <w:spacing w:line="219" w:lineRule="exact"/>
              <w:ind w:left="58" w:right="0"/>
              <w:jc w:val="left"/>
              <w:rPr>
                <w:rFonts w:ascii="宋体" w:hAnsi="宋体" w:cs="宋体" w:eastAsia="宋体" w:hint="default"/>
                <w:sz w:val="20"/>
                <w:szCs w:val="20"/>
              </w:rPr>
            </w:pPr>
            <w:r>
              <w:rPr>
                <w:rFonts w:ascii="宋体" w:hAnsi="宋体" w:cs="宋体" w:eastAsia="宋体" w:hint="default"/>
                <w:sz w:val="20"/>
                <w:szCs w:val="20"/>
              </w:rPr>
              <w:t>河南省联通通信有限公司及其附属公司</w:t>
            </w:r>
          </w:p>
        </w:tc>
        <w:tc>
          <w:tcPr>
            <w:tcW w:w="2438" w:type="dxa"/>
            <w:tcBorders>
              <w:top w:val="nil" w:sz="6" w:space="0" w:color="auto"/>
              <w:left w:val="nil" w:sz="6" w:space="0" w:color="auto"/>
              <w:bottom w:val="nil" w:sz="6" w:space="0" w:color="auto"/>
              <w:right w:val="nil" w:sz="6" w:space="0" w:color="auto"/>
            </w:tcBorders>
          </w:tcPr>
          <w:p>
            <w:pPr>
              <w:pStyle w:val="TableParagraph"/>
              <w:spacing w:line="219" w:lineRule="exact"/>
              <w:ind w:right="1"/>
              <w:jc w:val="right"/>
              <w:rPr>
                <w:rFonts w:ascii="宋体" w:hAnsi="宋体" w:cs="宋体" w:eastAsia="宋体" w:hint="default"/>
                <w:sz w:val="20"/>
                <w:szCs w:val="20"/>
              </w:rPr>
            </w:pPr>
            <w:r>
              <w:rPr>
                <w:rFonts w:ascii="宋体" w:hAnsi="宋体" w:cs="宋体" w:eastAsia="宋体" w:hint="default"/>
                <w:spacing w:val="-1"/>
                <w:sz w:val="20"/>
                <w:szCs w:val="20"/>
              </w:rPr>
              <w:t>与本公司同受联通集团控制</w:t>
            </w:r>
          </w:p>
        </w:tc>
        <w:tc>
          <w:tcPr>
            <w:tcW w:w="172"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28" w:right="0"/>
              <w:jc w:val="left"/>
              <w:rPr>
                <w:rFonts w:ascii="Arial" w:hAnsi="Arial" w:cs="Arial" w:eastAsia="Arial" w:hint="default"/>
                <w:sz w:val="20"/>
                <w:szCs w:val="20"/>
              </w:rPr>
            </w:pPr>
            <w:r>
              <w:rPr>
                <w:rFonts w:ascii="Arial"/>
                <w:sz w:val="20"/>
              </w:rPr>
              <w:t>X14400179</w:t>
            </w:r>
          </w:p>
        </w:tc>
      </w:tr>
      <w:tr>
        <w:trPr>
          <w:trHeight w:val="259" w:hRule="exact"/>
        </w:trPr>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1" w:right="0"/>
              <w:jc w:val="center"/>
              <w:rPr>
                <w:rFonts w:ascii="Arial" w:hAnsi="Arial" w:cs="Arial" w:eastAsia="Arial" w:hint="default"/>
                <w:sz w:val="20"/>
                <w:szCs w:val="20"/>
              </w:rPr>
            </w:pPr>
            <w:r>
              <w:rPr>
                <w:rFonts w:ascii="Arial"/>
                <w:sz w:val="20"/>
              </w:rPr>
              <w:t>(9)</w:t>
            </w:r>
          </w:p>
        </w:tc>
        <w:tc>
          <w:tcPr>
            <w:tcW w:w="4720" w:type="dxa"/>
            <w:tcBorders>
              <w:top w:val="nil" w:sz="6" w:space="0" w:color="auto"/>
              <w:left w:val="nil" w:sz="6" w:space="0" w:color="auto"/>
              <w:bottom w:val="nil" w:sz="6" w:space="0" w:color="auto"/>
              <w:right w:val="nil" w:sz="6" w:space="0" w:color="auto"/>
            </w:tcBorders>
          </w:tcPr>
          <w:p>
            <w:pPr>
              <w:pStyle w:val="TableParagraph"/>
              <w:spacing w:line="219" w:lineRule="exact"/>
              <w:ind w:left="58" w:right="0"/>
              <w:jc w:val="left"/>
              <w:rPr>
                <w:rFonts w:ascii="宋体" w:hAnsi="宋体" w:cs="宋体" w:eastAsia="宋体" w:hint="default"/>
                <w:sz w:val="20"/>
                <w:szCs w:val="20"/>
              </w:rPr>
            </w:pPr>
            <w:r>
              <w:rPr>
                <w:rFonts w:ascii="宋体" w:hAnsi="宋体" w:cs="宋体" w:eastAsia="宋体" w:hint="default"/>
                <w:sz w:val="20"/>
                <w:szCs w:val="20"/>
              </w:rPr>
              <w:t>山东省联通通信有限公司及其附属公司</w:t>
            </w:r>
          </w:p>
        </w:tc>
        <w:tc>
          <w:tcPr>
            <w:tcW w:w="2438" w:type="dxa"/>
            <w:tcBorders>
              <w:top w:val="nil" w:sz="6" w:space="0" w:color="auto"/>
              <w:left w:val="nil" w:sz="6" w:space="0" w:color="auto"/>
              <w:bottom w:val="nil" w:sz="6" w:space="0" w:color="auto"/>
              <w:right w:val="nil" w:sz="6" w:space="0" w:color="auto"/>
            </w:tcBorders>
          </w:tcPr>
          <w:p>
            <w:pPr>
              <w:pStyle w:val="TableParagraph"/>
              <w:spacing w:line="219" w:lineRule="exact"/>
              <w:ind w:right="1"/>
              <w:jc w:val="right"/>
              <w:rPr>
                <w:rFonts w:ascii="宋体" w:hAnsi="宋体" w:cs="宋体" w:eastAsia="宋体" w:hint="default"/>
                <w:sz w:val="20"/>
                <w:szCs w:val="20"/>
              </w:rPr>
            </w:pPr>
            <w:r>
              <w:rPr>
                <w:rFonts w:ascii="宋体" w:hAnsi="宋体" w:cs="宋体" w:eastAsia="宋体" w:hint="default"/>
                <w:spacing w:val="-1"/>
                <w:sz w:val="20"/>
                <w:szCs w:val="20"/>
              </w:rPr>
              <w:t>与本公司同受联通集团控制</w:t>
            </w:r>
          </w:p>
        </w:tc>
        <w:tc>
          <w:tcPr>
            <w:tcW w:w="172"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51" w:right="0"/>
              <w:jc w:val="left"/>
              <w:rPr>
                <w:rFonts w:ascii="Arial" w:hAnsi="Arial" w:cs="Arial" w:eastAsia="Arial" w:hint="default"/>
                <w:sz w:val="20"/>
                <w:szCs w:val="20"/>
              </w:rPr>
            </w:pPr>
            <w:r>
              <w:rPr>
                <w:rFonts w:ascii="Arial"/>
                <w:sz w:val="20"/>
              </w:rPr>
              <w:t>724297305</w:t>
            </w:r>
          </w:p>
        </w:tc>
      </w:tr>
      <w:tr>
        <w:trPr>
          <w:trHeight w:val="260" w:hRule="exact"/>
        </w:trPr>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41" w:right="0"/>
              <w:jc w:val="center"/>
              <w:rPr>
                <w:rFonts w:ascii="Arial" w:hAnsi="Arial" w:cs="Arial" w:eastAsia="Arial" w:hint="default"/>
                <w:sz w:val="20"/>
                <w:szCs w:val="20"/>
              </w:rPr>
            </w:pPr>
            <w:r>
              <w:rPr>
                <w:rFonts w:ascii="Arial"/>
                <w:sz w:val="20"/>
              </w:rPr>
              <w:t>(10)</w:t>
            </w:r>
          </w:p>
        </w:tc>
        <w:tc>
          <w:tcPr>
            <w:tcW w:w="4720" w:type="dxa"/>
            <w:tcBorders>
              <w:top w:val="nil" w:sz="6" w:space="0" w:color="auto"/>
              <w:left w:val="nil" w:sz="6" w:space="0" w:color="auto"/>
              <w:bottom w:val="nil" w:sz="6" w:space="0" w:color="auto"/>
              <w:right w:val="nil" w:sz="6" w:space="0" w:color="auto"/>
            </w:tcBorders>
          </w:tcPr>
          <w:p>
            <w:pPr>
              <w:pStyle w:val="TableParagraph"/>
              <w:spacing w:line="219" w:lineRule="exact"/>
              <w:ind w:left="58" w:right="0"/>
              <w:jc w:val="left"/>
              <w:rPr>
                <w:rFonts w:ascii="宋体" w:hAnsi="宋体" w:cs="宋体" w:eastAsia="宋体" w:hint="default"/>
                <w:sz w:val="20"/>
                <w:szCs w:val="20"/>
              </w:rPr>
            </w:pPr>
            <w:r>
              <w:rPr>
                <w:rFonts w:ascii="宋体" w:hAnsi="宋体" w:cs="宋体" w:eastAsia="宋体" w:hint="default"/>
                <w:sz w:val="20"/>
                <w:szCs w:val="20"/>
              </w:rPr>
              <w:t>中国联通集团辽宁省通信有限公司及其附属公司</w:t>
            </w:r>
          </w:p>
        </w:tc>
        <w:tc>
          <w:tcPr>
            <w:tcW w:w="2438" w:type="dxa"/>
            <w:tcBorders>
              <w:top w:val="nil" w:sz="6" w:space="0" w:color="auto"/>
              <w:left w:val="nil" w:sz="6" w:space="0" w:color="auto"/>
              <w:bottom w:val="nil" w:sz="6" w:space="0" w:color="auto"/>
              <w:right w:val="nil" w:sz="6" w:space="0" w:color="auto"/>
            </w:tcBorders>
          </w:tcPr>
          <w:p>
            <w:pPr>
              <w:pStyle w:val="TableParagraph"/>
              <w:spacing w:line="219" w:lineRule="exact"/>
              <w:ind w:right="1"/>
              <w:jc w:val="right"/>
              <w:rPr>
                <w:rFonts w:ascii="宋体" w:hAnsi="宋体" w:cs="宋体" w:eastAsia="宋体" w:hint="default"/>
                <w:sz w:val="20"/>
                <w:szCs w:val="20"/>
              </w:rPr>
            </w:pPr>
            <w:r>
              <w:rPr>
                <w:rFonts w:ascii="宋体" w:hAnsi="宋体" w:cs="宋体" w:eastAsia="宋体" w:hint="default"/>
                <w:spacing w:val="-1"/>
                <w:sz w:val="20"/>
                <w:szCs w:val="20"/>
              </w:rPr>
              <w:t>与本公司同受联通集团控制</w:t>
            </w:r>
          </w:p>
        </w:tc>
        <w:tc>
          <w:tcPr>
            <w:tcW w:w="172"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51" w:right="0"/>
              <w:jc w:val="left"/>
              <w:rPr>
                <w:rFonts w:ascii="Arial" w:hAnsi="Arial" w:cs="Arial" w:eastAsia="Arial" w:hint="default"/>
                <w:sz w:val="20"/>
                <w:szCs w:val="20"/>
              </w:rPr>
            </w:pPr>
            <w:r>
              <w:rPr>
                <w:rFonts w:ascii="Arial"/>
                <w:sz w:val="20"/>
              </w:rPr>
              <w:t>719644210</w:t>
            </w:r>
          </w:p>
        </w:tc>
      </w:tr>
      <w:tr>
        <w:trPr>
          <w:trHeight w:val="259" w:hRule="exact"/>
        </w:trPr>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1" w:right="0"/>
              <w:jc w:val="center"/>
              <w:rPr>
                <w:rFonts w:ascii="Arial" w:hAnsi="Arial" w:cs="Arial" w:eastAsia="Arial" w:hint="default"/>
                <w:sz w:val="20"/>
                <w:szCs w:val="20"/>
              </w:rPr>
            </w:pPr>
            <w:r>
              <w:rPr>
                <w:rFonts w:ascii="Arial"/>
                <w:sz w:val="20"/>
              </w:rPr>
              <w:t>(11)</w:t>
            </w:r>
          </w:p>
        </w:tc>
        <w:tc>
          <w:tcPr>
            <w:tcW w:w="4720" w:type="dxa"/>
            <w:tcBorders>
              <w:top w:val="nil" w:sz="6" w:space="0" w:color="auto"/>
              <w:left w:val="nil" w:sz="6" w:space="0" w:color="auto"/>
              <w:bottom w:val="nil" w:sz="6" w:space="0" w:color="auto"/>
              <w:right w:val="nil" w:sz="6" w:space="0" w:color="auto"/>
            </w:tcBorders>
          </w:tcPr>
          <w:p>
            <w:pPr>
              <w:pStyle w:val="TableParagraph"/>
              <w:spacing w:line="218" w:lineRule="exact"/>
              <w:ind w:left="58" w:right="0"/>
              <w:jc w:val="left"/>
              <w:rPr>
                <w:rFonts w:ascii="宋体" w:hAnsi="宋体" w:cs="宋体" w:eastAsia="宋体" w:hint="default"/>
                <w:sz w:val="20"/>
                <w:szCs w:val="20"/>
              </w:rPr>
            </w:pPr>
            <w:r>
              <w:rPr>
                <w:rFonts w:ascii="宋体" w:hAnsi="宋体" w:cs="宋体" w:eastAsia="宋体" w:hint="default"/>
                <w:sz w:val="20"/>
                <w:szCs w:val="20"/>
              </w:rPr>
              <w:t>山西省联通通信有限公司及其附属公司</w:t>
            </w:r>
          </w:p>
        </w:tc>
        <w:tc>
          <w:tcPr>
            <w:tcW w:w="2438" w:type="dxa"/>
            <w:tcBorders>
              <w:top w:val="nil" w:sz="6" w:space="0" w:color="auto"/>
              <w:left w:val="nil" w:sz="6" w:space="0" w:color="auto"/>
              <w:bottom w:val="nil" w:sz="6" w:space="0" w:color="auto"/>
              <w:right w:val="nil" w:sz="6" w:space="0" w:color="auto"/>
            </w:tcBorders>
          </w:tcPr>
          <w:p>
            <w:pPr>
              <w:pStyle w:val="TableParagraph"/>
              <w:spacing w:line="218" w:lineRule="exact"/>
              <w:ind w:right="1"/>
              <w:jc w:val="right"/>
              <w:rPr>
                <w:rFonts w:ascii="宋体" w:hAnsi="宋体" w:cs="宋体" w:eastAsia="宋体" w:hint="default"/>
                <w:sz w:val="20"/>
                <w:szCs w:val="20"/>
              </w:rPr>
            </w:pPr>
            <w:r>
              <w:rPr>
                <w:rFonts w:ascii="宋体" w:hAnsi="宋体" w:cs="宋体" w:eastAsia="宋体" w:hint="default"/>
                <w:spacing w:val="-1"/>
                <w:sz w:val="20"/>
                <w:szCs w:val="20"/>
              </w:rPr>
              <w:t>与本公司同受联通集团控制</w:t>
            </w:r>
          </w:p>
        </w:tc>
        <w:tc>
          <w:tcPr>
            <w:tcW w:w="172"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51" w:right="0"/>
              <w:jc w:val="left"/>
              <w:rPr>
                <w:rFonts w:ascii="Arial" w:hAnsi="Arial" w:cs="Arial" w:eastAsia="Arial" w:hint="default"/>
                <w:sz w:val="20"/>
                <w:szCs w:val="20"/>
              </w:rPr>
            </w:pPr>
            <w:r>
              <w:rPr>
                <w:rFonts w:ascii="Arial"/>
                <w:sz w:val="20"/>
              </w:rPr>
              <w:t>724603413</w:t>
            </w:r>
          </w:p>
        </w:tc>
      </w:tr>
      <w:tr>
        <w:trPr>
          <w:trHeight w:val="260" w:hRule="exact"/>
        </w:trPr>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1" w:right="0"/>
              <w:jc w:val="center"/>
              <w:rPr>
                <w:rFonts w:ascii="Arial" w:hAnsi="Arial" w:cs="Arial" w:eastAsia="Arial" w:hint="default"/>
                <w:sz w:val="20"/>
                <w:szCs w:val="20"/>
              </w:rPr>
            </w:pPr>
            <w:r>
              <w:rPr>
                <w:rFonts w:ascii="Arial"/>
                <w:sz w:val="20"/>
              </w:rPr>
              <w:t>(12)</w:t>
            </w:r>
          </w:p>
        </w:tc>
        <w:tc>
          <w:tcPr>
            <w:tcW w:w="4720" w:type="dxa"/>
            <w:tcBorders>
              <w:top w:val="nil" w:sz="6" w:space="0" w:color="auto"/>
              <w:left w:val="nil" w:sz="6" w:space="0" w:color="auto"/>
              <w:bottom w:val="nil" w:sz="6" w:space="0" w:color="auto"/>
              <w:right w:val="nil" w:sz="6" w:space="0" w:color="auto"/>
            </w:tcBorders>
          </w:tcPr>
          <w:p>
            <w:pPr>
              <w:pStyle w:val="TableParagraph"/>
              <w:spacing w:line="218" w:lineRule="exact"/>
              <w:ind w:left="58" w:right="0"/>
              <w:jc w:val="left"/>
              <w:rPr>
                <w:rFonts w:ascii="宋体" w:hAnsi="宋体" w:cs="宋体" w:eastAsia="宋体" w:hint="default"/>
                <w:sz w:val="20"/>
                <w:szCs w:val="20"/>
              </w:rPr>
            </w:pPr>
            <w:r>
              <w:rPr>
                <w:rFonts w:ascii="宋体" w:hAnsi="宋体" w:cs="宋体" w:eastAsia="宋体" w:hint="default"/>
                <w:sz w:val="20"/>
                <w:szCs w:val="20"/>
              </w:rPr>
              <w:t>吉林省联通通信有限公司及其附属公司</w:t>
            </w:r>
          </w:p>
        </w:tc>
        <w:tc>
          <w:tcPr>
            <w:tcW w:w="2438" w:type="dxa"/>
            <w:tcBorders>
              <w:top w:val="nil" w:sz="6" w:space="0" w:color="auto"/>
              <w:left w:val="nil" w:sz="6" w:space="0" w:color="auto"/>
              <w:bottom w:val="nil" w:sz="6" w:space="0" w:color="auto"/>
              <w:right w:val="nil" w:sz="6" w:space="0" w:color="auto"/>
            </w:tcBorders>
          </w:tcPr>
          <w:p>
            <w:pPr>
              <w:pStyle w:val="TableParagraph"/>
              <w:spacing w:line="218" w:lineRule="exact"/>
              <w:ind w:right="1"/>
              <w:jc w:val="right"/>
              <w:rPr>
                <w:rFonts w:ascii="宋体" w:hAnsi="宋体" w:cs="宋体" w:eastAsia="宋体" w:hint="default"/>
                <w:sz w:val="20"/>
                <w:szCs w:val="20"/>
              </w:rPr>
            </w:pPr>
            <w:r>
              <w:rPr>
                <w:rFonts w:ascii="宋体" w:hAnsi="宋体" w:cs="宋体" w:eastAsia="宋体" w:hint="default"/>
                <w:spacing w:val="-1"/>
                <w:sz w:val="20"/>
                <w:szCs w:val="20"/>
              </w:rPr>
              <w:t>与本公司同受联通集团控制</w:t>
            </w:r>
          </w:p>
        </w:tc>
        <w:tc>
          <w:tcPr>
            <w:tcW w:w="172"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51" w:right="0"/>
              <w:jc w:val="left"/>
              <w:rPr>
                <w:rFonts w:ascii="Arial" w:hAnsi="Arial" w:cs="Arial" w:eastAsia="Arial" w:hint="default"/>
                <w:sz w:val="20"/>
                <w:szCs w:val="20"/>
              </w:rPr>
            </w:pPr>
            <w:r>
              <w:rPr>
                <w:rFonts w:ascii="Arial"/>
                <w:sz w:val="20"/>
              </w:rPr>
              <w:t>702401431</w:t>
            </w:r>
          </w:p>
        </w:tc>
      </w:tr>
      <w:tr>
        <w:trPr>
          <w:trHeight w:val="259" w:hRule="exact"/>
        </w:trPr>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1" w:right="0"/>
              <w:jc w:val="center"/>
              <w:rPr>
                <w:rFonts w:ascii="Arial" w:hAnsi="Arial" w:cs="Arial" w:eastAsia="Arial" w:hint="default"/>
                <w:sz w:val="20"/>
                <w:szCs w:val="20"/>
              </w:rPr>
            </w:pPr>
            <w:r>
              <w:rPr>
                <w:rFonts w:ascii="Arial"/>
                <w:sz w:val="20"/>
              </w:rPr>
              <w:t>(13)</w:t>
            </w:r>
          </w:p>
        </w:tc>
        <w:tc>
          <w:tcPr>
            <w:tcW w:w="4720" w:type="dxa"/>
            <w:tcBorders>
              <w:top w:val="nil" w:sz="6" w:space="0" w:color="auto"/>
              <w:left w:val="nil" w:sz="6" w:space="0" w:color="auto"/>
              <w:bottom w:val="nil" w:sz="6" w:space="0" w:color="auto"/>
              <w:right w:val="nil" w:sz="6" w:space="0" w:color="auto"/>
            </w:tcBorders>
          </w:tcPr>
          <w:p>
            <w:pPr>
              <w:pStyle w:val="TableParagraph"/>
              <w:spacing w:line="219" w:lineRule="exact"/>
              <w:ind w:left="58" w:right="0"/>
              <w:jc w:val="left"/>
              <w:rPr>
                <w:rFonts w:ascii="宋体" w:hAnsi="宋体" w:cs="宋体" w:eastAsia="宋体" w:hint="default"/>
                <w:sz w:val="20"/>
                <w:szCs w:val="20"/>
              </w:rPr>
            </w:pPr>
            <w:r>
              <w:rPr>
                <w:rFonts w:ascii="宋体" w:hAnsi="宋体" w:cs="宋体" w:eastAsia="宋体" w:hint="default"/>
                <w:sz w:val="20"/>
                <w:szCs w:val="20"/>
              </w:rPr>
              <w:t>中国联通集团黑龙江省通信有限公司及其附属公司</w:t>
            </w:r>
          </w:p>
        </w:tc>
        <w:tc>
          <w:tcPr>
            <w:tcW w:w="2438" w:type="dxa"/>
            <w:tcBorders>
              <w:top w:val="nil" w:sz="6" w:space="0" w:color="auto"/>
              <w:left w:val="nil" w:sz="6" w:space="0" w:color="auto"/>
              <w:bottom w:val="nil" w:sz="6" w:space="0" w:color="auto"/>
              <w:right w:val="nil" w:sz="6" w:space="0" w:color="auto"/>
            </w:tcBorders>
          </w:tcPr>
          <w:p>
            <w:pPr>
              <w:pStyle w:val="TableParagraph"/>
              <w:spacing w:line="219" w:lineRule="exact"/>
              <w:ind w:right="1"/>
              <w:jc w:val="right"/>
              <w:rPr>
                <w:rFonts w:ascii="宋体" w:hAnsi="宋体" w:cs="宋体" w:eastAsia="宋体" w:hint="default"/>
                <w:sz w:val="20"/>
                <w:szCs w:val="20"/>
              </w:rPr>
            </w:pPr>
            <w:r>
              <w:rPr>
                <w:rFonts w:ascii="宋体" w:hAnsi="宋体" w:cs="宋体" w:eastAsia="宋体" w:hint="default"/>
                <w:spacing w:val="-1"/>
                <w:sz w:val="20"/>
                <w:szCs w:val="20"/>
              </w:rPr>
              <w:t>与本公司同受联通集团控制</w:t>
            </w:r>
          </w:p>
        </w:tc>
        <w:tc>
          <w:tcPr>
            <w:tcW w:w="172"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51" w:right="0"/>
              <w:jc w:val="left"/>
              <w:rPr>
                <w:rFonts w:ascii="Arial" w:hAnsi="Arial" w:cs="Arial" w:eastAsia="Arial" w:hint="default"/>
                <w:sz w:val="20"/>
                <w:szCs w:val="20"/>
              </w:rPr>
            </w:pPr>
            <w:r>
              <w:rPr>
                <w:rFonts w:ascii="Arial"/>
                <w:sz w:val="20"/>
              </w:rPr>
              <w:t>001697620</w:t>
            </w:r>
          </w:p>
        </w:tc>
      </w:tr>
      <w:tr>
        <w:trPr>
          <w:trHeight w:val="241" w:hRule="exact"/>
        </w:trPr>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1" w:right="0"/>
              <w:jc w:val="center"/>
              <w:rPr>
                <w:rFonts w:ascii="Arial" w:hAnsi="Arial" w:cs="Arial" w:eastAsia="Arial" w:hint="default"/>
                <w:sz w:val="20"/>
                <w:szCs w:val="20"/>
              </w:rPr>
            </w:pPr>
            <w:r>
              <w:rPr>
                <w:rFonts w:ascii="Arial"/>
                <w:sz w:val="20"/>
              </w:rPr>
              <w:t>(14)</w:t>
            </w:r>
          </w:p>
        </w:tc>
        <w:tc>
          <w:tcPr>
            <w:tcW w:w="4720" w:type="dxa"/>
            <w:tcBorders>
              <w:top w:val="nil" w:sz="6" w:space="0" w:color="auto"/>
              <w:left w:val="nil" w:sz="6" w:space="0" w:color="auto"/>
              <w:bottom w:val="nil" w:sz="6" w:space="0" w:color="auto"/>
              <w:right w:val="nil" w:sz="6" w:space="0" w:color="auto"/>
            </w:tcBorders>
          </w:tcPr>
          <w:p>
            <w:pPr>
              <w:pStyle w:val="TableParagraph"/>
              <w:spacing w:line="219" w:lineRule="exact"/>
              <w:ind w:left="58" w:right="0"/>
              <w:jc w:val="left"/>
              <w:rPr>
                <w:rFonts w:ascii="宋体" w:hAnsi="宋体" w:cs="宋体" w:eastAsia="宋体" w:hint="default"/>
                <w:sz w:val="20"/>
                <w:szCs w:val="20"/>
              </w:rPr>
            </w:pPr>
            <w:r>
              <w:rPr>
                <w:rFonts w:ascii="宋体" w:hAnsi="宋体" w:cs="宋体" w:eastAsia="宋体" w:hint="default"/>
                <w:sz w:val="20"/>
                <w:szCs w:val="20"/>
              </w:rPr>
              <w:t>内蒙古联通通信有限公司及其附属公司</w:t>
            </w:r>
          </w:p>
        </w:tc>
        <w:tc>
          <w:tcPr>
            <w:tcW w:w="2438" w:type="dxa"/>
            <w:tcBorders>
              <w:top w:val="nil" w:sz="6" w:space="0" w:color="auto"/>
              <w:left w:val="nil" w:sz="6" w:space="0" w:color="auto"/>
              <w:bottom w:val="nil" w:sz="6" w:space="0" w:color="auto"/>
              <w:right w:val="nil" w:sz="6" w:space="0" w:color="auto"/>
            </w:tcBorders>
          </w:tcPr>
          <w:p>
            <w:pPr>
              <w:pStyle w:val="TableParagraph"/>
              <w:spacing w:line="219" w:lineRule="exact"/>
              <w:ind w:right="1"/>
              <w:jc w:val="right"/>
              <w:rPr>
                <w:rFonts w:ascii="宋体" w:hAnsi="宋体" w:cs="宋体" w:eastAsia="宋体" w:hint="default"/>
                <w:sz w:val="20"/>
                <w:szCs w:val="20"/>
              </w:rPr>
            </w:pPr>
            <w:r>
              <w:rPr>
                <w:rFonts w:ascii="宋体" w:hAnsi="宋体" w:cs="宋体" w:eastAsia="宋体" w:hint="default"/>
                <w:spacing w:val="-1"/>
                <w:sz w:val="20"/>
                <w:szCs w:val="20"/>
              </w:rPr>
              <w:t>与本公司同受联通集团控制</w:t>
            </w:r>
          </w:p>
        </w:tc>
        <w:tc>
          <w:tcPr>
            <w:tcW w:w="172"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51" w:right="0"/>
              <w:jc w:val="left"/>
              <w:rPr>
                <w:rFonts w:ascii="Arial" w:hAnsi="Arial" w:cs="Arial" w:eastAsia="Arial" w:hint="default"/>
                <w:sz w:val="20"/>
                <w:szCs w:val="20"/>
              </w:rPr>
            </w:pPr>
            <w:r>
              <w:rPr>
                <w:rFonts w:ascii="Arial"/>
                <w:sz w:val="20"/>
              </w:rPr>
              <w:t>114119157</w:t>
            </w:r>
          </w:p>
        </w:tc>
      </w:tr>
    </w:tbl>
    <w:p>
      <w:pPr>
        <w:spacing w:after="0" w:line="240" w:lineRule="auto"/>
        <w:jc w:val="left"/>
        <w:rPr>
          <w:rFonts w:ascii="Arial" w:hAnsi="Arial" w:cs="Arial" w:eastAsia="Arial" w:hint="default"/>
          <w:sz w:val="20"/>
          <w:szCs w:val="20"/>
        </w:rPr>
        <w:sectPr>
          <w:headerReference w:type="default" r:id="rId133"/>
          <w:pgSz w:w="11910" w:h="16840"/>
          <w:pgMar w:header="1184" w:footer="457" w:top="2500" w:bottom="640" w:left="1280" w:right="940"/>
        </w:sectPr>
      </w:pPr>
    </w:p>
    <w:p>
      <w:pPr>
        <w:spacing w:line="240" w:lineRule="auto" w:before="9"/>
        <w:rPr>
          <w:rFonts w:ascii="宋体" w:hAnsi="宋体" w:cs="宋体" w:eastAsia="宋体" w:hint="default"/>
          <w:sz w:val="16"/>
          <w:szCs w:val="16"/>
        </w:rPr>
      </w:pPr>
    </w:p>
    <w:p>
      <w:pPr>
        <w:pStyle w:val="BodyText"/>
        <w:spacing w:line="240" w:lineRule="auto" w:before="31"/>
        <w:ind w:left="142" w:right="95"/>
        <w:jc w:val="left"/>
      </w:pPr>
      <w:r>
        <w:rPr>
          <w:rFonts w:ascii="Arial" w:hAnsi="Arial" w:cs="Arial" w:eastAsia="Arial" w:hint="default"/>
        </w:rPr>
        <w:t>3</w:t>
      </w:r>
      <w:r>
        <w:rPr/>
        <w:t>、</w:t>
      </w:r>
      <w:r>
        <w:rPr>
          <w:spacing w:val="-39"/>
        </w:rPr>
        <w:t> </w:t>
      </w:r>
      <w:r>
        <w:rPr/>
        <w:t>其他关联方情况（续）</w:t>
      </w:r>
    </w:p>
    <w:p>
      <w:pPr>
        <w:spacing w:line="240" w:lineRule="auto" w:before="10"/>
        <w:rPr>
          <w:rFonts w:ascii="宋体" w:hAnsi="宋体" w:cs="宋体" w:eastAsia="宋体" w:hint="default"/>
          <w:sz w:val="18"/>
          <w:szCs w:val="18"/>
        </w:rPr>
      </w:pPr>
    </w:p>
    <w:p>
      <w:pPr>
        <w:pStyle w:val="BodyText"/>
        <w:spacing w:line="230" w:lineRule="auto"/>
        <w:ind w:left="1024" w:right="337" w:hanging="450"/>
        <w:jc w:val="both"/>
      </w:pPr>
      <w:r>
        <w:rPr>
          <w:spacing w:val="-4"/>
        </w:rPr>
        <w:t>注：如附注一</w:t>
      </w:r>
      <w:r>
        <w:rPr>
          <w:rFonts w:ascii="Arial" w:hAnsi="Arial" w:cs="Arial" w:eastAsia="Arial" w:hint="default"/>
          <w:spacing w:val="-4"/>
        </w:rPr>
        <w:t>(2)</w:t>
      </w:r>
      <w:r>
        <w:rPr>
          <w:spacing w:val="-4"/>
        </w:rPr>
        <w:t>所述，于</w:t>
      </w:r>
      <w:r>
        <w:rPr>
          <w:spacing w:val="-59"/>
        </w:rPr>
        <w:t> </w:t>
      </w:r>
      <w:r>
        <w:rPr>
          <w:rFonts w:ascii="Arial" w:hAnsi="Arial" w:cs="Arial" w:eastAsia="Arial" w:hint="default"/>
        </w:rPr>
        <w:t>2012</w:t>
      </w:r>
      <w:r>
        <w:rPr>
          <w:rFonts w:ascii="Arial" w:hAnsi="Arial" w:cs="Arial" w:eastAsia="Arial" w:hint="default"/>
          <w:spacing w:val="-10"/>
        </w:rPr>
        <w:t> </w:t>
      </w:r>
      <w:r>
        <w:rPr/>
        <w:t>年</w:t>
      </w:r>
      <w:r>
        <w:rPr>
          <w:spacing w:val="-59"/>
        </w:rPr>
        <w:t> </w:t>
      </w:r>
      <w:r>
        <w:rPr>
          <w:rFonts w:ascii="Arial" w:hAnsi="Arial" w:cs="Arial" w:eastAsia="Arial" w:hint="default"/>
        </w:rPr>
        <w:t>12</w:t>
      </w:r>
      <w:r>
        <w:rPr>
          <w:rFonts w:ascii="Arial" w:hAnsi="Arial" w:cs="Arial" w:eastAsia="Arial" w:hint="default"/>
          <w:spacing w:val="-10"/>
        </w:rPr>
        <w:t> </w:t>
      </w:r>
      <w:r>
        <w:rPr/>
        <w:t>月</w:t>
      </w:r>
      <w:r>
        <w:rPr>
          <w:spacing w:val="-59"/>
        </w:rPr>
        <w:t> </w:t>
      </w:r>
      <w:r>
        <w:rPr>
          <w:rFonts w:ascii="Arial" w:hAnsi="Arial" w:cs="Arial" w:eastAsia="Arial" w:hint="default"/>
        </w:rPr>
        <w:t>26</w:t>
      </w:r>
      <w:r>
        <w:rPr>
          <w:rFonts w:ascii="Arial" w:hAnsi="Arial" w:cs="Arial" w:eastAsia="Arial" w:hint="default"/>
          <w:spacing w:val="-10"/>
        </w:rPr>
        <w:t> </w:t>
      </w:r>
      <w:r>
        <w:rPr/>
        <w:t>日，联通运营公司完成收购联通新时空</w:t>
      </w:r>
      <w:r>
        <w:rPr>
          <w:spacing w:val="-56"/>
        </w:rPr>
        <w:t> </w:t>
      </w:r>
      <w:r>
        <w:rPr>
          <w:rFonts w:ascii="Arial" w:hAnsi="Arial" w:cs="Arial" w:eastAsia="Arial" w:hint="default"/>
        </w:rPr>
        <w:t>100%</w:t>
      </w:r>
      <w:r>
        <w:rPr/>
        <w:t>的股</w:t>
      </w:r>
      <w:r>
        <w:rPr>
          <w:w w:val="99"/>
        </w:rPr>
        <w:t> </w:t>
      </w:r>
      <w:r>
        <w:rPr>
          <w:spacing w:val="-2"/>
        </w:rPr>
        <w:t>权。交易完成后，联通新时空和本集团所属其他公司的交易在本集团合并财务报表中不再</w:t>
      </w:r>
      <w:r>
        <w:rPr>
          <w:w w:val="99"/>
        </w:rPr>
        <w:t> </w:t>
      </w:r>
      <w:r>
        <w:rPr/>
        <w:t>反映为关联交易。</w:t>
      </w:r>
    </w:p>
    <w:p>
      <w:pPr>
        <w:spacing w:line="240" w:lineRule="auto" w:before="4"/>
        <w:rPr>
          <w:rFonts w:ascii="宋体" w:hAnsi="宋体" w:cs="宋体" w:eastAsia="宋体" w:hint="default"/>
          <w:sz w:val="19"/>
          <w:szCs w:val="19"/>
        </w:rPr>
      </w:pPr>
    </w:p>
    <w:p>
      <w:pPr>
        <w:pStyle w:val="BodyText"/>
        <w:spacing w:line="240" w:lineRule="auto"/>
        <w:ind w:left="142" w:right="95"/>
        <w:jc w:val="left"/>
      </w:pPr>
      <w:r>
        <w:rPr>
          <w:rFonts w:ascii="Arial" w:hAnsi="Arial" w:cs="Arial" w:eastAsia="Arial" w:hint="default"/>
        </w:rPr>
        <w:t>4</w:t>
      </w:r>
      <w:r>
        <w:rPr/>
        <w:t>、</w:t>
      </w:r>
      <w:r>
        <w:rPr>
          <w:spacing w:val="-38"/>
        </w:rPr>
        <w:t> </w:t>
      </w:r>
      <w:r>
        <w:rPr/>
        <w:t>关联交易</w:t>
      </w:r>
    </w:p>
    <w:p>
      <w:pPr>
        <w:spacing w:line="240" w:lineRule="auto" w:before="5"/>
        <w:rPr>
          <w:rFonts w:ascii="宋体" w:hAnsi="宋体" w:cs="宋体" w:eastAsia="宋体" w:hint="default"/>
          <w:sz w:val="22"/>
          <w:szCs w:val="22"/>
        </w:rPr>
      </w:pPr>
    </w:p>
    <w:tbl>
      <w:tblPr>
        <w:tblW w:w="0" w:type="auto"/>
        <w:jc w:val="left"/>
        <w:tblInd w:w="520" w:type="dxa"/>
        <w:tblLayout w:type="fixed"/>
        <w:tblCellMar>
          <w:top w:w="0" w:type="dxa"/>
          <w:left w:w="0" w:type="dxa"/>
          <w:bottom w:w="0" w:type="dxa"/>
          <w:right w:w="0" w:type="dxa"/>
        </w:tblCellMar>
        <w:tblLook w:val="01E0"/>
      </w:tblPr>
      <w:tblGrid>
        <w:gridCol w:w="3116"/>
        <w:gridCol w:w="765"/>
        <w:gridCol w:w="1686"/>
        <w:gridCol w:w="987"/>
        <w:gridCol w:w="1355"/>
        <w:gridCol w:w="1282"/>
      </w:tblGrid>
      <w:tr>
        <w:trPr>
          <w:trHeight w:val="608" w:hRule="exact"/>
        </w:trPr>
        <w:tc>
          <w:tcPr>
            <w:tcW w:w="3116"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8"/>
              <w:jc w:val="center"/>
              <w:rPr>
                <w:rFonts w:ascii="宋体" w:hAnsi="宋体" w:cs="宋体" w:eastAsia="宋体" w:hint="default"/>
                <w:sz w:val="16"/>
                <w:szCs w:val="16"/>
              </w:rPr>
            </w:pPr>
            <w:r>
              <w:rPr>
                <w:rFonts w:ascii="宋体" w:hAnsi="宋体" w:cs="宋体" w:eastAsia="宋体" w:hint="default"/>
                <w:sz w:val="16"/>
                <w:szCs w:val="16"/>
              </w:rPr>
              <w:t>关联交易内容</w:t>
            </w:r>
          </w:p>
        </w:tc>
        <w:tc>
          <w:tcPr>
            <w:tcW w:w="765"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08" w:lineRule="exact"/>
              <w:ind w:left="80" w:right="0"/>
              <w:jc w:val="left"/>
              <w:rPr>
                <w:rFonts w:ascii="宋体" w:hAnsi="宋体" w:cs="宋体" w:eastAsia="宋体" w:hint="default"/>
                <w:sz w:val="16"/>
                <w:szCs w:val="16"/>
              </w:rPr>
            </w:pPr>
            <w:r>
              <w:rPr>
                <w:rFonts w:ascii="宋体" w:hAnsi="宋体" w:cs="宋体" w:eastAsia="宋体" w:hint="default"/>
                <w:sz w:val="16"/>
                <w:szCs w:val="16"/>
              </w:rPr>
              <w:t>关联交易</w:t>
            </w:r>
          </w:p>
          <w:p>
            <w:pPr>
              <w:pStyle w:val="TableParagraph"/>
              <w:spacing w:line="208" w:lineRule="exact"/>
              <w:ind w:left="350" w:right="0"/>
              <w:jc w:val="left"/>
              <w:rPr>
                <w:rFonts w:ascii="宋体" w:hAnsi="宋体" w:cs="宋体" w:eastAsia="宋体" w:hint="default"/>
                <w:sz w:val="16"/>
                <w:szCs w:val="16"/>
              </w:rPr>
            </w:pPr>
            <w:r>
              <w:rPr>
                <w:rFonts w:ascii="宋体" w:hAnsi="宋体" w:cs="宋体" w:eastAsia="宋体" w:hint="default"/>
                <w:sz w:val="16"/>
                <w:szCs w:val="16"/>
              </w:rPr>
              <w:t>类型</w:t>
            </w:r>
          </w:p>
        </w:tc>
        <w:tc>
          <w:tcPr>
            <w:tcW w:w="1686"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4"/>
              <w:jc w:val="center"/>
              <w:rPr>
                <w:rFonts w:ascii="宋体" w:hAnsi="宋体" w:cs="宋体" w:eastAsia="宋体" w:hint="default"/>
                <w:sz w:val="16"/>
                <w:szCs w:val="16"/>
              </w:rPr>
            </w:pPr>
            <w:r>
              <w:rPr>
                <w:rFonts w:ascii="宋体" w:hAnsi="宋体" w:cs="宋体" w:eastAsia="宋体" w:hint="default"/>
                <w:sz w:val="16"/>
                <w:szCs w:val="16"/>
              </w:rPr>
              <w:t>关联方</w:t>
            </w:r>
          </w:p>
        </w:tc>
        <w:tc>
          <w:tcPr>
            <w:tcW w:w="987" w:type="dxa"/>
            <w:tcBorders>
              <w:top w:val="nil" w:sz="6" w:space="0" w:color="auto"/>
              <w:left w:val="nil" w:sz="6" w:space="0" w:color="auto"/>
              <w:bottom w:val="single" w:sz="6" w:space="0" w:color="000000"/>
              <w:right w:val="nil" w:sz="6" w:space="0" w:color="auto"/>
            </w:tcBorders>
          </w:tcPr>
          <w:p>
            <w:pPr>
              <w:pStyle w:val="TableParagraph"/>
              <w:spacing w:line="159" w:lineRule="exact"/>
              <w:ind w:left="201" w:right="0"/>
              <w:jc w:val="left"/>
              <w:rPr>
                <w:rFonts w:ascii="宋体" w:hAnsi="宋体" w:cs="宋体" w:eastAsia="宋体" w:hint="default"/>
                <w:sz w:val="16"/>
                <w:szCs w:val="16"/>
              </w:rPr>
            </w:pPr>
            <w:r>
              <w:rPr>
                <w:rFonts w:ascii="宋体" w:hAnsi="宋体" w:cs="宋体" w:eastAsia="宋体" w:hint="default"/>
                <w:sz w:val="16"/>
                <w:szCs w:val="16"/>
              </w:rPr>
              <w:t>关联交易</w:t>
            </w:r>
          </w:p>
          <w:p>
            <w:pPr>
              <w:pStyle w:val="TableParagraph"/>
              <w:spacing w:line="240" w:lineRule="auto"/>
              <w:ind w:left="40" w:right="146" w:firstLine="160"/>
              <w:jc w:val="left"/>
              <w:rPr>
                <w:rFonts w:ascii="宋体" w:hAnsi="宋体" w:cs="宋体" w:eastAsia="宋体" w:hint="default"/>
                <w:sz w:val="16"/>
                <w:szCs w:val="16"/>
              </w:rPr>
            </w:pPr>
            <w:r>
              <w:rPr>
                <w:rFonts w:ascii="宋体" w:hAnsi="宋体" w:cs="宋体" w:eastAsia="宋体" w:hint="default"/>
                <w:w w:val="95"/>
                <w:sz w:val="16"/>
                <w:szCs w:val="16"/>
              </w:rPr>
              <w:t>定价方式</w:t>
            </w:r>
            <w:r>
              <w:rPr>
                <w:rFonts w:ascii="宋体" w:hAnsi="宋体" w:cs="宋体" w:eastAsia="宋体" w:hint="default"/>
                <w:w w:val="99"/>
                <w:sz w:val="16"/>
                <w:szCs w:val="16"/>
              </w:rPr>
              <w:t> </w:t>
            </w:r>
            <w:r>
              <w:rPr>
                <w:rFonts w:ascii="宋体" w:hAnsi="宋体" w:cs="宋体" w:eastAsia="宋体" w:hint="default"/>
                <w:sz w:val="16"/>
                <w:szCs w:val="16"/>
              </w:rPr>
              <w:t>及决策程序</w:t>
            </w:r>
          </w:p>
        </w:tc>
        <w:tc>
          <w:tcPr>
            <w:tcW w:w="1355"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84"/>
              <w:jc w:val="right"/>
              <w:rPr>
                <w:rFonts w:ascii="宋体" w:hAnsi="宋体" w:cs="宋体" w:eastAsia="宋体" w:hint="default"/>
                <w:sz w:val="16"/>
                <w:szCs w:val="16"/>
              </w:rPr>
            </w:pPr>
            <w:r>
              <w:rPr>
                <w:rFonts w:ascii="Arial" w:hAnsi="Arial" w:cs="Arial" w:eastAsia="Arial" w:hint="default"/>
                <w:sz w:val="16"/>
                <w:szCs w:val="16"/>
              </w:rPr>
              <w:t>2012</w:t>
            </w:r>
            <w:r>
              <w:rPr>
                <w:rFonts w:ascii="Arial" w:hAnsi="Arial" w:cs="Arial" w:eastAsia="Arial" w:hint="default"/>
                <w:spacing w:val="-6"/>
                <w:sz w:val="16"/>
                <w:szCs w:val="16"/>
              </w:rPr>
              <w:t> </w:t>
            </w:r>
            <w:r>
              <w:rPr>
                <w:rFonts w:ascii="宋体" w:hAnsi="宋体" w:cs="宋体" w:eastAsia="宋体" w:hint="default"/>
                <w:sz w:val="16"/>
                <w:szCs w:val="16"/>
              </w:rPr>
              <w:t>年度</w:t>
            </w:r>
          </w:p>
        </w:tc>
        <w:tc>
          <w:tcPr>
            <w:tcW w:w="1282"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62"/>
              <w:jc w:val="right"/>
              <w:rPr>
                <w:rFonts w:ascii="宋体" w:hAnsi="宋体" w:cs="宋体" w:eastAsia="宋体" w:hint="default"/>
                <w:sz w:val="16"/>
                <w:szCs w:val="16"/>
              </w:rPr>
            </w:pPr>
            <w:r>
              <w:rPr>
                <w:rFonts w:ascii="Arial" w:hAnsi="Arial" w:cs="Arial" w:eastAsia="Arial" w:hint="default"/>
                <w:sz w:val="16"/>
                <w:szCs w:val="16"/>
              </w:rPr>
              <w:t>2011</w:t>
            </w:r>
            <w:r>
              <w:rPr>
                <w:rFonts w:ascii="Arial" w:hAnsi="Arial" w:cs="Arial" w:eastAsia="Arial" w:hint="default"/>
                <w:spacing w:val="-6"/>
                <w:sz w:val="16"/>
                <w:szCs w:val="16"/>
              </w:rPr>
              <w:t> </w:t>
            </w:r>
            <w:r>
              <w:rPr>
                <w:rFonts w:ascii="宋体" w:hAnsi="宋体" w:cs="宋体" w:eastAsia="宋体" w:hint="default"/>
                <w:sz w:val="16"/>
                <w:szCs w:val="16"/>
              </w:rPr>
              <w:t>年度</w:t>
            </w:r>
          </w:p>
        </w:tc>
      </w:tr>
      <w:tr>
        <w:trPr>
          <w:trHeight w:val="398" w:hRule="exact"/>
        </w:trPr>
        <w:tc>
          <w:tcPr>
            <w:tcW w:w="3116" w:type="dxa"/>
            <w:tcBorders>
              <w:top w:val="single" w:sz="6"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12" w:right="0"/>
              <w:jc w:val="left"/>
              <w:rPr>
                <w:rFonts w:ascii="宋体" w:hAnsi="宋体" w:cs="宋体" w:eastAsia="宋体" w:hint="default"/>
                <w:sz w:val="16"/>
                <w:szCs w:val="16"/>
              </w:rPr>
            </w:pPr>
            <w:r>
              <w:rPr>
                <w:rFonts w:ascii="宋体" w:hAnsi="宋体" w:cs="宋体" w:eastAsia="宋体" w:hint="default"/>
                <w:sz w:val="16"/>
                <w:szCs w:val="16"/>
              </w:rPr>
              <w:t>收入项目：</w:t>
            </w:r>
          </w:p>
        </w:tc>
        <w:tc>
          <w:tcPr>
            <w:tcW w:w="765" w:type="dxa"/>
            <w:tcBorders>
              <w:top w:val="single" w:sz="6" w:space="0" w:color="000000"/>
              <w:left w:val="nil" w:sz="6" w:space="0" w:color="auto"/>
              <w:bottom w:val="nil" w:sz="6" w:space="0" w:color="auto"/>
              <w:right w:val="nil" w:sz="6" w:space="0" w:color="auto"/>
            </w:tcBorders>
          </w:tcPr>
          <w:p>
            <w:pPr/>
          </w:p>
        </w:tc>
        <w:tc>
          <w:tcPr>
            <w:tcW w:w="1686" w:type="dxa"/>
            <w:tcBorders>
              <w:top w:val="single" w:sz="6" w:space="0" w:color="000000"/>
              <w:left w:val="nil" w:sz="6" w:space="0" w:color="auto"/>
              <w:bottom w:val="nil" w:sz="6" w:space="0" w:color="auto"/>
              <w:right w:val="nil" w:sz="6" w:space="0" w:color="auto"/>
            </w:tcBorders>
          </w:tcPr>
          <w:p>
            <w:pPr/>
          </w:p>
        </w:tc>
        <w:tc>
          <w:tcPr>
            <w:tcW w:w="987" w:type="dxa"/>
            <w:tcBorders>
              <w:top w:val="single" w:sz="6" w:space="0" w:color="000000"/>
              <w:left w:val="nil" w:sz="6" w:space="0" w:color="auto"/>
              <w:bottom w:val="nil" w:sz="6" w:space="0" w:color="auto"/>
              <w:right w:val="nil" w:sz="6" w:space="0" w:color="auto"/>
            </w:tcBorders>
          </w:tcPr>
          <w:p>
            <w:pPr/>
          </w:p>
        </w:tc>
        <w:tc>
          <w:tcPr>
            <w:tcW w:w="1355" w:type="dxa"/>
            <w:tcBorders>
              <w:top w:val="single" w:sz="6" w:space="0" w:color="000000"/>
              <w:left w:val="nil" w:sz="6" w:space="0" w:color="auto"/>
              <w:bottom w:val="nil" w:sz="6" w:space="0" w:color="auto"/>
              <w:right w:val="nil" w:sz="6" w:space="0" w:color="auto"/>
            </w:tcBorders>
          </w:tcPr>
          <w:p>
            <w:pPr/>
          </w:p>
        </w:tc>
        <w:tc>
          <w:tcPr>
            <w:tcW w:w="1282" w:type="dxa"/>
            <w:tcBorders>
              <w:top w:val="single" w:sz="6" w:space="0" w:color="000000"/>
              <w:left w:val="nil" w:sz="6" w:space="0" w:color="auto"/>
              <w:bottom w:val="nil" w:sz="6" w:space="0" w:color="auto"/>
              <w:right w:val="nil" w:sz="6" w:space="0" w:color="auto"/>
            </w:tcBorders>
          </w:tcPr>
          <w:p>
            <w:pPr/>
          </w:p>
        </w:tc>
      </w:tr>
      <w:tr>
        <w:trPr>
          <w:trHeight w:val="309" w:hRule="exact"/>
        </w:trPr>
        <w:tc>
          <w:tcPr>
            <w:tcW w:w="3116" w:type="dxa"/>
            <w:tcBorders>
              <w:top w:val="nil" w:sz="6" w:space="0" w:color="auto"/>
              <w:left w:val="nil" w:sz="6" w:space="0" w:color="auto"/>
              <w:bottom w:val="nil" w:sz="6" w:space="0" w:color="auto"/>
              <w:right w:val="nil" w:sz="6" w:space="0" w:color="auto"/>
            </w:tcBorders>
          </w:tcPr>
          <w:p>
            <w:pPr>
              <w:pStyle w:val="TableParagraph"/>
              <w:spacing w:line="184" w:lineRule="exact"/>
              <w:ind w:left="181" w:right="0"/>
              <w:jc w:val="left"/>
              <w:rPr>
                <w:rFonts w:ascii="宋体" w:hAnsi="宋体" w:cs="宋体" w:eastAsia="宋体" w:hint="default"/>
                <w:sz w:val="16"/>
                <w:szCs w:val="16"/>
              </w:rPr>
            </w:pPr>
            <w:r>
              <w:rPr>
                <w:rFonts w:ascii="宋体" w:hAnsi="宋体" w:cs="宋体" w:eastAsia="宋体" w:hint="default"/>
                <w:sz w:val="16"/>
                <w:szCs w:val="16"/>
              </w:rPr>
              <w:t>综合服务收入</w:t>
            </w:r>
          </w:p>
        </w:tc>
        <w:tc>
          <w:tcPr>
            <w:tcW w:w="765" w:type="dxa"/>
            <w:tcBorders>
              <w:top w:val="nil" w:sz="6" w:space="0" w:color="auto"/>
              <w:left w:val="nil" w:sz="6" w:space="0" w:color="auto"/>
              <w:bottom w:val="nil" w:sz="6" w:space="0" w:color="auto"/>
              <w:right w:val="nil" w:sz="6" w:space="0" w:color="auto"/>
            </w:tcBorders>
          </w:tcPr>
          <w:p>
            <w:pPr>
              <w:pStyle w:val="TableParagraph"/>
              <w:spacing w:line="184" w:lineRule="exact"/>
              <w:ind w:right="9"/>
              <w:jc w:val="center"/>
              <w:rPr>
                <w:rFonts w:ascii="宋体" w:hAnsi="宋体" w:cs="宋体" w:eastAsia="宋体" w:hint="default"/>
                <w:sz w:val="16"/>
                <w:szCs w:val="16"/>
              </w:rPr>
            </w:pPr>
            <w:r>
              <w:rPr>
                <w:rFonts w:ascii="宋体" w:hAnsi="宋体" w:cs="宋体" w:eastAsia="宋体" w:hint="default"/>
                <w:sz w:val="16"/>
                <w:szCs w:val="16"/>
              </w:rPr>
              <w:t>提供劳务</w:t>
            </w:r>
          </w:p>
        </w:tc>
        <w:tc>
          <w:tcPr>
            <w:tcW w:w="1686" w:type="dxa"/>
            <w:tcBorders>
              <w:top w:val="nil" w:sz="6" w:space="0" w:color="auto"/>
              <w:left w:val="nil" w:sz="6" w:space="0" w:color="auto"/>
              <w:bottom w:val="nil" w:sz="6" w:space="0" w:color="auto"/>
              <w:right w:val="nil" w:sz="6" w:space="0" w:color="auto"/>
            </w:tcBorders>
          </w:tcPr>
          <w:p>
            <w:pPr>
              <w:pStyle w:val="TableParagraph"/>
              <w:spacing w:line="184" w:lineRule="exact"/>
              <w:ind w:right="39"/>
              <w:jc w:val="right"/>
              <w:rPr>
                <w:rFonts w:ascii="宋体" w:hAnsi="宋体" w:cs="宋体" w:eastAsia="宋体" w:hint="default"/>
                <w:sz w:val="16"/>
                <w:szCs w:val="16"/>
              </w:rPr>
            </w:pPr>
            <w:r>
              <w:rPr>
                <w:rFonts w:ascii="宋体" w:hAnsi="宋体" w:cs="宋体" w:eastAsia="宋体" w:hint="default"/>
                <w:w w:val="95"/>
                <w:sz w:val="16"/>
                <w:szCs w:val="16"/>
              </w:rPr>
              <w:t>联通集团及其附属公司</w:t>
            </w:r>
            <w:r>
              <w:rPr>
                <w:rFonts w:ascii="宋体" w:hAnsi="宋体" w:cs="宋体" w:eastAsia="宋体" w:hint="default"/>
                <w:sz w:val="16"/>
                <w:szCs w:val="16"/>
              </w:rPr>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3"/>
              <w:jc w:val="center"/>
              <w:rPr>
                <w:rFonts w:ascii="Arial" w:hAnsi="Arial" w:cs="Arial" w:eastAsia="Arial" w:hint="default"/>
                <w:sz w:val="16"/>
                <w:szCs w:val="16"/>
              </w:rPr>
            </w:pPr>
            <w:r>
              <w:rPr>
                <w:rFonts w:ascii="Arial"/>
                <w:sz w:val="16"/>
              </w:rPr>
              <w:t>(1)(10)</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83"/>
              <w:jc w:val="right"/>
              <w:rPr>
                <w:rFonts w:ascii="Arial" w:hAnsi="Arial" w:cs="Arial" w:eastAsia="Arial" w:hint="default"/>
                <w:sz w:val="16"/>
                <w:szCs w:val="16"/>
              </w:rPr>
            </w:pPr>
            <w:r>
              <w:rPr>
                <w:rFonts w:ascii="Arial"/>
                <w:w w:val="95"/>
                <w:sz w:val="16"/>
              </w:rPr>
              <w:t>92,752,749</w:t>
            </w:r>
            <w:r>
              <w:rPr>
                <w:rFonts w:ascii="Arial"/>
                <w:sz w:val="16"/>
              </w:rPr>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71"/>
              <w:jc w:val="right"/>
              <w:rPr>
                <w:rFonts w:ascii="Arial" w:hAnsi="Arial" w:cs="Arial" w:eastAsia="Arial" w:hint="default"/>
                <w:sz w:val="16"/>
                <w:szCs w:val="16"/>
              </w:rPr>
            </w:pPr>
            <w:r>
              <w:rPr>
                <w:rFonts w:ascii="Arial"/>
                <w:w w:val="95"/>
                <w:sz w:val="16"/>
              </w:rPr>
              <w:t>107,510,697</w:t>
            </w:r>
            <w:r>
              <w:rPr>
                <w:rFonts w:ascii="Arial"/>
                <w:sz w:val="16"/>
              </w:rPr>
            </w:r>
          </w:p>
        </w:tc>
      </w:tr>
      <w:tr>
        <w:trPr>
          <w:trHeight w:val="289" w:hRule="exact"/>
        </w:trPr>
        <w:tc>
          <w:tcPr>
            <w:tcW w:w="311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2" w:right="0"/>
              <w:jc w:val="left"/>
              <w:rPr>
                <w:rFonts w:ascii="宋体" w:hAnsi="宋体" w:cs="宋体" w:eastAsia="宋体" w:hint="default"/>
                <w:sz w:val="16"/>
                <w:szCs w:val="16"/>
              </w:rPr>
            </w:pPr>
            <w:r>
              <w:rPr>
                <w:rFonts w:ascii="宋体" w:hAnsi="宋体" w:cs="宋体" w:eastAsia="宋体" w:hint="default"/>
                <w:sz w:val="16"/>
                <w:szCs w:val="16"/>
              </w:rPr>
              <w:t>支出项目：</w:t>
            </w:r>
          </w:p>
        </w:tc>
        <w:tc>
          <w:tcPr>
            <w:tcW w:w="765" w:type="dxa"/>
            <w:tcBorders>
              <w:top w:val="nil" w:sz="6" w:space="0" w:color="auto"/>
              <w:left w:val="nil" w:sz="6" w:space="0" w:color="auto"/>
              <w:bottom w:val="nil" w:sz="6" w:space="0" w:color="auto"/>
              <w:right w:val="nil" w:sz="6" w:space="0" w:color="auto"/>
            </w:tcBorders>
          </w:tcPr>
          <w:p>
            <w:pPr/>
          </w:p>
        </w:tc>
        <w:tc>
          <w:tcPr>
            <w:tcW w:w="1686"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
        </w:tc>
        <w:tc>
          <w:tcPr>
            <w:tcW w:w="1355"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
        </w:tc>
      </w:tr>
      <w:tr>
        <w:trPr>
          <w:trHeight w:val="218" w:hRule="exact"/>
        </w:trPr>
        <w:tc>
          <w:tcPr>
            <w:tcW w:w="3116" w:type="dxa"/>
            <w:tcBorders>
              <w:top w:val="nil" w:sz="6" w:space="0" w:color="auto"/>
              <w:left w:val="nil" w:sz="6" w:space="0" w:color="auto"/>
              <w:bottom w:val="nil" w:sz="6" w:space="0" w:color="auto"/>
              <w:right w:val="nil" w:sz="6" w:space="0" w:color="auto"/>
            </w:tcBorders>
          </w:tcPr>
          <w:p>
            <w:pPr>
              <w:pStyle w:val="TableParagraph"/>
              <w:spacing w:line="184" w:lineRule="exact"/>
              <w:ind w:left="181" w:right="0"/>
              <w:jc w:val="left"/>
              <w:rPr>
                <w:rFonts w:ascii="宋体" w:hAnsi="宋体" w:cs="宋体" w:eastAsia="宋体" w:hint="default"/>
                <w:sz w:val="16"/>
                <w:szCs w:val="16"/>
              </w:rPr>
            </w:pPr>
            <w:r>
              <w:rPr>
                <w:rFonts w:ascii="宋体" w:hAnsi="宋体" w:cs="宋体" w:eastAsia="宋体" w:hint="default"/>
                <w:sz w:val="16"/>
                <w:szCs w:val="16"/>
              </w:rPr>
              <w:t>支付联通新时空南方固定电信网络租赁费</w:t>
            </w:r>
          </w:p>
        </w:tc>
        <w:tc>
          <w:tcPr>
            <w:tcW w:w="765" w:type="dxa"/>
            <w:tcBorders>
              <w:top w:val="nil" w:sz="6" w:space="0" w:color="auto"/>
              <w:left w:val="nil" w:sz="6" w:space="0" w:color="auto"/>
              <w:bottom w:val="nil" w:sz="6" w:space="0" w:color="auto"/>
              <w:right w:val="nil" w:sz="6" w:space="0" w:color="auto"/>
            </w:tcBorders>
          </w:tcPr>
          <w:p>
            <w:pPr>
              <w:pStyle w:val="TableParagraph"/>
              <w:spacing w:line="184" w:lineRule="exact"/>
              <w:ind w:right="9"/>
              <w:jc w:val="center"/>
              <w:rPr>
                <w:rFonts w:ascii="宋体" w:hAnsi="宋体" w:cs="宋体" w:eastAsia="宋体" w:hint="default"/>
                <w:sz w:val="16"/>
                <w:szCs w:val="16"/>
              </w:rPr>
            </w:pPr>
            <w:r>
              <w:rPr>
                <w:rFonts w:ascii="宋体" w:hAnsi="宋体" w:cs="宋体" w:eastAsia="宋体" w:hint="default"/>
                <w:sz w:val="16"/>
                <w:szCs w:val="16"/>
              </w:rPr>
              <w:t>租赁支出</w:t>
            </w:r>
          </w:p>
        </w:tc>
        <w:tc>
          <w:tcPr>
            <w:tcW w:w="1686" w:type="dxa"/>
            <w:tcBorders>
              <w:top w:val="nil" w:sz="6" w:space="0" w:color="auto"/>
              <w:left w:val="nil" w:sz="6" w:space="0" w:color="auto"/>
              <w:bottom w:val="nil" w:sz="6" w:space="0" w:color="auto"/>
              <w:right w:val="nil" w:sz="6" w:space="0" w:color="auto"/>
            </w:tcBorders>
          </w:tcPr>
          <w:p>
            <w:pPr>
              <w:pStyle w:val="TableParagraph"/>
              <w:spacing w:line="184" w:lineRule="exact"/>
              <w:ind w:right="39"/>
              <w:jc w:val="right"/>
              <w:rPr>
                <w:rFonts w:ascii="宋体" w:hAnsi="宋体" w:cs="宋体" w:eastAsia="宋体" w:hint="default"/>
                <w:sz w:val="16"/>
                <w:szCs w:val="16"/>
              </w:rPr>
            </w:pPr>
            <w:r>
              <w:rPr>
                <w:rFonts w:ascii="宋体" w:hAnsi="宋体" w:cs="宋体" w:eastAsia="宋体" w:hint="default"/>
                <w:w w:val="95"/>
                <w:sz w:val="16"/>
                <w:szCs w:val="16"/>
              </w:rPr>
              <w:t>联通新时空</w:t>
            </w:r>
            <w:r>
              <w:rPr>
                <w:rFonts w:ascii="宋体" w:hAnsi="宋体" w:cs="宋体" w:eastAsia="宋体" w:hint="default"/>
                <w:sz w:val="16"/>
                <w:szCs w:val="16"/>
              </w:rPr>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1"/>
              <w:jc w:val="center"/>
              <w:rPr>
                <w:rFonts w:ascii="Arial" w:hAnsi="Arial" w:cs="Arial" w:eastAsia="Arial" w:hint="default"/>
                <w:sz w:val="16"/>
                <w:szCs w:val="16"/>
              </w:rPr>
            </w:pPr>
            <w:r>
              <w:rPr>
                <w:rFonts w:ascii="Arial"/>
                <w:sz w:val="16"/>
              </w:rPr>
              <w:t>(2)</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84"/>
              <w:jc w:val="right"/>
              <w:rPr>
                <w:rFonts w:ascii="Arial" w:hAnsi="Arial" w:cs="Arial" w:eastAsia="Arial" w:hint="default"/>
                <w:sz w:val="16"/>
                <w:szCs w:val="16"/>
              </w:rPr>
            </w:pPr>
            <w:r>
              <w:rPr>
                <w:rFonts w:ascii="Arial"/>
                <w:w w:val="95"/>
                <w:sz w:val="16"/>
              </w:rPr>
              <w:t>2,600,000,000</w:t>
            </w:r>
            <w:r>
              <w:rPr>
                <w:rFonts w:ascii="Arial"/>
                <w:sz w:val="16"/>
              </w:rPr>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71"/>
              <w:jc w:val="right"/>
              <w:rPr>
                <w:rFonts w:ascii="Arial" w:hAnsi="Arial" w:cs="Arial" w:eastAsia="Arial" w:hint="default"/>
                <w:sz w:val="16"/>
                <w:szCs w:val="16"/>
              </w:rPr>
            </w:pPr>
            <w:r>
              <w:rPr>
                <w:rFonts w:ascii="Arial"/>
                <w:w w:val="95"/>
                <w:sz w:val="16"/>
              </w:rPr>
              <w:t>2,400,000,000</w:t>
            </w:r>
            <w:r>
              <w:rPr>
                <w:rFonts w:ascii="Arial"/>
                <w:sz w:val="16"/>
              </w:rPr>
            </w:r>
          </w:p>
        </w:tc>
      </w:tr>
      <w:tr>
        <w:trPr>
          <w:trHeight w:val="208" w:hRule="exact"/>
        </w:trPr>
        <w:tc>
          <w:tcPr>
            <w:tcW w:w="3116" w:type="dxa"/>
            <w:tcBorders>
              <w:top w:val="nil" w:sz="6" w:space="0" w:color="auto"/>
              <w:left w:val="nil" w:sz="6" w:space="0" w:color="auto"/>
              <w:bottom w:val="nil" w:sz="6" w:space="0" w:color="auto"/>
              <w:right w:val="nil" w:sz="6" w:space="0" w:color="auto"/>
            </w:tcBorders>
          </w:tcPr>
          <w:p>
            <w:pPr>
              <w:pStyle w:val="TableParagraph"/>
              <w:spacing w:line="174" w:lineRule="exact"/>
              <w:ind w:left="181" w:right="0"/>
              <w:jc w:val="left"/>
              <w:rPr>
                <w:rFonts w:ascii="宋体" w:hAnsi="宋体" w:cs="宋体" w:eastAsia="宋体" w:hint="default"/>
                <w:sz w:val="16"/>
                <w:szCs w:val="16"/>
              </w:rPr>
            </w:pPr>
            <w:r>
              <w:rPr>
                <w:rFonts w:ascii="宋体" w:hAnsi="宋体" w:cs="宋体" w:eastAsia="宋体" w:hint="default"/>
                <w:sz w:val="16"/>
                <w:szCs w:val="16"/>
              </w:rPr>
              <w:t>支付移动增值服务支出</w:t>
            </w:r>
          </w:p>
        </w:tc>
        <w:tc>
          <w:tcPr>
            <w:tcW w:w="765" w:type="dxa"/>
            <w:tcBorders>
              <w:top w:val="nil" w:sz="6" w:space="0" w:color="auto"/>
              <w:left w:val="nil" w:sz="6" w:space="0" w:color="auto"/>
              <w:bottom w:val="nil" w:sz="6" w:space="0" w:color="auto"/>
              <w:right w:val="nil" w:sz="6" w:space="0" w:color="auto"/>
            </w:tcBorders>
          </w:tcPr>
          <w:p>
            <w:pPr>
              <w:pStyle w:val="TableParagraph"/>
              <w:spacing w:line="174" w:lineRule="exact"/>
              <w:ind w:right="9"/>
              <w:jc w:val="center"/>
              <w:rPr>
                <w:rFonts w:ascii="宋体" w:hAnsi="宋体" w:cs="宋体" w:eastAsia="宋体" w:hint="default"/>
                <w:sz w:val="16"/>
                <w:szCs w:val="16"/>
              </w:rPr>
            </w:pPr>
            <w:r>
              <w:rPr>
                <w:rFonts w:ascii="宋体" w:hAnsi="宋体" w:cs="宋体" w:eastAsia="宋体" w:hint="default"/>
                <w:sz w:val="16"/>
                <w:szCs w:val="16"/>
              </w:rPr>
              <w:t>接受劳务</w:t>
            </w:r>
          </w:p>
        </w:tc>
        <w:tc>
          <w:tcPr>
            <w:tcW w:w="1686" w:type="dxa"/>
            <w:tcBorders>
              <w:top w:val="nil" w:sz="6" w:space="0" w:color="auto"/>
              <w:left w:val="nil" w:sz="6" w:space="0" w:color="auto"/>
              <w:bottom w:val="nil" w:sz="6" w:space="0" w:color="auto"/>
              <w:right w:val="nil" w:sz="6" w:space="0" w:color="auto"/>
            </w:tcBorders>
          </w:tcPr>
          <w:p>
            <w:pPr>
              <w:pStyle w:val="TableParagraph"/>
              <w:spacing w:line="174" w:lineRule="exact"/>
              <w:ind w:right="39"/>
              <w:jc w:val="right"/>
              <w:rPr>
                <w:rFonts w:ascii="宋体" w:hAnsi="宋体" w:cs="宋体" w:eastAsia="宋体" w:hint="default"/>
                <w:sz w:val="16"/>
                <w:szCs w:val="16"/>
              </w:rPr>
            </w:pPr>
            <w:r>
              <w:rPr>
                <w:rFonts w:ascii="宋体" w:hAnsi="宋体" w:cs="宋体" w:eastAsia="宋体" w:hint="default"/>
                <w:w w:val="95"/>
                <w:sz w:val="16"/>
                <w:szCs w:val="16"/>
              </w:rPr>
              <w:t>联通时科</w:t>
            </w:r>
            <w:r>
              <w:rPr>
                <w:rFonts w:ascii="宋体" w:hAnsi="宋体" w:cs="宋体" w:eastAsia="宋体" w:hint="default"/>
                <w:sz w:val="16"/>
                <w:szCs w:val="16"/>
              </w:rPr>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3"/>
              <w:jc w:val="center"/>
              <w:rPr>
                <w:rFonts w:ascii="Arial" w:hAnsi="Arial" w:cs="Arial" w:eastAsia="Arial" w:hint="default"/>
                <w:sz w:val="16"/>
                <w:szCs w:val="16"/>
              </w:rPr>
            </w:pPr>
            <w:r>
              <w:rPr>
                <w:rFonts w:ascii="Arial"/>
                <w:sz w:val="16"/>
              </w:rPr>
              <w:t>(1)(3)</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3"/>
              <w:jc w:val="right"/>
              <w:rPr>
                <w:rFonts w:ascii="Arial" w:hAnsi="Arial" w:cs="Arial" w:eastAsia="Arial" w:hint="default"/>
                <w:sz w:val="16"/>
                <w:szCs w:val="16"/>
              </w:rPr>
            </w:pPr>
            <w:r>
              <w:rPr>
                <w:rFonts w:ascii="Arial"/>
                <w:w w:val="95"/>
                <w:sz w:val="16"/>
              </w:rPr>
              <w:t>13,316,707</w:t>
            </w:r>
            <w:r>
              <w:rPr>
                <w:rFonts w:ascii="Arial"/>
                <w:sz w:val="16"/>
              </w:rPr>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1"/>
              <w:jc w:val="right"/>
              <w:rPr>
                <w:rFonts w:ascii="Arial" w:hAnsi="Arial" w:cs="Arial" w:eastAsia="Arial" w:hint="default"/>
                <w:sz w:val="16"/>
                <w:szCs w:val="16"/>
              </w:rPr>
            </w:pPr>
            <w:r>
              <w:rPr>
                <w:rFonts w:ascii="Arial"/>
                <w:w w:val="95"/>
                <w:sz w:val="16"/>
              </w:rPr>
              <w:t>51,102,692</w:t>
            </w:r>
            <w:r>
              <w:rPr>
                <w:rFonts w:ascii="Arial"/>
                <w:sz w:val="16"/>
              </w:rPr>
            </w:r>
          </w:p>
        </w:tc>
      </w:tr>
      <w:tr>
        <w:trPr>
          <w:trHeight w:val="208" w:hRule="exact"/>
        </w:trPr>
        <w:tc>
          <w:tcPr>
            <w:tcW w:w="3116" w:type="dxa"/>
            <w:tcBorders>
              <w:top w:val="nil" w:sz="6" w:space="0" w:color="auto"/>
              <w:left w:val="nil" w:sz="6" w:space="0" w:color="auto"/>
              <w:bottom w:val="nil" w:sz="6" w:space="0" w:color="auto"/>
              <w:right w:val="nil" w:sz="6" w:space="0" w:color="auto"/>
            </w:tcBorders>
          </w:tcPr>
          <w:p>
            <w:pPr>
              <w:pStyle w:val="TableParagraph"/>
              <w:spacing w:line="174" w:lineRule="exact"/>
              <w:ind w:left="181" w:right="0"/>
              <w:jc w:val="left"/>
              <w:rPr>
                <w:rFonts w:ascii="宋体" w:hAnsi="宋体" w:cs="宋体" w:eastAsia="宋体" w:hint="default"/>
                <w:sz w:val="16"/>
                <w:szCs w:val="16"/>
              </w:rPr>
            </w:pPr>
            <w:r>
              <w:rPr>
                <w:rFonts w:ascii="宋体" w:hAnsi="宋体" w:cs="宋体" w:eastAsia="宋体" w:hint="default"/>
                <w:sz w:val="16"/>
                <w:szCs w:val="16"/>
              </w:rPr>
              <w:t>通信资源租用支出</w:t>
            </w:r>
          </w:p>
        </w:tc>
        <w:tc>
          <w:tcPr>
            <w:tcW w:w="765" w:type="dxa"/>
            <w:tcBorders>
              <w:top w:val="nil" w:sz="6" w:space="0" w:color="auto"/>
              <w:left w:val="nil" w:sz="6" w:space="0" w:color="auto"/>
              <w:bottom w:val="nil" w:sz="6" w:space="0" w:color="auto"/>
              <w:right w:val="nil" w:sz="6" w:space="0" w:color="auto"/>
            </w:tcBorders>
          </w:tcPr>
          <w:p>
            <w:pPr>
              <w:pStyle w:val="TableParagraph"/>
              <w:spacing w:line="174" w:lineRule="exact"/>
              <w:ind w:right="9"/>
              <w:jc w:val="center"/>
              <w:rPr>
                <w:rFonts w:ascii="宋体" w:hAnsi="宋体" w:cs="宋体" w:eastAsia="宋体" w:hint="default"/>
                <w:sz w:val="16"/>
                <w:szCs w:val="16"/>
              </w:rPr>
            </w:pPr>
            <w:r>
              <w:rPr>
                <w:rFonts w:ascii="宋体" w:hAnsi="宋体" w:cs="宋体" w:eastAsia="宋体" w:hint="default"/>
                <w:sz w:val="16"/>
                <w:szCs w:val="16"/>
              </w:rPr>
              <w:t>接受劳务</w:t>
            </w:r>
          </w:p>
        </w:tc>
        <w:tc>
          <w:tcPr>
            <w:tcW w:w="1686" w:type="dxa"/>
            <w:tcBorders>
              <w:top w:val="nil" w:sz="6" w:space="0" w:color="auto"/>
              <w:left w:val="nil" w:sz="6" w:space="0" w:color="auto"/>
              <w:bottom w:val="nil" w:sz="6" w:space="0" w:color="auto"/>
              <w:right w:val="nil" w:sz="6" w:space="0" w:color="auto"/>
            </w:tcBorders>
          </w:tcPr>
          <w:p>
            <w:pPr>
              <w:pStyle w:val="TableParagraph"/>
              <w:spacing w:line="174" w:lineRule="exact"/>
              <w:ind w:right="39"/>
              <w:jc w:val="right"/>
              <w:rPr>
                <w:rFonts w:ascii="宋体" w:hAnsi="宋体" w:cs="宋体" w:eastAsia="宋体" w:hint="default"/>
                <w:sz w:val="16"/>
                <w:szCs w:val="16"/>
              </w:rPr>
            </w:pPr>
            <w:r>
              <w:rPr>
                <w:rFonts w:ascii="宋体" w:hAnsi="宋体" w:cs="宋体" w:eastAsia="宋体" w:hint="default"/>
                <w:w w:val="95"/>
                <w:sz w:val="16"/>
                <w:szCs w:val="16"/>
              </w:rPr>
              <w:t>联通集团及其附属公司</w:t>
            </w:r>
            <w:r>
              <w:rPr>
                <w:rFonts w:ascii="宋体" w:hAnsi="宋体" w:cs="宋体" w:eastAsia="宋体" w:hint="default"/>
                <w:sz w:val="16"/>
                <w:szCs w:val="16"/>
              </w:rPr>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3"/>
              <w:jc w:val="center"/>
              <w:rPr>
                <w:rFonts w:ascii="Arial" w:hAnsi="Arial" w:cs="Arial" w:eastAsia="Arial" w:hint="default"/>
                <w:sz w:val="16"/>
                <w:szCs w:val="16"/>
              </w:rPr>
            </w:pPr>
            <w:r>
              <w:rPr>
                <w:rFonts w:ascii="Arial"/>
                <w:sz w:val="16"/>
              </w:rPr>
              <w:t>(1)(4)</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3"/>
              <w:jc w:val="right"/>
              <w:rPr>
                <w:rFonts w:ascii="Arial" w:hAnsi="Arial" w:cs="Arial" w:eastAsia="Arial" w:hint="default"/>
                <w:sz w:val="16"/>
                <w:szCs w:val="16"/>
              </w:rPr>
            </w:pPr>
            <w:r>
              <w:rPr>
                <w:rFonts w:ascii="Arial"/>
                <w:w w:val="95"/>
                <w:sz w:val="16"/>
              </w:rPr>
              <w:t>293,102,621</w:t>
            </w:r>
            <w:r>
              <w:rPr>
                <w:rFonts w:ascii="Arial"/>
                <w:sz w:val="16"/>
              </w:rPr>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71"/>
              <w:jc w:val="right"/>
              <w:rPr>
                <w:rFonts w:ascii="Arial" w:hAnsi="Arial" w:cs="Arial" w:eastAsia="Arial" w:hint="default"/>
                <w:sz w:val="16"/>
                <w:szCs w:val="16"/>
              </w:rPr>
            </w:pPr>
            <w:r>
              <w:rPr>
                <w:rFonts w:ascii="Arial"/>
                <w:w w:val="95"/>
                <w:sz w:val="16"/>
              </w:rPr>
              <w:t>307,052,856</w:t>
            </w:r>
            <w:r>
              <w:rPr>
                <w:rFonts w:ascii="Arial"/>
                <w:sz w:val="16"/>
              </w:rPr>
            </w:r>
          </w:p>
        </w:tc>
      </w:tr>
      <w:tr>
        <w:trPr>
          <w:trHeight w:val="207" w:hRule="exact"/>
        </w:trPr>
        <w:tc>
          <w:tcPr>
            <w:tcW w:w="3116" w:type="dxa"/>
            <w:tcBorders>
              <w:top w:val="nil" w:sz="6" w:space="0" w:color="auto"/>
              <w:left w:val="nil" w:sz="6" w:space="0" w:color="auto"/>
              <w:bottom w:val="nil" w:sz="6" w:space="0" w:color="auto"/>
              <w:right w:val="nil" w:sz="6" w:space="0" w:color="auto"/>
            </w:tcBorders>
          </w:tcPr>
          <w:p>
            <w:pPr>
              <w:pStyle w:val="TableParagraph"/>
              <w:spacing w:line="174" w:lineRule="exact"/>
              <w:ind w:left="181" w:right="0"/>
              <w:jc w:val="left"/>
              <w:rPr>
                <w:rFonts w:ascii="宋体" w:hAnsi="宋体" w:cs="宋体" w:eastAsia="宋体" w:hint="default"/>
                <w:sz w:val="16"/>
                <w:szCs w:val="16"/>
              </w:rPr>
            </w:pPr>
            <w:r>
              <w:rPr>
                <w:rFonts w:ascii="宋体" w:hAnsi="宋体" w:cs="宋体" w:eastAsia="宋体" w:hint="default"/>
                <w:sz w:val="16"/>
                <w:szCs w:val="16"/>
              </w:rPr>
              <w:t>物业、设备和设施的租赁费支出</w:t>
            </w:r>
          </w:p>
        </w:tc>
        <w:tc>
          <w:tcPr>
            <w:tcW w:w="765" w:type="dxa"/>
            <w:tcBorders>
              <w:top w:val="nil" w:sz="6" w:space="0" w:color="auto"/>
              <w:left w:val="nil" w:sz="6" w:space="0" w:color="auto"/>
              <w:bottom w:val="nil" w:sz="6" w:space="0" w:color="auto"/>
              <w:right w:val="nil" w:sz="6" w:space="0" w:color="auto"/>
            </w:tcBorders>
          </w:tcPr>
          <w:p>
            <w:pPr>
              <w:pStyle w:val="TableParagraph"/>
              <w:spacing w:line="174" w:lineRule="exact"/>
              <w:ind w:right="9"/>
              <w:jc w:val="center"/>
              <w:rPr>
                <w:rFonts w:ascii="宋体" w:hAnsi="宋体" w:cs="宋体" w:eastAsia="宋体" w:hint="default"/>
                <w:sz w:val="16"/>
                <w:szCs w:val="16"/>
              </w:rPr>
            </w:pPr>
            <w:r>
              <w:rPr>
                <w:rFonts w:ascii="宋体" w:hAnsi="宋体" w:cs="宋体" w:eastAsia="宋体" w:hint="default"/>
                <w:sz w:val="16"/>
                <w:szCs w:val="16"/>
              </w:rPr>
              <w:t>租赁支出</w:t>
            </w:r>
          </w:p>
        </w:tc>
        <w:tc>
          <w:tcPr>
            <w:tcW w:w="1686" w:type="dxa"/>
            <w:tcBorders>
              <w:top w:val="nil" w:sz="6" w:space="0" w:color="auto"/>
              <w:left w:val="nil" w:sz="6" w:space="0" w:color="auto"/>
              <w:bottom w:val="nil" w:sz="6" w:space="0" w:color="auto"/>
              <w:right w:val="nil" w:sz="6" w:space="0" w:color="auto"/>
            </w:tcBorders>
          </w:tcPr>
          <w:p>
            <w:pPr>
              <w:pStyle w:val="TableParagraph"/>
              <w:spacing w:line="174" w:lineRule="exact"/>
              <w:ind w:right="39"/>
              <w:jc w:val="right"/>
              <w:rPr>
                <w:rFonts w:ascii="宋体" w:hAnsi="宋体" w:cs="宋体" w:eastAsia="宋体" w:hint="default"/>
                <w:sz w:val="16"/>
                <w:szCs w:val="16"/>
              </w:rPr>
            </w:pPr>
            <w:r>
              <w:rPr>
                <w:rFonts w:ascii="宋体" w:hAnsi="宋体" w:cs="宋体" w:eastAsia="宋体" w:hint="default"/>
                <w:w w:val="95"/>
                <w:sz w:val="16"/>
                <w:szCs w:val="16"/>
              </w:rPr>
              <w:t>联通集团及其附属公司</w:t>
            </w:r>
            <w:r>
              <w:rPr>
                <w:rFonts w:ascii="宋体" w:hAnsi="宋体" w:cs="宋体" w:eastAsia="宋体" w:hint="default"/>
                <w:sz w:val="16"/>
                <w:szCs w:val="16"/>
              </w:rPr>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3"/>
              <w:jc w:val="center"/>
              <w:rPr>
                <w:rFonts w:ascii="Arial" w:hAnsi="Arial" w:cs="Arial" w:eastAsia="Arial" w:hint="default"/>
                <w:sz w:val="16"/>
                <w:szCs w:val="16"/>
              </w:rPr>
            </w:pPr>
            <w:r>
              <w:rPr>
                <w:rFonts w:ascii="Arial"/>
                <w:sz w:val="16"/>
              </w:rPr>
              <w:t>(1)(5)</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3"/>
              <w:jc w:val="right"/>
              <w:rPr>
                <w:rFonts w:ascii="Arial" w:hAnsi="Arial" w:cs="Arial" w:eastAsia="Arial" w:hint="default"/>
                <w:sz w:val="16"/>
                <w:szCs w:val="16"/>
              </w:rPr>
            </w:pPr>
            <w:r>
              <w:rPr>
                <w:rFonts w:ascii="Arial"/>
                <w:w w:val="95"/>
                <w:sz w:val="16"/>
              </w:rPr>
              <w:t>922,178,967</w:t>
            </w:r>
            <w:r>
              <w:rPr>
                <w:rFonts w:ascii="Arial"/>
                <w:sz w:val="16"/>
              </w:rPr>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Arial" w:hAnsi="Arial" w:cs="Arial" w:eastAsia="Arial" w:hint="default"/>
                <w:sz w:val="16"/>
                <w:szCs w:val="16"/>
              </w:rPr>
            </w:pPr>
            <w:r>
              <w:rPr>
                <w:rFonts w:ascii="Arial"/>
                <w:w w:val="95"/>
                <w:sz w:val="16"/>
              </w:rPr>
              <w:t>954,039,023</w:t>
            </w:r>
            <w:r>
              <w:rPr>
                <w:rFonts w:ascii="Arial"/>
                <w:sz w:val="16"/>
              </w:rPr>
            </w:r>
          </w:p>
        </w:tc>
      </w:tr>
      <w:tr>
        <w:trPr>
          <w:trHeight w:val="208" w:hRule="exact"/>
        </w:trPr>
        <w:tc>
          <w:tcPr>
            <w:tcW w:w="3116" w:type="dxa"/>
            <w:tcBorders>
              <w:top w:val="nil" w:sz="6" w:space="0" w:color="auto"/>
              <w:left w:val="nil" w:sz="6" w:space="0" w:color="auto"/>
              <w:bottom w:val="nil" w:sz="6" w:space="0" w:color="auto"/>
              <w:right w:val="nil" w:sz="6" w:space="0" w:color="auto"/>
            </w:tcBorders>
          </w:tcPr>
          <w:p>
            <w:pPr>
              <w:pStyle w:val="TableParagraph"/>
              <w:spacing w:line="174" w:lineRule="exact"/>
              <w:ind w:left="181" w:right="0"/>
              <w:jc w:val="left"/>
              <w:rPr>
                <w:rFonts w:ascii="宋体" w:hAnsi="宋体" w:cs="宋体" w:eastAsia="宋体" w:hint="default"/>
                <w:sz w:val="16"/>
                <w:szCs w:val="16"/>
              </w:rPr>
            </w:pPr>
            <w:r>
              <w:rPr>
                <w:rFonts w:ascii="宋体" w:hAnsi="宋体" w:cs="宋体" w:eastAsia="宋体" w:hint="default"/>
                <w:sz w:val="16"/>
                <w:szCs w:val="16"/>
              </w:rPr>
              <w:t>接受工程及信息相关服务支出</w:t>
            </w:r>
          </w:p>
        </w:tc>
        <w:tc>
          <w:tcPr>
            <w:tcW w:w="765" w:type="dxa"/>
            <w:tcBorders>
              <w:top w:val="nil" w:sz="6" w:space="0" w:color="auto"/>
              <w:left w:val="nil" w:sz="6" w:space="0" w:color="auto"/>
              <w:bottom w:val="nil" w:sz="6" w:space="0" w:color="auto"/>
              <w:right w:val="nil" w:sz="6" w:space="0" w:color="auto"/>
            </w:tcBorders>
          </w:tcPr>
          <w:p>
            <w:pPr>
              <w:pStyle w:val="TableParagraph"/>
              <w:spacing w:line="174" w:lineRule="exact"/>
              <w:ind w:right="9"/>
              <w:jc w:val="center"/>
              <w:rPr>
                <w:rFonts w:ascii="宋体" w:hAnsi="宋体" w:cs="宋体" w:eastAsia="宋体" w:hint="default"/>
                <w:sz w:val="16"/>
                <w:szCs w:val="16"/>
              </w:rPr>
            </w:pPr>
            <w:r>
              <w:rPr>
                <w:rFonts w:ascii="宋体" w:hAnsi="宋体" w:cs="宋体" w:eastAsia="宋体" w:hint="default"/>
                <w:sz w:val="16"/>
                <w:szCs w:val="16"/>
              </w:rPr>
              <w:t>接受劳务</w:t>
            </w:r>
          </w:p>
        </w:tc>
        <w:tc>
          <w:tcPr>
            <w:tcW w:w="1686" w:type="dxa"/>
            <w:tcBorders>
              <w:top w:val="nil" w:sz="6" w:space="0" w:color="auto"/>
              <w:left w:val="nil" w:sz="6" w:space="0" w:color="auto"/>
              <w:bottom w:val="nil" w:sz="6" w:space="0" w:color="auto"/>
              <w:right w:val="nil" w:sz="6" w:space="0" w:color="auto"/>
            </w:tcBorders>
          </w:tcPr>
          <w:p>
            <w:pPr>
              <w:pStyle w:val="TableParagraph"/>
              <w:spacing w:line="174" w:lineRule="exact"/>
              <w:ind w:right="39"/>
              <w:jc w:val="right"/>
              <w:rPr>
                <w:rFonts w:ascii="宋体" w:hAnsi="宋体" w:cs="宋体" w:eastAsia="宋体" w:hint="default"/>
                <w:sz w:val="16"/>
                <w:szCs w:val="16"/>
              </w:rPr>
            </w:pPr>
            <w:r>
              <w:rPr>
                <w:rFonts w:ascii="宋体" w:hAnsi="宋体" w:cs="宋体" w:eastAsia="宋体" w:hint="default"/>
                <w:w w:val="95"/>
                <w:sz w:val="16"/>
                <w:szCs w:val="16"/>
              </w:rPr>
              <w:t>联通集团及其附属公司</w:t>
            </w:r>
            <w:r>
              <w:rPr>
                <w:rFonts w:ascii="宋体" w:hAnsi="宋体" w:cs="宋体" w:eastAsia="宋体" w:hint="default"/>
                <w:sz w:val="16"/>
                <w:szCs w:val="16"/>
              </w:rPr>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3"/>
              <w:jc w:val="center"/>
              <w:rPr>
                <w:rFonts w:ascii="Arial" w:hAnsi="Arial" w:cs="Arial" w:eastAsia="Arial" w:hint="default"/>
                <w:sz w:val="16"/>
                <w:szCs w:val="16"/>
              </w:rPr>
            </w:pPr>
            <w:r>
              <w:rPr>
                <w:rFonts w:ascii="Arial"/>
                <w:sz w:val="16"/>
              </w:rPr>
              <w:t>(1)(6)</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4"/>
              <w:jc w:val="right"/>
              <w:rPr>
                <w:rFonts w:ascii="Arial" w:hAnsi="Arial" w:cs="Arial" w:eastAsia="Arial" w:hint="default"/>
                <w:sz w:val="16"/>
                <w:szCs w:val="16"/>
              </w:rPr>
            </w:pPr>
            <w:r>
              <w:rPr>
                <w:rFonts w:ascii="Arial"/>
                <w:w w:val="95"/>
                <w:sz w:val="16"/>
              </w:rPr>
              <w:t>2,890,467,494</w:t>
            </w:r>
            <w:r>
              <w:rPr>
                <w:rFonts w:ascii="Arial"/>
                <w:sz w:val="16"/>
              </w:rPr>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Arial" w:hAnsi="Arial" w:cs="Arial" w:eastAsia="Arial" w:hint="default"/>
                <w:sz w:val="16"/>
                <w:szCs w:val="16"/>
              </w:rPr>
            </w:pPr>
            <w:r>
              <w:rPr>
                <w:rFonts w:ascii="Arial"/>
                <w:w w:val="95"/>
                <w:sz w:val="16"/>
              </w:rPr>
              <w:t>2,727,811,399</w:t>
            </w:r>
            <w:r>
              <w:rPr>
                <w:rFonts w:ascii="Arial"/>
                <w:sz w:val="16"/>
              </w:rPr>
            </w:r>
          </w:p>
        </w:tc>
      </w:tr>
      <w:tr>
        <w:trPr>
          <w:trHeight w:val="208" w:hRule="exact"/>
        </w:trPr>
        <w:tc>
          <w:tcPr>
            <w:tcW w:w="3116" w:type="dxa"/>
            <w:tcBorders>
              <w:top w:val="nil" w:sz="6" w:space="0" w:color="auto"/>
              <w:left w:val="nil" w:sz="6" w:space="0" w:color="auto"/>
              <w:bottom w:val="nil" w:sz="6" w:space="0" w:color="auto"/>
              <w:right w:val="nil" w:sz="6" w:space="0" w:color="auto"/>
            </w:tcBorders>
          </w:tcPr>
          <w:p>
            <w:pPr>
              <w:pStyle w:val="TableParagraph"/>
              <w:spacing w:line="174" w:lineRule="exact"/>
              <w:ind w:left="181" w:right="0"/>
              <w:jc w:val="left"/>
              <w:rPr>
                <w:rFonts w:ascii="宋体" w:hAnsi="宋体" w:cs="宋体" w:eastAsia="宋体" w:hint="default"/>
                <w:sz w:val="16"/>
                <w:szCs w:val="16"/>
              </w:rPr>
            </w:pPr>
            <w:r>
              <w:rPr>
                <w:rFonts w:ascii="宋体" w:hAnsi="宋体" w:cs="宋体" w:eastAsia="宋体" w:hint="default"/>
                <w:sz w:val="16"/>
                <w:szCs w:val="16"/>
              </w:rPr>
              <w:t>向联通集团支付的共享服务支出</w:t>
            </w:r>
          </w:p>
        </w:tc>
        <w:tc>
          <w:tcPr>
            <w:tcW w:w="765" w:type="dxa"/>
            <w:tcBorders>
              <w:top w:val="nil" w:sz="6" w:space="0" w:color="auto"/>
              <w:left w:val="nil" w:sz="6" w:space="0" w:color="auto"/>
              <w:bottom w:val="nil" w:sz="6" w:space="0" w:color="auto"/>
              <w:right w:val="nil" w:sz="6" w:space="0" w:color="auto"/>
            </w:tcBorders>
          </w:tcPr>
          <w:p>
            <w:pPr>
              <w:pStyle w:val="TableParagraph"/>
              <w:spacing w:line="174" w:lineRule="exact"/>
              <w:ind w:right="9"/>
              <w:jc w:val="center"/>
              <w:rPr>
                <w:rFonts w:ascii="宋体" w:hAnsi="宋体" w:cs="宋体" w:eastAsia="宋体" w:hint="default"/>
                <w:sz w:val="16"/>
                <w:szCs w:val="16"/>
              </w:rPr>
            </w:pPr>
            <w:r>
              <w:rPr>
                <w:rFonts w:ascii="宋体" w:hAnsi="宋体" w:cs="宋体" w:eastAsia="宋体" w:hint="default"/>
                <w:sz w:val="16"/>
                <w:szCs w:val="16"/>
              </w:rPr>
              <w:t>接受劳务</w:t>
            </w:r>
          </w:p>
        </w:tc>
        <w:tc>
          <w:tcPr>
            <w:tcW w:w="1686" w:type="dxa"/>
            <w:tcBorders>
              <w:top w:val="nil" w:sz="6" w:space="0" w:color="auto"/>
              <w:left w:val="nil" w:sz="6" w:space="0" w:color="auto"/>
              <w:bottom w:val="nil" w:sz="6" w:space="0" w:color="auto"/>
              <w:right w:val="nil" w:sz="6" w:space="0" w:color="auto"/>
            </w:tcBorders>
          </w:tcPr>
          <w:p>
            <w:pPr>
              <w:pStyle w:val="TableParagraph"/>
              <w:spacing w:line="174" w:lineRule="exact"/>
              <w:ind w:right="39"/>
              <w:jc w:val="right"/>
              <w:rPr>
                <w:rFonts w:ascii="宋体" w:hAnsi="宋体" w:cs="宋体" w:eastAsia="宋体" w:hint="default"/>
                <w:sz w:val="16"/>
                <w:szCs w:val="16"/>
              </w:rPr>
            </w:pPr>
            <w:r>
              <w:rPr>
                <w:rFonts w:ascii="宋体" w:hAnsi="宋体" w:cs="宋体" w:eastAsia="宋体" w:hint="default"/>
                <w:w w:val="95"/>
                <w:sz w:val="16"/>
                <w:szCs w:val="16"/>
              </w:rPr>
              <w:t>联通集团及其附属公司</w:t>
            </w:r>
            <w:r>
              <w:rPr>
                <w:rFonts w:ascii="宋体" w:hAnsi="宋体" w:cs="宋体" w:eastAsia="宋体" w:hint="default"/>
                <w:sz w:val="16"/>
                <w:szCs w:val="16"/>
              </w:rPr>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3"/>
              <w:jc w:val="center"/>
              <w:rPr>
                <w:rFonts w:ascii="Arial" w:hAnsi="Arial" w:cs="Arial" w:eastAsia="Arial" w:hint="default"/>
                <w:sz w:val="16"/>
                <w:szCs w:val="16"/>
              </w:rPr>
            </w:pPr>
            <w:r>
              <w:rPr>
                <w:rFonts w:ascii="Arial"/>
                <w:sz w:val="16"/>
              </w:rPr>
              <w:t>(1)(7)</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3"/>
              <w:jc w:val="right"/>
              <w:rPr>
                <w:rFonts w:ascii="Arial" w:hAnsi="Arial" w:cs="Arial" w:eastAsia="Arial" w:hint="default"/>
                <w:sz w:val="16"/>
                <w:szCs w:val="16"/>
              </w:rPr>
            </w:pPr>
            <w:r>
              <w:rPr>
                <w:rFonts w:ascii="Arial"/>
                <w:w w:val="95"/>
                <w:sz w:val="16"/>
              </w:rPr>
              <w:t>186,381,759</w:t>
            </w:r>
            <w:r>
              <w:rPr>
                <w:rFonts w:ascii="Arial"/>
                <w:sz w:val="16"/>
              </w:rPr>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Arial" w:hAnsi="Arial" w:cs="Arial" w:eastAsia="Arial" w:hint="default"/>
                <w:sz w:val="16"/>
                <w:szCs w:val="16"/>
              </w:rPr>
            </w:pPr>
            <w:r>
              <w:rPr>
                <w:rFonts w:ascii="Arial"/>
                <w:w w:val="95"/>
                <w:sz w:val="16"/>
              </w:rPr>
              <w:t>177,355,832</w:t>
            </w:r>
            <w:r>
              <w:rPr>
                <w:rFonts w:ascii="Arial"/>
                <w:sz w:val="16"/>
              </w:rPr>
            </w:r>
          </w:p>
        </w:tc>
      </w:tr>
      <w:tr>
        <w:trPr>
          <w:trHeight w:val="208" w:hRule="exact"/>
        </w:trPr>
        <w:tc>
          <w:tcPr>
            <w:tcW w:w="3116" w:type="dxa"/>
            <w:tcBorders>
              <w:top w:val="nil" w:sz="6" w:space="0" w:color="auto"/>
              <w:left w:val="nil" w:sz="6" w:space="0" w:color="auto"/>
              <w:bottom w:val="nil" w:sz="6" w:space="0" w:color="auto"/>
              <w:right w:val="nil" w:sz="6" w:space="0" w:color="auto"/>
            </w:tcBorders>
          </w:tcPr>
          <w:p>
            <w:pPr>
              <w:pStyle w:val="TableParagraph"/>
              <w:spacing w:line="174" w:lineRule="exact"/>
              <w:ind w:left="181" w:right="0"/>
              <w:jc w:val="left"/>
              <w:rPr>
                <w:rFonts w:ascii="宋体" w:hAnsi="宋体" w:cs="宋体" w:eastAsia="宋体" w:hint="default"/>
                <w:sz w:val="16"/>
                <w:szCs w:val="16"/>
              </w:rPr>
            </w:pPr>
            <w:r>
              <w:rPr>
                <w:rFonts w:ascii="宋体" w:hAnsi="宋体" w:cs="宋体" w:eastAsia="宋体" w:hint="default"/>
                <w:sz w:val="16"/>
                <w:szCs w:val="16"/>
              </w:rPr>
              <w:t>物资采购</w:t>
            </w:r>
          </w:p>
        </w:tc>
        <w:tc>
          <w:tcPr>
            <w:tcW w:w="765" w:type="dxa"/>
            <w:tcBorders>
              <w:top w:val="nil" w:sz="6" w:space="0" w:color="auto"/>
              <w:left w:val="nil" w:sz="6" w:space="0" w:color="auto"/>
              <w:bottom w:val="nil" w:sz="6" w:space="0" w:color="auto"/>
              <w:right w:val="nil" w:sz="6" w:space="0" w:color="auto"/>
            </w:tcBorders>
          </w:tcPr>
          <w:p>
            <w:pPr>
              <w:pStyle w:val="TableParagraph"/>
              <w:spacing w:line="174" w:lineRule="exact"/>
              <w:ind w:right="9"/>
              <w:jc w:val="center"/>
              <w:rPr>
                <w:rFonts w:ascii="宋体" w:hAnsi="宋体" w:cs="宋体" w:eastAsia="宋体" w:hint="default"/>
                <w:sz w:val="16"/>
                <w:szCs w:val="16"/>
              </w:rPr>
            </w:pPr>
            <w:r>
              <w:rPr>
                <w:rFonts w:ascii="宋体" w:hAnsi="宋体" w:cs="宋体" w:eastAsia="宋体" w:hint="default"/>
                <w:sz w:val="16"/>
                <w:szCs w:val="16"/>
              </w:rPr>
              <w:t>物资采购</w:t>
            </w:r>
          </w:p>
        </w:tc>
        <w:tc>
          <w:tcPr>
            <w:tcW w:w="1686" w:type="dxa"/>
            <w:tcBorders>
              <w:top w:val="nil" w:sz="6" w:space="0" w:color="auto"/>
              <w:left w:val="nil" w:sz="6" w:space="0" w:color="auto"/>
              <w:bottom w:val="nil" w:sz="6" w:space="0" w:color="auto"/>
              <w:right w:val="nil" w:sz="6" w:space="0" w:color="auto"/>
            </w:tcBorders>
          </w:tcPr>
          <w:p>
            <w:pPr>
              <w:pStyle w:val="TableParagraph"/>
              <w:spacing w:line="174" w:lineRule="exact"/>
              <w:ind w:right="39"/>
              <w:jc w:val="right"/>
              <w:rPr>
                <w:rFonts w:ascii="宋体" w:hAnsi="宋体" w:cs="宋体" w:eastAsia="宋体" w:hint="default"/>
                <w:sz w:val="16"/>
                <w:szCs w:val="16"/>
              </w:rPr>
            </w:pPr>
            <w:r>
              <w:rPr>
                <w:rFonts w:ascii="宋体" w:hAnsi="宋体" w:cs="宋体" w:eastAsia="宋体" w:hint="default"/>
                <w:w w:val="95"/>
                <w:sz w:val="16"/>
                <w:szCs w:val="16"/>
              </w:rPr>
              <w:t>联通集团及其附属公司</w:t>
            </w:r>
            <w:r>
              <w:rPr>
                <w:rFonts w:ascii="宋体" w:hAnsi="宋体" w:cs="宋体" w:eastAsia="宋体" w:hint="default"/>
                <w:sz w:val="16"/>
                <w:szCs w:val="16"/>
              </w:rPr>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3"/>
              <w:jc w:val="center"/>
              <w:rPr>
                <w:rFonts w:ascii="Arial" w:hAnsi="Arial" w:cs="Arial" w:eastAsia="Arial" w:hint="default"/>
                <w:sz w:val="16"/>
                <w:szCs w:val="16"/>
              </w:rPr>
            </w:pPr>
            <w:r>
              <w:rPr>
                <w:rFonts w:ascii="Arial"/>
                <w:sz w:val="16"/>
              </w:rPr>
              <w:t>(1)(8)</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3"/>
              <w:jc w:val="right"/>
              <w:rPr>
                <w:rFonts w:ascii="Arial" w:hAnsi="Arial" w:cs="Arial" w:eastAsia="Arial" w:hint="default"/>
                <w:sz w:val="16"/>
                <w:szCs w:val="16"/>
              </w:rPr>
            </w:pPr>
            <w:r>
              <w:rPr>
                <w:rFonts w:ascii="Arial"/>
                <w:w w:val="95"/>
                <w:sz w:val="16"/>
              </w:rPr>
              <w:t>393,879,173</w:t>
            </w:r>
            <w:r>
              <w:rPr>
                <w:rFonts w:ascii="Arial"/>
                <w:sz w:val="16"/>
              </w:rPr>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Arial" w:hAnsi="Arial" w:cs="Arial" w:eastAsia="Arial" w:hint="default"/>
                <w:sz w:val="16"/>
                <w:szCs w:val="16"/>
              </w:rPr>
            </w:pPr>
            <w:r>
              <w:rPr>
                <w:rFonts w:ascii="Arial"/>
                <w:w w:val="95"/>
                <w:sz w:val="16"/>
              </w:rPr>
              <w:t>226,925,341</w:t>
            </w:r>
            <w:r>
              <w:rPr>
                <w:rFonts w:ascii="Arial"/>
                <w:sz w:val="16"/>
              </w:rPr>
            </w:r>
          </w:p>
        </w:tc>
      </w:tr>
      <w:tr>
        <w:trPr>
          <w:trHeight w:val="207" w:hRule="exact"/>
        </w:trPr>
        <w:tc>
          <w:tcPr>
            <w:tcW w:w="3116" w:type="dxa"/>
            <w:tcBorders>
              <w:top w:val="nil" w:sz="6" w:space="0" w:color="auto"/>
              <w:left w:val="nil" w:sz="6" w:space="0" w:color="auto"/>
              <w:bottom w:val="nil" w:sz="6" w:space="0" w:color="auto"/>
              <w:right w:val="nil" w:sz="6" w:space="0" w:color="auto"/>
            </w:tcBorders>
          </w:tcPr>
          <w:p>
            <w:pPr>
              <w:pStyle w:val="TableParagraph"/>
              <w:spacing w:line="174" w:lineRule="exact"/>
              <w:ind w:left="181" w:right="0"/>
              <w:jc w:val="left"/>
              <w:rPr>
                <w:rFonts w:ascii="宋体" w:hAnsi="宋体" w:cs="宋体" w:eastAsia="宋体" w:hint="default"/>
                <w:sz w:val="16"/>
                <w:szCs w:val="16"/>
              </w:rPr>
            </w:pPr>
            <w:r>
              <w:rPr>
                <w:rFonts w:ascii="宋体" w:hAnsi="宋体" w:cs="宋体" w:eastAsia="宋体" w:hint="default"/>
                <w:sz w:val="16"/>
                <w:szCs w:val="16"/>
              </w:rPr>
              <w:t>末梢电信服务支出</w:t>
            </w:r>
          </w:p>
        </w:tc>
        <w:tc>
          <w:tcPr>
            <w:tcW w:w="765" w:type="dxa"/>
            <w:tcBorders>
              <w:top w:val="nil" w:sz="6" w:space="0" w:color="auto"/>
              <w:left w:val="nil" w:sz="6" w:space="0" w:color="auto"/>
              <w:bottom w:val="nil" w:sz="6" w:space="0" w:color="auto"/>
              <w:right w:val="nil" w:sz="6" w:space="0" w:color="auto"/>
            </w:tcBorders>
          </w:tcPr>
          <w:p>
            <w:pPr>
              <w:pStyle w:val="TableParagraph"/>
              <w:spacing w:line="174" w:lineRule="exact"/>
              <w:ind w:right="9"/>
              <w:jc w:val="center"/>
              <w:rPr>
                <w:rFonts w:ascii="宋体" w:hAnsi="宋体" w:cs="宋体" w:eastAsia="宋体" w:hint="default"/>
                <w:sz w:val="16"/>
                <w:szCs w:val="16"/>
              </w:rPr>
            </w:pPr>
            <w:r>
              <w:rPr>
                <w:rFonts w:ascii="宋体" w:hAnsi="宋体" w:cs="宋体" w:eastAsia="宋体" w:hint="default"/>
                <w:sz w:val="16"/>
                <w:szCs w:val="16"/>
              </w:rPr>
              <w:t>接受劳务</w:t>
            </w:r>
          </w:p>
        </w:tc>
        <w:tc>
          <w:tcPr>
            <w:tcW w:w="1686" w:type="dxa"/>
            <w:tcBorders>
              <w:top w:val="nil" w:sz="6" w:space="0" w:color="auto"/>
              <w:left w:val="nil" w:sz="6" w:space="0" w:color="auto"/>
              <w:bottom w:val="nil" w:sz="6" w:space="0" w:color="auto"/>
              <w:right w:val="nil" w:sz="6" w:space="0" w:color="auto"/>
            </w:tcBorders>
          </w:tcPr>
          <w:p>
            <w:pPr>
              <w:pStyle w:val="TableParagraph"/>
              <w:spacing w:line="174" w:lineRule="exact"/>
              <w:ind w:right="39"/>
              <w:jc w:val="right"/>
              <w:rPr>
                <w:rFonts w:ascii="宋体" w:hAnsi="宋体" w:cs="宋体" w:eastAsia="宋体" w:hint="default"/>
                <w:sz w:val="16"/>
                <w:szCs w:val="16"/>
              </w:rPr>
            </w:pPr>
            <w:r>
              <w:rPr>
                <w:rFonts w:ascii="宋体" w:hAnsi="宋体" w:cs="宋体" w:eastAsia="宋体" w:hint="default"/>
                <w:w w:val="95"/>
                <w:sz w:val="16"/>
                <w:szCs w:val="16"/>
              </w:rPr>
              <w:t>联通集团及其附属公司</w:t>
            </w:r>
            <w:r>
              <w:rPr>
                <w:rFonts w:ascii="宋体" w:hAnsi="宋体" w:cs="宋体" w:eastAsia="宋体" w:hint="default"/>
                <w:sz w:val="16"/>
                <w:szCs w:val="16"/>
              </w:rPr>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3"/>
              <w:jc w:val="center"/>
              <w:rPr>
                <w:rFonts w:ascii="Arial" w:hAnsi="Arial" w:cs="Arial" w:eastAsia="Arial" w:hint="default"/>
                <w:sz w:val="16"/>
                <w:szCs w:val="16"/>
              </w:rPr>
            </w:pPr>
            <w:r>
              <w:rPr>
                <w:rFonts w:ascii="Arial"/>
                <w:sz w:val="16"/>
              </w:rPr>
              <w:t>(1)(9)</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4"/>
              <w:jc w:val="right"/>
              <w:rPr>
                <w:rFonts w:ascii="Arial" w:hAnsi="Arial" w:cs="Arial" w:eastAsia="Arial" w:hint="default"/>
                <w:sz w:val="16"/>
                <w:szCs w:val="16"/>
              </w:rPr>
            </w:pPr>
            <w:r>
              <w:rPr>
                <w:rFonts w:ascii="Arial"/>
                <w:w w:val="95"/>
                <w:sz w:val="16"/>
              </w:rPr>
              <w:t>1,446,795,950</w:t>
            </w:r>
            <w:r>
              <w:rPr>
                <w:rFonts w:ascii="Arial"/>
                <w:sz w:val="16"/>
              </w:rPr>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Arial" w:hAnsi="Arial" w:cs="Arial" w:eastAsia="Arial" w:hint="default"/>
                <w:sz w:val="16"/>
                <w:szCs w:val="16"/>
              </w:rPr>
            </w:pPr>
            <w:r>
              <w:rPr>
                <w:rFonts w:ascii="Arial"/>
                <w:w w:val="95"/>
                <w:sz w:val="16"/>
              </w:rPr>
              <w:t>1,174,030,872</w:t>
            </w:r>
            <w:r>
              <w:rPr>
                <w:rFonts w:ascii="Arial"/>
                <w:sz w:val="16"/>
              </w:rPr>
            </w:r>
          </w:p>
        </w:tc>
      </w:tr>
      <w:tr>
        <w:trPr>
          <w:trHeight w:val="194" w:hRule="exact"/>
        </w:trPr>
        <w:tc>
          <w:tcPr>
            <w:tcW w:w="3116" w:type="dxa"/>
            <w:tcBorders>
              <w:top w:val="nil" w:sz="6" w:space="0" w:color="auto"/>
              <w:left w:val="nil" w:sz="6" w:space="0" w:color="auto"/>
              <w:bottom w:val="nil" w:sz="6" w:space="0" w:color="auto"/>
              <w:right w:val="nil" w:sz="6" w:space="0" w:color="auto"/>
            </w:tcBorders>
          </w:tcPr>
          <w:p>
            <w:pPr>
              <w:pStyle w:val="TableParagraph"/>
              <w:spacing w:line="174" w:lineRule="exact"/>
              <w:ind w:left="181" w:right="0"/>
              <w:jc w:val="left"/>
              <w:rPr>
                <w:rFonts w:ascii="宋体" w:hAnsi="宋体" w:cs="宋体" w:eastAsia="宋体" w:hint="default"/>
                <w:sz w:val="16"/>
                <w:szCs w:val="16"/>
              </w:rPr>
            </w:pPr>
            <w:r>
              <w:rPr>
                <w:rFonts w:ascii="宋体" w:hAnsi="宋体" w:cs="宋体" w:eastAsia="宋体" w:hint="default"/>
                <w:sz w:val="16"/>
                <w:szCs w:val="16"/>
              </w:rPr>
              <w:t>综合服务支出</w:t>
            </w:r>
          </w:p>
        </w:tc>
        <w:tc>
          <w:tcPr>
            <w:tcW w:w="765" w:type="dxa"/>
            <w:tcBorders>
              <w:top w:val="nil" w:sz="6" w:space="0" w:color="auto"/>
              <w:left w:val="nil" w:sz="6" w:space="0" w:color="auto"/>
              <w:bottom w:val="nil" w:sz="6" w:space="0" w:color="auto"/>
              <w:right w:val="nil" w:sz="6" w:space="0" w:color="auto"/>
            </w:tcBorders>
          </w:tcPr>
          <w:p>
            <w:pPr>
              <w:pStyle w:val="TableParagraph"/>
              <w:spacing w:line="174" w:lineRule="exact"/>
              <w:ind w:right="9"/>
              <w:jc w:val="center"/>
              <w:rPr>
                <w:rFonts w:ascii="宋体" w:hAnsi="宋体" w:cs="宋体" w:eastAsia="宋体" w:hint="default"/>
                <w:sz w:val="16"/>
                <w:szCs w:val="16"/>
              </w:rPr>
            </w:pPr>
            <w:r>
              <w:rPr>
                <w:rFonts w:ascii="宋体" w:hAnsi="宋体" w:cs="宋体" w:eastAsia="宋体" w:hint="default"/>
                <w:sz w:val="16"/>
                <w:szCs w:val="16"/>
              </w:rPr>
              <w:t>接受劳务</w:t>
            </w:r>
          </w:p>
        </w:tc>
        <w:tc>
          <w:tcPr>
            <w:tcW w:w="1686" w:type="dxa"/>
            <w:tcBorders>
              <w:top w:val="nil" w:sz="6" w:space="0" w:color="auto"/>
              <w:left w:val="nil" w:sz="6" w:space="0" w:color="auto"/>
              <w:bottom w:val="nil" w:sz="6" w:space="0" w:color="auto"/>
              <w:right w:val="nil" w:sz="6" w:space="0" w:color="auto"/>
            </w:tcBorders>
          </w:tcPr>
          <w:p>
            <w:pPr>
              <w:pStyle w:val="TableParagraph"/>
              <w:spacing w:line="174" w:lineRule="exact"/>
              <w:ind w:right="38"/>
              <w:jc w:val="right"/>
              <w:rPr>
                <w:rFonts w:ascii="宋体" w:hAnsi="宋体" w:cs="宋体" w:eastAsia="宋体" w:hint="default"/>
                <w:sz w:val="16"/>
                <w:szCs w:val="16"/>
              </w:rPr>
            </w:pPr>
            <w:r>
              <w:rPr>
                <w:rFonts w:ascii="宋体" w:hAnsi="宋体" w:cs="宋体" w:eastAsia="宋体" w:hint="default"/>
                <w:w w:val="95"/>
                <w:sz w:val="16"/>
                <w:szCs w:val="16"/>
              </w:rPr>
              <w:t>联通集团附属公司</w:t>
            </w:r>
            <w:r>
              <w:rPr>
                <w:rFonts w:ascii="宋体" w:hAnsi="宋体" w:cs="宋体" w:eastAsia="宋体" w:hint="default"/>
                <w:sz w:val="16"/>
                <w:szCs w:val="16"/>
              </w:rPr>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3"/>
              <w:jc w:val="center"/>
              <w:rPr>
                <w:rFonts w:ascii="Arial" w:hAnsi="Arial" w:cs="Arial" w:eastAsia="Arial" w:hint="default"/>
                <w:sz w:val="16"/>
                <w:szCs w:val="16"/>
              </w:rPr>
            </w:pPr>
            <w:r>
              <w:rPr>
                <w:rFonts w:ascii="Arial"/>
                <w:sz w:val="16"/>
              </w:rPr>
              <w:t>(1)(10)</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3"/>
              <w:jc w:val="right"/>
              <w:rPr>
                <w:rFonts w:ascii="Arial" w:hAnsi="Arial" w:cs="Arial" w:eastAsia="Arial" w:hint="default"/>
                <w:sz w:val="16"/>
                <w:szCs w:val="16"/>
              </w:rPr>
            </w:pPr>
            <w:r>
              <w:rPr>
                <w:rFonts w:ascii="Arial"/>
                <w:w w:val="95"/>
                <w:sz w:val="16"/>
              </w:rPr>
              <w:t>240,089,610</w:t>
            </w:r>
            <w:r>
              <w:rPr>
                <w:rFonts w:ascii="Arial"/>
                <w:sz w:val="16"/>
              </w:rPr>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1"/>
              <w:jc w:val="right"/>
              <w:rPr>
                <w:rFonts w:ascii="Arial" w:hAnsi="Arial" w:cs="Arial" w:eastAsia="Arial" w:hint="default"/>
                <w:sz w:val="16"/>
                <w:szCs w:val="16"/>
              </w:rPr>
            </w:pPr>
            <w:r>
              <w:rPr>
                <w:rFonts w:ascii="Arial"/>
                <w:w w:val="95"/>
                <w:sz w:val="16"/>
              </w:rPr>
              <w:t>171,469,581</w:t>
            </w:r>
            <w:r>
              <w:rPr>
                <w:rFonts w:ascii="Arial"/>
                <w:sz w:val="16"/>
              </w:rPr>
            </w:r>
          </w:p>
        </w:tc>
      </w:tr>
    </w:tbl>
    <w:p>
      <w:pPr>
        <w:spacing w:line="240" w:lineRule="auto" w:before="8"/>
        <w:rPr>
          <w:rFonts w:ascii="宋体" w:hAnsi="宋体" w:cs="宋体" w:eastAsia="宋体" w:hint="default"/>
          <w:sz w:val="14"/>
          <w:szCs w:val="14"/>
        </w:rPr>
      </w:pPr>
    </w:p>
    <w:p>
      <w:pPr>
        <w:pStyle w:val="BodyText"/>
        <w:spacing w:line="240" w:lineRule="auto" w:before="31"/>
        <w:ind w:left="592" w:right="0"/>
        <w:jc w:val="both"/>
      </w:pPr>
      <w:r>
        <w:rPr/>
        <w:t>注释：</w:t>
      </w:r>
    </w:p>
    <w:p>
      <w:pPr>
        <w:spacing w:line="240" w:lineRule="auto" w:before="2"/>
        <w:rPr>
          <w:rFonts w:ascii="宋体" w:hAnsi="宋体" w:cs="宋体" w:eastAsia="宋体" w:hint="default"/>
          <w:sz w:val="19"/>
          <w:szCs w:val="19"/>
        </w:rPr>
      </w:pPr>
    </w:p>
    <w:p>
      <w:pPr>
        <w:pStyle w:val="BodyText"/>
        <w:tabs>
          <w:tab w:pos="604" w:val="left" w:leader="none"/>
        </w:tabs>
        <w:spacing w:line="295" w:lineRule="exact"/>
        <w:ind w:left="114" w:right="95"/>
        <w:jc w:val="left"/>
      </w:pPr>
      <w:r>
        <w:rPr>
          <w:rFonts w:ascii="Arial" w:hAnsi="Arial" w:cs="Arial" w:eastAsia="Arial" w:hint="default"/>
          <w:w w:val="95"/>
        </w:rPr>
        <w:t>(1)</w:t>
        <w:tab/>
      </w:r>
      <w:r>
        <w:rPr/>
        <w:t>联通运营公司与联通集团于</w:t>
      </w:r>
      <w:r>
        <w:rPr>
          <w:spacing w:val="-57"/>
        </w:rPr>
        <w:t> </w:t>
      </w:r>
      <w:r>
        <w:rPr>
          <w:rFonts w:ascii="Arial" w:hAnsi="Arial" w:cs="Arial" w:eastAsia="Arial" w:hint="default"/>
        </w:rPr>
        <w:t>2008</w:t>
      </w:r>
      <w:r>
        <w:rPr>
          <w:rFonts w:ascii="Arial" w:hAnsi="Arial" w:cs="Arial" w:eastAsia="Arial" w:hint="default"/>
          <w:spacing w:val="-9"/>
        </w:rPr>
        <w:t> </w:t>
      </w:r>
      <w:r>
        <w:rPr/>
        <w:t>年度签订的综合服务协议于</w:t>
      </w:r>
      <w:r>
        <w:rPr>
          <w:spacing w:val="-57"/>
        </w:rPr>
        <w:t> </w:t>
      </w:r>
      <w:r>
        <w:rPr>
          <w:rFonts w:ascii="Arial" w:hAnsi="Arial" w:cs="Arial" w:eastAsia="Arial" w:hint="default"/>
        </w:rPr>
        <w:t>2010</w:t>
      </w:r>
      <w:r>
        <w:rPr>
          <w:rFonts w:ascii="Arial" w:hAnsi="Arial" w:cs="Arial" w:eastAsia="Arial" w:hint="default"/>
          <w:spacing w:val="-9"/>
        </w:rPr>
        <w:t> </w:t>
      </w:r>
      <w:r>
        <w:rPr>
          <w:spacing w:val="-7"/>
        </w:rPr>
        <w:t>年末已到期，故联通运营公</w:t>
      </w:r>
    </w:p>
    <w:p>
      <w:pPr>
        <w:pStyle w:val="BodyText"/>
        <w:spacing w:line="285" w:lineRule="exact"/>
        <w:ind w:left="590" w:right="0"/>
        <w:jc w:val="both"/>
      </w:pPr>
      <w:r>
        <w:rPr/>
        <w:t>司于</w:t>
      </w:r>
      <w:r>
        <w:rPr>
          <w:spacing w:val="-52"/>
        </w:rPr>
        <w:t> </w:t>
      </w:r>
      <w:r>
        <w:rPr>
          <w:rFonts w:ascii="Arial" w:hAnsi="Arial" w:cs="Arial" w:eastAsia="Arial" w:hint="default"/>
        </w:rPr>
        <w:t>2010</w:t>
      </w:r>
      <w:r>
        <w:rPr>
          <w:rFonts w:ascii="Arial" w:hAnsi="Arial" w:cs="Arial" w:eastAsia="Arial" w:hint="default"/>
          <w:spacing w:val="-3"/>
        </w:rPr>
        <w:t> </w:t>
      </w:r>
      <w:r>
        <w:rPr/>
        <w:t>年</w:t>
      </w:r>
      <w:r>
        <w:rPr>
          <w:spacing w:val="-52"/>
        </w:rPr>
        <w:t> </w:t>
      </w:r>
      <w:r>
        <w:rPr>
          <w:rFonts w:ascii="Arial" w:hAnsi="Arial" w:cs="Arial" w:eastAsia="Arial" w:hint="default"/>
        </w:rPr>
        <w:t>10</w:t>
      </w:r>
      <w:r>
        <w:rPr>
          <w:rFonts w:ascii="Arial" w:hAnsi="Arial" w:cs="Arial" w:eastAsia="Arial" w:hint="default"/>
          <w:spacing w:val="-3"/>
        </w:rPr>
        <w:t> </w:t>
      </w:r>
      <w:r>
        <w:rPr/>
        <w:t>月</w:t>
      </w:r>
      <w:r>
        <w:rPr>
          <w:spacing w:val="-52"/>
        </w:rPr>
        <w:t> </w:t>
      </w:r>
      <w:r>
        <w:rPr>
          <w:rFonts w:ascii="Arial" w:hAnsi="Arial" w:cs="Arial" w:eastAsia="Arial" w:hint="default"/>
        </w:rPr>
        <w:t>29</w:t>
      </w:r>
      <w:r>
        <w:rPr>
          <w:rFonts w:ascii="Arial" w:hAnsi="Arial" w:cs="Arial" w:eastAsia="Arial" w:hint="default"/>
          <w:spacing w:val="-4"/>
        </w:rPr>
        <w:t> </w:t>
      </w:r>
      <w:r>
        <w:rPr/>
        <w:t>日与联通集团重新签订了《</w:t>
      </w:r>
      <w:r>
        <w:rPr>
          <w:rFonts w:ascii="Arial" w:hAnsi="Arial" w:cs="Arial" w:eastAsia="Arial" w:hint="default"/>
        </w:rPr>
        <w:t>2011-2013</w:t>
      </w:r>
      <w:r>
        <w:rPr>
          <w:rFonts w:ascii="Arial" w:hAnsi="Arial" w:cs="Arial" w:eastAsia="Arial" w:hint="default"/>
          <w:spacing w:val="-3"/>
        </w:rPr>
        <w:t> </w:t>
      </w:r>
      <w:r>
        <w:rPr/>
        <w:t>年综合服务协议》以延续关联交</w:t>
      </w:r>
    </w:p>
    <w:p>
      <w:pPr>
        <w:pStyle w:val="BodyText"/>
        <w:spacing w:line="294" w:lineRule="exact"/>
        <w:ind w:left="590" w:right="0"/>
        <w:jc w:val="both"/>
      </w:pPr>
      <w:r>
        <w:rPr/>
        <w:t>易，经本公司董事会批准，该协议于</w:t>
      </w:r>
      <w:r>
        <w:rPr>
          <w:spacing w:val="-55"/>
        </w:rPr>
        <w:t> </w:t>
      </w:r>
      <w:r>
        <w:rPr>
          <w:rFonts w:ascii="Arial" w:hAnsi="Arial" w:cs="Arial" w:eastAsia="Arial" w:hint="default"/>
        </w:rPr>
        <w:t>2011</w:t>
      </w:r>
      <w:r>
        <w:rPr>
          <w:rFonts w:ascii="Arial" w:hAnsi="Arial" w:cs="Arial" w:eastAsia="Arial" w:hint="default"/>
          <w:spacing w:val="-8"/>
        </w:rPr>
        <w:t> </w:t>
      </w:r>
      <w:r>
        <w:rPr/>
        <w:t>年</w:t>
      </w:r>
      <w:r>
        <w:rPr>
          <w:spacing w:val="-57"/>
        </w:rPr>
        <w:t> </w:t>
      </w:r>
      <w:r>
        <w:rPr>
          <w:rFonts w:ascii="Arial" w:hAnsi="Arial" w:cs="Arial" w:eastAsia="Arial" w:hint="default"/>
        </w:rPr>
        <w:t>1</w:t>
      </w:r>
      <w:r>
        <w:rPr>
          <w:rFonts w:ascii="Arial" w:hAnsi="Arial" w:cs="Arial" w:eastAsia="Arial" w:hint="default"/>
          <w:spacing w:val="-8"/>
        </w:rPr>
        <w:t> </w:t>
      </w:r>
      <w:r>
        <w:rPr/>
        <w:t>月</w:t>
      </w:r>
      <w:r>
        <w:rPr>
          <w:spacing w:val="-57"/>
        </w:rPr>
        <w:t> </w:t>
      </w:r>
      <w:r>
        <w:rPr>
          <w:rFonts w:ascii="Arial" w:hAnsi="Arial" w:cs="Arial" w:eastAsia="Arial" w:hint="default"/>
        </w:rPr>
        <w:t>1</w:t>
      </w:r>
      <w:r>
        <w:rPr>
          <w:rFonts w:ascii="Arial" w:hAnsi="Arial" w:cs="Arial" w:eastAsia="Arial" w:hint="default"/>
          <w:spacing w:val="-8"/>
        </w:rPr>
        <w:t> </w:t>
      </w:r>
      <w:r>
        <w:rPr/>
        <w:t>日生效。</w:t>
      </w:r>
    </w:p>
    <w:p>
      <w:pPr>
        <w:spacing w:line="240" w:lineRule="auto" w:before="0"/>
        <w:rPr>
          <w:rFonts w:ascii="宋体" w:hAnsi="宋体" w:cs="宋体" w:eastAsia="宋体" w:hint="default"/>
          <w:sz w:val="18"/>
          <w:szCs w:val="18"/>
        </w:rPr>
      </w:pPr>
    </w:p>
    <w:p>
      <w:pPr>
        <w:pStyle w:val="BodyText"/>
        <w:tabs>
          <w:tab w:pos="618" w:val="left" w:leader="none"/>
        </w:tabs>
        <w:spacing w:line="295" w:lineRule="exact"/>
        <w:ind w:left="114" w:right="95"/>
        <w:jc w:val="left"/>
      </w:pPr>
      <w:r>
        <w:rPr>
          <w:rFonts w:ascii="Arial" w:hAnsi="Arial" w:cs="Arial" w:eastAsia="Arial" w:hint="default"/>
          <w:w w:val="95"/>
        </w:rPr>
        <w:t>(2)</w:t>
        <w:tab/>
      </w:r>
      <w:r>
        <w:rPr/>
        <w:t>联通运营公司独家向联通新时空租赁其拥有的南方固定电信网络以经营固网业务。租赁费用综</w:t>
      </w:r>
    </w:p>
    <w:p>
      <w:pPr>
        <w:pStyle w:val="BodyText"/>
        <w:spacing w:line="295" w:lineRule="exact"/>
        <w:ind w:left="590" w:right="0"/>
        <w:jc w:val="both"/>
      </w:pPr>
      <w:r>
        <w:rPr/>
        <w:t>合考虑南方</w:t>
      </w:r>
      <w:r>
        <w:rPr>
          <w:spacing w:val="-59"/>
        </w:rPr>
        <w:t> </w:t>
      </w:r>
      <w:r>
        <w:rPr>
          <w:rFonts w:ascii="Arial" w:hAnsi="Arial" w:cs="Arial" w:eastAsia="Arial" w:hint="default"/>
        </w:rPr>
        <w:t>21</w:t>
      </w:r>
      <w:r>
        <w:rPr>
          <w:rFonts w:ascii="Arial" w:hAnsi="Arial" w:cs="Arial" w:eastAsia="Arial" w:hint="default"/>
          <w:spacing w:val="-11"/>
        </w:rPr>
        <w:t> </w:t>
      </w:r>
      <w:r>
        <w:rPr/>
        <w:t>省固网业务的通信服务收入以及市场有关先例确定。</w:t>
      </w:r>
    </w:p>
    <w:p>
      <w:pPr>
        <w:spacing w:line="240" w:lineRule="auto" w:before="0"/>
        <w:rPr>
          <w:rFonts w:ascii="宋体" w:hAnsi="宋体" w:cs="宋体" w:eastAsia="宋体" w:hint="default"/>
          <w:sz w:val="20"/>
          <w:szCs w:val="20"/>
        </w:rPr>
      </w:pPr>
    </w:p>
    <w:p>
      <w:pPr>
        <w:pStyle w:val="BodyText"/>
        <w:tabs>
          <w:tab w:pos="618" w:val="left" w:leader="none"/>
        </w:tabs>
        <w:spacing w:line="286" w:lineRule="exact"/>
        <w:ind w:left="590" w:right="225" w:hanging="476"/>
        <w:jc w:val="left"/>
      </w:pPr>
      <w:r>
        <w:rPr>
          <w:rFonts w:ascii="Arial" w:hAnsi="Arial" w:cs="Arial" w:eastAsia="Arial" w:hint="default"/>
          <w:w w:val="95"/>
        </w:rPr>
        <w:t>(3)</w:t>
        <w:tab/>
        <w:tab/>
      </w:r>
      <w:r>
        <w:rPr>
          <w:w w:val="95"/>
        </w:rPr>
        <w:t>联通时科利用联通运营公司的移动通信网络及数据平台向用户提供增值服务，并参考与同类地</w:t>
      </w:r>
      <w:r>
        <w:rPr>
          <w:spacing w:val="16"/>
          <w:w w:val="95"/>
        </w:rPr>
        <w:t> </w:t>
      </w:r>
      <w:r>
        <w:rPr/>
        <w:t>区第三方的交易标准按照协议中规定的收入分成比例向联通运营公司收费。</w:t>
      </w:r>
    </w:p>
    <w:p>
      <w:pPr>
        <w:spacing w:line="240" w:lineRule="auto" w:before="6"/>
        <w:rPr>
          <w:rFonts w:ascii="宋体" w:hAnsi="宋体" w:cs="宋体" w:eastAsia="宋体" w:hint="default"/>
          <w:sz w:val="19"/>
          <w:szCs w:val="19"/>
        </w:rPr>
      </w:pPr>
    </w:p>
    <w:p>
      <w:pPr>
        <w:pStyle w:val="BodyText"/>
        <w:tabs>
          <w:tab w:pos="589" w:val="left" w:leader="none"/>
        </w:tabs>
        <w:spacing w:line="284" w:lineRule="exact"/>
        <w:ind w:left="590" w:right="113" w:hanging="476"/>
        <w:jc w:val="left"/>
      </w:pPr>
      <w:r>
        <w:rPr>
          <w:rFonts w:ascii="Arial" w:hAnsi="Arial" w:cs="Arial" w:eastAsia="Arial" w:hint="default"/>
          <w:w w:val="95"/>
        </w:rPr>
        <w:t>(4)</w:t>
        <w:tab/>
      </w:r>
      <w:r>
        <w:rPr>
          <w:spacing w:val="-2"/>
        </w:rPr>
        <w:t>联通运营公司向联通集团及其附属公司租用拥有的国际通信信道出入口，国际通信业务出入口，</w:t>
      </w:r>
      <w:r>
        <w:rPr>
          <w:w w:val="99"/>
        </w:rPr>
        <w:t> </w:t>
      </w:r>
      <w:r>
        <w:rPr/>
        <w:t>国际海缆容量以及国际陆缆等国际通信资源及其他通信设施，租金以通信资源和设施的年度折</w:t>
      </w:r>
    </w:p>
    <w:p>
      <w:pPr>
        <w:pStyle w:val="BodyText"/>
        <w:spacing w:line="286" w:lineRule="exact"/>
        <w:ind w:left="590" w:right="221"/>
        <w:jc w:val="both"/>
      </w:pPr>
      <w:r>
        <w:rPr/>
        <w:t>旧金额为基础确定，且收费不高于市场租金水平。除联通运营公司与联通集团另行协商外，上</w:t>
      </w:r>
      <w:r>
        <w:rPr>
          <w:spacing w:val="-83"/>
        </w:rPr>
        <w:t> </w:t>
      </w:r>
      <w:r>
        <w:rPr>
          <w:spacing w:val="-83"/>
        </w:rPr>
      </w:r>
      <w:r>
        <w:rPr/>
        <w:t>述通信设施维护所产生的费用由联通运营公司承担，相关费用参照市场价格确定，若没有市场</w:t>
      </w:r>
      <w:r>
        <w:rPr>
          <w:spacing w:val="-83"/>
        </w:rPr>
        <w:t> </w:t>
      </w:r>
      <w:r>
        <w:rPr>
          <w:spacing w:val="-83"/>
        </w:rPr>
      </w:r>
      <w:r>
        <w:rPr/>
        <w:t>价格，则以合理成本加合理利润的方式确定。</w:t>
      </w:r>
    </w:p>
    <w:p>
      <w:pPr>
        <w:spacing w:line="240" w:lineRule="auto" w:before="3"/>
        <w:rPr>
          <w:rFonts w:ascii="宋体" w:hAnsi="宋体" w:cs="宋体" w:eastAsia="宋体" w:hint="default"/>
          <w:sz w:val="19"/>
          <w:szCs w:val="19"/>
        </w:rPr>
      </w:pPr>
    </w:p>
    <w:p>
      <w:pPr>
        <w:pStyle w:val="BodyText"/>
        <w:spacing w:line="286" w:lineRule="exact"/>
        <w:ind w:left="604" w:right="207" w:hanging="490"/>
        <w:jc w:val="both"/>
      </w:pPr>
      <w:r>
        <w:rPr>
          <w:rFonts w:ascii="Arial" w:hAnsi="Arial" w:cs="Arial" w:eastAsia="Arial" w:hint="default"/>
        </w:rPr>
        <w:t>(5)</w:t>
      </w:r>
      <w:r>
        <w:rPr>
          <w:rFonts w:ascii="Arial" w:hAnsi="Arial" w:cs="Arial" w:eastAsia="Arial" w:hint="default"/>
          <w:spacing w:val="57"/>
        </w:rPr>
        <w:t> </w:t>
      </w:r>
      <w:r>
        <w:rPr/>
        <w:t>联通运营公司与联通集团及其附属公司相互租用若干物业、设备和设施。租金基于市场租金水</w:t>
      </w:r>
      <w:r>
        <w:rPr>
          <w:w w:val="99"/>
        </w:rPr>
        <w:t> </w:t>
      </w:r>
      <w:r>
        <w:rPr/>
        <w:t>平或每一项物业的折旧及税金确定。后者在折旧及税金不高于市场租金水平时适用。相关费用</w:t>
      </w:r>
      <w:r>
        <w:rPr>
          <w:w w:val="99"/>
        </w:rPr>
        <w:t> </w:t>
      </w:r>
      <w:r>
        <w:rPr/>
        <w:t>按季于每季末支付，每年参考租赁物业当时市场租金水平重新审定。</w:t>
      </w:r>
    </w:p>
    <w:p>
      <w:pPr>
        <w:spacing w:after="0" w:line="286" w:lineRule="exact"/>
        <w:jc w:val="both"/>
        <w:sectPr>
          <w:headerReference w:type="default" r:id="rId134"/>
          <w:pgSz w:w="11910" w:h="16840"/>
          <w:pgMar w:header="1184" w:footer="457" w:top="3040" w:bottom="640" w:left="1240" w:right="800"/>
        </w:sectPr>
      </w:pPr>
    </w:p>
    <w:p>
      <w:pPr>
        <w:spacing w:line="240" w:lineRule="auto" w:before="9"/>
        <w:rPr>
          <w:rFonts w:ascii="宋体" w:hAnsi="宋体" w:cs="宋体" w:eastAsia="宋体" w:hint="default"/>
          <w:sz w:val="16"/>
          <w:szCs w:val="16"/>
        </w:rPr>
      </w:pPr>
    </w:p>
    <w:p>
      <w:pPr>
        <w:pStyle w:val="BodyText"/>
        <w:spacing w:line="427" w:lineRule="auto" w:before="31"/>
        <w:ind w:left="592" w:right="7772" w:hanging="414"/>
        <w:jc w:val="left"/>
      </w:pPr>
      <w:r>
        <w:rPr>
          <w:rFonts w:ascii="Arial" w:hAnsi="Arial" w:cs="Arial" w:eastAsia="Arial" w:hint="default"/>
        </w:rPr>
        <w:t>4</w:t>
      </w:r>
      <w:r>
        <w:rPr/>
        <w:t>、</w:t>
      </w:r>
      <w:r>
        <w:rPr>
          <w:spacing w:val="-74"/>
        </w:rPr>
        <w:t> </w:t>
      </w:r>
      <w:r>
        <w:rPr/>
        <w:t>关联交易（续）</w:t>
      </w:r>
      <w:r>
        <w:rPr>
          <w:w w:val="99"/>
        </w:rPr>
        <w:t> </w:t>
      </w:r>
      <w:r>
        <w:rPr/>
        <w:t>注释（续）：</w:t>
      </w:r>
    </w:p>
    <w:p>
      <w:pPr>
        <w:pStyle w:val="BodyText"/>
        <w:spacing w:line="286" w:lineRule="exact" w:before="106"/>
        <w:ind w:left="604" w:right="228" w:hanging="490"/>
        <w:jc w:val="both"/>
      </w:pPr>
      <w:r>
        <w:rPr>
          <w:rFonts w:ascii="Arial" w:hAnsi="Arial" w:cs="Arial" w:eastAsia="Arial" w:hint="default"/>
        </w:rPr>
        <w:t>(6) </w:t>
      </w:r>
      <w:r>
        <w:rPr/>
        <w:t>联通集团及其附属公司向联通运营公司提供若干工程及信息技术相关服务的一系列相关服务，</w:t>
      </w:r>
      <w:r>
        <w:rPr>
          <w:w w:val="99"/>
        </w:rPr>
        <w:t> </w:t>
      </w:r>
      <w:r>
        <w:rPr/>
        <w:t>其应付价格参照市场价格制定，于提供相关服务时结算。</w:t>
      </w:r>
    </w:p>
    <w:p>
      <w:pPr>
        <w:spacing w:line="240" w:lineRule="auto" w:before="6"/>
        <w:rPr>
          <w:rFonts w:ascii="宋体" w:hAnsi="宋体" w:cs="宋体" w:eastAsia="宋体" w:hint="default"/>
          <w:sz w:val="19"/>
          <w:szCs w:val="19"/>
        </w:rPr>
      </w:pPr>
    </w:p>
    <w:p>
      <w:pPr>
        <w:pStyle w:val="BodyText"/>
        <w:spacing w:line="284" w:lineRule="exact"/>
        <w:ind w:left="604" w:right="224" w:hanging="490"/>
        <w:jc w:val="both"/>
      </w:pPr>
      <w:r>
        <w:rPr>
          <w:rFonts w:ascii="Arial" w:hAnsi="Arial" w:cs="Arial" w:eastAsia="Arial" w:hint="default"/>
        </w:rPr>
        <w:t>(7)</w:t>
      </w:r>
      <w:r>
        <w:rPr>
          <w:rFonts w:ascii="Arial" w:hAnsi="Arial" w:cs="Arial" w:eastAsia="Arial" w:hint="default"/>
          <w:spacing w:val="3"/>
        </w:rPr>
        <w:t> </w:t>
      </w:r>
      <w:r>
        <w:rPr/>
        <w:t>联通运营公司与联通集团及其附属公司签订了一般行政服务的共享服务协议。根据此项协议，</w:t>
      </w:r>
      <w:r>
        <w:rPr>
          <w:spacing w:val="2"/>
          <w:w w:val="99"/>
        </w:rPr>
        <w:t> </w:t>
      </w:r>
      <w:r>
        <w:rPr/>
        <w:t>共享服务的费用将根据各自资产比例在双方之间分摊。</w:t>
      </w:r>
    </w:p>
    <w:p>
      <w:pPr>
        <w:spacing w:line="240" w:lineRule="auto" w:before="10"/>
        <w:rPr>
          <w:rFonts w:ascii="宋体" w:hAnsi="宋体" w:cs="宋体" w:eastAsia="宋体" w:hint="default"/>
          <w:sz w:val="17"/>
          <w:szCs w:val="17"/>
        </w:rPr>
      </w:pPr>
    </w:p>
    <w:p>
      <w:pPr>
        <w:pStyle w:val="BodyText"/>
        <w:spacing w:line="232" w:lineRule="auto"/>
        <w:ind w:left="604" w:right="227" w:hanging="490"/>
        <w:jc w:val="both"/>
      </w:pPr>
      <w:r>
        <w:rPr>
          <w:rFonts w:ascii="Arial" w:hAnsi="Arial" w:cs="Arial" w:eastAsia="Arial" w:hint="default"/>
        </w:rPr>
        <w:t>(8) </w:t>
      </w:r>
      <w:r>
        <w:rPr/>
        <w:t>联通运营公司可要求联通集团及其附属公司担任采购进口及国内电信设备以及其它国内非电信</w:t>
      </w:r>
      <w:r>
        <w:rPr>
          <w:w w:val="99"/>
        </w:rPr>
        <w:t> </w:t>
      </w:r>
      <w:r>
        <w:rPr/>
        <w:t>设备的代理商，联通集团及其附属公司向联通运营公司提供协议项下与物资或设备采购相关的</w:t>
      </w:r>
      <w:r>
        <w:rPr>
          <w:w w:val="99"/>
        </w:rPr>
        <w:t> </w:t>
      </w:r>
      <w:r>
        <w:rPr/>
        <w:t>仓储和运输服务。联通运营公司支付给联通集团及其附属公司的费用基于政府指导价、市场价</w:t>
      </w:r>
      <w:r>
        <w:rPr>
          <w:w w:val="99"/>
        </w:rPr>
        <w:t> </w:t>
      </w:r>
      <w:r>
        <w:rPr/>
        <w:t>格或成本加利润的方式确定。</w:t>
      </w:r>
    </w:p>
    <w:p>
      <w:pPr>
        <w:spacing w:line="240" w:lineRule="auto" w:before="11"/>
        <w:rPr>
          <w:rFonts w:ascii="宋体" w:hAnsi="宋体" w:cs="宋体" w:eastAsia="宋体" w:hint="default"/>
          <w:sz w:val="19"/>
          <w:szCs w:val="19"/>
        </w:rPr>
      </w:pPr>
    </w:p>
    <w:p>
      <w:pPr>
        <w:pStyle w:val="BodyText"/>
        <w:spacing w:line="232" w:lineRule="auto"/>
        <w:ind w:left="590" w:right="225" w:hanging="476"/>
        <w:jc w:val="both"/>
      </w:pPr>
      <w:r>
        <w:rPr>
          <w:rFonts w:ascii="Arial" w:hAnsi="Arial" w:cs="Arial" w:eastAsia="Arial" w:hint="default"/>
        </w:rPr>
        <w:t>(9)</w:t>
      </w:r>
      <w:r>
        <w:rPr>
          <w:rFonts w:ascii="Arial" w:hAnsi="Arial" w:cs="Arial" w:eastAsia="Arial" w:hint="default"/>
          <w:spacing w:val="35"/>
        </w:rPr>
        <w:t> </w:t>
      </w:r>
      <w:r>
        <w:rPr/>
        <w:t>联通集团及其附属公司向联通运营公司提供末梢电信服务的相关服务，包括若干通信业务销售</w:t>
      </w:r>
      <w:r>
        <w:rPr>
          <w:spacing w:val="-108"/>
        </w:rPr>
        <w:t> </w:t>
      </w:r>
      <w:r>
        <w:rPr>
          <w:spacing w:val="-108"/>
        </w:rPr>
      </w:r>
      <w:r>
        <w:rPr/>
        <w:t>前、销售中和销售后的服务（例如若干通信设施组装及维修）、销售代理服务、账单打印和递</w:t>
      </w:r>
      <w:r>
        <w:rPr>
          <w:w w:val="99"/>
        </w:rPr>
        <w:t> </w:t>
      </w:r>
      <w:r>
        <w:rPr/>
        <w:t>送服务、电话亭维护、客户发展和接待以及其它客户服务。相关定价或收费标准参考政府指导</w:t>
      </w:r>
      <w:r>
        <w:rPr>
          <w:w w:val="99"/>
        </w:rPr>
        <w:t> </w:t>
      </w:r>
      <w:r>
        <w:rPr/>
        <w:t>价、市场价格或成本加利润的方式而指定，并在提供相关服务时结算。</w:t>
      </w:r>
    </w:p>
    <w:p>
      <w:pPr>
        <w:spacing w:line="240" w:lineRule="auto" w:before="11"/>
        <w:rPr>
          <w:rFonts w:ascii="宋体" w:hAnsi="宋体" w:cs="宋体" w:eastAsia="宋体" w:hint="default"/>
          <w:sz w:val="19"/>
          <w:szCs w:val="19"/>
        </w:rPr>
      </w:pPr>
    </w:p>
    <w:p>
      <w:pPr>
        <w:pStyle w:val="BodyText"/>
        <w:spacing w:line="232" w:lineRule="auto"/>
        <w:ind w:left="590" w:right="233" w:hanging="476"/>
        <w:jc w:val="both"/>
      </w:pPr>
      <w:r>
        <w:rPr>
          <w:rFonts w:ascii="Arial" w:hAnsi="Arial" w:cs="Arial" w:eastAsia="Arial" w:hint="default"/>
        </w:rPr>
        <w:t>(10)</w:t>
      </w:r>
      <w:r>
        <w:rPr>
          <w:rFonts w:ascii="Arial" w:hAnsi="Arial" w:cs="Arial" w:eastAsia="Arial" w:hint="default"/>
          <w:spacing w:val="33"/>
        </w:rPr>
        <w:t> </w:t>
      </w:r>
      <w:r>
        <w:rPr/>
        <w:t>联通运营公司和联通集团附属公司互相提供多种综合服务，包括设备租赁和维护服务、车辆服</w:t>
      </w:r>
      <w:r>
        <w:rPr>
          <w:spacing w:val="-106"/>
        </w:rPr>
        <w:t> </w:t>
      </w:r>
      <w:r>
        <w:rPr>
          <w:spacing w:val="-106"/>
        </w:rPr>
      </w:r>
      <w:r>
        <w:rPr/>
        <w:t>务、商品销售、系统集成服务、安全保卫服务、施工及安装配套服务、软件开发服务、职工培</w:t>
      </w:r>
      <w:r>
        <w:rPr>
          <w:w w:val="99"/>
        </w:rPr>
        <w:t> </w:t>
      </w:r>
      <w:r>
        <w:rPr/>
        <w:t>训服务、运维服务和广告等。相关定价或收费标准参考政府指导价、市场价格或成本加利润的</w:t>
      </w:r>
      <w:r>
        <w:rPr>
          <w:w w:val="99"/>
        </w:rPr>
        <w:t> </w:t>
      </w:r>
      <w:r>
        <w:rPr/>
        <w:t>方式而指定，并在提供相关服务时结算。</w:t>
      </w:r>
    </w:p>
    <w:p>
      <w:pPr>
        <w:spacing w:line="240" w:lineRule="auto" w:before="11"/>
        <w:rPr>
          <w:rFonts w:ascii="宋体" w:hAnsi="宋体" w:cs="宋体" w:eastAsia="宋体" w:hint="default"/>
          <w:sz w:val="17"/>
          <w:szCs w:val="17"/>
        </w:rPr>
      </w:pPr>
    </w:p>
    <w:p>
      <w:pPr>
        <w:pStyle w:val="BodyText"/>
        <w:spacing w:line="286" w:lineRule="exact"/>
        <w:ind w:left="604" w:right="241" w:hanging="490"/>
        <w:jc w:val="both"/>
      </w:pPr>
      <w:r>
        <w:rPr>
          <w:rFonts w:ascii="Arial" w:hAnsi="Arial" w:cs="Arial" w:eastAsia="Arial" w:hint="default"/>
        </w:rPr>
        <w:t>(11)</w:t>
      </w:r>
      <w:r>
        <w:rPr>
          <w:rFonts w:ascii="Arial" w:hAnsi="Arial" w:cs="Arial" w:eastAsia="Arial" w:hint="default"/>
          <w:spacing w:val="46"/>
        </w:rPr>
        <w:t> </w:t>
      </w:r>
      <w:r>
        <w:rPr/>
        <w:t>联通集团为联通商标的注册持有人。商标上带有联通标识，均已在中国国家商标局登记。根据</w:t>
      </w:r>
      <w:r>
        <w:rPr>
          <w:spacing w:val="-107"/>
        </w:rPr>
        <w:t> </w:t>
      </w:r>
      <w:r>
        <w:rPr>
          <w:spacing w:val="-107"/>
        </w:rPr>
      </w:r>
      <w:r>
        <w:rPr/>
        <w:t>联通集团和联通运营公司之间的独家中国商标使用协议，本集团被授予有权以免交商标使用费</w:t>
      </w:r>
      <w:r>
        <w:rPr>
          <w:w w:val="99"/>
        </w:rPr>
        <w:t> </w:t>
      </w:r>
      <w:r>
        <w:rPr/>
        <w:t>及可延期的方式来使用这些商标。</w:t>
      </w:r>
    </w:p>
    <w:p>
      <w:pPr>
        <w:spacing w:line="240" w:lineRule="auto" w:before="1"/>
        <w:rPr>
          <w:rFonts w:ascii="宋体" w:hAnsi="宋体" w:cs="宋体" w:eastAsia="宋体" w:hint="default"/>
          <w:sz w:val="17"/>
          <w:szCs w:val="17"/>
        </w:rPr>
      </w:pPr>
    </w:p>
    <w:p>
      <w:pPr>
        <w:pStyle w:val="BodyText"/>
        <w:spacing w:line="240" w:lineRule="auto"/>
        <w:ind w:left="142" w:right="0"/>
        <w:jc w:val="left"/>
      </w:pPr>
      <w:r>
        <w:rPr>
          <w:rFonts w:ascii="Arial" w:hAnsi="Arial" w:cs="Arial" w:eastAsia="Arial" w:hint="default"/>
        </w:rPr>
        <w:t>5</w:t>
      </w:r>
      <w:r>
        <w:rPr/>
        <w:t>、</w:t>
      </w:r>
      <w:r>
        <w:rPr>
          <w:spacing w:val="-41"/>
        </w:rPr>
        <w:t> </w:t>
      </w:r>
      <w:r>
        <w:rPr/>
        <w:t>关联方应收、应付款项余额</w:t>
      </w:r>
    </w:p>
    <w:p>
      <w:pPr>
        <w:spacing w:line="240" w:lineRule="auto" w:before="9"/>
        <w:rPr>
          <w:rFonts w:ascii="宋体" w:hAnsi="宋体" w:cs="宋体" w:eastAsia="宋体" w:hint="default"/>
          <w:sz w:val="19"/>
          <w:szCs w:val="19"/>
        </w:rPr>
      </w:pPr>
    </w:p>
    <w:tbl>
      <w:tblPr>
        <w:tblW w:w="0" w:type="auto"/>
        <w:jc w:val="left"/>
        <w:tblInd w:w="402" w:type="dxa"/>
        <w:tblLayout w:type="fixed"/>
        <w:tblCellMar>
          <w:top w:w="0" w:type="dxa"/>
          <w:left w:w="0" w:type="dxa"/>
          <w:bottom w:w="0" w:type="dxa"/>
          <w:right w:w="0" w:type="dxa"/>
        </w:tblCellMar>
        <w:tblLook w:val="01E0"/>
      </w:tblPr>
      <w:tblGrid>
        <w:gridCol w:w="1445"/>
        <w:gridCol w:w="3472"/>
        <w:gridCol w:w="2088"/>
        <w:gridCol w:w="271"/>
        <w:gridCol w:w="2101"/>
      </w:tblGrid>
      <w:tr>
        <w:trPr>
          <w:trHeight w:val="260" w:hRule="exact"/>
        </w:trPr>
        <w:tc>
          <w:tcPr>
            <w:tcW w:w="1445" w:type="dxa"/>
            <w:tcBorders>
              <w:top w:val="nil" w:sz="6" w:space="0" w:color="auto"/>
              <w:left w:val="nil" w:sz="6" w:space="0" w:color="auto"/>
              <w:bottom w:val="nil" w:sz="6" w:space="0" w:color="auto"/>
              <w:right w:val="nil" w:sz="6" w:space="0" w:color="auto"/>
            </w:tcBorders>
          </w:tcPr>
          <w:p>
            <w:pPr/>
          </w:p>
        </w:tc>
        <w:tc>
          <w:tcPr>
            <w:tcW w:w="3472"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single" w:sz="6" w:space="0" w:color="000000"/>
              <w:right w:val="nil" w:sz="6" w:space="0" w:color="auto"/>
            </w:tcBorders>
          </w:tcPr>
          <w:p>
            <w:pPr>
              <w:pStyle w:val="TableParagraph"/>
              <w:spacing w:line="235" w:lineRule="exact"/>
              <w:ind w:left="107" w:right="0"/>
              <w:jc w:val="lef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15"/>
                <w:sz w:val="22"/>
                <w:szCs w:val="22"/>
              </w:rPr>
              <w:t> </w:t>
            </w:r>
            <w:r>
              <w:rPr>
                <w:rFonts w:ascii="宋体" w:hAnsi="宋体" w:cs="宋体" w:eastAsia="宋体" w:hint="default"/>
                <w:sz w:val="22"/>
                <w:szCs w:val="22"/>
              </w:rPr>
              <w:t>年</w:t>
            </w:r>
            <w:r>
              <w:rPr>
                <w:rFonts w:ascii="宋体" w:hAnsi="宋体" w:cs="宋体" w:eastAsia="宋体" w:hint="default"/>
                <w:spacing w:val="-65"/>
                <w:sz w:val="22"/>
                <w:szCs w:val="22"/>
              </w:rPr>
              <w:t> </w:t>
            </w:r>
            <w:r>
              <w:rPr>
                <w:rFonts w:ascii="Arial" w:hAnsi="Arial" w:cs="Arial" w:eastAsia="Arial" w:hint="default"/>
                <w:sz w:val="22"/>
                <w:szCs w:val="22"/>
              </w:rPr>
              <w:t>12</w:t>
            </w:r>
            <w:r>
              <w:rPr>
                <w:rFonts w:ascii="Arial" w:hAnsi="Arial" w:cs="Arial" w:eastAsia="Arial" w:hint="default"/>
                <w:spacing w:val="-16"/>
                <w:sz w:val="22"/>
                <w:szCs w:val="22"/>
              </w:rPr>
              <w:t> </w:t>
            </w:r>
            <w:r>
              <w:rPr>
                <w:rFonts w:ascii="宋体" w:hAnsi="宋体" w:cs="宋体" w:eastAsia="宋体" w:hint="default"/>
                <w:sz w:val="22"/>
                <w:szCs w:val="22"/>
              </w:rPr>
              <w:t>月</w:t>
            </w:r>
            <w:r>
              <w:rPr>
                <w:rFonts w:ascii="宋体" w:hAnsi="宋体" w:cs="宋体" w:eastAsia="宋体" w:hint="default"/>
                <w:spacing w:val="-65"/>
                <w:sz w:val="22"/>
                <w:szCs w:val="22"/>
              </w:rPr>
              <w:t> </w:t>
            </w:r>
            <w:r>
              <w:rPr>
                <w:rFonts w:ascii="Arial" w:hAnsi="Arial" w:cs="Arial" w:eastAsia="Arial" w:hint="default"/>
                <w:sz w:val="22"/>
                <w:szCs w:val="22"/>
              </w:rPr>
              <w:t>31</w:t>
            </w:r>
            <w:r>
              <w:rPr>
                <w:rFonts w:ascii="Arial" w:hAnsi="Arial" w:cs="Arial" w:eastAsia="Arial" w:hint="default"/>
                <w:spacing w:val="-16"/>
                <w:sz w:val="22"/>
                <w:szCs w:val="22"/>
              </w:rPr>
              <w:t> </w:t>
            </w:r>
            <w:r>
              <w:rPr>
                <w:rFonts w:ascii="宋体" w:hAnsi="宋体" w:cs="宋体" w:eastAsia="宋体" w:hint="default"/>
                <w:sz w:val="22"/>
                <w:szCs w:val="22"/>
              </w:rPr>
              <w:t>日</w:t>
            </w:r>
          </w:p>
        </w:tc>
        <w:tc>
          <w:tcPr>
            <w:tcW w:w="271"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single" w:sz="6" w:space="0" w:color="000000"/>
              <w:right w:val="nil" w:sz="6" w:space="0" w:color="auto"/>
            </w:tcBorders>
          </w:tcPr>
          <w:p>
            <w:pPr>
              <w:pStyle w:val="TableParagraph"/>
              <w:spacing w:line="235" w:lineRule="exact"/>
              <w:ind w:left="115"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14"/>
                <w:sz w:val="22"/>
                <w:szCs w:val="22"/>
              </w:rPr>
              <w:t> </w:t>
            </w:r>
            <w:r>
              <w:rPr>
                <w:rFonts w:ascii="宋体" w:hAnsi="宋体" w:cs="宋体" w:eastAsia="宋体" w:hint="default"/>
                <w:sz w:val="22"/>
                <w:szCs w:val="22"/>
              </w:rPr>
              <w:t>年</w:t>
            </w:r>
            <w:r>
              <w:rPr>
                <w:rFonts w:ascii="宋体" w:hAnsi="宋体" w:cs="宋体" w:eastAsia="宋体" w:hint="default"/>
                <w:spacing w:val="-63"/>
                <w:sz w:val="22"/>
                <w:szCs w:val="22"/>
              </w:rPr>
              <w:t> </w:t>
            </w:r>
            <w:r>
              <w:rPr>
                <w:rFonts w:ascii="Arial" w:hAnsi="Arial" w:cs="Arial" w:eastAsia="Arial" w:hint="default"/>
                <w:sz w:val="22"/>
                <w:szCs w:val="22"/>
              </w:rPr>
              <w:t>12</w:t>
            </w:r>
            <w:r>
              <w:rPr>
                <w:rFonts w:ascii="Arial" w:hAnsi="Arial" w:cs="Arial" w:eastAsia="Arial" w:hint="default"/>
                <w:spacing w:val="-14"/>
                <w:sz w:val="22"/>
                <w:szCs w:val="22"/>
              </w:rPr>
              <w:t> </w:t>
            </w:r>
            <w:r>
              <w:rPr>
                <w:rFonts w:ascii="宋体" w:hAnsi="宋体" w:cs="宋体" w:eastAsia="宋体" w:hint="default"/>
                <w:sz w:val="22"/>
                <w:szCs w:val="22"/>
              </w:rPr>
              <w:t>月</w:t>
            </w:r>
            <w:r>
              <w:rPr>
                <w:rFonts w:ascii="宋体" w:hAnsi="宋体" w:cs="宋体" w:eastAsia="宋体" w:hint="default"/>
                <w:spacing w:val="-63"/>
                <w:sz w:val="22"/>
                <w:szCs w:val="22"/>
              </w:rPr>
              <w:t> </w:t>
            </w:r>
            <w:r>
              <w:rPr>
                <w:rFonts w:ascii="Arial" w:hAnsi="Arial" w:cs="Arial" w:eastAsia="Arial" w:hint="default"/>
                <w:sz w:val="22"/>
                <w:szCs w:val="22"/>
              </w:rPr>
              <w:t>31</w:t>
            </w:r>
            <w:r>
              <w:rPr>
                <w:rFonts w:ascii="Arial" w:hAnsi="Arial" w:cs="Arial" w:eastAsia="Arial" w:hint="default"/>
                <w:spacing w:val="-14"/>
                <w:sz w:val="22"/>
                <w:szCs w:val="22"/>
              </w:rPr>
              <w:t> </w:t>
            </w:r>
            <w:r>
              <w:rPr>
                <w:rFonts w:ascii="宋体" w:hAnsi="宋体" w:cs="宋体" w:eastAsia="宋体" w:hint="default"/>
                <w:sz w:val="22"/>
                <w:szCs w:val="22"/>
              </w:rPr>
              <w:t>日</w:t>
            </w:r>
          </w:p>
        </w:tc>
      </w:tr>
      <w:tr>
        <w:trPr>
          <w:trHeight w:val="559" w:hRule="exact"/>
        </w:trPr>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34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66"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2088"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23"/>
              <w:jc w:val="right"/>
              <w:rPr>
                <w:rFonts w:ascii="Arial" w:hAnsi="Arial" w:cs="Arial" w:eastAsia="Arial" w:hint="default"/>
                <w:sz w:val="22"/>
                <w:szCs w:val="22"/>
              </w:rPr>
            </w:pPr>
            <w:r>
              <w:rPr>
                <w:rFonts w:ascii="Arial"/>
                <w:w w:val="95"/>
                <w:sz w:val="22"/>
              </w:rPr>
              <w:t>13,533,936</w:t>
            </w:r>
            <w:r>
              <w:rPr>
                <w:rFonts w:ascii="Arial"/>
                <w:sz w:val="22"/>
              </w:rPr>
            </w:r>
          </w:p>
        </w:tc>
        <w:tc>
          <w:tcPr>
            <w:tcW w:w="271" w:type="dxa"/>
            <w:tcBorders>
              <w:top w:val="nil" w:sz="6" w:space="0" w:color="auto"/>
              <w:left w:val="nil" w:sz="6" w:space="0" w:color="auto"/>
              <w:bottom w:val="nil" w:sz="6" w:space="0" w:color="auto"/>
              <w:right w:val="nil" w:sz="6" w:space="0" w:color="auto"/>
            </w:tcBorders>
          </w:tcPr>
          <w:p>
            <w:pPr/>
          </w:p>
        </w:tc>
        <w:tc>
          <w:tcPr>
            <w:tcW w:w="2101"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98" w:right="0"/>
              <w:jc w:val="left"/>
              <w:rPr>
                <w:rFonts w:ascii="Arial" w:hAnsi="Arial" w:cs="Arial" w:eastAsia="Arial" w:hint="default"/>
                <w:sz w:val="22"/>
                <w:szCs w:val="22"/>
              </w:rPr>
            </w:pPr>
            <w:r>
              <w:rPr>
                <w:rFonts w:ascii="Arial"/>
                <w:sz w:val="22"/>
              </w:rPr>
              <w:t>6,911,495</w:t>
            </w:r>
          </w:p>
        </w:tc>
      </w:tr>
      <w:tr>
        <w:trPr>
          <w:trHeight w:val="285" w:hRule="exact"/>
        </w:trPr>
        <w:tc>
          <w:tcPr>
            <w:tcW w:w="1445" w:type="dxa"/>
            <w:tcBorders>
              <w:top w:val="nil" w:sz="6" w:space="0" w:color="auto"/>
              <w:left w:val="nil" w:sz="6" w:space="0" w:color="auto"/>
              <w:bottom w:val="nil" w:sz="6" w:space="0" w:color="auto"/>
              <w:right w:val="nil" w:sz="6" w:space="0" w:color="auto"/>
            </w:tcBorders>
          </w:tcPr>
          <w:p>
            <w:pPr/>
          </w:p>
        </w:tc>
        <w:tc>
          <w:tcPr>
            <w:tcW w:w="3472" w:type="dxa"/>
            <w:tcBorders>
              <w:top w:val="nil" w:sz="6" w:space="0" w:color="auto"/>
              <w:left w:val="nil" w:sz="6" w:space="0" w:color="auto"/>
              <w:bottom w:val="nil" w:sz="6" w:space="0" w:color="auto"/>
              <w:right w:val="nil" w:sz="6" w:space="0" w:color="auto"/>
            </w:tcBorders>
          </w:tcPr>
          <w:p>
            <w:pPr>
              <w:pStyle w:val="TableParagraph"/>
              <w:spacing w:line="255" w:lineRule="exact"/>
              <w:ind w:left="366" w:right="0"/>
              <w:jc w:val="left"/>
              <w:rPr>
                <w:rFonts w:ascii="宋体" w:hAnsi="宋体" w:cs="宋体" w:eastAsia="宋体" w:hint="default"/>
                <w:sz w:val="22"/>
                <w:szCs w:val="22"/>
              </w:rPr>
            </w:pPr>
            <w:r>
              <w:rPr>
                <w:rFonts w:ascii="宋体" w:hAnsi="宋体" w:cs="宋体" w:eastAsia="宋体" w:hint="default"/>
                <w:sz w:val="22"/>
                <w:szCs w:val="22"/>
              </w:rPr>
              <w:t>联通新时空（注</w:t>
            </w:r>
            <w:r>
              <w:rPr>
                <w:rFonts w:ascii="宋体" w:hAnsi="宋体" w:cs="宋体" w:eastAsia="宋体" w:hint="default"/>
                <w:spacing w:val="-58"/>
                <w:sz w:val="22"/>
                <w:szCs w:val="22"/>
              </w:rPr>
              <w:t> </w:t>
            </w:r>
            <w:r>
              <w:rPr>
                <w:rFonts w:ascii="Arial" w:hAnsi="Arial" w:cs="Arial" w:eastAsia="Arial" w:hint="default"/>
                <w:sz w:val="22"/>
                <w:szCs w:val="22"/>
              </w:rPr>
              <w:t>1</w:t>
            </w:r>
            <w:r>
              <w:rPr>
                <w:rFonts w:ascii="宋体" w:hAnsi="宋体" w:cs="宋体" w:eastAsia="宋体" w:hint="default"/>
                <w:sz w:val="22"/>
                <w:szCs w:val="22"/>
              </w:rPr>
              <w:t>）</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4"/>
              <w:jc w:val="right"/>
              <w:rPr>
                <w:rFonts w:ascii="Arial" w:hAnsi="Arial" w:cs="Arial" w:eastAsia="Arial" w:hint="default"/>
                <w:sz w:val="22"/>
                <w:szCs w:val="22"/>
              </w:rPr>
            </w:pPr>
            <w:r>
              <w:rPr>
                <w:rFonts w:ascii="Arial"/>
                <w:w w:val="99"/>
                <w:sz w:val="22"/>
              </w:rPr>
              <w:t>-</w:t>
            </w:r>
            <w:r>
              <w:rPr>
                <w:rFonts w:ascii="Arial"/>
                <w:sz w:val="22"/>
              </w:rPr>
            </w:r>
          </w:p>
        </w:tc>
        <w:tc>
          <w:tcPr>
            <w:tcW w:w="271"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876" w:right="0"/>
              <w:jc w:val="left"/>
              <w:rPr>
                <w:rFonts w:ascii="Arial" w:hAnsi="Arial" w:cs="Arial" w:eastAsia="Arial" w:hint="default"/>
                <w:sz w:val="22"/>
                <w:szCs w:val="22"/>
              </w:rPr>
            </w:pPr>
            <w:r>
              <w:rPr>
                <w:rFonts w:ascii="Arial"/>
                <w:sz w:val="22"/>
              </w:rPr>
              <w:t>18,287,362</w:t>
            </w:r>
          </w:p>
        </w:tc>
      </w:tr>
      <w:tr>
        <w:trPr>
          <w:trHeight w:val="290" w:hRule="exact"/>
        </w:trPr>
        <w:tc>
          <w:tcPr>
            <w:tcW w:w="1445" w:type="dxa"/>
            <w:tcBorders>
              <w:top w:val="nil" w:sz="6" w:space="0" w:color="auto"/>
              <w:left w:val="nil" w:sz="6" w:space="0" w:color="auto"/>
              <w:bottom w:val="nil" w:sz="6" w:space="0" w:color="auto"/>
              <w:right w:val="nil" w:sz="6" w:space="0" w:color="auto"/>
            </w:tcBorders>
          </w:tcPr>
          <w:p>
            <w:pPr/>
          </w:p>
        </w:tc>
        <w:tc>
          <w:tcPr>
            <w:tcW w:w="3472" w:type="dxa"/>
            <w:tcBorders>
              <w:top w:val="nil" w:sz="6" w:space="0" w:color="auto"/>
              <w:left w:val="nil" w:sz="6" w:space="0" w:color="auto"/>
              <w:bottom w:val="nil" w:sz="6" w:space="0" w:color="auto"/>
              <w:right w:val="nil" w:sz="6" w:space="0" w:color="auto"/>
            </w:tcBorders>
          </w:tcPr>
          <w:p>
            <w:pPr>
              <w:pStyle w:val="TableParagraph"/>
              <w:spacing w:line="239" w:lineRule="exact"/>
              <w:ind w:left="366" w:right="0"/>
              <w:jc w:val="left"/>
              <w:rPr>
                <w:rFonts w:ascii="宋体" w:hAnsi="宋体" w:cs="宋体" w:eastAsia="宋体" w:hint="default"/>
                <w:sz w:val="22"/>
                <w:szCs w:val="22"/>
              </w:rPr>
            </w:pPr>
            <w:r>
              <w:rPr>
                <w:rFonts w:ascii="宋体" w:hAnsi="宋体" w:cs="宋体" w:eastAsia="宋体" w:hint="default"/>
                <w:sz w:val="22"/>
                <w:szCs w:val="22"/>
              </w:rPr>
              <w:t>联通集团其他附属公司</w:t>
            </w:r>
          </w:p>
        </w:tc>
        <w:tc>
          <w:tcPr>
            <w:tcW w:w="2088" w:type="dxa"/>
            <w:tcBorders>
              <w:top w:val="nil" w:sz="6" w:space="0" w:color="auto"/>
              <w:left w:val="nil" w:sz="6" w:space="0" w:color="auto"/>
              <w:bottom w:val="nil" w:sz="6" w:space="0" w:color="auto"/>
              <w:right w:val="nil" w:sz="6" w:space="0" w:color="auto"/>
            </w:tcBorders>
          </w:tcPr>
          <w:p>
            <w:pPr>
              <w:pStyle w:val="TableParagraph"/>
              <w:tabs>
                <w:tab w:pos="983" w:val="left" w:leader="none"/>
                <w:tab w:pos="2088"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8,466,701</w:t>
            </w:r>
            <w:r>
              <w:rPr>
                <w:rFonts w:ascii="Arial"/>
                <w:sz w:val="22"/>
                <w:u w:val="single" w:color="000000"/>
              </w:rPr>
              <w:tab/>
            </w:r>
            <w:r>
              <w:rPr>
                <w:rFonts w:ascii="Arial"/>
                <w:sz w:val="22"/>
              </w:rPr>
            </w:r>
          </w:p>
        </w:tc>
        <w:tc>
          <w:tcPr>
            <w:tcW w:w="271"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Style w:val="TableParagraph"/>
              <w:tabs>
                <w:tab w:pos="868" w:val="left" w:leader="none"/>
                <w:tab w:pos="2093"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10,192,327</w:t>
            </w:r>
            <w:r>
              <w:rPr>
                <w:rFonts w:ascii="Arial"/>
                <w:sz w:val="22"/>
                <w:u w:val="single" w:color="000000"/>
              </w:rPr>
              <w:tab/>
            </w:r>
            <w:r>
              <w:rPr>
                <w:rFonts w:ascii="Arial"/>
                <w:sz w:val="22"/>
              </w:rPr>
            </w:r>
          </w:p>
        </w:tc>
      </w:tr>
      <w:tr>
        <w:trPr>
          <w:trHeight w:val="272" w:hRule="exact"/>
        </w:trPr>
        <w:tc>
          <w:tcPr>
            <w:tcW w:w="1445" w:type="dxa"/>
            <w:tcBorders>
              <w:top w:val="nil" w:sz="6" w:space="0" w:color="auto"/>
              <w:left w:val="nil" w:sz="6" w:space="0" w:color="auto"/>
              <w:bottom w:val="nil" w:sz="6" w:space="0" w:color="auto"/>
              <w:right w:val="nil" w:sz="6" w:space="0" w:color="auto"/>
            </w:tcBorders>
          </w:tcPr>
          <w:p>
            <w:pPr/>
          </w:p>
        </w:tc>
        <w:tc>
          <w:tcPr>
            <w:tcW w:w="3472"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single" w:sz="17" w:space="0" w:color="000000"/>
              <w:right w:val="nil" w:sz="6" w:space="0" w:color="auto"/>
            </w:tcBorders>
          </w:tcPr>
          <w:p>
            <w:pPr>
              <w:pStyle w:val="TableParagraph"/>
              <w:spacing w:line="249" w:lineRule="exact"/>
              <w:ind w:right="124"/>
              <w:jc w:val="right"/>
              <w:rPr>
                <w:rFonts w:ascii="Arial" w:hAnsi="Arial" w:cs="Arial" w:eastAsia="Arial" w:hint="default"/>
                <w:sz w:val="22"/>
                <w:szCs w:val="22"/>
              </w:rPr>
            </w:pPr>
            <w:r>
              <w:rPr>
                <w:rFonts w:ascii="Arial"/>
                <w:w w:val="95"/>
                <w:sz w:val="22"/>
              </w:rPr>
              <w:t>22,000,637</w:t>
            </w:r>
            <w:r>
              <w:rPr>
                <w:rFonts w:ascii="Arial"/>
                <w:sz w:val="22"/>
              </w:rPr>
            </w:r>
          </w:p>
        </w:tc>
        <w:tc>
          <w:tcPr>
            <w:tcW w:w="271"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single" w:sz="17" w:space="0" w:color="000000"/>
              <w:right w:val="nil" w:sz="6" w:space="0" w:color="auto"/>
            </w:tcBorders>
          </w:tcPr>
          <w:p>
            <w:pPr>
              <w:pStyle w:val="TableParagraph"/>
              <w:spacing w:line="249" w:lineRule="exact"/>
              <w:ind w:left="876" w:right="0"/>
              <w:jc w:val="left"/>
              <w:rPr>
                <w:rFonts w:ascii="Arial" w:hAnsi="Arial" w:cs="Arial" w:eastAsia="Arial" w:hint="default"/>
                <w:sz w:val="22"/>
                <w:szCs w:val="22"/>
              </w:rPr>
            </w:pPr>
            <w:r>
              <w:rPr>
                <w:rFonts w:ascii="Arial"/>
                <w:sz w:val="22"/>
              </w:rPr>
              <w:t>35,391,184</w:t>
            </w:r>
          </w:p>
        </w:tc>
      </w:tr>
      <w:tr>
        <w:trPr>
          <w:trHeight w:val="574" w:hRule="exact"/>
        </w:trPr>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预付款项</w:t>
            </w:r>
          </w:p>
        </w:tc>
        <w:tc>
          <w:tcPr>
            <w:tcW w:w="347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66" w:right="0"/>
              <w:jc w:val="left"/>
              <w:rPr>
                <w:rFonts w:ascii="宋体" w:hAnsi="宋体" w:cs="宋体" w:eastAsia="宋体" w:hint="default"/>
                <w:sz w:val="22"/>
                <w:szCs w:val="22"/>
              </w:rPr>
            </w:pPr>
            <w:r>
              <w:rPr>
                <w:rFonts w:ascii="宋体" w:hAnsi="宋体" w:cs="宋体" w:eastAsia="宋体" w:hint="default"/>
                <w:sz w:val="22"/>
                <w:szCs w:val="22"/>
              </w:rPr>
              <w:t>联通进出口</w:t>
            </w:r>
          </w:p>
        </w:tc>
        <w:tc>
          <w:tcPr>
            <w:tcW w:w="2088" w:type="dxa"/>
            <w:tcBorders>
              <w:top w:val="single" w:sz="17"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23"/>
              <w:jc w:val="right"/>
              <w:rPr>
                <w:rFonts w:ascii="Arial" w:hAnsi="Arial" w:cs="Arial" w:eastAsia="Arial" w:hint="default"/>
                <w:sz w:val="22"/>
                <w:szCs w:val="22"/>
              </w:rPr>
            </w:pPr>
            <w:r>
              <w:rPr>
                <w:rFonts w:ascii="Arial"/>
                <w:w w:val="95"/>
                <w:sz w:val="22"/>
              </w:rPr>
              <w:t>21,475,552</w:t>
            </w:r>
            <w:r>
              <w:rPr>
                <w:rFonts w:ascii="Arial"/>
                <w:sz w:val="22"/>
              </w:rPr>
            </w:r>
          </w:p>
        </w:tc>
        <w:tc>
          <w:tcPr>
            <w:tcW w:w="271" w:type="dxa"/>
            <w:tcBorders>
              <w:top w:val="nil" w:sz="6" w:space="0" w:color="auto"/>
              <w:left w:val="nil" w:sz="6" w:space="0" w:color="auto"/>
              <w:bottom w:val="nil" w:sz="6" w:space="0" w:color="auto"/>
              <w:right w:val="nil" w:sz="6" w:space="0" w:color="auto"/>
            </w:tcBorders>
          </w:tcPr>
          <w:p>
            <w:pPr/>
          </w:p>
        </w:tc>
        <w:tc>
          <w:tcPr>
            <w:tcW w:w="2101" w:type="dxa"/>
            <w:tcBorders>
              <w:top w:val="single" w:sz="17"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876" w:right="0"/>
              <w:jc w:val="left"/>
              <w:rPr>
                <w:rFonts w:ascii="Arial" w:hAnsi="Arial" w:cs="Arial" w:eastAsia="Arial" w:hint="default"/>
                <w:sz w:val="22"/>
                <w:szCs w:val="22"/>
              </w:rPr>
            </w:pPr>
            <w:r>
              <w:rPr>
                <w:rFonts w:ascii="Arial"/>
                <w:sz w:val="22"/>
              </w:rPr>
              <w:t>25,238,469</w:t>
            </w:r>
          </w:p>
        </w:tc>
      </w:tr>
      <w:tr>
        <w:trPr>
          <w:trHeight w:val="290" w:hRule="exact"/>
        </w:trPr>
        <w:tc>
          <w:tcPr>
            <w:tcW w:w="1445" w:type="dxa"/>
            <w:tcBorders>
              <w:top w:val="nil" w:sz="6" w:space="0" w:color="auto"/>
              <w:left w:val="nil" w:sz="6" w:space="0" w:color="auto"/>
              <w:bottom w:val="nil" w:sz="6" w:space="0" w:color="auto"/>
              <w:right w:val="nil" w:sz="6" w:space="0" w:color="auto"/>
            </w:tcBorders>
          </w:tcPr>
          <w:p>
            <w:pPr/>
          </w:p>
        </w:tc>
        <w:tc>
          <w:tcPr>
            <w:tcW w:w="3472" w:type="dxa"/>
            <w:tcBorders>
              <w:top w:val="nil" w:sz="6" w:space="0" w:color="auto"/>
              <w:left w:val="nil" w:sz="6" w:space="0" w:color="auto"/>
              <w:bottom w:val="nil" w:sz="6" w:space="0" w:color="auto"/>
              <w:right w:val="nil" w:sz="6" w:space="0" w:color="auto"/>
            </w:tcBorders>
          </w:tcPr>
          <w:p>
            <w:pPr>
              <w:pStyle w:val="TableParagraph"/>
              <w:spacing w:line="239" w:lineRule="exact"/>
              <w:ind w:left="366" w:right="0"/>
              <w:jc w:val="left"/>
              <w:rPr>
                <w:rFonts w:ascii="宋体" w:hAnsi="宋体" w:cs="宋体" w:eastAsia="宋体" w:hint="default"/>
                <w:sz w:val="22"/>
                <w:szCs w:val="22"/>
              </w:rPr>
            </w:pPr>
            <w:r>
              <w:rPr>
                <w:rFonts w:ascii="宋体" w:hAnsi="宋体" w:cs="宋体" w:eastAsia="宋体" w:hint="default"/>
                <w:sz w:val="22"/>
                <w:szCs w:val="22"/>
              </w:rPr>
              <w:t>联通集团其他附属公司</w:t>
            </w:r>
          </w:p>
        </w:tc>
        <w:tc>
          <w:tcPr>
            <w:tcW w:w="2088" w:type="dxa"/>
            <w:tcBorders>
              <w:top w:val="nil" w:sz="6" w:space="0" w:color="auto"/>
              <w:left w:val="nil" w:sz="6" w:space="0" w:color="auto"/>
              <w:bottom w:val="nil" w:sz="6" w:space="0" w:color="auto"/>
              <w:right w:val="nil" w:sz="6" w:space="0" w:color="auto"/>
            </w:tcBorders>
          </w:tcPr>
          <w:p>
            <w:pPr>
              <w:pStyle w:val="TableParagraph"/>
              <w:tabs>
                <w:tab w:pos="1889" w:val="left" w:leader="none"/>
                <w:tab w:pos="2088"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sz w:val="22"/>
                <w:u w:val="single" w:color="000000"/>
              </w:rPr>
              <w:tab/>
            </w:r>
            <w:r>
              <w:rPr>
                <w:rFonts w:ascii="Arial"/>
                <w:sz w:val="22"/>
              </w:rPr>
            </w:r>
          </w:p>
        </w:tc>
        <w:tc>
          <w:tcPr>
            <w:tcW w:w="271"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Style w:val="TableParagraph"/>
              <w:tabs>
                <w:tab w:pos="1174" w:val="left" w:leader="none"/>
                <w:tab w:pos="2093"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462,500</w:t>
            </w:r>
            <w:r>
              <w:rPr>
                <w:rFonts w:ascii="Arial"/>
                <w:sz w:val="22"/>
                <w:u w:val="single" w:color="000000"/>
              </w:rPr>
              <w:tab/>
            </w:r>
            <w:r>
              <w:rPr>
                <w:rFonts w:ascii="Arial"/>
                <w:sz w:val="22"/>
              </w:rPr>
            </w:r>
          </w:p>
        </w:tc>
      </w:tr>
      <w:tr>
        <w:trPr>
          <w:trHeight w:val="275" w:hRule="exact"/>
        </w:trPr>
        <w:tc>
          <w:tcPr>
            <w:tcW w:w="1445" w:type="dxa"/>
            <w:tcBorders>
              <w:top w:val="nil" w:sz="6" w:space="0" w:color="auto"/>
              <w:left w:val="nil" w:sz="6" w:space="0" w:color="auto"/>
              <w:bottom w:val="nil" w:sz="6" w:space="0" w:color="auto"/>
              <w:right w:val="nil" w:sz="6" w:space="0" w:color="auto"/>
            </w:tcBorders>
          </w:tcPr>
          <w:p>
            <w:pPr/>
          </w:p>
        </w:tc>
        <w:tc>
          <w:tcPr>
            <w:tcW w:w="3472"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single" w:sz="17" w:space="0" w:color="000000"/>
              <w:right w:val="nil" w:sz="6" w:space="0" w:color="auto"/>
            </w:tcBorders>
          </w:tcPr>
          <w:p>
            <w:pPr>
              <w:pStyle w:val="TableParagraph"/>
              <w:spacing w:line="249" w:lineRule="exact"/>
              <w:ind w:right="123"/>
              <w:jc w:val="right"/>
              <w:rPr>
                <w:rFonts w:ascii="Arial" w:hAnsi="Arial" w:cs="Arial" w:eastAsia="Arial" w:hint="default"/>
                <w:sz w:val="22"/>
                <w:szCs w:val="22"/>
              </w:rPr>
            </w:pPr>
            <w:r>
              <w:rPr>
                <w:rFonts w:ascii="Arial"/>
                <w:w w:val="95"/>
                <w:sz w:val="22"/>
              </w:rPr>
              <w:t>21,475,552</w:t>
            </w:r>
            <w:r>
              <w:rPr>
                <w:rFonts w:ascii="Arial"/>
                <w:sz w:val="22"/>
              </w:rPr>
            </w:r>
          </w:p>
        </w:tc>
        <w:tc>
          <w:tcPr>
            <w:tcW w:w="271"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single" w:sz="17" w:space="0" w:color="000000"/>
              <w:right w:val="nil" w:sz="6" w:space="0" w:color="auto"/>
            </w:tcBorders>
          </w:tcPr>
          <w:p>
            <w:pPr>
              <w:pStyle w:val="TableParagraph"/>
              <w:spacing w:line="249" w:lineRule="exact"/>
              <w:ind w:left="876" w:right="0"/>
              <w:jc w:val="left"/>
              <w:rPr>
                <w:rFonts w:ascii="Arial" w:hAnsi="Arial" w:cs="Arial" w:eastAsia="Arial" w:hint="default"/>
                <w:sz w:val="22"/>
                <w:szCs w:val="22"/>
              </w:rPr>
            </w:pPr>
            <w:r>
              <w:rPr>
                <w:rFonts w:ascii="Arial"/>
                <w:sz w:val="22"/>
              </w:rPr>
              <w:t>25,700,969</w:t>
            </w:r>
          </w:p>
        </w:tc>
      </w:tr>
    </w:tbl>
    <w:p>
      <w:pPr>
        <w:spacing w:after="0" w:line="249" w:lineRule="exact"/>
        <w:jc w:val="left"/>
        <w:rPr>
          <w:rFonts w:ascii="Arial" w:hAnsi="Arial" w:cs="Arial" w:eastAsia="Arial" w:hint="default"/>
          <w:sz w:val="22"/>
          <w:szCs w:val="22"/>
        </w:rPr>
        <w:sectPr>
          <w:headerReference w:type="default" r:id="rId135"/>
          <w:pgSz w:w="11910" w:h="16840"/>
          <w:pgMar w:header="1184" w:footer="457" w:top="3040" w:bottom="640" w:left="1240" w:right="780"/>
        </w:sectPr>
      </w:pPr>
    </w:p>
    <w:p>
      <w:pPr>
        <w:spacing w:line="240" w:lineRule="auto" w:before="8"/>
        <w:rPr>
          <w:rFonts w:ascii="宋体" w:hAnsi="宋体" w:cs="宋体" w:eastAsia="宋体" w:hint="default"/>
          <w:sz w:val="23"/>
          <w:szCs w:val="23"/>
        </w:rPr>
      </w:pPr>
    </w:p>
    <w:tbl>
      <w:tblPr>
        <w:tblW w:w="0" w:type="auto"/>
        <w:jc w:val="left"/>
        <w:tblInd w:w="353" w:type="dxa"/>
        <w:tblLayout w:type="fixed"/>
        <w:tblCellMar>
          <w:top w:w="0" w:type="dxa"/>
          <w:left w:w="0" w:type="dxa"/>
          <w:bottom w:w="0" w:type="dxa"/>
          <w:right w:w="0" w:type="dxa"/>
        </w:tblCellMar>
        <w:tblLook w:val="01E0"/>
      </w:tblPr>
      <w:tblGrid>
        <w:gridCol w:w="1559"/>
        <w:gridCol w:w="3366"/>
        <w:gridCol w:w="2086"/>
        <w:gridCol w:w="274"/>
        <w:gridCol w:w="2101"/>
      </w:tblGrid>
      <w:tr>
        <w:trPr>
          <w:trHeight w:val="398" w:hRule="exact"/>
        </w:trPr>
        <w:tc>
          <w:tcPr>
            <w:tcW w:w="7011" w:type="dxa"/>
            <w:gridSpan w:val="3"/>
            <w:tcBorders>
              <w:top w:val="nil" w:sz="6" w:space="0" w:color="auto"/>
              <w:left w:val="nil" w:sz="6" w:space="0" w:color="auto"/>
              <w:bottom w:val="nil" w:sz="6" w:space="0" w:color="auto"/>
              <w:right w:val="nil" w:sz="6" w:space="0" w:color="auto"/>
            </w:tcBorders>
          </w:tcPr>
          <w:p>
            <w:pPr>
              <w:pStyle w:val="TableParagraph"/>
              <w:spacing w:line="235" w:lineRule="exact"/>
              <w:ind w:right="104"/>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15"/>
                <w:sz w:val="22"/>
                <w:szCs w:val="22"/>
              </w:rPr>
              <w:t> </w:t>
            </w:r>
            <w:r>
              <w:rPr>
                <w:rFonts w:ascii="宋体" w:hAnsi="宋体" w:cs="宋体" w:eastAsia="宋体" w:hint="default"/>
                <w:sz w:val="22"/>
                <w:szCs w:val="22"/>
              </w:rPr>
              <w:t>年</w:t>
            </w:r>
            <w:r>
              <w:rPr>
                <w:rFonts w:ascii="宋体" w:hAnsi="宋体" w:cs="宋体" w:eastAsia="宋体" w:hint="default"/>
                <w:spacing w:val="-65"/>
                <w:sz w:val="22"/>
                <w:szCs w:val="22"/>
              </w:rPr>
              <w:t> </w:t>
            </w:r>
            <w:r>
              <w:rPr>
                <w:rFonts w:ascii="Arial" w:hAnsi="Arial" w:cs="Arial" w:eastAsia="Arial" w:hint="default"/>
                <w:sz w:val="22"/>
                <w:szCs w:val="22"/>
              </w:rPr>
              <w:t>12</w:t>
            </w:r>
            <w:r>
              <w:rPr>
                <w:rFonts w:ascii="Arial" w:hAnsi="Arial" w:cs="Arial" w:eastAsia="Arial" w:hint="default"/>
                <w:spacing w:val="-17"/>
                <w:sz w:val="22"/>
                <w:szCs w:val="22"/>
              </w:rPr>
              <w:t> </w:t>
            </w:r>
            <w:r>
              <w:rPr>
                <w:rFonts w:ascii="宋体" w:hAnsi="宋体" w:cs="宋体" w:eastAsia="宋体" w:hint="default"/>
                <w:sz w:val="22"/>
                <w:szCs w:val="22"/>
              </w:rPr>
              <w:t>月</w:t>
            </w:r>
            <w:r>
              <w:rPr>
                <w:rFonts w:ascii="宋体" w:hAnsi="宋体" w:cs="宋体" w:eastAsia="宋体" w:hint="default"/>
                <w:spacing w:val="-65"/>
                <w:sz w:val="22"/>
                <w:szCs w:val="22"/>
              </w:rPr>
              <w:t> </w:t>
            </w:r>
            <w:r>
              <w:rPr>
                <w:rFonts w:ascii="Arial" w:hAnsi="Arial" w:cs="Arial" w:eastAsia="Arial" w:hint="default"/>
                <w:sz w:val="22"/>
                <w:szCs w:val="22"/>
              </w:rPr>
              <w:t>31</w:t>
            </w:r>
            <w:r>
              <w:rPr>
                <w:rFonts w:ascii="Arial" w:hAnsi="Arial" w:cs="Arial" w:eastAsia="Arial" w:hint="default"/>
                <w:spacing w:val="-16"/>
                <w:sz w:val="22"/>
                <w:szCs w:val="22"/>
              </w:rPr>
              <w:t> </w:t>
            </w:r>
            <w:r>
              <w:rPr>
                <w:rFonts w:ascii="宋体" w:hAnsi="宋体" w:cs="宋体" w:eastAsia="宋体" w:hint="default"/>
                <w:sz w:val="22"/>
                <w:szCs w:val="22"/>
              </w:rPr>
              <w:t>日</w:t>
            </w:r>
          </w:p>
        </w:tc>
        <w:tc>
          <w:tcPr>
            <w:tcW w:w="274"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Style w:val="TableParagraph"/>
              <w:spacing w:line="235" w:lineRule="exact"/>
              <w:ind w:left="73"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433"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00"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336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60"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852" w:right="0"/>
              <w:jc w:val="left"/>
              <w:rPr>
                <w:rFonts w:ascii="Arial" w:hAnsi="Arial" w:cs="Arial" w:eastAsia="Arial" w:hint="default"/>
                <w:sz w:val="22"/>
                <w:szCs w:val="22"/>
              </w:rPr>
            </w:pPr>
            <w:r>
              <w:rPr>
                <w:rFonts w:ascii="Arial"/>
                <w:sz w:val="22"/>
              </w:rPr>
              <w:t>61,112,889</w:t>
            </w:r>
          </w:p>
        </w:tc>
        <w:tc>
          <w:tcPr>
            <w:tcW w:w="274"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867" w:right="0"/>
              <w:jc w:val="left"/>
              <w:rPr>
                <w:rFonts w:ascii="Arial" w:hAnsi="Arial" w:cs="Arial" w:eastAsia="Arial" w:hint="default"/>
                <w:sz w:val="22"/>
                <w:szCs w:val="22"/>
              </w:rPr>
            </w:pPr>
            <w:r>
              <w:rPr>
                <w:rFonts w:ascii="Arial"/>
                <w:sz w:val="22"/>
              </w:rPr>
              <w:t>92,330,099</w:t>
            </w:r>
          </w:p>
        </w:tc>
      </w:tr>
      <w:tr>
        <w:trPr>
          <w:trHeight w:val="285" w:hRule="exact"/>
        </w:trPr>
        <w:tc>
          <w:tcPr>
            <w:tcW w:w="1559" w:type="dxa"/>
            <w:tcBorders>
              <w:top w:val="nil" w:sz="6" w:space="0" w:color="auto"/>
              <w:left w:val="nil" w:sz="6" w:space="0" w:color="auto"/>
              <w:bottom w:val="nil" w:sz="6" w:space="0" w:color="auto"/>
              <w:right w:val="nil" w:sz="6" w:space="0" w:color="auto"/>
            </w:tcBorders>
          </w:tcPr>
          <w:p>
            <w:pPr/>
          </w:p>
        </w:tc>
        <w:tc>
          <w:tcPr>
            <w:tcW w:w="3366" w:type="dxa"/>
            <w:tcBorders>
              <w:top w:val="nil" w:sz="6" w:space="0" w:color="auto"/>
              <w:left w:val="nil" w:sz="6" w:space="0" w:color="auto"/>
              <w:bottom w:val="nil" w:sz="6" w:space="0" w:color="auto"/>
              <w:right w:val="nil" w:sz="6" w:space="0" w:color="auto"/>
            </w:tcBorders>
          </w:tcPr>
          <w:p>
            <w:pPr>
              <w:pStyle w:val="TableParagraph"/>
              <w:spacing w:line="255" w:lineRule="exact"/>
              <w:ind w:left="260" w:right="0"/>
              <w:jc w:val="left"/>
              <w:rPr>
                <w:rFonts w:ascii="宋体" w:hAnsi="宋体" w:cs="宋体" w:eastAsia="宋体" w:hint="default"/>
                <w:sz w:val="22"/>
                <w:szCs w:val="22"/>
              </w:rPr>
            </w:pPr>
            <w:r>
              <w:rPr>
                <w:rFonts w:ascii="宋体" w:hAnsi="宋体" w:cs="宋体" w:eastAsia="宋体" w:hint="default"/>
                <w:sz w:val="22"/>
                <w:szCs w:val="22"/>
              </w:rPr>
              <w:t>联通新时空（注</w:t>
            </w:r>
            <w:r>
              <w:rPr>
                <w:rFonts w:ascii="宋体" w:hAnsi="宋体" w:cs="宋体" w:eastAsia="宋体" w:hint="default"/>
                <w:spacing w:val="-58"/>
                <w:sz w:val="22"/>
                <w:szCs w:val="22"/>
              </w:rPr>
              <w:t> </w:t>
            </w:r>
            <w:r>
              <w:rPr>
                <w:rFonts w:ascii="Arial" w:hAnsi="Arial" w:cs="Arial" w:eastAsia="Arial" w:hint="default"/>
                <w:sz w:val="22"/>
                <w:szCs w:val="22"/>
              </w:rPr>
              <w:t>1</w:t>
            </w:r>
            <w:r>
              <w:rPr>
                <w:rFonts w:ascii="宋体" w:hAnsi="宋体" w:cs="宋体" w:eastAsia="宋体" w:hint="default"/>
                <w:sz w:val="22"/>
                <w:szCs w:val="22"/>
              </w:rPr>
              <w:t>）</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0"/>
              <w:jc w:val="right"/>
              <w:rPr>
                <w:rFonts w:ascii="Arial" w:hAnsi="Arial" w:cs="Arial" w:eastAsia="Arial" w:hint="default"/>
                <w:sz w:val="22"/>
                <w:szCs w:val="22"/>
              </w:rPr>
            </w:pPr>
            <w:r>
              <w:rPr>
                <w:rFonts w:ascii="Arial"/>
                <w:w w:val="99"/>
                <w:sz w:val="22"/>
              </w:rPr>
              <w:t>-</w:t>
            </w:r>
            <w:r>
              <w:rPr>
                <w:rFonts w:ascii="Arial"/>
                <w:sz w:val="22"/>
              </w:rPr>
            </w:r>
          </w:p>
        </w:tc>
        <w:tc>
          <w:tcPr>
            <w:tcW w:w="274"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46" w:right="0"/>
              <w:jc w:val="left"/>
              <w:rPr>
                <w:rFonts w:ascii="Arial" w:hAnsi="Arial" w:cs="Arial" w:eastAsia="Arial" w:hint="default"/>
                <w:sz w:val="22"/>
                <w:szCs w:val="22"/>
              </w:rPr>
            </w:pPr>
            <w:r>
              <w:rPr>
                <w:rFonts w:ascii="Arial"/>
                <w:sz w:val="22"/>
              </w:rPr>
              <w:t>606,324,002</w:t>
            </w:r>
          </w:p>
        </w:tc>
      </w:tr>
      <w:tr>
        <w:trPr>
          <w:trHeight w:val="285" w:hRule="exact"/>
        </w:trPr>
        <w:tc>
          <w:tcPr>
            <w:tcW w:w="1559" w:type="dxa"/>
            <w:tcBorders>
              <w:top w:val="nil" w:sz="6" w:space="0" w:color="auto"/>
              <w:left w:val="nil" w:sz="6" w:space="0" w:color="auto"/>
              <w:bottom w:val="nil" w:sz="6" w:space="0" w:color="auto"/>
              <w:right w:val="nil" w:sz="6" w:space="0" w:color="auto"/>
            </w:tcBorders>
          </w:tcPr>
          <w:p>
            <w:pPr/>
          </w:p>
        </w:tc>
        <w:tc>
          <w:tcPr>
            <w:tcW w:w="3366" w:type="dxa"/>
            <w:tcBorders>
              <w:top w:val="nil" w:sz="6" w:space="0" w:color="auto"/>
              <w:left w:val="nil" w:sz="6" w:space="0" w:color="auto"/>
              <w:bottom w:val="nil" w:sz="6" w:space="0" w:color="auto"/>
              <w:right w:val="nil" w:sz="6" w:space="0" w:color="auto"/>
            </w:tcBorders>
          </w:tcPr>
          <w:p>
            <w:pPr>
              <w:pStyle w:val="TableParagraph"/>
              <w:spacing w:line="239" w:lineRule="exact"/>
              <w:ind w:left="260" w:right="0"/>
              <w:jc w:val="left"/>
              <w:rPr>
                <w:rFonts w:ascii="宋体" w:hAnsi="宋体" w:cs="宋体" w:eastAsia="宋体" w:hint="default"/>
                <w:sz w:val="22"/>
                <w:szCs w:val="22"/>
              </w:rPr>
            </w:pPr>
            <w:r>
              <w:rPr>
                <w:rFonts w:ascii="宋体" w:hAnsi="宋体" w:cs="宋体" w:eastAsia="宋体" w:hint="default"/>
                <w:sz w:val="22"/>
                <w:szCs w:val="22"/>
              </w:rPr>
              <w:t>联通进出口</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74" w:right="0"/>
              <w:jc w:val="left"/>
              <w:rPr>
                <w:rFonts w:ascii="Arial" w:hAnsi="Arial" w:cs="Arial" w:eastAsia="Arial" w:hint="default"/>
                <w:sz w:val="22"/>
                <w:szCs w:val="22"/>
              </w:rPr>
            </w:pPr>
            <w:r>
              <w:rPr>
                <w:rFonts w:ascii="Arial"/>
                <w:sz w:val="22"/>
              </w:rPr>
              <w:t>1,825,954</w:t>
            </w:r>
          </w:p>
        </w:tc>
        <w:tc>
          <w:tcPr>
            <w:tcW w:w="274"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90" w:right="0"/>
              <w:jc w:val="left"/>
              <w:rPr>
                <w:rFonts w:ascii="Arial" w:hAnsi="Arial" w:cs="Arial" w:eastAsia="Arial" w:hint="default"/>
                <w:sz w:val="22"/>
                <w:szCs w:val="22"/>
              </w:rPr>
            </w:pPr>
            <w:r>
              <w:rPr>
                <w:rFonts w:ascii="Arial"/>
                <w:sz w:val="22"/>
              </w:rPr>
              <w:t>1,689,851</w:t>
            </w:r>
          </w:p>
        </w:tc>
      </w:tr>
      <w:tr>
        <w:trPr>
          <w:trHeight w:val="286" w:hRule="exact"/>
        </w:trPr>
        <w:tc>
          <w:tcPr>
            <w:tcW w:w="1559" w:type="dxa"/>
            <w:tcBorders>
              <w:top w:val="nil" w:sz="6" w:space="0" w:color="auto"/>
              <w:left w:val="nil" w:sz="6" w:space="0" w:color="auto"/>
              <w:bottom w:val="nil" w:sz="6" w:space="0" w:color="auto"/>
              <w:right w:val="nil" w:sz="6" w:space="0" w:color="auto"/>
            </w:tcBorders>
          </w:tcPr>
          <w:p>
            <w:pPr/>
          </w:p>
        </w:tc>
        <w:tc>
          <w:tcPr>
            <w:tcW w:w="3366" w:type="dxa"/>
            <w:tcBorders>
              <w:top w:val="nil" w:sz="6" w:space="0" w:color="auto"/>
              <w:left w:val="nil" w:sz="6" w:space="0" w:color="auto"/>
              <w:bottom w:val="nil" w:sz="6" w:space="0" w:color="auto"/>
              <w:right w:val="nil" w:sz="6" w:space="0" w:color="auto"/>
            </w:tcBorders>
          </w:tcPr>
          <w:p>
            <w:pPr>
              <w:pStyle w:val="TableParagraph"/>
              <w:spacing w:line="239" w:lineRule="exact"/>
              <w:ind w:left="260" w:right="0"/>
              <w:jc w:val="left"/>
              <w:rPr>
                <w:rFonts w:ascii="宋体" w:hAnsi="宋体" w:cs="宋体" w:eastAsia="宋体" w:hint="default"/>
                <w:sz w:val="22"/>
                <w:szCs w:val="22"/>
              </w:rPr>
            </w:pPr>
            <w:r>
              <w:rPr>
                <w:rFonts w:ascii="宋体" w:hAnsi="宋体" w:cs="宋体" w:eastAsia="宋体" w:hint="default"/>
                <w:sz w:val="22"/>
                <w:szCs w:val="22"/>
              </w:rPr>
              <w:t>联通时科</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852" w:right="0"/>
              <w:jc w:val="left"/>
              <w:rPr>
                <w:rFonts w:ascii="Arial" w:hAnsi="Arial" w:cs="Arial" w:eastAsia="Arial" w:hint="default"/>
                <w:sz w:val="22"/>
                <w:szCs w:val="22"/>
              </w:rPr>
            </w:pPr>
            <w:r>
              <w:rPr>
                <w:rFonts w:ascii="Arial"/>
                <w:sz w:val="22"/>
              </w:rPr>
              <w:t>25,262,154</w:t>
            </w:r>
          </w:p>
        </w:tc>
        <w:tc>
          <w:tcPr>
            <w:tcW w:w="274"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867" w:right="0"/>
              <w:jc w:val="left"/>
              <w:rPr>
                <w:rFonts w:ascii="Arial" w:hAnsi="Arial" w:cs="Arial" w:eastAsia="Arial" w:hint="default"/>
                <w:sz w:val="22"/>
                <w:szCs w:val="22"/>
              </w:rPr>
            </w:pPr>
            <w:r>
              <w:rPr>
                <w:rFonts w:ascii="Arial"/>
                <w:sz w:val="22"/>
              </w:rPr>
              <w:t>24,903,605</w:t>
            </w:r>
          </w:p>
        </w:tc>
      </w:tr>
      <w:tr>
        <w:trPr>
          <w:trHeight w:val="290" w:hRule="exact"/>
        </w:trPr>
        <w:tc>
          <w:tcPr>
            <w:tcW w:w="1559" w:type="dxa"/>
            <w:tcBorders>
              <w:top w:val="nil" w:sz="6" w:space="0" w:color="auto"/>
              <w:left w:val="nil" w:sz="6" w:space="0" w:color="auto"/>
              <w:bottom w:val="nil" w:sz="6" w:space="0" w:color="auto"/>
              <w:right w:val="nil" w:sz="6" w:space="0" w:color="auto"/>
            </w:tcBorders>
          </w:tcPr>
          <w:p>
            <w:pPr/>
          </w:p>
        </w:tc>
        <w:tc>
          <w:tcPr>
            <w:tcW w:w="3366" w:type="dxa"/>
            <w:tcBorders>
              <w:top w:val="nil" w:sz="6" w:space="0" w:color="auto"/>
              <w:left w:val="nil" w:sz="6" w:space="0" w:color="auto"/>
              <w:bottom w:val="nil" w:sz="6" w:space="0" w:color="auto"/>
              <w:right w:val="nil" w:sz="6" w:space="0" w:color="auto"/>
            </w:tcBorders>
          </w:tcPr>
          <w:p>
            <w:pPr>
              <w:pStyle w:val="TableParagraph"/>
              <w:spacing w:line="239" w:lineRule="exact"/>
              <w:ind w:left="260" w:right="0"/>
              <w:jc w:val="left"/>
              <w:rPr>
                <w:rFonts w:ascii="宋体" w:hAnsi="宋体" w:cs="宋体" w:eastAsia="宋体" w:hint="default"/>
                <w:sz w:val="22"/>
                <w:szCs w:val="22"/>
              </w:rPr>
            </w:pPr>
            <w:r>
              <w:rPr>
                <w:rFonts w:ascii="宋体" w:hAnsi="宋体" w:cs="宋体" w:eastAsia="宋体" w:hint="default"/>
                <w:sz w:val="22"/>
                <w:szCs w:val="22"/>
              </w:rPr>
              <w:t>联通集团其他附属公司</w:t>
            </w:r>
          </w:p>
        </w:tc>
        <w:tc>
          <w:tcPr>
            <w:tcW w:w="2086" w:type="dxa"/>
            <w:tcBorders>
              <w:top w:val="nil" w:sz="6" w:space="0" w:color="auto"/>
              <w:left w:val="nil" w:sz="6" w:space="0" w:color="auto"/>
              <w:bottom w:val="nil" w:sz="6" w:space="0" w:color="auto"/>
              <w:right w:val="nil" w:sz="6" w:space="0" w:color="auto"/>
            </w:tcBorders>
          </w:tcPr>
          <w:p>
            <w:pPr>
              <w:pStyle w:val="TableParagraph"/>
              <w:tabs>
                <w:tab w:pos="547" w:val="left" w:leader="none"/>
                <w:tab w:pos="2085" w:val="left" w:leader="none"/>
              </w:tabs>
              <w:spacing w:line="240" w:lineRule="auto" w:before="17"/>
              <w:ind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2,645,066,747</w:t>
              <w:tab/>
            </w:r>
            <w:r>
              <w:rPr>
                <w:rFonts w:ascii="Arial"/>
                <w:sz w:val="22"/>
              </w:rPr>
            </w:r>
          </w:p>
        </w:tc>
        <w:tc>
          <w:tcPr>
            <w:tcW w:w="274"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Style w:val="TableParagraph"/>
              <w:tabs>
                <w:tab w:pos="562" w:val="left" w:leader="none"/>
                <w:tab w:pos="2101" w:val="left" w:leader="none"/>
              </w:tabs>
              <w:spacing w:line="240" w:lineRule="auto" w:before="17"/>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2,611,520,276</w:t>
              <w:tab/>
            </w:r>
            <w:r>
              <w:rPr>
                <w:rFonts w:ascii="Arial"/>
                <w:sz w:val="22"/>
              </w:rPr>
            </w:r>
          </w:p>
        </w:tc>
      </w:tr>
      <w:tr>
        <w:trPr>
          <w:trHeight w:val="273" w:hRule="exact"/>
        </w:trPr>
        <w:tc>
          <w:tcPr>
            <w:tcW w:w="1559" w:type="dxa"/>
            <w:tcBorders>
              <w:top w:val="nil" w:sz="6" w:space="0" w:color="auto"/>
              <w:left w:val="nil" w:sz="6" w:space="0" w:color="auto"/>
              <w:bottom w:val="nil" w:sz="6" w:space="0" w:color="auto"/>
              <w:right w:val="nil" w:sz="6" w:space="0" w:color="auto"/>
            </w:tcBorders>
          </w:tcPr>
          <w:p>
            <w:pPr/>
          </w:p>
        </w:tc>
        <w:tc>
          <w:tcPr>
            <w:tcW w:w="5452" w:type="dxa"/>
            <w:gridSpan w:val="2"/>
            <w:tcBorders>
              <w:top w:val="nil" w:sz="6" w:space="0" w:color="auto"/>
              <w:left w:val="nil" w:sz="6" w:space="0" w:color="auto"/>
              <w:bottom w:val="nil" w:sz="6" w:space="0" w:color="auto"/>
              <w:right w:val="nil" w:sz="6" w:space="0" w:color="auto"/>
            </w:tcBorders>
          </w:tcPr>
          <w:p>
            <w:pPr>
              <w:pStyle w:val="TableParagraph"/>
              <w:spacing w:line="249" w:lineRule="exact"/>
              <w:ind w:right="130"/>
              <w:jc w:val="right"/>
              <w:rPr>
                <w:rFonts w:ascii="Arial" w:hAnsi="Arial" w:cs="Arial" w:eastAsia="Arial" w:hint="default"/>
                <w:sz w:val="22"/>
                <w:szCs w:val="22"/>
              </w:rPr>
            </w:pPr>
            <w:r>
              <w:rPr>
                <w:rFonts w:ascii="Arial"/>
                <w:spacing w:val="-1"/>
                <w:sz w:val="22"/>
              </w:rPr>
              <w:t>2,733,267,744</w:t>
            </w:r>
          </w:p>
        </w:tc>
        <w:tc>
          <w:tcPr>
            <w:tcW w:w="274"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single" w:sz="17" w:space="0" w:color="000000"/>
              <w:right w:val="nil" w:sz="6" w:space="0" w:color="auto"/>
            </w:tcBorders>
          </w:tcPr>
          <w:p>
            <w:pPr>
              <w:pStyle w:val="TableParagraph"/>
              <w:spacing w:line="249" w:lineRule="exact"/>
              <w:ind w:left="562" w:right="0"/>
              <w:jc w:val="left"/>
              <w:rPr>
                <w:rFonts w:ascii="Arial" w:hAnsi="Arial" w:cs="Arial" w:eastAsia="Arial" w:hint="default"/>
                <w:sz w:val="22"/>
                <w:szCs w:val="22"/>
              </w:rPr>
            </w:pPr>
            <w:r>
              <w:rPr>
                <w:rFonts w:ascii="Arial"/>
                <w:sz w:val="22"/>
              </w:rPr>
              <w:t>3,336,767,833</w:t>
            </w:r>
          </w:p>
        </w:tc>
      </w:tr>
      <w:tr>
        <w:trPr>
          <w:trHeight w:val="574"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33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0" w:right="0"/>
              <w:jc w:val="left"/>
              <w:rPr>
                <w:rFonts w:ascii="宋体" w:hAnsi="宋体" w:cs="宋体" w:eastAsia="宋体" w:hint="default"/>
                <w:sz w:val="22"/>
                <w:szCs w:val="22"/>
              </w:rPr>
            </w:pPr>
            <w:r>
              <w:rPr>
                <w:rFonts w:ascii="宋体" w:hAnsi="宋体" w:cs="宋体" w:eastAsia="宋体" w:hint="default"/>
                <w:sz w:val="22"/>
                <w:szCs w:val="22"/>
              </w:rPr>
              <w:t>联通集团（注</w:t>
            </w:r>
            <w:r>
              <w:rPr>
                <w:rFonts w:ascii="宋体" w:hAnsi="宋体" w:cs="宋体" w:eastAsia="宋体" w:hint="default"/>
                <w:spacing w:val="-57"/>
                <w:sz w:val="22"/>
                <w:szCs w:val="22"/>
              </w:rPr>
              <w:t> </w:t>
            </w:r>
            <w:r>
              <w:rPr>
                <w:rFonts w:ascii="Arial" w:hAnsi="Arial" w:cs="Arial" w:eastAsia="Arial" w:hint="default"/>
                <w:sz w:val="22"/>
                <w:szCs w:val="22"/>
              </w:rPr>
              <w:t>2</w:t>
            </w:r>
            <w:r>
              <w:rPr>
                <w:rFonts w:ascii="宋体" w:hAnsi="宋体" w:cs="宋体" w:eastAsia="宋体" w:hint="default"/>
                <w:sz w:val="22"/>
                <w:szCs w:val="22"/>
              </w:rPr>
              <w:t>）</w:t>
            </w:r>
          </w:p>
        </w:tc>
        <w:tc>
          <w:tcPr>
            <w:tcW w:w="2086" w:type="dxa"/>
            <w:tcBorders>
              <w:top w:val="single" w:sz="17"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731" w:right="0"/>
              <w:jc w:val="left"/>
              <w:rPr>
                <w:rFonts w:ascii="Arial" w:hAnsi="Arial" w:cs="Arial" w:eastAsia="Arial" w:hint="default"/>
                <w:sz w:val="22"/>
                <w:szCs w:val="22"/>
              </w:rPr>
            </w:pPr>
            <w:r>
              <w:rPr>
                <w:rFonts w:ascii="Arial"/>
                <w:sz w:val="22"/>
              </w:rPr>
              <w:t>518,944,551</w:t>
            </w:r>
          </w:p>
        </w:tc>
        <w:tc>
          <w:tcPr>
            <w:tcW w:w="274" w:type="dxa"/>
            <w:tcBorders>
              <w:top w:val="nil" w:sz="6" w:space="0" w:color="auto"/>
              <w:left w:val="nil" w:sz="6" w:space="0" w:color="auto"/>
              <w:bottom w:val="nil" w:sz="6" w:space="0" w:color="auto"/>
              <w:right w:val="nil" w:sz="6" w:space="0" w:color="auto"/>
            </w:tcBorders>
          </w:tcPr>
          <w:p>
            <w:pPr/>
          </w:p>
        </w:tc>
        <w:tc>
          <w:tcPr>
            <w:tcW w:w="2101" w:type="dxa"/>
            <w:tcBorders>
              <w:top w:val="single" w:sz="17"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746" w:right="0"/>
              <w:jc w:val="left"/>
              <w:rPr>
                <w:rFonts w:ascii="Arial" w:hAnsi="Arial" w:cs="Arial" w:eastAsia="Arial" w:hint="default"/>
                <w:sz w:val="22"/>
                <w:szCs w:val="22"/>
              </w:rPr>
            </w:pPr>
            <w:r>
              <w:rPr>
                <w:rFonts w:ascii="Arial"/>
                <w:sz w:val="22"/>
              </w:rPr>
              <w:t>256,092,302</w:t>
            </w:r>
          </w:p>
        </w:tc>
      </w:tr>
      <w:tr>
        <w:trPr>
          <w:trHeight w:val="286" w:hRule="exact"/>
        </w:trPr>
        <w:tc>
          <w:tcPr>
            <w:tcW w:w="1559" w:type="dxa"/>
            <w:tcBorders>
              <w:top w:val="nil" w:sz="6" w:space="0" w:color="auto"/>
              <w:left w:val="nil" w:sz="6" w:space="0" w:color="auto"/>
              <w:bottom w:val="nil" w:sz="6" w:space="0" w:color="auto"/>
              <w:right w:val="nil" w:sz="6" w:space="0" w:color="auto"/>
            </w:tcBorders>
          </w:tcPr>
          <w:p>
            <w:pPr/>
          </w:p>
        </w:tc>
        <w:tc>
          <w:tcPr>
            <w:tcW w:w="3366" w:type="dxa"/>
            <w:tcBorders>
              <w:top w:val="nil" w:sz="6" w:space="0" w:color="auto"/>
              <w:left w:val="nil" w:sz="6" w:space="0" w:color="auto"/>
              <w:bottom w:val="nil" w:sz="6" w:space="0" w:color="auto"/>
              <w:right w:val="nil" w:sz="6" w:space="0" w:color="auto"/>
            </w:tcBorders>
          </w:tcPr>
          <w:p>
            <w:pPr>
              <w:pStyle w:val="TableParagraph"/>
              <w:spacing w:line="255" w:lineRule="exact"/>
              <w:ind w:left="260" w:right="0"/>
              <w:jc w:val="left"/>
              <w:rPr>
                <w:rFonts w:ascii="宋体" w:hAnsi="宋体" w:cs="宋体" w:eastAsia="宋体" w:hint="default"/>
                <w:sz w:val="22"/>
                <w:szCs w:val="22"/>
              </w:rPr>
            </w:pPr>
            <w:r>
              <w:rPr>
                <w:rFonts w:ascii="宋体" w:hAnsi="宋体" w:cs="宋体" w:eastAsia="宋体" w:hint="default"/>
                <w:sz w:val="22"/>
                <w:szCs w:val="22"/>
              </w:rPr>
              <w:t>联通新时空（注</w:t>
            </w:r>
            <w:r>
              <w:rPr>
                <w:rFonts w:ascii="宋体" w:hAnsi="宋体" w:cs="宋体" w:eastAsia="宋体" w:hint="default"/>
                <w:spacing w:val="-58"/>
                <w:sz w:val="22"/>
                <w:szCs w:val="22"/>
              </w:rPr>
              <w:t> </w:t>
            </w:r>
            <w:r>
              <w:rPr>
                <w:rFonts w:ascii="Arial" w:hAnsi="Arial" w:cs="Arial" w:eastAsia="Arial" w:hint="default"/>
                <w:sz w:val="22"/>
                <w:szCs w:val="22"/>
              </w:rPr>
              <w:t>1</w:t>
            </w:r>
            <w:r>
              <w:rPr>
                <w:rFonts w:ascii="宋体" w:hAnsi="宋体" w:cs="宋体" w:eastAsia="宋体" w:hint="default"/>
                <w:sz w:val="22"/>
                <w:szCs w:val="22"/>
              </w:rPr>
              <w:t>）</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0"/>
              <w:jc w:val="right"/>
              <w:rPr>
                <w:rFonts w:ascii="Arial" w:hAnsi="Arial" w:cs="Arial" w:eastAsia="Arial" w:hint="default"/>
                <w:sz w:val="22"/>
                <w:szCs w:val="22"/>
              </w:rPr>
            </w:pPr>
            <w:r>
              <w:rPr>
                <w:rFonts w:ascii="Arial"/>
                <w:w w:val="99"/>
                <w:sz w:val="22"/>
              </w:rPr>
              <w:t>-</w:t>
            </w:r>
            <w:r>
              <w:rPr>
                <w:rFonts w:ascii="Arial"/>
                <w:sz w:val="22"/>
              </w:rPr>
            </w:r>
          </w:p>
        </w:tc>
        <w:tc>
          <w:tcPr>
            <w:tcW w:w="274"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867" w:right="0"/>
              <w:jc w:val="left"/>
              <w:rPr>
                <w:rFonts w:ascii="Arial" w:hAnsi="Arial" w:cs="Arial" w:eastAsia="Arial" w:hint="default"/>
                <w:sz w:val="22"/>
                <w:szCs w:val="22"/>
              </w:rPr>
            </w:pPr>
            <w:r>
              <w:rPr>
                <w:rFonts w:ascii="Arial"/>
                <w:sz w:val="22"/>
              </w:rPr>
              <w:t>54,140,381</w:t>
            </w:r>
          </w:p>
        </w:tc>
      </w:tr>
      <w:tr>
        <w:trPr>
          <w:trHeight w:val="286" w:hRule="exact"/>
        </w:trPr>
        <w:tc>
          <w:tcPr>
            <w:tcW w:w="1559" w:type="dxa"/>
            <w:tcBorders>
              <w:top w:val="nil" w:sz="6" w:space="0" w:color="auto"/>
              <w:left w:val="nil" w:sz="6" w:space="0" w:color="auto"/>
              <w:bottom w:val="nil" w:sz="6" w:space="0" w:color="auto"/>
              <w:right w:val="nil" w:sz="6" w:space="0" w:color="auto"/>
            </w:tcBorders>
          </w:tcPr>
          <w:p>
            <w:pPr/>
          </w:p>
        </w:tc>
        <w:tc>
          <w:tcPr>
            <w:tcW w:w="3366" w:type="dxa"/>
            <w:tcBorders>
              <w:top w:val="nil" w:sz="6" w:space="0" w:color="auto"/>
              <w:left w:val="nil" w:sz="6" w:space="0" w:color="auto"/>
              <w:bottom w:val="nil" w:sz="6" w:space="0" w:color="auto"/>
              <w:right w:val="nil" w:sz="6" w:space="0" w:color="auto"/>
            </w:tcBorders>
          </w:tcPr>
          <w:p>
            <w:pPr>
              <w:pStyle w:val="TableParagraph"/>
              <w:spacing w:line="239" w:lineRule="exact"/>
              <w:ind w:left="260" w:right="0"/>
              <w:jc w:val="left"/>
              <w:rPr>
                <w:rFonts w:ascii="宋体" w:hAnsi="宋体" w:cs="宋体" w:eastAsia="宋体" w:hint="default"/>
                <w:sz w:val="22"/>
                <w:szCs w:val="22"/>
              </w:rPr>
            </w:pPr>
            <w:r>
              <w:rPr>
                <w:rFonts w:ascii="宋体" w:hAnsi="宋体" w:cs="宋体" w:eastAsia="宋体" w:hint="default"/>
                <w:sz w:val="22"/>
                <w:szCs w:val="22"/>
              </w:rPr>
              <w:t>联通进出口</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74" w:right="0"/>
              <w:jc w:val="left"/>
              <w:rPr>
                <w:rFonts w:ascii="Arial" w:hAnsi="Arial" w:cs="Arial" w:eastAsia="Arial" w:hint="default"/>
                <w:sz w:val="22"/>
                <w:szCs w:val="22"/>
              </w:rPr>
            </w:pPr>
            <w:r>
              <w:rPr>
                <w:rFonts w:ascii="Arial"/>
                <w:sz w:val="22"/>
              </w:rPr>
              <w:t>1,895,994</w:t>
            </w:r>
          </w:p>
        </w:tc>
        <w:tc>
          <w:tcPr>
            <w:tcW w:w="274"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90" w:right="0"/>
              <w:jc w:val="left"/>
              <w:rPr>
                <w:rFonts w:ascii="Arial" w:hAnsi="Arial" w:cs="Arial" w:eastAsia="Arial" w:hint="default"/>
                <w:sz w:val="22"/>
                <w:szCs w:val="22"/>
              </w:rPr>
            </w:pPr>
            <w:r>
              <w:rPr>
                <w:rFonts w:ascii="Arial"/>
                <w:sz w:val="22"/>
              </w:rPr>
              <w:t>1,895,994</w:t>
            </w:r>
          </w:p>
        </w:tc>
      </w:tr>
      <w:tr>
        <w:trPr>
          <w:trHeight w:val="285" w:hRule="exact"/>
        </w:trPr>
        <w:tc>
          <w:tcPr>
            <w:tcW w:w="1559" w:type="dxa"/>
            <w:tcBorders>
              <w:top w:val="nil" w:sz="6" w:space="0" w:color="auto"/>
              <w:left w:val="nil" w:sz="6" w:space="0" w:color="auto"/>
              <w:bottom w:val="nil" w:sz="6" w:space="0" w:color="auto"/>
              <w:right w:val="nil" w:sz="6" w:space="0" w:color="auto"/>
            </w:tcBorders>
          </w:tcPr>
          <w:p>
            <w:pPr/>
          </w:p>
        </w:tc>
        <w:tc>
          <w:tcPr>
            <w:tcW w:w="3366" w:type="dxa"/>
            <w:tcBorders>
              <w:top w:val="nil" w:sz="6" w:space="0" w:color="auto"/>
              <w:left w:val="nil" w:sz="6" w:space="0" w:color="auto"/>
              <w:bottom w:val="nil" w:sz="6" w:space="0" w:color="auto"/>
              <w:right w:val="nil" w:sz="6" w:space="0" w:color="auto"/>
            </w:tcBorders>
          </w:tcPr>
          <w:p>
            <w:pPr>
              <w:pStyle w:val="TableParagraph"/>
              <w:spacing w:line="255" w:lineRule="exact"/>
              <w:ind w:left="260" w:right="0"/>
              <w:jc w:val="left"/>
              <w:rPr>
                <w:rFonts w:ascii="宋体" w:hAnsi="宋体" w:cs="宋体" w:eastAsia="宋体" w:hint="default"/>
                <w:sz w:val="22"/>
                <w:szCs w:val="22"/>
              </w:rPr>
            </w:pPr>
            <w:r>
              <w:rPr>
                <w:rFonts w:ascii="宋体" w:hAnsi="宋体" w:cs="宋体" w:eastAsia="宋体" w:hint="default"/>
                <w:sz w:val="22"/>
                <w:szCs w:val="22"/>
              </w:rPr>
              <w:t>网通</w:t>
            </w:r>
            <w:r>
              <w:rPr>
                <w:rFonts w:ascii="宋体" w:hAnsi="宋体" w:cs="宋体" w:eastAsia="宋体" w:hint="default"/>
                <w:spacing w:val="-57"/>
                <w:sz w:val="22"/>
                <w:szCs w:val="22"/>
              </w:rPr>
              <w:t> </w:t>
            </w:r>
            <w:r>
              <w:rPr>
                <w:rFonts w:ascii="Arial" w:hAnsi="Arial" w:cs="Arial" w:eastAsia="Arial" w:hint="default"/>
                <w:sz w:val="22"/>
                <w:szCs w:val="22"/>
              </w:rPr>
              <w:t>BVI</w:t>
            </w:r>
            <w:r>
              <w:rPr>
                <w:rFonts w:ascii="宋体" w:hAnsi="宋体" w:cs="宋体" w:eastAsia="宋体" w:hint="default"/>
                <w:sz w:val="22"/>
                <w:szCs w:val="22"/>
              </w:rPr>
              <w:t>（注</w:t>
            </w:r>
            <w:r>
              <w:rPr>
                <w:rFonts w:ascii="宋体" w:hAnsi="宋体" w:cs="宋体" w:eastAsia="宋体" w:hint="default"/>
                <w:spacing w:val="-57"/>
                <w:sz w:val="22"/>
                <w:szCs w:val="22"/>
              </w:rPr>
              <w:t> </w:t>
            </w:r>
            <w:r>
              <w:rPr>
                <w:rFonts w:ascii="Arial" w:hAnsi="Arial" w:cs="Arial" w:eastAsia="Arial" w:hint="default"/>
                <w:sz w:val="22"/>
                <w:szCs w:val="22"/>
              </w:rPr>
              <w:t>3</w:t>
            </w:r>
            <w:r>
              <w:rPr>
                <w:rFonts w:ascii="宋体" w:hAnsi="宋体" w:cs="宋体" w:eastAsia="宋体" w:hint="default"/>
                <w:sz w:val="22"/>
                <w:szCs w:val="22"/>
              </w:rPr>
              <w:t>）</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0"/>
              <w:jc w:val="right"/>
              <w:rPr>
                <w:rFonts w:ascii="Arial" w:hAnsi="Arial" w:cs="Arial" w:eastAsia="Arial" w:hint="default"/>
                <w:sz w:val="22"/>
                <w:szCs w:val="22"/>
              </w:rPr>
            </w:pPr>
            <w:r>
              <w:rPr>
                <w:rFonts w:ascii="Arial"/>
                <w:w w:val="99"/>
                <w:sz w:val="22"/>
              </w:rPr>
              <w:t>-</w:t>
            </w:r>
            <w:r>
              <w:rPr>
                <w:rFonts w:ascii="Arial"/>
                <w:sz w:val="22"/>
              </w:rPr>
            </w:r>
          </w:p>
        </w:tc>
        <w:tc>
          <w:tcPr>
            <w:tcW w:w="274"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62" w:right="0"/>
              <w:jc w:val="left"/>
              <w:rPr>
                <w:rFonts w:ascii="Arial" w:hAnsi="Arial" w:cs="Arial" w:eastAsia="Arial" w:hint="default"/>
                <w:sz w:val="22"/>
                <w:szCs w:val="22"/>
              </w:rPr>
            </w:pPr>
            <w:r>
              <w:rPr>
                <w:rFonts w:ascii="Arial"/>
                <w:sz w:val="22"/>
              </w:rPr>
              <w:t>2,186,895,277</w:t>
            </w:r>
          </w:p>
        </w:tc>
      </w:tr>
      <w:tr>
        <w:trPr>
          <w:trHeight w:val="285" w:hRule="exact"/>
        </w:trPr>
        <w:tc>
          <w:tcPr>
            <w:tcW w:w="1559" w:type="dxa"/>
            <w:tcBorders>
              <w:top w:val="nil" w:sz="6" w:space="0" w:color="auto"/>
              <w:left w:val="nil" w:sz="6" w:space="0" w:color="auto"/>
              <w:bottom w:val="nil" w:sz="6" w:space="0" w:color="auto"/>
              <w:right w:val="nil" w:sz="6" w:space="0" w:color="auto"/>
            </w:tcBorders>
          </w:tcPr>
          <w:p>
            <w:pPr/>
          </w:p>
        </w:tc>
        <w:tc>
          <w:tcPr>
            <w:tcW w:w="3366" w:type="dxa"/>
            <w:tcBorders>
              <w:top w:val="nil" w:sz="6" w:space="0" w:color="auto"/>
              <w:left w:val="nil" w:sz="6" w:space="0" w:color="auto"/>
              <w:bottom w:val="nil" w:sz="6" w:space="0" w:color="auto"/>
              <w:right w:val="nil" w:sz="6" w:space="0" w:color="auto"/>
            </w:tcBorders>
          </w:tcPr>
          <w:p>
            <w:pPr>
              <w:pStyle w:val="TableParagraph"/>
              <w:spacing w:line="255" w:lineRule="exact"/>
              <w:ind w:left="260" w:right="0"/>
              <w:jc w:val="left"/>
              <w:rPr>
                <w:rFonts w:ascii="宋体" w:hAnsi="宋体" w:cs="宋体" w:eastAsia="宋体" w:hint="default"/>
                <w:sz w:val="22"/>
                <w:szCs w:val="22"/>
              </w:rPr>
            </w:pPr>
            <w:r>
              <w:rPr>
                <w:rFonts w:ascii="宋体" w:hAnsi="宋体" w:cs="宋体" w:eastAsia="宋体" w:hint="default"/>
                <w:sz w:val="22"/>
                <w:szCs w:val="22"/>
              </w:rPr>
              <w:t>联通集团</w:t>
            </w:r>
            <w:r>
              <w:rPr>
                <w:rFonts w:ascii="宋体" w:hAnsi="宋体" w:cs="宋体" w:eastAsia="宋体" w:hint="default"/>
                <w:spacing w:val="-57"/>
                <w:sz w:val="22"/>
                <w:szCs w:val="22"/>
              </w:rPr>
              <w:t> </w:t>
            </w:r>
            <w:r>
              <w:rPr>
                <w:rFonts w:ascii="Arial" w:hAnsi="Arial" w:cs="Arial" w:eastAsia="Arial" w:hint="default"/>
                <w:sz w:val="22"/>
                <w:szCs w:val="22"/>
              </w:rPr>
              <w:t>BVI</w:t>
            </w:r>
            <w:r>
              <w:rPr>
                <w:rFonts w:ascii="Arial" w:hAnsi="Arial" w:cs="Arial" w:eastAsia="Arial" w:hint="default"/>
                <w:spacing w:val="-8"/>
                <w:sz w:val="22"/>
                <w:szCs w:val="22"/>
              </w:rPr>
              <w:t> </w:t>
            </w:r>
            <w:r>
              <w:rPr>
                <w:rFonts w:ascii="宋体" w:hAnsi="宋体" w:cs="宋体" w:eastAsia="宋体" w:hint="default"/>
                <w:sz w:val="22"/>
                <w:szCs w:val="22"/>
              </w:rPr>
              <w:t>公司（注</w:t>
            </w:r>
            <w:r>
              <w:rPr>
                <w:rFonts w:ascii="宋体" w:hAnsi="宋体" w:cs="宋体" w:eastAsia="宋体" w:hint="default"/>
                <w:spacing w:val="-56"/>
                <w:sz w:val="22"/>
                <w:szCs w:val="22"/>
              </w:rPr>
              <w:t> </w:t>
            </w:r>
            <w:r>
              <w:rPr>
                <w:rFonts w:ascii="Arial" w:hAnsi="Arial" w:cs="Arial" w:eastAsia="Arial" w:hint="default"/>
                <w:sz w:val="22"/>
                <w:szCs w:val="22"/>
              </w:rPr>
              <w:t>4</w:t>
            </w:r>
            <w:r>
              <w:rPr>
                <w:rFonts w:ascii="宋体" w:hAnsi="宋体" w:cs="宋体" w:eastAsia="宋体" w:hint="default"/>
                <w:sz w:val="22"/>
                <w:szCs w:val="22"/>
              </w:rPr>
              <w:t>）</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852" w:right="0"/>
              <w:jc w:val="left"/>
              <w:rPr>
                <w:rFonts w:ascii="Arial" w:hAnsi="Arial" w:cs="Arial" w:eastAsia="Arial" w:hint="default"/>
                <w:sz w:val="22"/>
                <w:szCs w:val="22"/>
              </w:rPr>
            </w:pPr>
            <w:r>
              <w:rPr>
                <w:rFonts w:ascii="Arial"/>
                <w:sz w:val="22"/>
              </w:rPr>
              <w:t>66,619,167</w:t>
            </w:r>
          </w:p>
        </w:tc>
        <w:tc>
          <w:tcPr>
            <w:tcW w:w="274"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867" w:right="0"/>
              <w:jc w:val="left"/>
              <w:rPr>
                <w:rFonts w:ascii="Arial" w:hAnsi="Arial" w:cs="Arial" w:eastAsia="Arial" w:hint="default"/>
                <w:sz w:val="22"/>
                <w:szCs w:val="22"/>
              </w:rPr>
            </w:pPr>
            <w:r>
              <w:rPr>
                <w:rFonts w:ascii="Arial"/>
                <w:sz w:val="22"/>
              </w:rPr>
              <w:t>24,414,022</w:t>
            </w:r>
          </w:p>
        </w:tc>
      </w:tr>
      <w:tr>
        <w:trPr>
          <w:trHeight w:val="290" w:hRule="exact"/>
        </w:trPr>
        <w:tc>
          <w:tcPr>
            <w:tcW w:w="1559" w:type="dxa"/>
            <w:tcBorders>
              <w:top w:val="nil" w:sz="6" w:space="0" w:color="auto"/>
              <w:left w:val="nil" w:sz="6" w:space="0" w:color="auto"/>
              <w:bottom w:val="nil" w:sz="6" w:space="0" w:color="auto"/>
              <w:right w:val="nil" w:sz="6" w:space="0" w:color="auto"/>
            </w:tcBorders>
          </w:tcPr>
          <w:p>
            <w:pPr/>
          </w:p>
        </w:tc>
        <w:tc>
          <w:tcPr>
            <w:tcW w:w="3366" w:type="dxa"/>
            <w:tcBorders>
              <w:top w:val="nil" w:sz="6" w:space="0" w:color="auto"/>
              <w:left w:val="nil" w:sz="6" w:space="0" w:color="auto"/>
              <w:bottom w:val="nil" w:sz="6" w:space="0" w:color="auto"/>
              <w:right w:val="nil" w:sz="6" w:space="0" w:color="auto"/>
            </w:tcBorders>
          </w:tcPr>
          <w:p>
            <w:pPr>
              <w:pStyle w:val="TableParagraph"/>
              <w:spacing w:line="255" w:lineRule="exact"/>
              <w:ind w:left="260" w:right="0"/>
              <w:jc w:val="left"/>
              <w:rPr>
                <w:rFonts w:ascii="宋体" w:hAnsi="宋体" w:cs="宋体" w:eastAsia="宋体" w:hint="default"/>
                <w:sz w:val="22"/>
                <w:szCs w:val="22"/>
              </w:rPr>
            </w:pPr>
            <w:r>
              <w:rPr>
                <w:rFonts w:ascii="宋体" w:hAnsi="宋体" w:cs="宋体" w:eastAsia="宋体" w:hint="default"/>
                <w:sz w:val="22"/>
                <w:szCs w:val="22"/>
              </w:rPr>
              <w:t>联通集团其他附属公司（注</w:t>
            </w:r>
            <w:r>
              <w:rPr>
                <w:rFonts w:ascii="宋体" w:hAnsi="宋体" w:cs="宋体" w:eastAsia="宋体" w:hint="default"/>
                <w:spacing w:val="-60"/>
                <w:sz w:val="22"/>
                <w:szCs w:val="22"/>
              </w:rPr>
              <w:t> </w:t>
            </w:r>
            <w:r>
              <w:rPr>
                <w:rFonts w:ascii="Arial" w:hAnsi="Arial" w:cs="Arial" w:eastAsia="Arial" w:hint="default"/>
                <w:sz w:val="22"/>
                <w:szCs w:val="22"/>
              </w:rPr>
              <w:t>5</w:t>
            </w:r>
            <w:r>
              <w:rPr>
                <w:rFonts w:ascii="宋体" w:hAnsi="宋体" w:cs="宋体" w:eastAsia="宋体" w:hint="default"/>
                <w:sz w:val="22"/>
                <w:szCs w:val="22"/>
              </w:rPr>
              <w:t>）</w:t>
            </w:r>
          </w:p>
        </w:tc>
        <w:tc>
          <w:tcPr>
            <w:tcW w:w="2086" w:type="dxa"/>
            <w:tcBorders>
              <w:top w:val="nil" w:sz="6" w:space="0" w:color="auto"/>
              <w:left w:val="nil" w:sz="6" w:space="0" w:color="auto"/>
              <w:bottom w:val="nil" w:sz="6" w:space="0" w:color="auto"/>
              <w:right w:val="nil" w:sz="6" w:space="0" w:color="auto"/>
            </w:tcBorders>
          </w:tcPr>
          <w:p>
            <w:pPr>
              <w:pStyle w:val="TableParagraph"/>
              <w:tabs>
                <w:tab w:pos="547" w:val="left" w:leader="none"/>
                <w:tab w:pos="2085" w:val="left" w:leader="none"/>
              </w:tabs>
              <w:spacing w:line="240" w:lineRule="auto" w:before="17"/>
              <w:ind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2,040,769,523</w:t>
              <w:tab/>
            </w:r>
            <w:r>
              <w:rPr>
                <w:rFonts w:ascii="Arial"/>
                <w:sz w:val="22"/>
              </w:rPr>
            </w:r>
          </w:p>
        </w:tc>
        <w:tc>
          <w:tcPr>
            <w:tcW w:w="274"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Style w:val="TableParagraph"/>
              <w:tabs>
                <w:tab w:pos="746" w:val="left" w:leader="none"/>
                <w:tab w:pos="2101" w:val="left" w:leader="none"/>
              </w:tabs>
              <w:spacing w:line="240" w:lineRule="auto" w:before="17"/>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225,182,512</w:t>
              <w:tab/>
            </w:r>
            <w:r>
              <w:rPr>
                <w:rFonts w:ascii="Arial"/>
                <w:sz w:val="22"/>
              </w:rPr>
            </w:r>
          </w:p>
        </w:tc>
      </w:tr>
      <w:tr>
        <w:trPr>
          <w:trHeight w:val="275" w:hRule="exact"/>
        </w:trPr>
        <w:tc>
          <w:tcPr>
            <w:tcW w:w="1559" w:type="dxa"/>
            <w:tcBorders>
              <w:top w:val="nil" w:sz="6" w:space="0" w:color="auto"/>
              <w:left w:val="nil" w:sz="6" w:space="0" w:color="auto"/>
              <w:bottom w:val="nil" w:sz="6" w:space="0" w:color="auto"/>
              <w:right w:val="nil" w:sz="6" w:space="0" w:color="auto"/>
            </w:tcBorders>
          </w:tcPr>
          <w:p>
            <w:pPr/>
          </w:p>
        </w:tc>
        <w:tc>
          <w:tcPr>
            <w:tcW w:w="3366"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single" w:sz="17" w:space="0" w:color="000000"/>
              <w:right w:val="nil" w:sz="6" w:space="0" w:color="auto"/>
            </w:tcBorders>
          </w:tcPr>
          <w:p>
            <w:pPr>
              <w:pStyle w:val="TableParagraph"/>
              <w:spacing w:line="249" w:lineRule="exact"/>
              <w:ind w:left="547" w:right="0"/>
              <w:jc w:val="left"/>
              <w:rPr>
                <w:rFonts w:ascii="Arial" w:hAnsi="Arial" w:cs="Arial" w:eastAsia="Arial" w:hint="default"/>
                <w:sz w:val="22"/>
                <w:szCs w:val="22"/>
              </w:rPr>
            </w:pPr>
            <w:r>
              <w:rPr>
                <w:rFonts w:ascii="Arial"/>
                <w:sz w:val="22"/>
              </w:rPr>
              <w:t>2,628,229,235</w:t>
            </w:r>
          </w:p>
        </w:tc>
        <w:tc>
          <w:tcPr>
            <w:tcW w:w="274" w:type="dxa"/>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single" w:sz="17" w:space="0" w:color="000000"/>
              <w:right w:val="nil" w:sz="6" w:space="0" w:color="auto"/>
            </w:tcBorders>
          </w:tcPr>
          <w:p>
            <w:pPr>
              <w:pStyle w:val="TableParagraph"/>
              <w:spacing w:line="249" w:lineRule="exact"/>
              <w:ind w:left="562" w:right="0"/>
              <w:jc w:val="left"/>
              <w:rPr>
                <w:rFonts w:ascii="Arial" w:hAnsi="Arial" w:cs="Arial" w:eastAsia="Arial" w:hint="default"/>
                <w:sz w:val="22"/>
                <w:szCs w:val="22"/>
              </w:rPr>
            </w:pPr>
            <w:r>
              <w:rPr>
                <w:rFonts w:ascii="Arial"/>
                <w:sz w:val="22"/>
              </w:rPr>
              <w:t>2,748,620,488</w:t>
            </w:r>
          </w:p>
        </w:tc>
      </w:tr>
    </w:tbl>
    <w:p>
      <w:pPr>
        <w:spacing w:line="240" w:lineRule="auto" w:before="10"/>
        <w:rPr>
          <w:rFonts w:ascii="宋体" w:hAnsi="宋体" w:cs="宋体" w:eastAsia="宋体" w:hint="default"/>
          <w:sz w:val="21"/>
          <w:szCs w:val="21"/>
        </w:rPr>
      </w:pPr>
    </w:p>
    <w:tbl>
      <w:tblPr>
        <w:tblW w:w="0" w:type="auto"/>
        <w:jc w:val="left"/>
        <w:tblInd w:w="353" w:type="dxa"/>
        <w:tblLayout w:type="fixed"/>
        <w:tblCellMar>
          <w:top w:w="0" w:type="dxa"/>
          <w:left w:w="0" w:type="dxa"/>
          <w:bottom w:w="0" w:type="dxa"/>
          <w:right w:w="0" w:type="dxa"/>
        </w:tblCellMar>
        <w:tblLook w:val="01E0"/>
      </w:tblPr>
      <w:tblGrid>
        <w:gridCol w:w="1710"/>
        <w:gridCol w:w="3233"/>
        <w:gridCol w:w="2068"/>
        <w:gridCol w:w="274"/>
        <w:gridCol w:w="2095"/>
      </w:tblGrid>
      <w:tr>
        <w:trPr>
          <w:trHeight w:val="274" w:hRule="exact"/>
        </w:trPr>
        <w:tc>
          <w:tcPr>
            <w:tcW w:w="1710" w:type="dxa"/>
            <w:tcBorders>
              <w:top w:val="nil" w:sz="6" w:space="0" w:color="auto"/>
              <w:left w:val="nil" w:sz="6" w:space="0" w:color="auto"/>
              <w:bottom w:val="nil" w:sz="6" w:space="0" w:color="auto"/>
              <w:right w:val="nil" w:sz="6" w:space="0" w:color="auto"/>
            </w:tcBorders>
          </w:tcPr>
          <w:p>
            <w:pPr>
              <w:pStyle w:val="TableParagraph"/>
              <w:spacing w:line="235" w:lineRule="exact"/>
              <w:ind w:left="208" w:right="0"/>
              <w:jc w:val="left"/>
              <w:rPr>
                <w:rFonts w:ascii="宋体" w:hAnsi="宋体" w:cs="宋体" w:eastAsia="宋体" w:hint="default"/>
                <w:sz w:val="22"/>
                <w:szCs w:val="22"/>
              </w:rPr>
            </w:pPr>
            <w:r>
              <w:rPr>
                <w:rFonts w:ascii="宋体" w:hAnsi="宋体" w:cs="宋体" w:eastAsia="宋体" w:hint="default"/>
                <w:sz w:val="22"/>
                <w:szCs w:val="22"/>
              </w:rPr>
              <w:t>应付股利</w:t>
            </w:r>
            <w:r>
              <w:rPr>
                <w:rFonts w:ascii="Arial" w:hAnsi="Arial" w:cs="Arial" w:eastAsia="Arial" w:hint="default"/>
                <w:sz w:val="22"/>
                <w:szCs w:val="22"/>
              </w:rPr>
              <w:t>/</w:t>
            </w:r>
            <w:r>
              <w:rPr>
                <w:rFonts w:ascii="宋体" w:hAnsi="宋体" w:cs="宋体" w:eastAsia="宋体" w:hint="default"/>
                <w:sz w:val="22"/>
                <w:szCs w:val="22"/>
              </w:rPr>
              <w:t>利润</w:t>
            </w:r>
          </w:p>
        </w:tc>
        <w:tc>
          <w:tcPr>
            <w:tcW w:w="3233" w:type="dxa"/>
            <w:tcBorders>
              <w:top w:val="nil" w:sz="6" w:space="0" w:color="auto"/>
              <w:left w:val="nil" w:sz="6" w:space="0" w:color="auto"/>
              <w:bottom w:val="nil" w:sz="6" w:space="0" w:color="auto"/>
              <w:right w:val="nil" w:sz="6" w:space="0" w:color="auto"/>
            </w:tcBorders>
          </w:tcPr>
          <w:p>
            <w:pPr>
              <w:pStyle w:val="TableParagraph"/>
              <w:spacing w:line="220" w:lineRule="exact"/>
              <w:ind w:left="118"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2068" w:type="dxa"/>
            <w:tcBorders>
              <w:top w:val="nil" w:sz="6" w:space="0" w:color="auto"/>
              <w:left w:val="nil" w:sz="6" w:space="0" w:color="auto"/>
              <w:bottom w:val="single" w:sz="17" w:space="0" w:color="000000"/>
              <w:right w:val="nil" w:sz="6" w:space="0" w:color="auto"/>
            </w:tcBorders>
          </w:tcPr>
          <w:p>
            <w:pPr>
              <w:pStyle w:val="TableParagraph"/>
              <w:spacing w:line="250" w:lineRule="exact"/>
              <w:ind w:right="129"/>
              <w:jc w:val="right"/>
              <w:rPr>
                <w:rFonts w:ascii="Arial" w:hAnsi="Arial" w:cs="Arial" w:eastAsia="Arial" w:hint="default"/>
                <w:sz w:val="22"/>
                <w:szCs w:val="22"/>
              </w:rPr>
            </w:pPr>
            <w:r>
              <w:rPr>
                <w:rFonts w:ascii="Arial"/>
                <w:w w:val="95"/>
                <w:sz w:val="22"/>
              </w:rPr>
              <w:t>8,940,742</w:t>
            </w:r>
            <w:r>
              <w:rPr>
                <w:rFonts w:ascii="Arial"/>
                <w:sz w:val="22"/>
              </w:rPr>
            </w:r>
          </w:p>
        </w:tc>
        <w:tc>
          <w:tcPr>
            <w:tcW w:w="274" w:type="dxa"/>
            <w:tcBorders>
              <w:top w:val="nil" w:sz="6" w:space="0" w:color="auto"/>
              <w:left w:val="nil" w:sz="6" w:space="0" w:color="auto"/>
              <w:bottom w:val="nil" w:sz="6" w:space="0" w:color="auto"/>
              <w:right w:val="nil" w:sz="6" w:space="0" w:color="auto"/>
            </w:tcBorders>
          </w:tcPr>
          <w:p>
            <w:pPr/>
          </w:p>
        </w:tc>
        <w:tc>
          <w:tcPr>
            <w:tcW w:w="2095" w:type="dxa"/>
            <w:tcBorders>
              <w:top w:val="nil" w:sz="6" w:space="0" w:color="auto"/>
              <w:left w:val="nil" w:sz="6" w:space="0" w:color="auto"/>
              <w:bottom w:val="single" w:sz="17" w:space="0" w:color="000000"/>
              <w:right w:val="nil" w:sz="6" w:space="0" w:color="auto"/>
            </w:tcBorders>
          </w:tcPr>
          <w:p>
            <w:pPr>
              <w:pStyle w:val="TableParagraph"/>
              <w:spacing w:line="250" w:lineRule="exact"/>
              <w:ind w:right="132"/>
              <w:jc w:val="right"/>
              <w:rPr>
                <w:rFonts w:ascii="Arial" w:hAnsi="Arial" w:cs="Arial" w:eastAsia="Arial" w:hint="default"/>
                <w:sz w:val="22"/>
                <w:szCs w:val="22"/>
              </w:rPr>
            </w:pPr>
            <w:r>
              <w:rPr>
                <w:rFonts w:ascii="Arial"/>
                <w:w w:val="95"/>
                <w:sz w:val="22"/>
              </w:rPr>
              <w:t>8,940,742</w:t>
            </w:r>
            <w:r>
              <w:rPr>
                <w:rFonts w:ascii="Arial"/>
                <w:sz w:val="22"/>
              </w:rPr>
            </w:r>
          </w:p>
        </w:tc>
      </w:tr>
      <w:tr>
        <w:trPr>
          <w:trHeight w:val="586" w:hRule="exact"/>
        </w:trPr>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应付利息</w:t>
            </w:r>
          </w:p>
        </w:tc>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18" w:right="0"/>
              <w:jc w:val="left"/>
              <w:rPr>
                <w:rFonts w:ascii="宋体" w:hAnsi="宋体" w:cs="宋体" w:eastAsia="宋体" w:hint="default"/>
                <w:sz w:val="22"/>
                <w:szCs w:val="22"/>
              </w:rPr>
            </w:pPr>
            <w:r>
              <w:rPr>
                <w:rFonts w:ascii="宋体" w:hAnsi="宋体" w:cs="宋体" w:eastAsia="宋体" w:hint="default"/>
                <w:sz w:val="22"/>
                <w:szCs w:val="22"/>
              </w:rPr>
              <w:t>网通</w:t>
            </w:r>
            <w:r>
              <w:rPr>
                <w:rFonts w:ascii="宋体" w:hAnsi="宋体" w:cs="宋体" w:eastAsia="宋体" w:hint="default"/>
                <w:spacing w:val="-57"/>
                <w:sz w:val="22"/>
                <w:szCs w:val="22"/>
              </w:rPr>
              <w:t> </w:t>
            </w:r>
            <w:r>
              <w:rPr>
                <w:rFonts w:ascii="Arial" w:hAnsi="Arial" w:cs="Arial" w:eastAsia="Arial" w:hint="default"/>
                <w:sz w:val="22"/>
                <w:szCs w:val="22"/>
              </w:rPr>
              <w:t>BVI</w:t>
            </w:r>
            <w:r>
              <w:rPr>
                <w:rFonts w:ascii="宋体" w:hAnsi="宋体" w:cs="宋体" w:eastAsia="宋体" w:hint="default"/>
                <w:sz w:val="22"/>
                <w:szCs w:val="22"/>
              </w:rPr>
              <w:t>（注</w:t>
            </w:r>
            <w:r>
              <w:rPr>
                <w:rFonts w:ascii="宋体" w:hAnsi="宋体" w:cs="宋体" w:eastAsia="宋体" w:hint="default"/>
                <w:spacing w:val="-57"/>
                <w:sz w:val="22"/>
                <w:szCs w:val="22"/>
              </w:rPr>
              <w:t> </w:t>
            </w:r>
            <w:r>
              <w:rPr>
                <w:rFonts w:ascii="Arial" w:hAnsi="Arial" w:cs="Arial" w:eastAsia="Arial" w:hint="default"/>
                <w:sz w:val="22"/>
                <w:szCs w:val="22"/>
              </w:rPr>
              <w:t>3</w:t>
            </w:r>
            <w:r>
              <w:rPr>
                <w:rFonts w:ascii="宋体" w:hAnsi="宋体" w:cs="宋体" w:eastAsia="宋体" w:hint="default"/>
                <w:sz w:val="22"/>
                <w:szCs w:val="22"/>
              </w:rPr>
              <w:t>）</w:t>
            </w:r>
          </w:p>
        </w:tc>
        <w:tc>
          <w:tcPr>
            <w:tcW w:w="2068" w:type="dxa"/>
            <w:tcBorders>
              <w:top w:val="single" w:sz="17" w:space="0" w:color="000000"/>
              <w:left w:val="nil" w:sz="6" w:space="0" w:color="auto"/>
              <w:bottom w:val="single" w:sz="17"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30"/>
              <w:jc w:val="right"/>
              <w:rPr>
                <w:rFonts w:ascii="Arial" w:hAnsi="Arial" w:cs="Arial" w:eastAsia="Arial" w:hint="default"/>
                <w:sz w:val="22"/>
                <w:szCs w:val="22"/>
              </w:rPr>
            </w:pPr>
            <w:r>
              <w:rPr>
                <w:rFonts w:ascii="Arial"/>
                <w:w w:val="99"/>
                <w:sz w:val="22"/>
              </w:rPr>
              <w:t>-</w:t>
            </w:r>
            <w:r>
              <w:rPr>
                <w:rFonts w:ascii="Arial"/>
                <w:sz w:val="22"/>
              </w:rPr>
            </w:r>
          </w:p>
        </w:tc>
        <w:tc>
          <w:tcPr>
            <w:tcW w:w="274" w:type="dxa"/>
            <w:tcBorders>
              <w:top w:val="nil" w:sz="6" w:space="0" w:color="auto"/>
              <w:left w:val="nil" w:sz="6" w:space="0" w:color="auto"/>
              <w:bottom w:val="nil" w:sz="6" w:space="0" w:color="auto"/>
              <w:right w:val="nil" w:sz="6" w:space="0" w:color="auto"/>
            </w:tcBorders>
          </w:tcPr>
          <w:p>
            <w:pPr/>
          </w:p>
        </w:tc>
        <w:tc>
          <w:tcPr>
            <w:tcW w:w="2095" w:type="dxa"/>
            <w:tcBorders>
              <w:top w:val="single" w:sz="17" w:space="0" w:color="000000"/>
              <w:left w:val="nil" w:sz="6" w:space="0" w:color="auto"/>
              <w:bottom w:val="single" w:sz="17"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32"/>
              <w:jc w:val="right"/>
              <w:rPr>
                <w:rFonts w:ascii="Arial" w:hAnsi="Arial" w:cs="Arial" w:eastAsia="Arial" w:hint="default"/>
                <w:sz w:val="22"/>
                <w:szCs w:val="22"/>
              </w:rPr>
            </w:pPr>
            <w:r>
              <w:rPr>
                <w:rFonts w:ascii="Arial"/>
                <w:w w:val="95"/>
                <w:sz w:val="22"/>
              </w:rPr>
              <w:t>2,635,197</w:t>
            </w:r>
            <w:r>
              <w:rPr>
                <w:rFonts w:ascii="Arial"/>
                <w:sz w:val="22"/>
              </w:rPr>
            </w:r>
          </w:p>
        </w:tc>
      </w:tr>
    </w:tbl>
    <w:p>
      <w:pPr>
        <w:spacing w:line="240" w:lineRule="auto" w:before="2"/>
        <w:rPr>
          <w:rFonts w:ascii="宋体" w:hAnsi="宋体" w:cs="宋体" w:eastAsia="宋体" w:hint="default"/>
          <w:sz w:val="14"/>
          <w:szCs w:val="14"/>
        </w:rPr>
      </w:pPr>
    </w:p>
    <w:p>
      <w:pPr>
        <w:pStyle w:val="BodyText"/>
        <w:spacing w:line="294" w:lineRule="exact" w:before="31"/>
        <w:ind w:left="552" w:right="89"/>
        <w:jc w:val="left"/>
        <w:rPr>
          <w:rFonts w:ascii="Arial" w:hAnsi="Arial" w:cs="Arial" w:eastAsia="Arial" w:hint="default"/>
        </w:rPr>
      </w:pPr>
      <w:r>
        <w:rPr/>
        <w:t>注</w:t>
      </w:r>
      <w:r>
        <w:rPr>
          <w:spacing w:val="-49"/>
        </w:rPr>
        <w:t> </w:t>
      </w:r>
      <w:r>
        <w:rPr>
          <w:rFonts w:ascii="Arial" w:hAnsi="Arial" w:cs="Arial" w:eastAsia="Arial" w:hint="default"/>
        </w:rPr>
        <w:t>1</w:t>
      </w:r>
      <w:r>
        <w:rPr/>
        <w:t>：如附注一</w:t>
      </w:r>
      <w:r>
        <w:rPr>
          <w:rFonts w:ascii="Arial" w:hAnsi="Arial" w:cs="Arial" w:eastAsia="Arial" w:hint="default"/>
        </w:rPr>
        <w:t>(2)</w:t>
      </w:r>
      <w:r>
        <w:rPr/>
        <w:t>所述，于</w:t>
      </w:r>
      <w:r>
        <w:rPr>
          <w:spacing w:val="-49"/>
        </w:rPr>
        <w:t> </w:t>
      </w:r>
      <w:r>
        <w:rPr>
          <w:rFonts w:ascii="Arial" w:hAnsi="Arial" w:cs="Arial" w:eastAsia="Arial" w:hint="default"/>
        </w:rPr>
        <w:t>2012 </w:t>
      </w:r>
      <w:r>
        <w:rPr/>
        <w:t>年</w:t>
      </w:r>
      <w:r>
        <w:rPr>
          <w:spacing w:val="-49"/>
        </w:rPr>
        <w:t> </w:t>
      </w:r>
      <w:r>
        <w:rPr>
          <w:rFonts w:ascii="Arial" w:hAnsi="Arial" w:cs="Arial" w:eastAsia="Arial" w:hint="default"/>
        </w:rPr>
        <w:t>12 </w:t>
      </w:r>
      <w:r>
        <w:rPr/>
        <w:t>月</w:t>
      </w:r>
      <w:r>
        <w:rPr>
          <w:spacing w:val="-49"/>
        </w:rPr>
        <w:t> </w:t>
      </w:r>
      <w:r>
        <w:rPr>
          <w:rFonts w:ascii="Arial" w:hAnsi="Arial" w:cs="Arial" w:eastAsia="Arial" w:hint="default"/>
        </w:rPr>
        <w:t>26 </w:t>
      </w:r>
      <w:r>
        <w:rPr/>
        <w:t>日，联通运营公司已完成收购联通新时空</w:t>
      </w:r>
      <w:r>
        <w:rPr>
          <w:spacing w:val="-47"/>
        </w:rPr>
        <w:t> </w:t>
      </w:r>
      <w:r>
        <w:rPr>
          <w:rFonts w:ascii="Arial" w:hAnsi="Arial" w:cs="Arial" w:eastAsia="Arial" w:hint="default"/>
        </w:rPr>
        <w:t>100%</w:t>
      </w:r>
    </w:p>
    <w:p>
      <w:pPr>
        <w:pStyle w:val="BodyText"/>
        <w:spacing w:line="285" w:lineRule="exact"/>
        <w:ind w:left="1174" w:right="89"/>
        <w:jc w:val="left"/>
      </w:pPr>
      <w:r>
        <w:rPr/>
        <w:t>的股权。该交易亦被视为本集团与联通集团于</w:t>
      </w:r>
      <w:r>
        <w:rPr>
          <w:spacing w:val="-47"/>
        </w:rPr>
        <w:t> </w:t>
      </w:r>
      <w:r>
        <w:rPr>
          <w:rFonts w:ascii="Arial" w:hAnsi="Arial" w:cs="Arial" w:eastAsia="Arial" w:hint="default"/>
        </w:rPr>
        <w:t>2012</w:t>
      </w:r>
      <w:r>
        <w:rPr>
          <w:rFonts w:ascii="Arial" w:hAnsi="Arial" w:cs="Arial" w:eastAsia="Arial" w:hint="default"/>
          <w:spacing w:val="-2"/>
        </w:rPr>
        <w:t> </w:t>
      </w:r>
      <w:r>
        <w:rPr/>
        <w:t>年度的关联交易。于</w:t>
      </w:r>
      <w:r>
        <w:rPr>
          <w:spacing w:val="-50"/>
        </w:rPr>
        <w:t> </w:t>
      </w:r>
      <w:r>
        <w:rPr>
          <w:rFonts w:ascii="Arial" w:hAnsi="Arial" w:cs="Arial" w:eastAsia="Arial" w:hint="default"/>
        </w:rPr>
        <w:t>2012</w:t>
      </w:r>
      <w:r>
        <w:rPr>
          <w:rFonts w:ascii="Arial" w:hAnsi="Arial" w:cs="Arial" w:eastAsia="Arial" w:hint="default"/>
          <w:spacing w:val="-2"/>
        </w:rPr>
        <w:t> </w:t>
      </w:r>
      <w:r>
        <w:rPr/>
        <w:t>年</w:t>
      </w:r>
      <w:r>
        <w:rPr>
          <w:spacing w:val="-50"/>
        </w:rPr>
        <w:t> </w:t>
      </w:r>
      <w:r>
        <w:rPr>
          <w:rFonts w:ascii="Arial" w:hAnsi="Arial" w:cs="Arial" w:eastAsia="Arial" w:hint="default"/>
        </w:rPr>
        <w:t>12</w:t>
      </w:r>
      <w:r>
        <w:rPr>
          <w:rFonts w:ascii="Arial" w:hAnsi="Arial" w:cs="Arial" w:eastAsia="Arial" w:hint="default"/>
          <w:spacing w:val="-3"/>
        </w:rPr>
        <w:t> </w:t>
      </w:r>
      <w:r>
        <w:rPr/>
        <w:t>月</w:t>
      </w:r>
    </w:p>
    <w:p>
      <w:pPr>
        <w:pStyle w:val="BodyText"/>
        <w:spacing w:line="286" w:lineRule="exact" w:before="19"/>
        <w:ind w:left="1174" w:right="243"/>
        <w:jc w:val="left"/>
      </w:pPr>
      <w:r>
        <w:rPr>
          <w:rFonts w:ascii="Arial" w:hAnsi="Arial" w:cs="Arial" w:eastAsia="Arial" w:hint="default"/>
        </w:rPr>
        <w:t>31</w:t>
      </w:r>
      <w:r>
        <w:rPr>
          <w:rFonts w:ascii="Arial" w:hAnsi="Arial" w:cs="Arial" w:eastAsia="Arial" w:hint="default"/>
          <w:spacing w:val="-35"/>
        </w:rPr>
        <w:t> </w:t>
      </w:r>
      <w:r>
        <w:rPr/>
        <w:t>日，联通新时空和本集团所属其他公司的往来余额已被抵销，在本集团合并财务报表</w:t>
      </w:r>
      <w:r>
        <w:rPr>
          <w:w w:val="99"/>
        </w:rPr>
        <w:t> </w:t>
      </w:r>
      <w:r>
        <w:rPr/>
        <w:t>中不再反映为关联方往来余额。</w:t>
      </w:r>
    </w:p>
    <w:p>
      <w:pPr>
        <w:spacing w:line="240" w:lineRule="auto" w:before="2"/>
        <w:rPr>
          <w:rFonts w:ascii="宋体" w:hAnsi="宋体" w:cs="宋体" w:eastAsia="宋体" w:hint="default"/>
          <w:sz w:val="17"/>
          <w:szCs w:val="17"/>
        </w:rPr>
      </w:pPr>
    </w:p>
    <w:p>
      <w:pPr>
        <w:pStyle w:val="BodyText"/>
        <w:spacing w:line="294" w:lineRule="exact"/>
        <w:ind w:left="552" w:right="89"/>
        <w:jc w:val="left"/>
      </w:pPr>
      <w:r>
        <w:rPr/>
        <w:t>注</w:t>
      </w:r>
      <w:r>
        <w:rPr>
          <w:spacing w:val="-45"/>
        </w:rPr>
        <w:t> </w:t>
      </w:r>
      <w:r>
        <w:rPr>
          <w:rFonts w:ascii="Arial" w:hAnsi="Arial" w:cs="Arial" w:eastAsia="Arial" w:hint="default"/>
        </w:rPr>
        <w:t>2</w:t>
      </w:r>
      <w:r>
        <w:rPr/>
        <w:t>：于</w:t>
      </w:r>
      <w:r>
        <w:rPr>
          <w:spacing w:val="-45"/>
        </w:rPr>
        <w:t> </w:t>
      </w:r>
      <w:r>
        <w:rPr>
          <w:rFonts w:ascii="Arial" w:hAnsi="Arial" w:cs="Arial" w:eastAsia="Arial" w:hint="default"/>
        </w:rPr>
        <w:t>2012</w:t>
      </w:r>
      <w:r>
        <w:rPr>
          <w:rFonts w:ascii="Arial" w:hAnsi="Arial" w:cs="Arial" w:eastAsia="Arial" w:hint="default"/>
          <w:spacing w:val="4"/>
        </w:rPr>
        <w:t> </w:t>
      </w:r>
      <w:r>
        <w:rPr/>
        <w:t>年</w:t>
      </w:r>
      <w:r>
        <w:rPr>
          <w:spacing w:val="-45"/>
        </w:rPr>
        <w:t> </w:t>
      </w:r>
      <w:r>
        <w:rPr>
          <w:rFonts w:ascii="Arial" w:hAnsi="Arial" w:cs="Arial" w:eastAsia="Arial" w:hint="default"/>
        </w:rPr>
        <w:t>12</w:t>
      </w:r>
      <w:r>
        <w:rPr>
          <w:rFonts w:ascii="Arial" w:hAnsi="Arial" w:cs="Arial" w:eastAsia="Arial" w:hint="default"/>
          <w:spacing w:val="4"/>
        </w:rPr>
        <w:t> </w:t>
      </w:r>
      <w:r>
        <w:rPr/>
        <w:t>月</w:t>
      </w:r>
      <w:r>
        <w:rPr>
          <w:spacing w:val="-44"/>
        </w:rPr>
        <w:t> </w:t>
      </w:r>
      <w:r>
        <w:rPr>
          <w:rFonts w:ascii="Arial" w:hAnsi="Arial" w:cs="Arial" w:eastAsia="Arial" w:hint="default"/>
        </w:rPr>
        <w:t>31</w:t>
      </w:r>
      <w:r>
        <w:rPr>
          <w:rFonts w:ascii="Arial" w:hAnsi="Arial" w:cs="Arial" w:eastAsia="Arial" w:hint="default"/>
          <w:spacing w:val="4"/>
        </w:rPr>
        <w:t> </w:t>
      </w:r>
      <w:r>
        <w:rPr/>
        <w:t>日，应付联通集团款主要包括由于被收购的联通新时空自评估基准</w:t>
      </w:r>
    </w:p>
    <w:p>
      <w:pPr>
        <w:pStyle w:val="BodyText"/>
        <w:spacing w:line="285" w:lineRule="exact"/>
        <w:ind w:left="1174" w:right="89"/>
        <w:jc w:val="left"/>
      </w:pPr>
      <w:r>
        <w:rPr/>
        <w:t>日至收购交易完成日的利润归属于联通集团而产生的应付款项约人民币</w:t>
      </w:r>
      <w:r>
        <w:rPr>
          <w:spacing w:val="-72"/>
        </w:rPr>
        <w:t> </w:t>
      </w:r>
      <w:r>
        <w:rPr>
          <w:rFonts w:ascii="Arial" w:hAnsi="Arial" w:cs="Arial" w:eastAsia="Arial" w:hint="default"/>
        </w:rPr>
        <w:t>1.85</w:t>
      </w:r>
      <w:r>
        <w:rPr>
          <w:rFonts w:ascii="Arial" w:hAnsi="Arial" w:cs="Arial" w:eastAsia="Arial" w:hint="default"/>
          <w:spacing w:val="-27"/>
        </w:rPr>
        <w:t> </w:t>
      </w:r>
      <w:r>
        <w:rPr/>
        <w:t>亿元以及宽</w:t>
      </w:r>
    </w:p>
    <w:p>
      <w:pPr>
        <w:pStyle w:val="BodyText"/>
        <w:spacing w:line="286" w:lineRule="exact"/>
        <w:ind w:left="1174" w:right="89"/>
        <w:jc w:val="left"/>
      </w:pPr>
      <w:r>
        <w:rPr/>
        <w:t>带在线收购联通新时讯尚未支付的对价约人民币</w:t>
      </w:r>
      <w:r>
        <w:rPr>
          <w:spacing w:val="-49"/>
        </w:rPr>
        <w:t> </w:t>
      </w:r>
      <w:r>
        <w:rPr>
          <w:rFonts w:ascii="Arial" w:hAnsi="Arial" w:cs="Arial" w:eastAsia="Arial" w:hint="default"/>
        </w:rPr>
        <w:t>1.58</w:t>
      </w:r>
      <w:r>
        <w:rPr>
          <w:rFonts w:ascii="Arial" w:hAnsi="Arial" w:cs="Arial" w:eastAsia="Arial" w:hint="default"/>
          <w:spacing w:val="-3"/>
        </w:rPr>
        <w:t> </w:t>
      </w:r>
      <w:r>
        <w:rPr/>
        <w:t>亿元（</w:t>
      </w:r>
      <w:r>
        <w:rPr>
          <w:rFonts w:ascii="Arial" w:hAnsi="Arial" w:cs="Arial" w:eastAsia="Arial" w:hint="default"/>
        </w:rPr>
        <w:t>2011</w:t>
      </w:r>
      <w:r>
        <w:rPr>
          <w:rFonts w:ascii="Arial" w:hAnsi="Arial" w:cs="Arial" w:eastAsia="Arial" w:hint="default"/>
          <w:spacing w:val="-3"/>
        </w:rPr>
        <w:t> </w:t>
      </w:r>
      <w:r>
        <w:rPr/>
        <w:t>年</w:t>
      </w:r>
      <w:r>
        <w:rPr>
          <w:spacing w:val="-52"/>
        </w:rPr>
        <w:t> </w:t>
      </w:r>
      <w:r>
        <w:rPr>
          <w:rFonts w:ascii="Arial" w:hAnsi="Arial" w:cs="Arial" w:eastAsia="Arial" w:hint="default"/>
        </w:rPr>
        <w:t>12</w:t>
      </w:r>
      <w:r>
        <w:rPr>
          <w:rFonts w:ascii="Arial" w:hAnsi="Arial" w:cs="Arial" w:eastAsia="Arial" w:hint="default"/>
          <w:spacing w:val="-3"/>
        </w:rPr>
        <w:t> </w:t>
      </w:r>
      <w:r>
        <w:rPr/>
        <w:t>月</w:t>
      </w:r>
      <w:r>
        <w:rPr>
          <w:spacing w:val="-52"/>
        </w:rPr>
        <w:t> </w:t>
      </w:r>
      <w:r>
        <w:rPr>
          <w:rFonts w:ascii="Arial" w:hAnsi="Arial" w:cs="Arial" w:eastAsia="Arial" w:hint="default"/>
        </w:rPr>
        <w:t>31</w:t>
      </w:r>
      <w:r>
        <w:rPr>
          <w:rFonts w:ascii="Arial" w:hAnsi="Arial" w:cs="Arial" w:eastAsia="Arial" w:hint="default"/>
          <w:spacing w:val="-3"/>
        </w:rPr>
        <w:t> </w:t>
      </w:r>
      <w:r>
        <w:rPr/>
        <w:t>日：应付</w:t>
      </w:r>
    </w:p>
    <w:p>
      <w:pPr>
        <w:pStyle w:val="BodyText"/>
        <w:spacing w:line="286" w:lineRule="exact"/>
        <w:ind w:left="1174" w:right="89"/>
        <w:jc w:val="left"/>
      </w:pPr>
      <w:r>
        <w:rPr/>
        <w:t>联通集团款主要包括宽带在线收购联通新时讯尚未支付的对价约人民币</w:t>
      </w:r>
      <w:r>
        <w:rPr>
          <w:spacing w:val="-58"/>
        </w:rPr>
        <w:t> </w:t>
      </w:r>
      <w:r>
        <w:rPr>
          <w:rFonts w:ascii="Arial" w:hAnsi="Arial" w:cs="Arial" w:eastAsia="Arial" w:hint="default"/>
        </w:rPr>
        <w:t>1.58</w:t>
      </w:r>
      <w:r>
        <w:rPr>
          <w:rFonts w:ascii="Arial" w:hAnsi="Arial" w:cs="Arial" w:eastAsia="Arial" w:hint="default"/>
          <w:spacing w:val="-12"/>
        </w:rPr>
        <w:t> </w:t>
      </w:r>
      <w:r>
        <w:rPr>
          <w:spacing w:val="-6"/>
        </w:rPr>
        <w:t>亿元）。宽</w:t>
      </w:r>
    </w:p>
    <w:p>
      <w:pPr>
        <w:pStyle w:val="BodyText"/>
        <w:spacing w:line="295" w:lineRule="exact"/>
        <w:ind w:left="1174" w:right="89"/>
        <w:jc w:val="left"/>
      </w:pPr>
      <w:r>
        <w:rPr/>
        <w:t>带在线收购联通新时讯的交易亦被视为本集团与联通集团于</w:t>
      </w:r>
      <w:r>
        <w:rPr>
          <w:spacing w:val="-60"/>
        </w:rPr>
        <w:t> </w:t>
      </w:r>
      <w:r>
        <w:rPr>
          <w:rFonts w:ascii="Arial" w:hAnsi="Arial" w:cs="Arial" w:eastAsia="Arial" w:hint="default"/>
        </w:rPr>
        <w:t>2011</w:t>
      </w:r>
      <w:r>
        <w:rPr>
          <w:rFonts w:ascii="Arial" w:hAnsi="Arial" w:cs="Arial" w:eastAsia="Arial" w:hint="default"/>
          <w:spacing w:val="-14"/>
        </w:rPr>
        <w:t> </w:t>
      </w:r>
      <w:r>
        <w:rPr/>
        <w:t>年度的关联交易。</w:t>
      </w:r>
    </w:p>
    <w:p>
      <w:pPr>
        <w:spacing w:line="240" w:lineRule="auto" w:before="1"/>
        <w:rPr>
          <w:rFonts w:ascii="宋体" w:hAnsi="宋体" w:cs="宋体" w:eastAsia="宋体" w:hint="default"/>
          <w:sz w:val="19"/>
          <w:szCs w:val="19"/>
        </w:rPr>
      </w:pPr>
    </w:p>
    <w:p>
      <w:pPr>
        <w:pStyle w:val="BodyText"/>
        <w:spacing w:line="225" w:lineRule="auto"/>
        <w:ind w:left="1174" w:right="238" w:hanging="622"/>
        <w:jc w:val="both"/>
      </w:pPr>
      <w:r>
        <w:rPr/>
        <w:t>注</w:t>
      </w:r>
      <w:r>
        <w:rPr>
          <w:spacing w:val="-54"/>
        </w:rPr>
        <w:t> </w:t>
      </w:r>
      <w:r>
        <w:rPr>
          <w:rFonts w:ascii="Arial" w:hAnsi="Arial" w:cs="Arial" w:eastAsia="Arial" w:hint="default"/>
        </w:rPr>
        <w:t>3</w:t>
      </w:r>
      <w:r>
        <w:rPr/>
        <w:t>：于</w:t>
      </w:r>
      <w:r>
        <w:rPr>
          <w:spacing w:val="-53"/>
        </w:rPr>
        <w:t> </w:t>
      </w:r>
      <w:r>
        <w:rPr>
          <w:rFonts w:ascii="Arial" w:hAnsi="Arial" w:cs="Arial" w:eastAsia="Arial" w:hint="default"/>
        </w:rPr>
        <w:t>2011</w:t>
      </w:r>
      <w:r>
        <w:rPr>
          <w:rFonts w:ascii="Arial" w:hAnsi="Arial" w:cs="Arial" w:eastAsia="Arial" w:hint="default"/>
          <w:spacing w:val="-4"/>
        </w:rPr>
        <w:t> </w:t>
      </w:r>
      <w:r>
        <w:rPr/>
        <w:t>年</w:t>
      </w:r>
      <w:r>
        <w:rPr>
          <w:spacing w:val="-54"/>
        </w:rPr>
        <w:t> </w:t>
      </w:r>
      <w:r>
        <w:rPr>
          <w:rFonts w:ascii="Arial" w:hAnsi="Arial" w:cs="Arial" w:eastAsia="Arial" w:hint="default"/>
        </w:rPr>
        <w:t>12</w:t>
      </w:r>
      <w:r>
        <w:rPr>
          <w:rFonts w:ascii="Arial" w:hAnsi="Arial" w:cs="Arial" w:eastAsia="Arial" w:hint="default"/>
          <w:spacing w:val="-5"/>
        </w:rPr>
        <w:t> </w:t>
      </w:r>
      <w:r>
        <w:rPr/>
        <w:t>月</w:t>
      </w:r>
      <w:r>
        <w:rPr>
          <w:spacing w:val="-54"/>
        </w:rPr>
        <w:t> </w:t>
      </w:r>
      <w:r>
        <w:rPr>
          <w:rFonts w:ascii="Arial" w:hAnsi="Arial" w:cs="Arial" w:eastAsia="Arial" w:hint="default"/>
        </w:rPr>
        <w:t>31</w:t>
      </w:r>
      <w:r>
        <w:rPr>
          <w:rFonts w:ascii="Arial" w:hAnsi="Arial" w:cs="Arial" w:eastAsia="Arial" w:hint="default"/>
          <w:spacing w:val="-5"/>
        </w:rPr>
        <w:t> </w:t>
      </w:r>
      <w:r>
        <w:rPr/>
        <w:t>日，上述其他应付网通</w:t>
      </w:r>
      <w:r>
        <w:rPr>
          <w:spacing w:val="-53"/>
        </w:rPr>
        <w:t> </w:t>
      </w:r>
      <w:r>
        <w:rPr>
          <w:rFonts w:ascii="Arial" w:hAnsi="Arial" w:cs="Arial" w:eastAsia="Arial" w:hint="default"/>
        </w:rPr>
        <w:t>BVI</w:t>
      </w:r>
      <w:r>
        <w:rPr>
          <w:rFonts w:ascii="Arial" w:hAnsi="Arial" w:cs="Arial" w:eastAsia="Arial" w:hint="default"/>
          <w:spacing w:val="-4"/>
        </w:rPr>
        <w:t> </w:t>
      </w:r>
      <w:r>
        <w:rPr/>
        <w:t>款项为联通红筹公司应付网通</w:t>
      </w:r>
      <w:r>
        <w:rPr>
          <w:spacing w:val="-52"/>
        </w:rPr>
        <w:t> </w:t>
      </w:r>
      <w:r>
        <w:rPr>
          <w:rFonts w:ascii="Arial" w:hAnsi="Arial" w:cs="Arial" w:eastAsia="Arial" w:hint="default"/>
        </w:rPr>
        <w:t>BVI</w:t>
      </w:r>
      <w:r>
        <w:rPr>
          <w:rFonts w:ascii="Arial" w:hAnsi="Arial" w:cs="Arial" w:eastAsia="Arial" w:hint="default"/>
          <w:spacing w:val="-5"/>
        </w:rPr>
        <w:t> </w:t>
      </w:r>
      <w:r>
        <w:rPr/>
        <w:t>的关</w:t>
      </w:r>
      <w:r>
        <w:rPr>
          <w:w w:val="99"/>
        </w:rPr>
        <w:t> </w:t>
      </w:r>
      <w:r>
        <w:rPr/>
        <w:t>联公司借款本金及利息，本金为港币</w:t>
      </w:r>
      <w:r>
        <w:rPr>
          <w:spacing w:val="-65"/>
        </w:rPr>
        <w:t> </w:t>
      </w:r>
      <w:r>
        <w:rPr>
          <w:rFonts w:ascii="Arial" w:hAnsi="Arial" w:cs="Arial" w:eastAsia="Arial" w:hint="default"/>
        </w:rPr>
        <w:t>26.3</w:t>
      </w:r>
      <w:r>
        <w:rPr>
          <w:rFonts w:ascii="Arial" w:hAnsi="Arial" w:cs="Arial" w:eastAsia="Arial" w:hint="default"/>
          <w:spacing w:val="-16"/>
        </w:rPr>
        <w:t> </w:t>
      </w:r>
      <w:r>
        <w:rPr/>
        <w:t>亿元，折合约人民币</w:t>
      </w:r>
      <w:r>
        <w:rPr>
          <w:spacing w:val="-64"/>
        </w:rPr>
        <w:t> </w:t>
      </w:r>
      <w:r>
        <w:rPr>
          <w:rFonts w:ascii="Arial" w:hAnsi="Arial" w:cs="Arial" w:eastAsia="Arial" w:hint="default"/>
        </w:rPr>
        <w:t>21.32</w:t>
      </w:r>
      <w:r>
        <w:rPr>
          <w:rFonts w:ascii="Arial" w:hAnsi="Arial" w:cs="Arial" w:eastAsia="Arial" w:hint="default"/>
          <w:spacing w:val="-16"/>
        </w:rPr>
        <w:t> </w:t>
      </w:r>
      <w:r>
        <w:rPr/>
        <w:t>亿元。上述借款的</w:t>
      </w:r>
      <w:r>
        <w:rPr>
          <w:w w:val="99"/>
        </w:rPr>
        <w:t> </w:t>
      </w:r>
      <w:r>
        <w:rPr/>
        <w:t>借款利率根据香港银行同业拆借利率上浮</w:t>
      </w:r>
      <w:r>
        <w:rPr>
          <w:spacing w:val="-52"/>
        </w:rPr>
        <w:t> </w:t>
      </w:r>
      <w:r>
        <w:rPr>
          <w:rFonts w:ascii="Arial" w:hAnsi="Arial" w:cs="Arial" w:eastAsia="Arial" w:hint="default"/>
        </w:rPr>
        <w:t>0.8%</w:t>
      </w:r>
      <w:r>
        <w:rPr/>
        <w:t>确定。于</w:t>
      </w:r>
      <w:r>
        <w:rPr>
          <w:spacing w:val="-54"/>
        </w:rPr>
        <w:t> </w:t>
      </w:r>
      <w:r>
        <w:rPr>
          <w:rFonts w:ascii="Arial" w:hAnsi="Arial" w:cs="Arial" w:eastAsia="Arial" w:hint="default"/>
        </w:rPr>
        <w:t>2012</w:t>
      </w:r>
      <w:r>
        <w:rPr>
          <w:rFonts w:ascii="Arial" w:hAnsi="Arial" w:cs="Arial" w:eastAsia="Arial" w:hint="default"/>
          <w:spacing w:val="-5"/>
        </w:rPr>
        <w:t> </w:t>
      </w:r>
      <w:r>
        <w:rPr/>
        <w:t>年度，联通红筹公司全额</w:t>
      </w:r>
      <w:r>
        <w:rPr>
          <w:w w:val="99"/>
        </w:rPr>
        <w:t> </w:t>
      </w:r>
      <w:r>
        <w:rPr/>
        <w:t>偿还了上述借款的本金及利息。</w:t>
      </w:r>
    </w:p>
    <w:p>
      <w:pPr>
        <w:spacing w:line="240" w:lineRule="auto" w:before="6"/>
        <w:rPr>
          <w:rFonts w:ascii="宋体" w:hAnsi="宋体" w:cs="宋体" w:eastAsia="宋体" w:hint="default"/>
          <w:sz w:val="21"/>
          <w:szCs w:val="21"/>
        </w:rPr>
      </w:pPr>
    </w:p>
    <w:p>
      <w:pPr>
        <w:pStyle w:val="BodyText"/>
        <w:spacing w:line="286" w:lineRule="exact"/>
        <w:ind w:left="1182" w:right="238" w:hanging="631"/>
        <w:jc w:val="both"/>
      </w:pPr>
      <w:r>
        <w:rPr/>
        <w:t>注</w:t>
      </w:r>
      <w:r>
        <w:rPr>
          <w:spacing w:val="-50"/>
        </w:rPr>
        <w:t> </w:t>
      </w:r>
      <w:r>
        <w:rPr>
          <w:rFonts w:ascii="Arial" w:hAnsi="Arial" w:cs="Arial" w:eastAsia="Arial" w:hint="default"/>
        </w:rPr>
        <w:t>4</w:t>
      </w:r>
      <w:r>
        <w:rPr/>
        <w:t>：于</w:t>
      </w:r>
      <w:r>
        <w:rPr>
          <w:spacing w:val="-50"/>
        </w:rPr>
        <w:t> </w:t>
      </w:r>
      <w:r>
        <w:rPr>
          <w:rFonts w:ascii="Arial" w:hAnsi="Arial" w:cs="Arial" w:eastAsia="Arial" w:hint="default"/>
        </w:rPr>
        <w:t>2011</w:t>
      </w:r>
      <w:r>
        <w:rPr>
          <w:rFonts w:ascii="Arial" w:hAnsi="Arial" w:cs="Arial" w:eastAsia="Arial" w:hint="default"/>
          <w:spacing w:val="-1"/>
        </w:rPr>
        <w:t> </w:t>
      </w:r>
      <w:r>
        <w:rPr/>
        <w:t>年</w:t>
      </w:r>
      <w:r>
        <w:rPr>
          <w:spacing w:val="-50"/>
        </w:rPr>
        <w:t> </w:t>
      </w:r>
      <w:r>
        <w:rPr>
          <w:rFonts w:ascii="Arial" w:hAnsi="Arial" w:cs="Arial" w:eastAsia="Arial" w:hint="default"/>
        </w:rPr>
        <w:t>12</w:t>
      </w:r>
      <w:r>
        <w:rPr>
          <w:rFonts w:ascii="Arial" w:hAnsi="Arial" w:cs="Arial" w:eastAsia="Arial" w:hint="default"/>
          <w:spacing w:val="-1"/>
        </w:rPr>
        <w:t> </w:t>
      </w:r>
      <w:r>
        <w:rPr/>
        <w:t>月</w:t>
      </w:r>
      <w:r>
        <w:rPr>
          <w:spacing w:val="-50"/>
        </w:rPr>
        <w:t> </w:t>
      </w:r>
      <w:r>
        <w:rPr>
          <w:rFonts w:ascii="Arial" w:hAnsi="Arial" w:cs="Arial" w:eastAsia="Arial" w:hint="default"/>
        </w:rPr>
        <w:t>31</w:t>
      </w:r>
      <w:r>
        <w:rPr>
          <w:rFonts w:ascii="Arial" w:hAnsi="Arial" w:cs="Arial" w:eastAsia="Arial" w:hint="default"/>
          <w:spacing w:val="-1"/>
        </w:rPr>
        <w:t> </w:t>
      </w:r>
      <w:r>
        <w:rPr/>
        <w:t>日，上述其他应付联通集团</w:t>
      </w:r>
      <w:r>
        <w:rPr>
          <w:spacing w:val="-49"/>
        </w:rPr>
        <w:t> </w:t>
      </w:r>
      <w:r>
        <w:rPr>
          <w:rFonts w:ascii="Arial" w:hAnsi="Arial" w:cs="Arial" w:eastAsia="Arial" w:hint="default"/>
        </w:rPr>
        <w:t>BVI </w:t>
      </w:r>
      <w:r>
        <w:rPr/>
        <w:t>公司款项为联通红筹公司应付联通</w:t>
      </w:r>
      <w:r>
        <w:rPr>
          <w:w w:val="99"/>
        </w:rPr>
        <w:t> </w:t>
      </w:r>
      <w:r>
        <w:rPr/>
        <w:t>集团</w:t>
      </w:r>
      <w:r>
        <w:rPr>
          <w:spacing w:val="-51"/>
        </w:rPr>
        <w:t> </w:t>
      </w:r>
      <w:r>
        <w:rPr>
          <w:rFonts w:ascii="Arial" w:hAnsi="Arial" w:cs="Arial" w:eastAsia="Arial" w:hint="default"/>
        </w:rPr>
        <w:t>BVI </w:t>
      </w:r>
      <w:r>
        <w:rPr/>
        <w:t>公司的关联公司借款本金及利息，其中本金为港币</w:t>
      </w:r>
      <w:r>
        <w:rPr>
          <w:spacing w:val="-47"/>
        </w:rPr>
        <w:t> </w:t>
      </w:r>
      <w:r>
        <w:rPr>
          <w:rFonts w:ascii="Arial" w:hAnsi="Arial" w:cs="Arial" w:eastAsia="Arial" w:hint="default"/>
        </w:rPr>
        <w:t>3,000</w:t>
      </w:r>
      <w:r>
        <w:rPr>
          <w:rFonts w:ascii="Arial" w:hAnsi="Arial" w:cs="Arial" w:eastAsia="Arial" w:hint="default"/>
          <w:spacing w:val="-2"/>
        </w:rPr>
        <w:t> </w:t>
      </w:r>
      <w:r>
        <w:rPr/>
        <w:t>万元，折合约人民币</w:t>
      </w:r>
      <w:r>
        <w:rPr>
          <w:w w:val="99"/>
        </w:rPr>
        <w:t> </w:t>
      </w:r>
      <w:r>
        <w:rPr>
          <w:rFonts w:ascii="Arial" w:hAnsi="Arial" w:cs="Arial" w:eastAsia="Arial" w:hint="default"/>
        </w:rPr>
        <w:t>2,432</w:t>
      </w:r>
      <w:r>
        <w:rPr>
          <w:rFonts w:ascii="Arial" w:hAnsi="Arial" w:cs="Arial" w:eastAsia="Arial" w:hint="default"/>
          <w:spacing w:val="-13"/>
        </w:rPr>
        <w:t> </w:t>
      </w:r>
      <w:r>
        <w:rPr/>
        <w:t>万元，上述借款的借款利率根据</w:t>
      </w:r>
      <w:r>
        <w:rPr>
          <w:spacing w:val="-61"/>
        </w:rPr>
        <w:t> </w:t>
      </w:r>
      <w:r>
        <w:rPr>
          <w:rFonts w:ascii="Arial" w:hAnsi="Arial" w:cs="Arial" w:eastAsia="Arial" w:hint="default"/>
        </w:rPr>
        <w:t>6</w:t>
      </w:r>
      <w:r>
        <w:rPr>
          <w:rFonts w:ascii="Arial" w:hAnsi="Arial" w:cs="Arial" w:eastAsia="Arial" w:hint="default"/>
          <w:spacing w:val="-13"/>
        </w:rPr>
        <w:t> </w:t>
      </w:r>
      <w:r>
        <w:rPr/>
        <w:t>个月香港银行同业拆借利率上浮</w:t>
      </w:r>
      <w:r>
        <w:rPr>
          <w:spacing w:val="-60"/>
        </w:rPr>
        <w:t> </w:t>
      </w:r>
      <w:r>
        <w:rPr>
          <w:rFonts w:ascii="Arial" w:hAnsi="Arial" w:cs="Arial" w:eastAsia="Arial" w:hint="default"/>
        </w:rPr>
        <w:t>0.1%</w:t>
      </w:r>
      <w:r>
        <w:rPr/>
        <w:t>确定。于</w:t>
      </w:r>
    </w:p>
    <w:p>
      <w:pPr>
        <w:pStyle w:val="BodyText"/>
        <w:spacing w:line="274" w:lineRule="exact"/>
        <w:ind w:left="1182" w:right="89"/>
        <w:jc w:val="left"/>
      </w:pPr>
      <w:r>
        <w:rPr>
          <w:rFonts w:ascii="Arial" w:hAnsi="Arial" w:cs="Arial" w:eastAsia="Arial" w:hint="default"/>
        </w:rPr>
        <w:t>2012</w:t>
      </w:r>
      <w:r>
        <w:rPr>
          <w:rFonts w:ascii="Arial" w:hAnsi="Arial" w:cs="Arial" w:eastAsia="Arial" w:hint="default"/>
          <w:spacing w:val="-16"/>
        </w:rPr>
        <w:t> </w:t>
      </w:r>
      <w:r>
        <w:rPr/>
        <w:t>年度，联通红筹公司全额偿还了上述借款的本金。</w:t>
      </w:r>
    </w:p>
    <w:p>
      <w:pPr>
        <w:spacing w:after="0" w:line="274" w:lineRule="exact"/>
        <w:jc w:val="left"/>
        <w:sectPr>
          <w:headerReference w:type="default" r:id="rId136"/>
          <w:pgSz w:w="11910" w:h="16840"/>
          <w:pgMar w:header="1184" w:footer="457" w:top="3580" w:bottom="640" w:left="1280" w:right="780"/>
        </w:sectPr>
      </w:pPr>
    </w:p>
    <w:p>
      <w:pPr>
        <w:spacing w:line="240" w:lineRule="auto" w:before="13"/>
        <w:rPr>
          <w:rFonts w:ascii="宋体" w:hAnsi="宋体" w:cs="宋体" w:eastAsia="宋体" w:hint="default"/>
          <w:sz w:val="15"/>
          <w:szCs w:val="15"/>
        </w:rPr>
      </w:pPr>
    </w:p>
    <w:p>
      <w:pPr>
        <w:pStyle w:val="BodyText"/>
        <w:spacing w:line="286" w:lineRule="exact" w:before="60"/>
        <w:ind w:left="574" w:right="118" w:firstLine="17"/>
        <w:jc w:val="center"/>
      </w:pPr>
      <w:r>
        <w:rPr/>
        <w:t>注</w:t>
      </w:r>
      <w:r>
        <w:rPr>
          <w:spacing w:val="-46"/>
        </w:rPr>
        <w:t> </w:t>
      </w:r>
      <w:r>
        <w:rPr>
          <w:rFonts w:ascii="Arial" w:hAnsi="Arial" w:cs="Arial" w:eastAsia="Arial" w:hint="default"/>
        </w:rPr>
        <w:t>5</w:t>
      </w:r>
      <w:r>
        <w:rPr/>
        <w:t>：因收购联通新时空交易，联通新时空于</w:t>
      </w:r>
      <w:r>
        <w:rPr>
          <w:spacing w:val="-43"/>
        </w:rPr>
        <w:t> </w:t>
      </w:r>
      <w:r>
        <w:rPr>
          <w:rFonts w:ascii="Arial" w:hAnsi="Arial" w:cs="Arial" w:eastAsia="Arial" w:hint="default"/>
        </w:rPr>
        <w:t>2012</w:t>
      </w:r>
      <w:r>
        <w:rPr>
          <w:rFonts w:ascii="Arial" w:hAnsi="Arial" w:cs="Arial" w:eastAsia="Arial" w:hint="default"/>
          <w:spacing w:val="3"/>
        </w:rPr>
        <w:t> </w:t>
      </w:r>
      <w:r>
        <w:rPr/>
        <w:t>年</w:t>
      </w:r>
      <w:r>
        <w:rPr>
          <w:spacing w:val="-46"/>
        </w:rPr>
        <w:t> </w:t>
      </w:r>
      <w:r>
        <w:rPr>
          <w:rFonts w:ascii="Arial" w:hAnsi="Arial" w:cs="Arial" w:eastAsia="Arial" w:hint="default"/>
        </w:rPr>
        <w:t>12</w:t>
      </w:r>
      <w:r>
        <w:rPr>
          <w:rFonts w:ascii="Arial" w:hAnsi="Arial" w:cs="Arial" w:eastAsia="Arial" w:hint="default"/>
          <w:spacing w:val="4"/>
        </w:rPr>
        <w:t> </w:t>
      </w:r>
      <w:r>
        <w:rPr/>
        <w:t>月</w:t>
      </w:r>
      <w:r>
        <w:rPr>
          <w:spacing w:val="-46"/>
        </w:rPr>
        <w:t> </w:t>
      </w:r>
      <w:r>
        <w:rPr>
          <w:rFonts w:ascii="Arial" w:hAnsi="Arial" w:cs="Arial" w:eastAsia="Arial" w:hint="default"/>
        </w:rPr>
        <w:t>31</w:t>
      </w:r>
      <w:r>
        <w:rPr>
          <w:rFonts w:ascii="Arial" w:hAnsi="Arial" w:cs="Arial" w:eastAsia="Arial" w:hint="default"/>
          <w:spacing w:val="3"/>
        </w:rPr>
        <w:t> </w:t>
      </w:r>
      <w:r>
        <w:rPr/>
        <w:t>日的应付联通集团其他附属公</w:t>
      </w:r>
      <w:r>
        <w:rPr>
          <w:w w:val="99"/>
        </w:rPr>
        <w:t> </w:t>
      </w:r>
      <w:r>
        <w:rPr/>
        <w:t>司款项亦被计入本集团该日其他应付款中的应付联通集团其他附属公司款项之中。</w:t>
      </w:r>
    </w:p>
    <w:p>
      <w:pPr>
        <w:spacing w:line="240" w:lineRule="auto" w:before="3"/>
        <w:rPr>
          <w:rFonts w:ascii="宋体" w:hAnsi="宋体" w:cs="宋体" w:eastAsia="宋体" w:hint="default"/>
          <w:sz w:val="19"/>
          <w:szCs w:val="19"/>
        </w:rPr>
      </w:pPr>
    </w:p>
    <w:p>
      <w:pPr>
        <w:pStyle w:val="BodyText"/>
        <w:spacing w:line="286" w:lineRule="exact"/>
        <w:ind w:left="574" w:right="118"/>
        <w:jc w:val="both"/>
      </w:pPr>
      <w:r>
        <w:rPr/>
        <w:t>应收、应付关联公司余额除应付网通</w:t>
      </w:r>
      <w:r>
        <w:rPr>
          <w:spacing w:val="-58"/>
        </w:rPr>
        <w:t> </w:t>
      </w:r>
      <w:r>
        <w:rPr>
          <w:rFonts w:ascii="Arial" w:hAnsi="Arial" w:cs="Arial" w:eastAsia="Arial" w:hint="default"/>
        </w:rPr>
        <w:t>BVI</w:t>
      </w:r>
      <w:r>
        <w:rPr>
          <w:rFonts w:ascii="Arial" w:hAnsi="Arial" w:cs="Arial" w:eastAsia="Arial" w:hint="default"/>
          <w:spacing w:val="-9"/>
        </w:rPr>
        <w:t> </w:t>
      </w:r>
      <w:r>
        <w:rPr/>
        <w:t>及联通集团</w:t>
      </w:r>
      <w:r>
        <w:rPr>
          <w:spacing w:val="-57"/>
        </w:rPr>
        <w:t> </w:t>
      </w:r>
      <w:r>
        <w:rPr>
          <w:rFonts w:ascii="Arial" w:hAnsi="Arial" w:cs="Arial" w:eastAsia="Arial" w:hint="default"/>
        </w:rPr>
        <w:t>BVI</w:t>
      </w:r>
      <w:r>
        <w:rPr>
          <w:rFonts w:ascii="Arial" w:hAnsi="Arial" w:cs="Arial" w:eastAsia="Arial" w:hint="default"/>
          <w:spacing w:val="-8"/>
        </w:rPr>
        <w:t> </w:t>
      </w:r>
      <w:r>
        <w:rPr/>
        <w:t>公司款项外，均为无抵押、不计息、</w:t>
      </w:r>
      <w:r>
        <w:rPr>
          <w:w w:val="99"/>
        </w:rPr>
        <w:t> </w:t>
      </w:r>
      <w:r>
        <w:rPr/>
        <w:t>即期偿付或于有关合同条款规定的期限内支付或收取，并主要依据附注七</w:t>
      </w:r>
      <w:r>
        <w:rPr>
          <w:rFonts w:ascii="Arial" w:hAnsi="Arial" w:cs="Arial" w:eastAsia="Arial" w:hint="default"/>
        </w:rPr>
        <w:t>(4)</w:t>
      </w:r>
      <w:r>
        <w:rPr/>
        <w:t>所述联通集团及其</w:t>
      </w:r>
      <w:r>
        <w:rPr>
          <w:w w:val="99"/>
        </w:rPr>
        <w:t> </w:t>
      </w:r>
      <w:r>
        <w:rPr/>
        <w:t>子公司的经营交易产生。</w:t>
      </w:r>
    </w:p>
    <w:p>
      <w:pPr>
        <w:spacing w:line="240" w:lineRule="auto" w:before="1"/>
        <w:rPr>
          <w:rFonts w:ascii="宋体" w:hAnsi="宋体" w:cs="宋体" w:eastAsia="宋体" w:hint="default"/>
          <w:sz w:val="17"/>
          <w:szCs w:val="17"/>
        </w:rPr>
      </w:pPr>
    </w:p>
    <w:p>
      <w:pPr>
        <w:pStyle w:val="BodyText"/>
        <w:spacing w:line="240" w:lineRule="auto"/>
        <w:ind w:left="142" w:right="110"/>
        <w:jc w:val="left"/>
      </w:pPr>
      <w:r>
        <w:rPr>
          <w:rFonts w:ascii="Arial" w:hAnsi="Arial" w:cs="Arial" w:eastAsia="Arial" w:hint="default"/>
        </w:rPr>
        <w:t>6</w:t>
      </w:r>
      <w:r>
        <w:rPr/>
        <w:t>、</w:t>
      </w:r>
      <w:r>
        <w:rPr>
          <w:spacing w:val="-36"/>
        </w:rPr>
        <w:t> </w:t>
      </w:r>
      <w:r>
        <w:rPr/>
        <w:t>关联方承诺</w:t>
      </w:r>
    </w:p>
    <w:p>
      <w:pPr>
        <w:spacing w:line="240" w:lineRule="auto" w:before="2"/>
        <w:rPr>
          <w:rFonts w:ascii="宋体" w:hAnsi="宋体" w:cs="宋体" w:eastAsia="宋体" w:hint="default"/>
          <w:sz w:val="20"/>
          <w:szCs w:val="20"/>
        </w:rPr>
      </w:pPr>
    </w:p>
    <w:p>
      <w:pPr>
        <w:pStyle w:val="BodyText"/>
        <w:spacing w:line="286" w:lineRule="exact"/>
        <w:ind w:left="592" w:right="121"/>
        <w:jc w:val="both"/>
      </w:pPr>
      <w:r>
        <w:rPr/>
        <w:t>以下为本集团于资产负债表日，已签约而尚不必在资产负债表上列示的与关联方有关的承诺事</w:t>
      </w:r>
      <w:r>
        <w:rPr>
          <w:spacing w:val="-85"/>
        </w:rPr>
        <w:t> </w:t>
      </w:r>
      <w:r>
        <w:rPr>
          <w:spacing w:val="-85"/>
        </w:rPr>
      </w:r>
      <w:r>
        <w:rPr/>
        <w:t>项：</w:t>
      </w:r>
    </w:p>
    <w:p>
      <w:pPr>
        <w:spacing w:line="240" w:lineRule="auto" w:before="4"/>
        <w:rPr>
          <w:rFonts w:ascii="宋体" w:hAnsi="宋体" w:cs="宋体" w:eastAsia="宋体" w:hint="default"/>
          <w:sz w:val="22"/>
          <w:szCs w:val="22"/>
        </w:rPr>
      </w:pPr>
    </w:p>
    <w:tbl>
      <w:tblPr>
        <w:tblW w:w="0" w:type="auto"/>
        <w:jc w:val="left"/>
        <w:tblInd w:w="393" w:type="dxa"/>
        <w:tblLayout w:type="fixed"/>
        <w:tblCellMar>
          <w:top w:w="0" w:type="dxa"/>
          <w:left w:w="0" w:type="dxa"/>
          <w:bottom w:w="0" w:type="dxa"/>
          <w:right w:w="0" w:type="dxa"/>
        </w:tblCellMar>
        <w:tblLook w:val="01E0"/>
      </w:tblPr>
      <w:tblGrid>
        <w:gridCol w:w="3781"/>
        <w:gridCol w:w="2620"/>
        <w:gridCol w:w="253"/>
        <w:gridCol w:w="2563"/>
      </w:tblGrid>
      <w:tr>
        <w:trPr>
          <w:trHeight w:val="261" w:hRule="exact"/>
        </w:trPr>
        <w:tc>
          <w:tcPr>
            <w:tcW w:w="3781" w:type="dxa"/>
            <w:tcBorders>
              <w:top w:val="nil" w:sz="6" w:space="0" w:color="auto"/>
              <w:left w:val="nil" w:sz="6" w:space="0" w:color="auto"/>
              <w:bottom w:val="nil" w:sz="6" w:space="0" w:color="auto"/>
              <w:right w:val="nil" w:sz="6" w:space="0" w:color="auto"/>
            </w:tcBorders>
          </w:tcPr>
          <w:p>
            <w:pPr>
              <w:pStyle w:val="TableParagraph"/>
              <w:spacing w:line="220" w:lineRule="exact"/>
              <w:ind w:left="208" w:right="0"/>
              <w:jc w:val="left"/>
              <w:rPr>
                <w:rFonts w:ascii="宋体" w:hAnsi="宋体" w:cs="宋体" w:eastAsia="宋体" w:hint="default"/>
                <w:sz w:val="22"/>
                <w:szCs w:val="22"/>
              </w:rPr>
            </w:pPr>
            <w:r>
              <w:rPr>
                <w:rFonts w:ascii="宋体" w:hAnsi="宋体" w:cs="宋体" w:eastAsia="宋体" w:hint="default"/>
                <w:sz w:val="22"/>
                <w:szCs w:val="22"/>
              </w:rPr>
              <w:t>租赁支出</w:t>
            </w:r>
          </w:p>
        </w:tc>
        <w:tc>
          <w:tcPr>
            <w:tcW w:w="2620" w:type="dxa"/>
            <w:tcBorders>
              <w:top w:val="nil" w:sz="6" w:space="0" w:color="auto"/>
              <w:left w:val="nil" w:sz="6" w:space="0" w:color="auto"/>
              <w:bottom w:val="single" w:sz="6" w:space="0" w:color="000000"/>
              <w:right w:val="nil" w:sz="6" w:space="0" w:color="auto"/>
            </w:tcBorders>
          </w:tcPr>
          <w:p>
            <w:pPr>
              <w:pStyle w:val="TableParagraph"/>
              <w:spacing w:line="235" w:lineRule="exact"/>
              <w:ind w:right="107"/>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53" w:type="dxa"/>
            <w:tcBorders>
              <w:top w:val="nil" w:sz="6" w:space="0" w:color="auto"/>
              <w:left w:val="nil" w:sz="6" w:space="0" w:color="auto"/>
              <w:bottom w:val="nil" w:sz="6" w:space="0" w:color="auto"/>
              <w:right w:val="nil" w:sz="6" w:space="0" w:color="auto"/>
            </w:tcBorders>
          </w:tcPr>
          <w:p>
            <w:pPr/>
          </w:p>
        </w:tc>
        <w:tc>
          <w:tcPr>
            <w:tcW w:w="2563" w:type="dxa"/>
            <w:tcBorders>
              <w:top w:val="nil" w:sz="6" w:space="0" w:color="auto"/>
              <w:left w:val="nil" w:sz="6" w:space="0" w:color="auto"/>
              <w:bottom w:val="single" w:sz="6" w:space="0" w:color="000000"/>
              <w:right w:val="nil" w:sz="6" w:space="0" w:color="auto"/>
            </w:tcBorders>
          </w:tcPr>
          <w:p>
            <w:pPr>
              <w:pStyle w:val="TableParagraph"/>
              <w:spacing w:line="235" w:lineRule="exact"/>
              <w:ind w:left="541"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8" w:hRule="exact"/>
        </w:trPr>
        <w:tc>
          <w:tcPr>
            <w:tcW w:w="378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联通新时空</w:t>
            </w:r>
          </w:p>
        </w:tc>
        <w:tc>
          <w:tcPr>
            <w:tcW w:w="262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69"/>
              <w:jc w:val="right"/>
              <w:rPr>
                <w:rFonts w:ascii="Arial" w:hAnsi="Arial" w:cs="Arial" w:eastAsia="Arial" w:hint="default"/>
                <w:sz w:val="22"/>
                <w:szCs w:val="22"/>
              </w:rPr>
            </w:pPr>
            <w:r>
              <w:rPr>
                <w:rFonts w:ascii="Arial"/>
                <w:w w:val="99"/>
                <w:sz w:val="22"/>
              </w:rPr>
              <w:t>-</w:t>
            </w:r>
            <w:r>
              <w:rPr>
                <w:rFonts w:ascii="Arial"/>
                <w:sz w:val="22"/>
              </w:rPr>
            </w:r>
          </w:p>
        </w:tc>
        <w:tc>
          <w:tcPr>
            <w:tcW w:w="253" w:type="dxa"/>
            <w:tcBorders>
              <w:top w:val="nil" w:sz="6" w:space="0" w:color="auto"/>
              <w:left w:val="nil" w:sz="6" w:space="0" w:color="auto"/>
              <w:bottom w:val="nil" w:sz="6" w:space="0" w:color="auto"/>
              <w:right w:val="nil" w:sz="6" w:space="0" w:color="auto"/>
            </w:tcBorders>
          </w:tcPr>
          <w:p>
            <w:pPr/>
          </w:p>
        </w:tc>
        <w:tc>
          <w:tcPr>
            <w:tcW w:w="2563"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86" w:right="0"/>
              <w:jc w:val="left"/>
              <w:rPr>
                <w:rFonts w:ascii="Arial" w:hAnsi="Arial" w:cs="Arial" w:eastAsia="Arial" w:hint="default"/>
                <w:sz w:val="22"/>
                <w:szCs w:val="22"/>
              </w:rPr>
            </w:pPr>
            <w:r>
              <w:rPr>
                <w:rFonts w:ascii="Arial"/>
                <w:sz w:val="22"/>
              </w:rPr>
              <w:t>2,600,000,000</w:t>
            </w:r>
          </w:p>
        </w:tc>
      </w:tr>
      <w:tr>
        <w:trPr>
          <w:trHeight w:val="416" w:hRule="exact"/>
        </w:trPr>
        <w:tc>
          <w:tcPr>
            <w:tcW w:w="378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联通集团及其附属公司</w:t>
            </w:r>
          </w:p>
        </w:tc>
        <w:tc>
          <w:tcPr>
            <w:tcW w:w="2620" w:type="dxa"/>
            <w:tcBorders>
              <w:top w:val="nil" w:sz="6" w:space="0" w:color="auto"/>
              <w:left w:val="nil" w:sz="6" w:space="0" w:color="auto"/>
              <w:bottom w:val="nil" w:sz="6" w:space="0" w:color="auto"/>
              <w:right w:val="nil" w:sz="6" w:space="0" w:color="auto"/>
            </w:tcBorders>
          </w:tcPr>
          <w:p>
            <w:pPr>
              <w:pStyle w:val="TableParagraph"/>
              <w:tabs>
                <w:tab w:pos="1225" w:val="left" w:leader="none"/>
                <w:tab w:pos="2619"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486,128,153</w:t>
            </w:r>
            <w:r>
              <w:rPr>
                <w:rFonts w:ascii="Arial"/>
                <w:sz w:val="22"/>
                <w:u w:val="single" w:color="000000"/>
              </w:rPr>
              <w:tab/>
            </w:r>
            <w:r>
              <w:rPr>
                <w:rFonts w:ascii="Arial"/>
                <w:sz w:val="22"/>
              </w:rPr>
            </w:r>
          </w:p>
        </w:tc>
        <w:tc>
          <w:tcPr>
            <w:tcW w:w="253" w:type="dxa"/>
            <w:tcBorders>
              <w:top w:val="nil" w:sz="6" w:space="0" w:color="auto"/>
              <w:left w:val="nil" w:sz="6" w:space="0" w:color="auto"/>
              <w:bottom w:val="nil" w:sz="6" w:space="0" w:color="auto"/>
              <w:right w:val="nil" w:sz="6" w:space="0" w:color="auto"/>
            </w:tcBorders>
          </w:tcPr>
          <w:p>
            <w:pPr/>
          </w:p>
        </w:tc>
        <w:tc>
          <w:tcPr>
            <w:tcW w:w="2563" w:type="dxa"/>
            <w:tcBorders>
              <w:top w:val="nil" w:sz="6" w:space="0" w:color="auto"/>
              <w:left w:val="nil" w:sz="6" w:space="0" w:color="auto"/>
              <w:bottom w:val="nil" w:sz="6" w:space="0" w:color="auto"/>
              <w:right w:val="nil" w:sz="6" w:space="0" w:color="auto"/>
            </w:tcBorders>
          </w:tcPr>
          <w:p>
            <w:pPr>
              <w:pStyle w:val="TableParagraph"/>
              <w:tabs>
                <w:tab w:pos="1169" w:val="left" w:leader="none"/>
                <w:tab w:pos="2563" w:val="left" w:leader="none"/>
              </w:tabs>
              <w:spacing w:line="240" w:lineRule="auto" w:before="17"/>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592,785,244</w:t>
              <w:tab/>
            </w:r>
            <w:r>
              <w:rPr>
                <w:rFonts w:ascii="Arial"/>
                <w:sz w:val="22"/>
              </w:rPr>
            </w:r>
          </w:p>
        </w:tc>
      </w:tr>
      <w:tr>
        <w:trPr>
          <w:trHeight w:val="401" w:hRule="exact"/>
        </w:trPr>
        <w:tc>
          <w:tcPr>
            <w:tcW w:w="3781" w:type="dxa"/>
            <w:tcBorders>
              <w:top w:val="nil" w:sz="6" w:space="0" w:color="auto"/>
              <w:left w:val="nil" w:sz="6" w:space="0" w:color="auto"/>
              <w:bottom w:val="nil" w:sz="6" w:space="0" w:color="auto"/>
              <w:right w:val="nil" w:sz="6" w:space="0" w:color="auto"/>
            </w:tcBorders>
          </w:tcPr>
          <w:p>
            <w:pPr/>
          </w:p>
        </w:tc>
        <w:tc>
          <w:tcPr>
            <w:tcW w:w="2620"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left="1225" w:right="0"/>
              <w:jc w:val="left"/>
              <w:rPr>
                <w:rFonts w:ascii="Arial" w:hAnsi="Arial" w:cs="Arial" w:eastAsia="Arial" w:hint="default"/>
                <w:sz w:val="22"/>
                <w:szCs w:val="22"/>
              </w:rPr>
            </w:pPr>
            <w:r>
              <w:rPr>
                <w:rFonts w:ascii="Arial"/>
                <w:sz w:val="22"/>
              </w:rPr>
              <w:t>486,128,153</w:t>
            </w:r>
          </w:p>
        </w:tc>
        <w:tc>
          <w:tcPr>
            <w:tcW w:w="253" w:type="dxa"/>
            <w:tcBorders>
              <w:top w:val="nil" w:sz="6" w:space="0" w:color="auto"/>
              <w:left w:val="nil" w:sz="6" w:space="0" w:color="auto"/>
              <w:bottom w:val="nil" w:sz="6" w:space="0" w:color="auto"/>
              <w:right w:val="nil" w:sz="6" w:space="0" w:color="auto"/>
            </w:tcBorders>
          </w:tcPr>
          <w:p>
            <w:pPr/>
          </w:p>
        </w:tc>
        <w:tc>
          <w:tcPr>
            <w:tcW w:w="2563"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left="986" w:right="0"/>
              <w:jc w:val="left"/>
              <w:rPr>
                <w:rFonts w:ascii="Arial" w:hAnsi="Arial" w:cs="Arial" w:eastAsia="Arial" w:hint="default"/>
                <w:sz w:val="22"/>
                <w:szCs w:val="22"/>
              </w:rPr>
            </w:pPr>
            <w:r>
              <w:rPr>
                <w:rFonts w:ascii="Arial"/>
                <w:sz w:val="22"/>
              </w:rPr>
              <w:t>3,192,785,244</w:t>
            </w:r>
          </w:p>
        </w:tc>
      </w:tr>
    </w:tbl>
    <w:p>
      <w:pPr>
        <w:spacing w:line="240" w:lineRule="auto" w:before="2"/>
        <w:rPr>
          <w:rFonts w:ascii="宋体" w:hAnsi="宋体" w:cs="宋体" w:eastAsia="宋体" w:hint="default"/>
          <w:sz w:val="14"/>
          <w:szCs w:val="14"/>
        </w:rPr>
      </w:pPr>
    </w:p>
    <w:p>
      <w:pPr>
        <w:pStyle w:val="BodyText"/>
        <w:spacing w:line="240" w:lineRule="auto" w:before="31"/>
        <w:ind w:left="574" w:right="0"/>
        <w:jc w:val="both"/>
      </w:pPr>
      <w:r>
        <w:rPr/>
        <w:t>于</w:t>
      </w:r>
      <w:r>
        <w:rPr>
          <w:spacing w:val="-57"/>
        </w:rPr>
        <w:t> </w:t>
      </w:r>
      <w:r>
        <w:rPr>
          <w:rFonts w:ascii="Arial" w:hAnsi="Arial" w:cs="Arial" w:eastAsia="Arial" w:hint="default"/>
        </w:rPr>
        <w:t>2012</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日，本集团其他关联方承诺并不重大。</w:t>
      </w:r>
    </w:p>
    <w:p>
      <w:pPr>
        <w:spacing w:line="240" w:lineRule="auto" w:before="13"/>
        <w:rPr>
          <w:rFonts w:ascii="宋体" w:hAnsi="宋体" w:cs="宋体" w:eastAsia="宋体" w:hint="default"/>
          <w:sz w:val="17"/>
          <w:szCs w:val="17"/>
        </w:rPr>
      </w:pPr>
    </w:p>
    <w:p>
      <w:pPr>
        <w:pStyle w:val="BodyText"/>
        <w:tabs>
          <w:tab w:pos="559" w:val="left" w:leader="none"/>
        </w:tabs>
        <w:spacing w:line="240" w:lineRule="auto"/>
        <w:ind w:left="114" w:right="110"/>
        <w:jc w:val="left"/>
        <w:rPr>
          <w:rFonts w:ascii="黑体" w:hAnsi="黑体" w:cs="黑体" w:eastAsia="黑体" w:hint="default"/>
        </w:rPr>
      </w:pPr>
      <w:r>
        <w:rPr>
          <w:rFonts w:ascii="黑体" w:hAnsi="黑体" w:cs="黑体" w:eastAsia="黑体" w:hint="default"/>
          <w:w w:val="95"/>
        </w:rPr>
        <w:t>八</w:t>
        <w:tab/>
      </w:r>
      <w:r>
        <w:rPr>
          <w:rFonts w:ascii="黑体" w:hAnsi="黑体" w:cs="黑体" w:eastAsia="黑体" w:hint="default"/>
        </w:rPr>
        <w:t>与境内主要电信运营商的交易</w:t>
      </w:r>
    </w:p>
    <w:p>
      <w:pPr>
        <w:spacing w:line="240" w:lineRule="auto" w:before="4"/>
        <w:rPr>
          <w:rFonts w:ascii="黑体" w:hAnsi="黑体" w:cs="黑体" w:eastAsia="黑体" w:hint="default"/>
          <w:sz w:val="19"/>
          <w:szCs w:val="19"/>
        </w:rPr>
      </w:pPr>
    </w:p>
    <w:p>
      <w:pPr>
        <w:pStyle w:val="BodyText"/>
        <w:spacing w:line="237" w:lineRule="auto"/>
        <w:ind w:left="592" w:right="113"/>
        <w:jc w:val="both"/>
      </w:pPr>
      <w:r>
        <w:rPr/>
        <w:t>本集团的电信业务在很大程度上与境内主要电信运营商存在相互依赖关系，如中国电信集团及</w:t>
      </w:r>
      <w:r>
        <w:rPr>
          <w:w w:val="99"/>
        </w:rPr>
        <w:t> </w:t>
      </w:r>
      <w:r>
        <w:rPr/>
        <w:t>其子公司和中国移动通信集团公司及其子公司（以下合称“境内主要电信运营商”）的公共电</w:t>
      </w:r>
      <w:r>
        <w:rPr>
          <w:spacing w:val="-99"/>
        </w:rPr>
        <w:t> </w:t>
      </w:r>
      <w:r>
        <w:rPr>
          <w:spacing w:val="-99"/>
        </w:rPr>
      </w:r>
      <w:r>
        <w:rPr/>
        <w:t>话交换网络和传输线路。同时，境内主要电信运营商也是本集团所属子公司中讯设计院及规划</w:t>
      </w:r>
      <w:r>
        <w:rPr>
          <w:w w:val="99"/>
        </w:rPr>
        <w:t> </w:t>
      </w:r>
      <w:r>
        <w:rPr/>
        <w:t>设计院的主要服务对象。</w:t>
      </w:r>
    </w:p>
    <w:p>
      <w:pPr>
        <w:spacing w:line="240" w:lineRule="auto" w:before="1"/>
        <w:rPr>
          <w:rFonts w:ascii="宋体" w:hAnsi="宋体" w:cs="宋体" w:eastAsia="宋体" w:hint="default"/>
          <w:sz w:val="19"/>
          <w:szCs w:val="19"/>
        </w:rPr>
      </w:pPr>
    </w:p>
    <w:p>
      <w:pPr>
        <w:pStyle w:val="BodyText"/>
        <w:spacing w:line="240" w:lineRule="auto"/>
        <w:ind w:left="142" w:right="110"/>
        <w:jc w:val="left"/>
      </w:pPr>
      <w:r>
        <w:rPr>
          <w:rFonts w:ascii="Arial" w:hAnsi="Arial" w:cs="Arial" w:eastAsia="Arial" w:hint="default"/>
        </w:rPr>
        <w:t>1</w:t>
      </w:r>
      <w:r>
        <w:rPr/>
        <w:t>、</w:t>
      </w:r>
      <w:r>
        <w:rPr>
          <w:spacing w:val="-41"/>
        </w:rPr>
        <w:t> </w:t>
      </w:r>
      <w:r>
        <w:rPr/>
        <w:t>与境内主要电信运营商的交易</w:t>
      </w:r>
    </w:p>
    <w:p>
      <w:pPr>
        <w:spacing w:line="240" w:lineRule="auto" w:before="2"/>
        <w:rPr>
          <w:rFonts w:ascii="宋体" w:hAnsi="宋体" w:cs="宋体" w:eastAsia="宋体" w:hint="default"/>
          <w:sz w:val="23"/>
          <w:szCs w:val="23"/>
        </w:rPr>
      </w:pPr>
    </w:p>
    <w:tbl>
      <w:tblPr>
        <w:tblW w:w="0" w:type="auto"/>
        <w:jc w:val="left"/>
        <w:tblInd w:w="405" w:type="dxa"/>
        <w:tblLayout w:type="fixed"/>
        <w:tblCellMar>
          <w:top w:w="0" w:type="dxa"/>
          <w:left w:w="0" w:type="dxa"/>
          <w:bottom w:w="0" w:type="dxa"/>
          <w:right w:w="0" w:type="dxa"/>
        </w:tblCellMar>
        <w:tblLook w:val="01E0"/>
      </w:tblPr>
      <w:tblGrid>
        <w:gridCol w:w="3881"/>
        <w:gridCol w:w="889"/>
        <w:gridCol w:w="2042"/>
        <w:gridCol w:w="154"/>
        <w:gridCol w:w="2250"/>
      </w:tblGrid>
      <w:tr>
        <w:trPr>
          <w:trHeight w:val="261" w:hRule="exact"/>
        </w:trPr>
        <w:tc>
          <w:tcPr>
            <w:tcW w:w="3881" w:type="dxa"/>
            <w:tcBorders>
              <w:top w:val="nil" w:sz="6" w:space="0" w:color="auto"/>
              <w:left w:val="nil" w:sz="6" w:space="0" w:color="auto"/>
              <w:bottom w:val="nil" w:sz="6" w:space="0" w:color="auto"/>
              <w:right w:val="nil" w:sz="6" w:space="0" w:color="auto"/>
            </w:tcBorders>
          </w:tcPr>
          <w:p>
            <w:pPr/>
          </w:p>
        </w:tc>
        <w:tc>
          <w:tcPr>
            <w:tcW w:w="889" w:type="dxa"/>
            <w:tcBorders>
              <w:top w:val="nil" w:sz="6" w:space="0" w:color="auto"/>
              <w:left w:val="nil" w:sz="6" w:space="0" w:color="auto"/>
              <w:bottom w:val="single" w:sz="6" w:space="0" w:color="000000"/>
              <w:right w:val="nil" w:sz="6" w:space="0" w:color="auto"/>
            </w:tcBorders>
          </w:tcPr>
          <w:p>
            <w:pPr>
              <w:pStyle w:val="TableParagraph"/>
              <w:spacing w:line="220" w:lineRule="exact"/>
              <w:ind w:left="63" w:right="0"/>
              <w:jc w:val="left"/>
              <w:rPr>
                <w:rFonts w:ascii="宋体" w:hAnsi="宋体" w:cs="宋体" w:eastAsia="宋体" w:hint="default"/>
                <w:sz w:val="22"/>
                <w:szCs w:val="22"/>
              </w:rPr>
            </w:pPr>
            <w:r>
              <w:rPr>
                <w:rFonts w:ascii="宋体" w:hAnsi="宋体" w:cs="宋体" w:eastAsia="宋体" w:hint="default"/>
                <w:sz w:val="22"/>
                <w:szCs w:val="22"/>
              </w:rPr>
              <w:t>注释</w:t>
            </w:r>
          </w:p>
        </w:tc>
        <w:tc>
          <w:tcPr>
            <w:tcW w:w="2042" w:type="dxa"/>
            <w:tcBorders>
              <w:top w:val="nil" w:sz="6" w:space="0" w:color="auto"/>
              <w:left w:val="nil" w:sz="6" w:space="0" w:color="auto"/>
              <w:bottom w:val="single" w:sz="6" w:space="0" w:color="000000"/>
              <w:right w:val="nil" w:sz="6" w:space="0" w:color="auto"/>
            </w:tcBorders>
          </w:tcPr>
          <w:p>
            <w:pPr>
              <w:pStyle w:val="TableParagraph"/>
              <w:spacing w:line="235" w:lineRule="exact"/>
              <w:ind w:right="128"/>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54" w:type="dxa"/>
            <w:tcBorders>
              <w:top w:val="nil" w:sz="6" w:space="0" w:color="auto"/>
              <w:left w:val="nil" w:sz="6" w:space="0" w:color="auto"/>
              <w:bottom w:val="nil" w:sz="6" w:space="0" w:color="auto"/>
              <w:right w:val="nil" w:sz="6" w:space="0" w:color="auto"/>
            </w:tcBorders>
          </w:tcPr>
          <w:p>
            <w:pPr/>
          </w:p>
        </w:tc>
        <w:tc>
          <w:tcPr>
            <w:tcW w:w="2250" w:type="dxa"/>
            <w:tcBorders>
              <w:top w:val="nil" w:sz="6" w:space="0" w:color="auto"/>
              <w:left w:val="nil" w:sz="6" w:space="0" w:color="auto"/>
              <w:bottom w:val="single" w:sz="6" w:space="0" w:color="000000"/>
              <w:right w:val="nil" w:sz="6" w:space="0" w:color="auto"/>
            </w:tcBorders>
          </w:tcPr>
          <w:p>
            <w:pPr>
              <w:pStyle w:val="TableParagraph"/>
              <w:spacing w:line="235" w:lineRule="exact"/>
              <w:ind w:right="89"/>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79" w:hRule="exact"/>
        </w:trPr>
        <w:tc>
          <w:tcPr>
            <w:tcW w:w="388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网间结算收入</w:t>
            </w:r>
          </w:p>
        </w:tc>
        <w:tc>
          <w:tcPr>
            <w:tcW w:w="889"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48" w:right="0"/>
              <w:jc w:val="left"/>
              <w:rPr>
                <w:rFonts w:ascii="Arial" w:hAnsi="Arial" w:cs="Arial" w:eastAsia="Arial" w:hint="default"/>
                <w:sz w:val="22"/>
                <w:szCs w:val="22"/>
              </w:rPr>
            </w:pPr>
            <w:r>
              <w:rPr>
                <w:rFonts w:ascii="Arial"/>
                <w:sz w:val="22"/>
              </w:rPr>
              <w:t>(1)</w:t>
            </w:r>
          </w:p>
        </w:tc>
        <w:tc>
          <w:tcPr>
            <w:tcW w:w="2042"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24"/>
              <w:jc w:val="right"/>
              <w:rPr>
                <w:rFonts w:ascii="Arial" w:hAnsi="Arial" w:cs="Arial" w:eastAsia="Arial" w:hint="default"/>
                <w:sz w:val="22"/>
                <w:szCs w:val="22"/>
              </w:rPr>
            </w:pPr>
            <w:r>
              <w:rPr>
                <w:rFonts w:ascii="Arial"/>
                <w:spacing w:val="-1"/>
                <w:sz w:val="22"/>
              </w:rPr>
              <w:t>14,487,148,312</w:t>
            </w:r>
          </w:p>
        </w:tc>
        <w:tc>
          <w:tcPr>
            <w:tcW w:w="154" w:type="dxa"/>
            <w:tcBorders>
              <w:top w:val="nil" w:sz="6" w:space="0" w:color="auto"/>
              <w:left w:val="nil" w:sz="6" w:space="0" w:color="auto"/>
              <w:bottom w:val="nil" w:sz="6" w:space="0" w:color="auto"/>
              <w:right w:val="nil" w:sz="6" w:space="0" w:color="auto"/>
            </w:tcBorders>
          </w:tcPr>
          <w:p>
            <w:pPr/>
          </w:p>
        </w:tc>
        <w:tc>
          <w:tcPr>
            <w:tcW w:w="2250"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73"/>
              <w:jc w:val="right"/>
              <w:rPr>
                <w:rFonts w:ascii="Arial" w:hAnsi="Arial" w:cs="Arial" w:eastAsia="Arial" w:hint="default"/>
                <w:sz w:val="22"/>
                <w:szCs w:val="22"/>
              </w:rPr>
            </w:pPr>
            <w:r>
              <w:rPr>
                <w:rFonts w:ascii="Arial"/>
                <w:spacing w:val="-1"/>
                <w:sz w:val="22"/>
              </w:rPr>
              <w:t>13,253,079,183</w:t>
            </w:r>
          </w:p>
        </w:tc>
      </w:tr>
      <w:tr>
        <w:trPr>
          <w:trHeight w:val="286" w:hRule="exact"/>
        </w:trPr>
        <w:tc>
          <w:tcPr>
            <w:tcW w:w="388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网间结算支出</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48" w:right="0"/>
              <w:jc w:val="left"/>
              <w:rPr>
                <w:rFonts w:ascii="Arial" w:hAnsi="Arial" w:cs="Arial" w:eastAsia="Arial" w:hint="default"/>
                <w:sz w:val="22"/>
                <w:szCs w:val="22"/>
              </w:rPr>
            </w:pPr>
            <w:r>
              <w:rPr>
                <w:rFonts w:ascii="Arial"/>
                <w:sz w:val="22"/>
              </w:rPr>
              <w:t>(1)</w:t>
            </w: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4"/>
              <w:jc w:val="right"/>
              <w:rPr>
                <w:rFonts w:ascii="Arial" w:hAnsi="Arial" w:cs="Arial" w:eastAsia="Arial" w:hint="default"/>
                <w:sz w:val="22"/>
                <w:szCs w:val="22"/>
              </w:rPr>
            </w:pPr>
            <w:r>
              <w:rPr>
                <w:rFonts w:ascii="Arial"/>
                <w:spacing w:val="-1"/>
                <w:sz w:val="22"/>
              </w:rPr>
              <w:t>16,952,472,857</w:t>
            </w:r>
          </w:p>
        </w:tc>
        <w:tc>
          <w:tcPr>
            <w:tcW w:w="154" w:type="dxa"/>
            <w:tcBorders>
              <w:top w:val="nil" w:sz="6" w:space="0" w:color="auto"/>
              <w:left w:val="nil" w:sz="6" w:space="0" w:color="auto"/>
              <w:bottom w:val="nil" w:sz="6" w:space="0" w:color="auto"/>
              <w:right w:val="nil" w:sz="6" w:space="0" w:color="auto"/>
            </w:tcBorders>
          </w:tcPr>
          <w:p>
            <w:pPr/>
          </w:p>
        </w:tc>
        <w:tc>
          <w:tcPr>
            <w:tcW w:w="225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3"/>
              <w:jc w:val="right"/>
              <w:rPr>
                <w:rFonts w:ascii="Arial" w:hAnsi="Arial" w:cs="Arial" w:eastAsia="Arial" w:hint="default"/>
                <w:sz w:val="22"/>
                <w:szCs w:val="22"/>
              </w:rPr>
            </w:pPr>
            <w:r>
              <w:rPr>
                <w:rFonts w:ascii="Arial"/>
                <w:spacing w:val="-1"/>
                <w:sz w:val="22"/>
              </w:rPr>
              <w:t>14,860,845,492</w:t>
            </w:r>
          </w:p>
        </w:tc>
      </w:tr>
      <w:tr>
        <w:trPr>
          <w:trHeight w:val="286" w:hRule="exact"/>
        </w:trPr>
        <w:tc>
          <w:tcPr>
            <w:tcW w:w="388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出租线路收入</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48" w:right="0"/>
              <w:jc w:val="left"/>
              <w:rPr>
                <w:rFonts w:ascii="Arial" w:hAnsi="Arial" w:cs="Arial" w:eastAsia="Arial" w:hint="default"/>
                <w:sz w:val="22"/>
                <w:szCs w:val="22"/>
              </w:rPr>
            </w:pPr>
            <w:r>
              <w:rPr>
                <w:rFonts w:ascii="Arial"/>
                <w:sz w:val="22"/>
              </w:rPr>
              <w:t>(2)</w:t>
            </w: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2"/>
              <w:jc w:val="right"/>
              <w:rPr>
                <w:rFonts w:ascii="Arial" w:hAnsi="Arial" w:cs="Arial" w:eastAsia="Arial" w:hint="default"/>
                <w:sz w:val="22"/>
                <w:szCs w:val="22"/>
              </w:rPr>
            </w:pPr>
            <w:r>
              <w:rPr>
                <w:rFonts w:ascii="Arial"/>
                <w:w w:val="95"/>
                <w:sz w:val="22"/>
              </w:rPr>
              <w:t>248,576,802</w:t>
            </w:r>
            <w:r>
              <w:rPr>
                <w:rFonts w:ascii="Arial"/>
                <w:sz w:val="22"/>
              </w:rPr>
            </w:r>
          </w:p>
        </w:tc>
        <w:tc>
          <w:tcPr>
            <w:tcW w:w="154" w:type="dxa"/>
            <w:tcBorders>
              <w:top w:val="nil" w:sz="6" w:space="0" w:color="auto"/>
              <w:left w:val="nil" w:sz="6" w:space="0" w:color="auto"/>
              <w:bottom w:val="nil" w:sz="6" w:space="0" w:color="auto"/>
              <w:right w:val="nil" w:sz="6" w:space="0" w:color="auto"/>
            </w:tcBorders>
          </w:tcPr>
          <w:p>
            <w:pPr/>
          </w:p>
        </w:tc>
        <w:tc>
          <w:tcPr>
            <w:tcW w:w="225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2"/>
              <w:jc w:val="right"/>
              <w:rPr>
                <w:rFonts w:ascii="Arial" w:hAnsi="Arial" w:cs="Arial" w:eastAsia="Arial" w:hint="default"/>
                <w:sz w:val="22"/>
                <w:szCs w:val="22"/>
              </w:rPr>
            </w:pPr>
            <w:r>
              <w:rPr>
                <w:rFonts w:ascii="Arial"/>
                <w:w w:val="95"/>
                <w:sz w:val="22"/>
              </w:rPr>
              <w:t>283,165,679</w:t>
            </w:r>
            <w:r>
              <w:rPr>
                <w:rFonts w:ascii="Arial"/>
                <w:sz w:val="22"/>
              </w:rPr>
            </w:r>
          </w:p>
        </w:tc>
      </w:tr>
      <w:tr>
        <w:trPr>
          <w:trHeight w:val="285" w:hRule="exact"/>
        </w:trPr>
        <w:tc>
          <w:tcPr>
            <w:tcW w:w="388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线路租赁费支出</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48" w:right="0"/>
              <w:jc w:val="left"/>
              <w:rPr>
                <w:rFonts w:ascii="Arial" w:hAnsi="Arial" w:cs="Arial" w:eastAsia="Arial" w:hint="default"/>
                <w:sz w:val="22"/>
                <w:szCs w:val="22"/>
              </w:rPr>
            </w:pPr>
            <w:r>
              <w:rPr>
                <w:rFonts w:ascii="Arial"/>
                <w:sz w:val="22"/>
              </w:rPr>
              <w:t>(2)</w:t>
            </w: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2"/>
              <w:jc w:val="right"/>
              <w:rPr>
                <w:rFonts w:ascii="Arial" w:hAnsi="Arial" w:cs="Arial" w:eastAsia="Arial" w:hint="default"/>
                <w:sz w:val="22"/>
                <w:szCs w:val="22"/>
              </w:rPr>
            </w:pPr>
            <w:r>
              <w:rPr>
                <w:rFonts w:ascii="Arial"/>
                <w:w w:val="95"/>
                <w:sz w:val="22"/>
              </w:rPr>
              <w:t>259,668,701</w:t>
            </w:r>
            <w:r>
              <w:rPr>
                <w:rFonts w:ascii="Arial"/>
                <w:sz w:val="22"/>
              </w:rPr>
            </w:r>
          </w:p>
        </w:tc>
        <w:tc>
          <w:tcPr>
            <w:tcW w:w="154" w:type="dxa"/>
            <w:tcBorders>
              <w:top w:val="nil" w:sz="6" w:space="0" w:color="auto"/>
              <w:left w:val="nil" w:sz="6" w:space="0" w:color="auto"/>
              <w:bottom w:val="nil" w:sz="6" w:space="0" w:color="auto"/>
              <w:right w:val="nil" w:sz="6" w:space="0" w:color="auto"/>
            </w:tcBorders>
          </w:tcPr>
          <w:p>
            <w:pPr/>
          </w:p>
        </w:tc>
        <w:tc>
          <w:tcPr>
            <w:tcW w:w="225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2"/>
              <w:jc w:val="right"/>
              <w:rPr>
                <w:rFonts w:ascii="Arial" w:hAnsi="Arial" w:cs="Arial" w:eastAsia="Arial" w:hint="default"/>
                <w:sz w:val="22"/>
                <w:szCs w:val="22"/>
              </w:rPr>
            </w:pPr>
            <w:r>
              <w:rPr>
                <w:rFonts w:ascii="Arial"/>
                <w:w w:val="95"/>
                <w:sz w:val="22"/>
              </w:rPr>
              <w:t>116,290,642</w:t>
            </w:r>
            <w:r>
              <w:rPr>
                <w:rFonts w:ascii="Arial"/>
                <w:sz w:val="22"/>
              </w:rPr>
            </w:r>
          </w:p>
        </w:tc>
      </w:tr>
      <w:tr>
        <w:trPr>
          <w:trHeight w:val="265" w:hRule="exact"/>
        </w:trPr>
        <w:tc>
          <w:tcPr>
            <w:tcW w:w="388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通信工程技术服务收入</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48" w:right="0"/>
              <w:jc w:val="left"/>
              <w:rPr>
                <w:rFonts w:ascii="Arial" w:hAnsi="Arial" w:cs="Arial" w:eastAsia="Arial" w:hint="default"/>
                <w:sz w:val="22"/>
                <w:szCs w:val="22"/>
              </w:rPr>
            </w:pPr>
            <w:r>
              <w:rPr>
                <w:rFonts w:ascii="Arial"/>
                <w:sz w:val="22"/>
              </w:rPr>
              <w:t>(3)</w:t>
            </w: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2"/>
              <w:jc w:val="right"/>
              <w:rPr>
                <w:rFonts w:ascii="Arial" w:hAnsi="Arial" w:cs="Arial" w:eastAsia="Arial" w:hint="default"/>
                <w:sz w:val="22"/>
                <w:szCs w:val="22"/>
              </w:rPr>
            </w:pPr>
            <w:r>
              <w:rPr>
                <w:rFonts w:ascii="Arial"/>
                <w:w w:val="95"/>
                <w:sz w:val="22"/>
              </w:rPr>
              <w:t>233,187,306</w:t>
            </w:r>
            <w:r>
              <w:rPr>
                <w:rFonts w:ascii="Arial"/>
                <w:sz w:val="22"/>
              </w:rPr>
            </w:r>
          </w:p>
        </w:tc>
        <w:tc>
          <w:tcPr>
            <w:tcW w:w="154" w:type="dxa"/>
            <w:tcBorders>
              <w:top w:val="nil" w:sz="6" w:space="0" w:color="auto"/>
              <w:left w:val="nil" w:sz="6" w:space="0" w:color="auto"/>
              <w:bottom w:val="nil" w:sz="6" w:space="0" w:color="auto"/>
              <w:right w:val="nil" w:sz="6" w:space="0" w:color="auto"/>
            </w:tcBorders>
          </w:tcPr>
          <w:p>
            <w:pPr/>
          </w:p>
        </w:tc>
        <w:tc>
          <w:tcPr>
            <w:tcW w:w="225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2"/>
              <w:jc w:val="right"/>
              <w:rPr>
                <w:rFonts w:ascii="Arial" w:hAnsi="Arial" w:cs="Arial" w:eastAsia="Arial" w:hint="default"/>
                <w:sz w:val="22"/>
                <w:szCs w:val="22"/>
              </w:rPr>
            </w:pPr>
            <w:r>
              <w:rPr>
                <w:rFonts w:ascii="Arial"/>
                <w:w w:val="95"/>
                <w:sz w:val="22"/>
              </w:rPr>
              <w:t>218,822,008</w:t>
            </w:r>
            <w:r>
              <w:rPr>
                <w:rFonts w:ascii="Arial"/>
                <w:sz w:val="22"/>
              </w:rPr>
            </w:r>
          </w:p>
        </w:tc>
      </w:tr>
    </w:tbl>
    <w:p>
      <w:pPr>
        <w:spacing w:after="0" w:line="240" w:lineRule="auto"/>
        <w:jc w:val="right"/>
        <w:rPr>
          <w:rFonts w:ascii="Arial" w:hAnsi="Arial" w:cs="Arial" w:eastAsia="Arial" w:hint="default"/>
          <w:sz w:val="22"/>
          <w:szCs w:val="22"/>
        </w:rPr>
        <w:sectPr>
          <w:pgSz w:w="11910" w:h="16840"/>
          <w:pgMar w:header="1184" w:footer="457" w:top="3580" w:bottom="640" w:left="1240" w:right="900"/>
        </w:sectPr>
      </w:pPr>
    </w:p>
    <w:p>
      <w:pPr>
        <w:spacing w:line="240" w:lineRule="auto" w:before="9"/>
        <w:rPr>
          <w:rFonts w:ascii="宋体" w:hAnsi="宋体" w:cs="宋体" w:eastAsia="宋体" w:hint="default"/>
          <w:sz w:val="16"/>
          <w:szCs w:val="16"/>
        </w:rPr>
      </w:pPr>
    </w:p>
    <w:p>
      <w:pPr>
        <w:pStyle w:val="BodyText"/>
        <w:spacing w:line="427" w:lineRule="auto" w:before="31"/>
        <w:ind w:left="592" w:right="5656" w:hanging="450"/>
        <w:jc w:val="left"/>
      </w:pPr>
      <w:r>
        <w:rPr>
          <w:rFonts w:ascii="Arial" w:hAnsi="Arial" w:cs="Arial" w:eastAsia="Arial" w:hint="default"/>
        </w:rPr>
        <w:t>1</w:t>
      </w:r>
      <w:r>
        <w:rPr/>
        <w:t>、</w:t>
      </w:r>
      <w:r>
        <w:rPr>
          <w:spacing w:val="-42"/>
        </w:rPr>
        <w:t> </w:t>
      </w:r>
      <w:r>
        <w:rPr/>
        <w:t>与境内主要电信运营商的交易（续）</w:t>
      </w:r>
      <w:r>
        <w:rPr>
          <w:w w:val="99"/>
        </w:rPr>
        <w:t> </w:t>
      </w:r>
      <w:r>
        <w:rPr/>
        <w:t>注释：</w:t>
      </w:r>
    </w:p>
    <w:p>
      <w:pPr>
        <w:pStyle w:val="BodyText"/>
        <w:spacing w:line="286" w:lineRule="exact" w:before="106"/>
        <w:ind w:left="548" w:right="114" w:hanging="420"/>
        <w:jc w:val="both"/>
      </w:pPr>
      <w:r>
        <w:rPr>
          <w:rFonts w:ascii="Arial" w:hAnsi="Arial" w:cs="Arial" w:eastAsia="Arial" w:hint="default"/>
        </w:rPr>
        <w:t>(1)</w:t>
      </w:r>
      <w:r>
        <w:rPr>
          <w:rFonts w:ascii="Arial" w:hAnsi="Arial" w:cs="Arial" w:eastAsia="Arial" w:hint="default"/>
          <w:spacing w:val="13"/>
        </w:rPr>
        <w:t> </w:t>
      </w:r>
      <w:r>
        <w:rPr/>
        <w:t>网间结算收入和支出指由于本集团网络与境内主要电信运营商的移动电话、公共电话交换网络</w:t>
      </w:r>
      <w:r>
        <w:rPr>
          <w:spacing w:val="-105"/>
        </w:rPr>
        <w:t> </w:t>
      </w:r>
      <w:r>
        <w:rPr>
          <w:spacing w:val="-105"/>
        </w:rPr>
      </w:r>
      <w:r>
        <w:rPr/>
        <w:t>间通信而产生的应向境内主要电信运营商收取和支付的费用，其中网间结算收入以扣除营业税</w:t>
      </w:r>
      <w:r>
        <w:rPr>
          <w:w w:val="99"/>
        </w:rPr>
        <w:t> </w:t>
      </w:r>
      <w:r>
        <w:rPr/>
        <w:t>后的净收入列示。网间结算的基础为本集团各省分公司与所在省的境内主要电信运营商之间签</w:t>
      </w:r>
      <w:r>
        <w:rPr>
          <w:w w:val="99"/>
        </w:rPr>
        <w:t> </w:t>
      </w:r>
      <w:r>
        <w:rPr/>
        <w:t>订的网间互联互通的结算协议。有关结算标准按照原信息产业部规定协商确定。</w:t>
      </w:r>
    </w:p>
    <w:p>
      <w:pPr>
        <w:spacing w:line="240" w:lineRule="auto" w:before="3"/>
        <w:rPr>
          <w:rFonts w:ascii="宋体" w:hAnsi="宋体" w:cs="宋体" w:eastAsia="宋体" w:hint="default"/>
          <w:sz w:val="19"/>
          <w:szCs w:val="19"/>
        </w:rPr>
      </w:pPr>
    </w:p>
    <w:p>
      <w:pPr>
        <w:pStyle w:val="BodyText"/>
        <w:spacing w:line="286" w:lineRule="exact"/>
        <w:ind w:left="548" w:right="114" w:hanging="420"/>
        <w:jc w:val="both"/>
      </w:pPr>
      <w:r>
        <w:rPr>
          <w:rFonts w:ascii="Arial" w:hAnsi="Arial" w:cs="Arial" w:eastAsia="Arial" w:hint="default"/>
        </w:rPr>
        <w:t>(2)</w:t>
      </w:r>
      <w:r>
        <w:rPr>
          <w:rFonts w:ascii="Arial" w:hAnsi="Arial" w:cs="Arial" w:eastAsia="Arial" w:hint="default"/>
          <w:spacing w:val="13"/>
        </w:rPr>
        <w:t> </w:t>
      </w:r>
      <w:r>
        <w:rPr/>
        <w:t>出租线路收入指本集团因出租传输线路而收取或应收境内主要电信运营商的线路租金，以扣除</w:t>
      </w:r>
      <w:r>
        <w:rPr>
          <w:spacing w:val="-105"/>
        </w:rPr>
        <w:t> </w:t>
      </w:r>
      <w:r>
        <w:rPr>
          <w:spacing w:val="-105"/>
        </w:rPr>
      </w:r>
      <w:r>
        <w:rPr/>
        <w:t>营业税后的净收入列示。线路租赁费支出指本集团因租入传输线路而支付或应付境内主要电信</w:t>
      </w:r>
      <w:r>
        <w:rPr>
          <w:w w:val="99"/>
        </w:rPr>
        <w:t> </w:t>
      </w:r>
      <w:r>
        <w:rPr/>
        <w:t>运营商的线路租金。线路租赁费按每条线路固定的收费率及所租用线路的数量计算。</w:t>
      </w:r>
    </w:p>
    <w:p>
      <w:pPr>
        <w:spacing w:line="240" w:lineRule="auto" w:before="3"/>
        <w:rPr>
          <w:rFonts w:ascii="宋体" w:hAnsi="宋体" w:cs="宋体" w:eastAsia="宋体" w:hint="default"/>
          <w:sz w:val="19"/>
          <w:szCs w:val="19"/>
        </w:rPr>
      </w:pPr>
    </w:p>
    <w:p>
      <w:pPr>
        <w:pStyle w:val="BodyText"/>
        <w:spacing w:line="286" w:lineRule="exact"/>
        <w:ind w:left="548" w:right="114" w:hanging="420"/>
        <w:jc w:val="both"/>
      </w:pPr>
      <w:r>
        <w:rPr>
          <w:rFonts w:ascii="Arial" w:hAnsi="Arial" w:cs="Arial" w:eastAsia="Arial" w:hint="default"/>
        </w:rPr>
        <w:t>(3)</w:t>
      </w:r>
      <w:r>
        <w:rPr>
          <w:rFonts w:ascii="Arial" w:hAnsi="Arial" w:cs="Arial" w:eastAsia="Arial" w:hint="default"/>
          <w:spacing w:val="13"/>
        </w:rPr>
        <w:t> </w:t>
      </w:r>
      <w:r>
        <w:rPr/>
        <w:t>通信工程技术服务收入指本集团所属子公司因提供通信信息工程和建筑工程的咨询、勘察、设</w:t>
      </w:r>
      <w:r>
        <w:rPr>
          <w:spacing w:val="-105"/>
        </w:rPr>
        <w:t> </w:t>
      </w:r>
      <w:r>
        <w:rPr>
          <w:spacing w:val="-105"/>
        </w:rPr>
      </w:r>
      <w:r>
        <w:rPr/>
        <w:t>计、监理等劳务而向境内主要电信运营商收取的劳务收入，以扣除营业税后的净利润列示。有</w:t>
      </w:r>
      <w:r>
        <w:rPr>
          <w:w w:val="99"/>
        </w:rPr>
        <w:t> </w:t>
      </w:r>
      <w:r>
        <w:rPr/>
        <w:t>关服务收费按照双方在市场环境中协商确定。</w:t>
      </w:r>
    </w:p>
    <w:p>
      <w:pPr>
        <w:spacing w:line="240" w:lineRule="auto" w:before="1"/>
        <w:rPr>
          <w:rFonts w:ascii="宋体" w:hAnsi="宋体" w:cs="宋体" w:eastAsia="宋体" w:hint="default"/>
          <w:sz w:val="17"/>
          <w:szCs w:val="17"/>
        </w:rPr>
      </w:pPr>
    </w:p>
    <w:p>
      <w:pPr>
        <w:pStyle w:val="BodyText"/>
        <w:spacing w:line="240" w:lineRule="auto"/>
        <w:ind w:left="142" w:right="122"/>
        <w:jc w:val="left"/>
      </w:pPr>
      <w:r>
        <w:rPr>
          <w:rFonts w:ascii="Arial" w:hAnsi="Arial" w:cs="Arial" w:eastAsia="Arial" w:hint="default"/>
        </w:rPr>
        <w:t>2</w:t>
      </w:r>
      <w:r>
        <w:rPr/>
        <w:t>、</w:t>
      </w:r>
      <w:r>
        <w:rPr>
          <w:spacing w:val="-41"/>
        </w:rPr>
        <w:t> </w:t>
      </w:r>
      <w:r>
        <w:rPr/>
        <w:t>应收、应付境内主要电信运营商款</w:t>
      </w:r>
    </w:p>
    <w:p>
      <w:pPr>
        <w:spacing w:line="240" w:lineRule="auto" w:before="9"/>
        <w:rPr>
          <w:rFonts w:ascii="宋体" w:hAnsi="宋体" w:cs="宋体" w:eastAsia="宋体" w:hint="default"/>
          <w:sz w:val="19"/>
          <w:szCs w:val="19"/>
        </w:rPr>
      </w:pPr>
    </w:p>
    <w:tbl>
      <w:tblPr>
        <w:tblW w:w="0" w:type="auto"/>
        <w:jc w:val="left"/>
        <w:tblInd w:w="405" w:type="dxa"/>
        <w:tblLayout w:type="fixed"/>
        <w:tblCellMar>
          <w:top w:w="0" w:type="dxa"/>
          <w:left w:w="0" w:type="dxa"/>
          <w:bottom w:w="0" w:type="dxa"/>
          <w:right w:w="0" w:type="dxa"/>
        </w:tblCellMar>
        <w:tblLook w:val="01E0"/>
      </w:tblPr>
      <w:tblGrid>
        <w:gridCol w:w="4520"/>
        <w:gridCol w:w="2291"/>
        <w:gridCol w:w="146"/>
        <w:gridCol w:w="2257"/>
      </w:tblGrid>
      <w:tr>
        <w:trPr>
          <w:trHeight w:val="260" w:hRule="exact"/>
        </w:trPr>
        <w:tc>
          <w:tcPr>
            <w:tcW w:w="4520" w:type="dxa"/>
            <w:tcBorders>
              <w:top w:val="nil" w:sz="6" w:space="0" w:color="auto"/>
              <w:left w:val="nil" w:sz="6" w:space="0" w:color="auto"/>
              <w:bottom w:val="nil" w:sz="6" w:space="0" w:color="auto"/>
              <w:right w:val="nil" w:sz="6" w:space="0" w:color="auto"/>
            </w:tcBorders>
          </w:tcPr>
          <w:p>
            <w:pPr/>
          </w:p>
        </w:tc>
        <w:tc>
          <w:tcPr>
            <w:tcW w:w="2291" w:type="dxa"/>
            <w:tcBorders>
              <w:top w:val="nil" w:sz="6" w:space="0" w:color="auto"/>
              <w:left w:val="nil" w:sz="6" w:space="0" w:color="auto"/>
              <w:bottom w:val="single" w:sz="6" w:space="0" w:color="000000"/>
              <w:right w:val="nil" w:sz="6" w:space="0" w:color="auto"/>
            </w:tcBorders>
          </w:tcPr>
          <w:p>
            <w:pPr>
              <w:pStyle w:val="TableParagraph"/>
              <w:spacing w:line="235" w:lineRule="exact"/>
              <w:ind w:left="265" w:right="0"/>
              <w:jc w:val="lef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46"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single" w:sz="6" w:space="0" w:color="000000"/>
              <w:right w:val="nil" w:sz="6" w:space="0" w:color="auto"/>
            </w:tcBorders>
          </w:tcPr>
          <w:p>
            <w:pPr>
              <w:pStyle w:val="TableParagraph"/>
              <w:spacing w:line="235" w:lineRule="exact"/>
              <w:ind w:left="230" w:right="0"/>
              <w:jc w:val="lef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62" w:hRule="exact"/>
        </w:trPr>
        <w:tc>
          <w:tcPr>
            <w:tcW w:w="4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10"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2291"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14"/>
              <w:jc w:val="right"/>
              <w:rPr>
                <w:rFonts w:ascii="Arial" w:hAnsi="Arial" w:cs="Arial" w:eastAsia="Arial" w:hint="default"/>
                <w:sz w:val="22"/>
                <w:szCs w:val="22"/>
              </w:rPr>
            </w:pPr>
            <w:r>
              <w:rPr>
                <w:rFonts w:ascii="Arial"/>
                <w:w w:val="95"/>
                <w:sz w:val="22"/>
              </w:rPr>
              <w:t>611,573,141</w:t>
            </w:r>
            <w:r>
              <w:rPr>
                <w:rFonts w:ascii="Arial"/>
                <w:sz w:val="22"/>
              </w:rPr>
            </w:r>
          </w:p>
        </w:tc>
        <w:tc>
          <w:tcPr>
            <w:tcW w:w="146" w:type="dxa"/>
            <w:tcBorders>
              <w:top w:val="nil" w:sz="6" w:space="0" w:color="auto"/>
              <w:left w:val="nil" w:sz="6" w:space="0" w:color="auto"/>
              <w:bottom w:val="nil" w:sz="6" w:space="0" w:color="auto"/>
              <w:right w:val="nil" w:sz="6" w:space="0" w:color="auto"/>
            </w:tcBorders>
          </w:tcPr>
          <w:p>
            <w:pPr/>
          </w:p>
        </w:tc>
        <w:tc>
          <w:tcPr>
            <w:tcW w:w="2257"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713" w:right="0"/>
              <w:jc w:val="left"/>
              <w:rPr>
                <w:rFonts w:ascii="Arial" w:hAnsi="Arial" w:cs="Arial" w:eastAsia="Arial" w:hint="default"/>
                <w:sz w:val="22"/>
                <w:szCs w:val="22"/>
              </w:rPr>
            </w:pPr>
            <w:r>
              <w:rPr>
                <w:rFonts w:ascii="Arial"/>
                <w:sz w:val="22"/>
              </w:rPr>
              <w:t>1,068,051,973</w:t>
            </w:r>
          </w:p>
        </w:tc>
      </w:tr>
      <w:tr>
        <w:trPr>
          <w:trHeight w:val="342" w:hRule="exact"/>
        </w:trPr>
        <w:tc>
          <w:tcPr>
            <w:tcW w:w="4520"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减：坏账准备</w:t>
            </w:r>
          </w:p>
        </w:tc>
        <w:tc>
          <w:tcPr>
            <w:tcW w:w="2291"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7"/>
              <w:ind w:right="43"/>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(12,466,742)</w:t>
            </w:r>
            <w:r>
              <w:rPr>
                <w:rFonts w:ascii="Arial"/>
                <w:w w:val="95"/>
                <w:sz w:val="22"/>
              </w:rPr>
            </w:r>
            <w:r>
              <w:rPr>
                <w:rFonts w:ascii="Arial"/>
                <w:sz w:val="22"/>
              </w:rPr>
            </w:r>
          </w:p>
        </w:tc>
        <w:tc>
          <w:tcPr>
            <w:tcW w:w="146"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nil" w:sz="6" w:space="0" w:color="auto"/>
              <w:right w:val="nil" w:sz="6" w:space="0" w:color="auto"/>
            </w:tcBorders>
          </w:tcPr>
          <w:p>
            <w:pPr>
              <w:pStyle w:val="TableParagraph"/>
              <w:tabs>
                <w:tab w:pos="945" w:val="left" w:leader="none"/>
                <w:tab w:pos="2257" w:val="left" w:leader="none"/>
              </w:tabs>
              <w:spacing w:line="240" w:lineRule="auto" w:before="17"/>
              <w:ind w:left="7"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(44,521,279)</w:t>
              <w:tab/>
            </w:r>
            <w:r>
              <w:rPr>
                <w:rFonts w:ascii="Arial"/>
                <w:sz w:val="22"/>
              </w:rPr>
            </w:r>
          </w:p>
        </w:tc>
      </w:tr>
      <w:tr>
        <w:trPr>
          <w:trHeight w:val="350" w:hRule="exact"/>
        </w:trPr>
        <w:tc>
          <w:tcPr>
            <w:tcW w:w="4520" w:type="dxa"/>
            <w:tcBorders>
              <w:top w:val="nil" w:sz="6" w:space="0" w:color="auto"/>
              <w:left w:val="nil" w:sz="6" w:space="0" w:color="auto"/>
              <w:bottom w:val="nil" w:sz="6" w:space="0" w:color="auto"/>
              <w:right w:val="nil" w:sz="6" w:space="0" w:color="auto"/>
            </w:tcBorders>
          </w:tcPr>
          <w:p>
            <w:pPr>
              <w:pStyle w:val="TableParagraph"/>
              <w:spacing w:line="240" w:lineRule="auto" w:before="8"/>
              <w:ind w:left="210" w:right="0"/>
              <w:jc w:val="left"/>
              <w:rPr>
                <w:rFonts w:ascii="宋体" w:hAnsi="宋体" w:cs="宋体" w:eastAsia="宋体" w:hint="default"/>
                <w:sz w:val="22"/>
                <w:szCs w:val="22"/>
              </w:rPr>
            </w:pPr>
            <w:r>
              <w:rPr>
                <w:rFonts w:ascii="宋体" w:hAnsi="宋体" w:cs="宋体" w:eastAsia="宋体" w:hint="default"/>
                <w:sz w:val="22"/>
                <w:szCs w:val="22"/>
              </w:rPr>
              <w:t>应收账款净额</w:t>
            </w:r>
          </w:p>
        </w:tc>
        <w:tc>
          <w:tcPr>
            <w:tcW w:w="2291" w:type="dxa"/>
            <w:tcBorders>
              <w:top w:val="nil" w:sz="6" w:space="0" w:color="auto"/>
              <w:left w:val="nil" w:sz="6" w:space="0" w:color="auto"/>
              <w:bottom w:val="single" w:sz="17" w:space="0" w:color="000000"/>
              <w:right w:val="nil" w:sz="6" w:space="0" w:color="auto"/>
            </w:tcBorders>
          </w:tcPr>
          <w:p>
            <w:pPr>
              <w:pStyle w:val="TableParagraph"/>
              <w:spacing w:line="240" w:lineRule="auto" w:before="74"/>
              <w:ind w:right="114"/>
              <w:jc w:val="right"/>
              <w:rPr>
                <w:rFonts w:ascii="Arial" w:hAnsi="Arial" w:cs="Arial" w:eastAsia="Arial" w:hint="default"/>
                <w:sz w:val="22"/>
                <w:szCs w:val="22"/>
              </w:rPr>
            </w:pPr>
            <w:r>
              <w:rPr>
                <w:rFonts w:ascii="Arial"/>
                <w:w w:val="95"/>
                <w:sz w:val="22"/>
              </w:rPr>
              <w:t>599,106,399</w:t>
            </w:r>
            <w:r>
              <w:rPr>
                <w:rFonts w:ascii="Arial"/>
                <w:sz w:val="22"/>
              </w:rPr>
            </w:r>
          </w:p>
        </w:tc>
        <w:tc>
          <w:tcPr>
            <w:tcW w:w="146"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single" w:sz="17" w:space="0" w:color="000000"/>
              <w:right w:val="nil" w:sz="6" w:space="0" w:color="auto"/>
            </w:tcBorders>
          </w:tcPr>
          <w:p>
            <w:pPr>
              <w:pStyle w:val="TableParagraph"/>
              <w:spacing w:line="240" w:lineRule="auto" w:before="74"/>
              <w:ind w:left="713" w:right="0"/>
              <w:jc w:val="left"/>
              <w:rPr>
                <w:rFonts w:ascii="Arial" w:hAnsi="Arial" w:cs="Arial" w:eastAsia="Arial" w:hint="default"/>
                <w:sz w:val="22"/>
                <w:szCs w:val="22"/>
              </w:rPr>
            </w:pPr>
            <w:r>
              <w:rPr>
                <w:rFonts w:ascii="Arial"/>
                <w:sz w:val="22"/>
              </w:rPr>
              <w:t>1,023,530,694</w:t>
            </w:r>
          </w:p>
        </w:tc>
      </w:tr>
      <w:tr>
        <w:trPr>
          <w:trHeight w:val="398" w:hRule="exact"/>
        </w:trPr>
        <w:tc>
          <w:tcPr>
            <w:tcW w:w="452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10" w:right="0"/>
              <w:jc w:val="left"/>
              <w:rPr>
                <w:rFonts w:ascii="宋体" w:hAnsi="宋体" w:cs="宋体" w:eastAsia="宋体" w:hint="default"/>
                <w:sz w:val="22"/>
                <w:szCs w:val="22"/>
              </w:rPr>
            </w:pPr>
            <w:r>
              <w:rPr>
                <w:rFonts w:ascii="宋体" w:hAnsi="宋体" w:cs="宋体" w:eastAsia="宋体" w:hint="default"/>
                <w:sz w:val="22"/>
                <w:szCs w:val="22"/>
              </w:rPr>
              <w:t>其他应收款净额</w:t>
            </w:r>
          </w:p>
        </w:tc>
        <w:tc>
          <w:tcPr>
            <w:tcW w:w="2291" w:type="dxa"/>
            <w:tcBorders>
              <w:top w:val="single" w:sz="17" w:space="0" w:color="000000"/>
              <w:left w:val="nil" w:sz="6" w:space="0" w:color="auto"/>
              <w:bottom w:val="single" w:sz="17" w:space="0" w:color="000000"/>
              <w:right w:val="nil" w:sz="6" w:space="0" w:color="auto"/>
            </w:tcBorders>
          </w:tcPr>
          <w:p>
            <w:pPr>
              <w:pStyle w:val="TableParagraph"/>
              <w:spacing w:line="240" w:lineRule="auto" w:before="101"/>
              <w:ind w:right="114"/>
              <w:jc w:val="right"/>
              <w:rPr>
                <w:rFonts w:ascii="Arial" w:hAnsi="Arial" w:cs="Arial" w:eastAsia="Arial" w:hint="default"/>
                <w:sz w:val="22"/>
                <w:szCs w:val="22"/>
              </w:rPr>
            </w:pPr>
            <w:r>
              <w:rPr>
                <w:rFonts w:ascii="Arial"/>
                <w:w w:val="95"/>
                <w:sz w:val="22"/>
              </w:rPr>
              <w:t>137,590,991</w:t>
            </w:r>
            <w:r>
              <w:rPr>
                <w:rFonts w:ascii="Arial"/>
                <w:sz w:val="22"/>
              </w:rPr>
            </w:r>
          </w:p>
        </w:tc>
        <w:tc>
          <w:tcPr>
            <w:tcW w:w="146" w:type="dxa"/>
            <w:tcBorders>
              <w:top w:val="nil" w:sz="6" w:space="0" w:color="auto"/>
              <w:left w:val="nil" w:sz="6" w:space="0" w:color="auto"/>
              <w:bottom w:val="nil" w:sz="6" w:space="0" w:color="auto"/>
              <w:right w:val="nil" w:sz="6" w:space="0" w:color="auto"/>
            </w:tcBorders>
          </w:tcPr>
          <w:p>
            <w:pPr/>
          </w:p>
        </w:tc>
        <w:tc>
          <w:tcPr>
            <w:tcW w:w="2257" w:type="dxa"/>
            <w:tcBorders>
              <w:top w:val="single" w:sz="17" w:space="0" w:color="000000"/>
              <w:left w:val="nil" w:sz="6" w:space="0" w:color="auto"/>
              <w:bottom w:val="single" w:sz="17" w:space="0" w:color="000000"/>
              <w:right w:val="nil" w:sz="6" w:space="0" w:color="auto"/>
            </w:tcBorders>
          </w:tcPr>
          <w:p>
            <w:pPr>
              <w:pStyle w:val="TableParagraph"/>
              <w:spacing w:line="240" w:lineRule="auto" w:before="101"/>
              <w:ind w:left="897" w:right="0"/>
              <w:jc w:val="left"/>
              <w:rPr>
                <w:rFonts w:ascii="Arial" w:hAnsi="Arial" w:cs="Arial" w:eastAsia="Arial" w:hint="default"/>
                <w:sz w:val="22"/>
                <w:szCs w:val="22"/>
              </w:rPr>
            </w:pPr>
            <w:r>
              <w:rPr>
                <w:rFonts w:ascii="Arial"/>
                <w:sz w:val="22"/>
              </w:rPr>
              <w:t>157,902,569</w:t>
            </w:r>
          </w:p>
        </w:tc>
      </w:tr>
      <w:tr>
        <w:trPr>
          <w:trHeight w:val="399" w:hRule="exact"/>
        </w:trPr>
        <w:tc>
          <w:tcPr>
            <w:tcW w:w="452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10" w:right="0"/>
              <w:jc w:val="left"/>
              <w:rPr>
                <w:rFonts w:ascii="宋体" w:hAnsi="宋体" w:cs="宋体" w:eastAsia="宋体" w:hint="default"/>
                <w:sz w:val="22"/>
                <w:szCs w:val="22"/>
              </w:rPr>
            </w:pPr>
            <w:r>
              <w:rPr>
                <w:rFonts w:ascii="宋体" w:hAnsi="宋体" w:cs="宋体" w:eastAsia="宋体" w:hint="default"/>
                <w:sz w:val="22"/>
                <w:szCs w:val="22"/>
              </w:rPr>
              <w:t>预付款项</w:t>
            </w:r>
          </w:p>
        </w:tc>
        <w:tc>
          <w:tcPr>
            <w:tcW w:w="2291" w:type="dxa"/>
            <w:tcBorders>
              <w:top w:val="single" w:sz="17" w:space="0" w:color="000000"/>
              <w:left w:val="nil" w:sz="6" w:space="0" w:color="auto"/>
              <w:bottom w:val="single" w:sz="17" w:space="0" w:color="000000"/>
              <w:right w:val="nil" w:sz="6" w:space="0" w:color="auto"/>
            </w:tcBorders>
          </w:tcPr>
          <w:p>
            <w:pPr>
              <w:pStyle w:val="TableParagraph"/>
              <w:spacing w:line="240" w:lineRule="auto" w:before="99"/>
              <w:ind w:right="115"/>
              <w:jc w:val="right"/>
              <w:rPr>
                <w:rFonts w:ascii="Arial" w:hAnsi="Arial" w:cs="Arial" w:eastAsia="Arial" w:hint="default"/>
                <w:sz w:val="22"/>
                <w:szCs w:val="22"/>
              </w:rPr>
            </w:pPr>
            <w:r>
              <w:rPr>
                <w:rFonts w:ascii="Arial"/>
                <w:w w:val="95"/>
                <w:sz w:val="22"/>
              </w:rPr>
              <w:t>1,131,556</w:t>
            </w:r>
            <w:r>
              <w:rPr>
                <w:rFonts w:ascii="Arial"/>
                <w:sz w:val="22"/>
              </w:rPr>
            </w:r>
          </w:p>
        </w:tc>
        <w:tc>
          <w:tcPr>
            <w:tcW w:w="146" w:type="dxa"/>
            <w:tcBorders>
              <w:top w:val="nil" w:sz="6" w:space="0" w:color="auto"/>
              <w:left w:val="nil" w:sz="6" w:space="0" w:color="auto"/>
              <w:bottom w:val="nil" w:sz="6" w:space="0" w:color="auto"/>
              <w:right w:val="nil" w:sz="6" w:space="0" w:color="auto"/>
            </w:tcBorders>
          </w:tcPr>
          <w:p>
            <w:pPr/>
          </w:p>
        </w:tc>
        <w:tc>
          <w:tcPr>
            <w:tcW w:w="2257" w:type="dxa"/>
            <w:tcBorders>
              <w:top w:val="single" w:sz="17" w:space="0" w:color="000000"/>
              <w:left w:val="nil" w:sz="6" w:space="0" w:color="auto"/>
              <w:bottom w:val="single" w:sz="17" w:space="0" w:color="000000"/>
              <w:right w:val="nil" w:sz="6" w:space="0" w:color="auto"/>
            </w:tcBorders>
          </w:tcPr>
          <w:p>
            <w:pPr>
              <w:pStyle w:val="TableParagraph"/>
              <w:spacing w:line="240" w:lineRule="auto" w:before="99"/>
              <w:ind w:right="134"/>
              <w:jc w:val="right"/>
              <w:rPr>
                <w:rFonts w:ascii="Arial" w:hAnsi="Arial" w:cs="Arial" w:eastAsia="Arial" w:hint="default"/>
                <w:sz w:val="22"/>
                <w:szCs w:val="22"/>
              </w:rPr>
            </w:pPr>
            <w:r>
              <w:rPr>
                <w:rFonts w:ascii="Arial"/>
                <w:w w:val="99"/>
                <w:sz w:val="22"/>
              </w:rPr>
              <w:t>-</w:t>
            </w:r>
            <w:r>
              <w:rPr>
                <w:rFonts w:ascii="Arial"/>
                <w:sz w:val="22"/>
              </w:rPr>
            </w:r>
          </w:p>
        </w:tc>
      </w:tr>
      <w:tr>
        <w:trPr>
          <w:trHeight w:val="398" w:hRule="exact"/>
        </w:trPr>
        <w:tc>
          <w:tcPr>
            <w:tcW w:w="452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10"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2291" w:type="dxa"/>
            <w:tcBorders>
              <w:top w:val="single" w:sz="17" w:space="0" w:color="000000"/>
              <w:left w:val="nil" w:sz="6" w:space="0" w:color="auto"/>
              <w:bottom w:val="single" w:sz="17" w:space="0" w:color="000000"/>
              <w:right w:val="nil" w:sz="6" w:space="0" w:color="auto"/>
            </w:tcBorders>
          </w:tcPr>
          <w:p>
            <w:pPr>
              <w:pStyle w:val="TableParagraph"/>
              <w:spacing w:line="240" w:lineRule="auto" w:before="99"/>
              <w:ind w:right="115"/>
              <w:jc w:val="right"/>
              <w:rPr>
                <w:rFonts w:ascii="Arial" w:hAnsi="Arial" w:cs="Arial" w:eastAsia="Arial" w:hint="default"/>
                <w:sz w:val="22"/>
                <w:szCs w:val="22"/>
              </w:rPr>
            </w:pPr>
            <w:r>
              <w:rPr>
                <w:rFonts w:ascii="Arial"/>
                <w:spacing w:val="-1"/>
                <w:sz w:val="22"/>
              </w:rPr>
              <w:t>1,145,288,982</w:t>
            </w:r>
          </w:p>
        </w:tc>
        <w:tc>
          <w:tcPr>
            <w:tcW w:w="146" w:type="dxa"/>
            <w:tcBorders>
              <w:top w:val="nil" w:sz="6" w:space="0" w:color="auto"/>
              <w:left w:val="nil" w:sz="6" w:space="0" w:color="auto"/>
              <w:bottom w:val="nil" w:sz="6" w:space="0" w:color="auto"/>
              <w:right w:val="nil" w:sz="6" w:space="0" w:color="auto"/>
            </w:tcBorders>
          </w:tcPr>
          <w:p>
            <w:pPr/>
          </w:p>
        </w:tc>
        <w:tc>
          <w:tcPr>
            <w:tcW w:w="2257" w:type="dxa"/>
            <w:tcBorders>
              <w:top w:val="single" w:sz="17" w:space="0" w:color="000000"/>
              <w:left w:val="nil" w:sz="6" w:space="0" w:color="auto"/>
              <w:bottom w:val="single" w:sz="17" w:space="0" w:color="000000"/>
              <w:right w:val="nil" w:sz="6" w:space="0" w:color="auto"/>
            </w:tcBorders>
          </w:tcPr>
          <w:p>
            <w:pPr>
              <w:pStyle w:val="TableParagraph"/>
              <w:spacing w:line="240" w:lineRule="auto" w:before="99"/>
              <w:ind w:left="713" w:right="0"/>
              <w:jc w:val="left"/>
              <w:rPr>
                <w:rFonts w:ascii="Arial" w:hAnsi="Arial" w:cs="Arial" w:eastAsia="Arial" w:hint="default"/>
                <w:sz w:val="22"/>
                <w:szCs w:val="22"/>
              </w:rPr>
            </w:pPr>
            <w:r>
              <w:rPr>
                <w:rFonts w:ascii="Arial"/>
                <w:sz w:val="22"/>
              </w:rPr>
              <w:t>1,256,886,909</w:t>
            </w:r>
          </w:p>
        </w:tc>
      </w:tr>
      <w:tr>
        <w:trPr>
          <w:trHeight w:val="410" w:hRule="exact"/>
        </w:trPr>
        <w:tc>
          <w:tcPr>
            <w:tcW w:w="452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10" w:right="0"/>
              <w:jc w:val="left"/>
              <w:rPr>
                <w:rFonts w:ascii="宋体" w:hAnsi="宋体" w:cs="宋体" w:eastAsia="宋体" w:hint="default"/>
                <w:sz w:val="22"/>
                <w:szCs w:val="22"/>
              </w:rPr>
            </w:pPr>
            <w:r>
              <w:rPr>
                <w:rFonts w:ascii="宋体" w:hAnsi="宋体" w:cs="宋体" w:eastAsia="宋体" w:hint="default"/>
                <w:sz w:val="22"/>
                <w:szCs w:val="22"/>
              </w:rPr>
              <w:t>预收账款</w:t>
            </w:r>
          </w:p>
        </w:tc>
        <w:tc>
          <w:tcPr>
            <w:tcW w:w="2291" w:type="dxa"/>
            <w:tcBorders>
              <w:top w:val="single" w:sz="17" w:space="0" w:color="000000"/>
              <w:left w:val="nil" w:sz="6" w:space="0" w:color="auto"/>
              <w:bottom w:val="single" w:sz="17" w:space="0" w:color="000000"/>
              <w:right w:val="nil" w:sz="6" w:space="0" w:color="auto"/>
            </w:tcBorders>
          </w:tcPr>
          <w:p>
            <w:pPr>
              <w:pStyle w:val="TableParagraph"/>
              <w:spacing w:line="240" w:lineRule="auto" w:before="111"/>
              <w:ind w:right="115"/>
              <w:jc w:val="right"/>
              <w:rPr>
                <w:rFonts w:ascii="Arial" w:hAnsi="Arial" w:cs="Arial" w:eastAsia="Arial" w:hint="default"/>
                <w:sz w:val="22"/>
                <w:szCs w:val="22"/>
              </w:rPr>
            </w:pPr>
            <w:r>
              <w:rPr>
                <w:rFonts w:ascii="Arial"/>
                <w:w w:val="95"/>
                <w:sz w:val="22"/>
              </w:rPr>
              <w:t>9,808,349</w:t>
            </w:r>
            <w:r>
              <w:rPr>
                <w:rFonts w:ascii="Arial"/>
                <w:sz w:val="22"/>
              </w:rPr>
            </w:r>
          </w:p>
        </w:tc>
        <w:tc>
          <w:tcPr>
            <w:tcW w:w="146" w:type="dxa"/>
            <w:tcBorders>
              <w:top w:val="nil" w:sz="6" w:space="0" w:color="auto"/>
              <w:left w:val="nil" w:sz="6" w:space="0" w:color="auto"/>
              <w:bottom w:val="nil" w:sz="6" w:space="0" w:color="auto"/>
              <w:right w:val="nil" w:sz="6" w:space="0" w:color="auto"/>
            </w:tcBorders>
          </w:tcPr>
          <w:p>
            <w:pPr/>
          </w:p>
        </w:tc>
        <w:tc>
          <w:tcPr>
            <w:tcW w:w="2257" w:type="dxa"/>
            <w:tcBorders>
              <w:top w:val="single" w:sz="17" w:space="0" w:color="000000"/>
              <w:left w:val="nil" w:sz="6" w:space="0" w:color="auto"/>
              <w:bottom w:val="single" w:sz="17" w:space="0" w:color="000000"/>
              <w:right w:val="nil" w:sz="6" w:space="0" w:color="auto"/>
            </w:tcBorders>
          </w:tcPr>
          <w:p>
            <w:pPr>
              <w:pStyle w:val="TableParagraph"/>
              <w:spacing w:line="240" w:lineRule="auto" w:before="111"/>
              <w:ind w:left="1018" w:right="0"/>
              <w:jc w:val="left"/>
              <w:rPr>
                <w:rFonts w:ascii="Arial" w:hAnsi="Arial" w:cs="Arial" w:eastAsia="Arial" w:hint="default"/>
                <w:sz w:val="22"/>
                <w:szCs w:val="22"/>
              </w:rPr>
            </w:pPr>
            <w:r>
              <w:rPr>
                <w:rFonts w:ascii="Arial"/>
                <w:sz w:val="22"/>
              </w:rPr>
              <w:t>16,668,894</w:t>
            </w:r>
          </w:p>
        </w:tc>
      </w:tr>
      <w:tr>
        <w:trPr>
          <w:trHeight w:val="400" w:hRule="exact"/>
        </w:trPr>
        <w:tc>
          <w:tcPr>
            <w:tcW w:w="452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10"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2291" w:type="dxa"/>
            <w:tcBorders>
              <w:top w:val="single" w:sz="17" w:space="0" w:color="000000"/>
              <w:left w:val="nil" w:sz="6" w:space="0" w:color="auto"/>
              <w:bottom w:val="single" w:sz="17" w:space="0" w:color="000000"/>
              <w:right w:val="nil" w:sz="6" w:space="0" w:color="auto"/>
            </w:tcBorders>
          </w:tcPr>
          <w:p>
            <w:pPr>
              <w:pStyle w:val="TableParagraph"/>
              <w:spacing w:line="240" w:lineRule="auto" w:before="99"/>
              <w:ind w:right="115"/>
              <w:jc w:val="right"/>
              <w:rPr>
                <w:rFonts w:ascii="Arial" w:hAnsi="Arial" w:cs="Arial" w:eastAsia="Arial" w:hint="default"/>
                <w:sz w:val="22"/>
                <w:szCs w:val="22"/>
              </w:rPr>
            </w:pPr>
            <w:r>
              <w:rPr>
                <w:rFonts w:ascii="Arial"/>
                <w:w w:val="95"/>
                <w:sz w:val="22"/>
              </w:rPr>
              <w:t>8,271,878</w:t>
            </w:r>
            <w:r>
              <w:rPr>
                <w:rFonts w:ascii="Arial"/>
                <w:sz w:val="22"/>
              </w:rPr>
            </w:r>
          </w:p>
        </w:tc>
        <w:tc>
          <w:tcPr>
            <w:tcW w:w="146" w:type="dxa"/>
            <w:tcBorders>
              <w:top w:val="nil" w:sz="6" w:space="0" w:color="auto"/>
              <w:left w:val="nil" w:sz="6" w:space="0" w:color="auto"/>
              <w:bottom w:val="nil" w:sz="6" w:space="0" w:color="auto"/>
              <w:right w:val="nil" w:sz="6" w:space="0" w:color="auto"/>
            </w:tcBorders>
          </w:tcPr>
          <w:p>
            <w:pPr/>
          </w:p>
        </w:tc>
        <w:tc>
          <w:tcPr>
            <w:tcW w:w="2257" w:type="dxa"/>
            <w:tcBorders>
              <w:top w:val="single" w:sz="17" w:space="0" w:color="000000"/>
              <w:left w:val="nil" w:sz="6" w:space="0" w:color="auto"/>
              <w:bottom w:val="single" w:sz="17" w:space="0" w:color="000000"/>
              <w:right w:val="nil" w:sz="6" w:space="0" w:color="auto"/>
            </w:tcBorders>
          </w:tcPr>
          <w:p>
            <w:pPr>
              <w:pStyle w:val="TableParagraph"/>
              <w:spacing w:line="240" w:lineRule="auto" w:before="99"/>
              <w:ind w:left="1018" w:right="0"/>
              <w:jc w:val="left"/>
              <w:rPr>
                <w:rFonts w:ascii="Arial" w:hAnsi="Arial" w:cs="Arial" w:eastAsia="Arial" w:hint="default"/>
                <w:sz w:val="22"/>
                <w:szCs w:val="22"/>
              </w:rPr>
            </w:pPr>
            <w:r>
              <w:rPr>
                <w:rFonts w:ascii="Arial"/>
                <w:sz w:val="22"/>
              </w:rPr>
              <w:t>70,613,179</w:t>
            </w:r>
          </w:p>
        </w:tc>
      </w:tr>
    </w:tbl>
    <w:p>
      <w:pPr>
        <w:spacing w:line="240" w:lineRule="auto" w:before="2"/>
        <w:rPr>
          <w:rFonts w:ascii="宋体" w:hAnsi="宋体" w:cs="宋体" w:eastAsia="宋体" w:hint="default"/>
          <w:sz w:val="14"/>
          <w:szCs w:val="14"/>
        </w:rPr>
      </w:pPr>
    </w:p>
    <w:p>
      <w:pPr>
        <w:pStyle w:val="BodyText"/>
        <w:spacing w:line="240" w:lineRule="auto" w:before="31"/>
        <w:ind w:left="576" w:right="122"/>
        <w:jc w:val="left"/>
      </w:pPr>
      <w:r>
        <w:rPr/>
        <w:t>应收、应付境内主要电信运营商款均无担保，不计息并即期偿付。</w:t>
      </w:r>
    </w:p>
    <w:p>
      <w:pPr>
        <w:spacing w:after="0" w:line="240" w:lineRule="auto"/>
        <w:jc w:val="left"/>
        <w:sectPr>
          <w:headerReference w:type="default" r:id="rId137"/>
          <w:pgSz w:w="11910" w:h="16840"/>
          <w:pgMar w:header="1184" w:footer="457" w:top="3040" w:bottom="640" w:left="1240" w:right="920"/>
        </w:sectPr>
      </w:pPr>
    </w:p>
    <w:p>
      <w:pPr>
        <w:spacing w:line="240" w:lineRule="auto" w:before="10"/>
        <w:rPr>
          <w:rFonts w:ascii="宋体" w:hAnsi="宋体" w:cs="宋体" w:eastAsia="宋体" w:hint="default"/>
          <w:sz w:val="16"/>
          <w:szCs w:val="16"/>
        </w:rPr>
      </w:pPr>
    </w:p>
    <w:p>
      <w:pPr>
        <w:pStyle w:val="BodyText"/>
        <w:tabs>
          <w:tab w:pos="592" w:val="left" w:leader="none"/>
        </w:tabs>
        <w:spacing w:line="240" w:lineRule="auto" w:before="31"/>
        <w:ind w:left="142" w:right="89"/>
        <w:jc w:val="left"/>
        <w:rPr>
          <w:rFonts w:ascii="黑体" w:hAnsi="黑体" w:cs="黑体" w:eastAsia="黑体" w:hint="default"/>
        </w:rPr>
      </w:pPr>
      <w:r>
        <w:rPr>
          <w:rFonts w:ascii="黑体" w:hAnsi="黑体" w:cs="黑体" w:eastAsia="黑体" w:hint="default"/>
          <w:w w:val="95"/>
        </w:rPr>
        <w:t>九</w:t>
        <w:tab/>
      </w:r>
      <w:r>
        <w:rPr>
          <w:rFonts w:ascii="黑体" w:hAnsi="黑体" w:cs="黑体" w:eastAsia="黑体" w:hint="default"/>
        </w:rPr>
        <w:t>或有事项</w:t>
      </w:r>
    </w:p>
    <w:p>
      <w:pPr>
        <w:spacing w:line="240" w:lineRule="auto" w:before="9"/>
        <w:rPr>
          <w:rFonts w:ascii="黑体" w:hAnsi="黑体" w:cs="黑体" w:eastAsia="黑体" w:hint="default"/>
          <w:sz w:val="19"/>
          <w:szCs w:val="19"/>
        </w:rPr>
      </w:pPr>
    </w:p>
    <w:p>
      <w:pPr>
        <w:pStyle w:val="BodyText"/>
        <w:spacing w:line="232" w:lineRule="auto"/>
        <w:ind w:left="576" w:right="216"/>
        <w:jc w:val="both"/>
      </w:pPr>
      <w:r>
        <w:rPr>
          <w:spacing w:val="-2"/>
        </w:rPr>
        <w:t>本集团的资费标准受有关政府机构监管，包括发改委、工信部和有关省级物价管理局。于</w:t>
      </w:r>
      <w:r>
        <w:rPr>
          <w:spacing w:val="-58"/>
        </w:rPr>
        <w:t> </w:t>
      </w:r>
      <w:r>
        <w:rPr>
          <w:rFonts w:ascii="Arial" w:hAnsi="Arial" w:cs="Arial" w:eastAsia="Arial" w:hint="default"/>
        </w:rPr>
        <w:t>2008</w:t>
      </w:r>
      <w:r>
        <w:rPr>
          <w:rFonts w:ascii="Arial" w:hAnsi="Arial" w:cs="Arial" w:eastAsia="Arial" w:hint="default"/>
          <w:w w:val="99"/>
        </w:rPr>
        <w:t> </w:t>
      </w:r>
      <w:r>
        <w:rPr/>
        <w:t>年度，发改委对本集团所属联通运营公司（含网通运营公司）各分支机构的资费标准遵守情况</w:t>
      </w:r>
      <w:r>
        <w:rPr>
          <w:spacing w:val="-86"/>
        </w:rPr>
        <w:t> </w:t>
      </w:r>
      <w:r>
        <w:rPr/>
        <w:t>进行了检查。按管理层的评估及与工信部和发改委的初步沟通，管理层认为本集团于调查期间</w:t>
      </w:r>
    </w:p>
    <w:p>
      <w:pPr>
        <w:pStyle w:val="BodyText"/>
        <w:spacing w:line="284" w:lineRule="exact" w:before="28"/>
        <w:ind w:left="576" w:right="96"/>
        <w:jc w:val="left"/>
      </w:pPr>
      <w:r>
        <w:rPr>
          <w:spacing w:val="-2"/>
        </w:rPr>
        <w:t>内遵守了相关政府机构制定的政策，因本次调查导致本集团未来发生重大现金流出的机会不大，</w:t>
      </w:r>
      <w:r>
        <w:rPr>
          <w:w w:val="99"/>
        </w:rPr>
        <w:t> </w:t>
      </w:r>
      <w:r>
        <w:rPr/>
        <w:t>于</w:t>
      </w:r>
      <w:r>
        <w:rPr>
          <w:spacing w:val="-57"/>
        </w:rPr>
        <w:t> </w:t>
      </w:r>
      <w:r>
        <w:rPr>
          <w:rFonts w:ascii="Arial" w:hAnsi="Arial" w:cs="Arial" w:eastAsia="Arial" w:hint="default"/>
        </w:rPr>
        <w:t>2012</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日及</w:t>
      </w:r>
      <w:r>
        <w:rPr>
          <w:spacing w:val="-57"/>
        </w:rPr>
        <w:t> </w:t>
      </w:r>
      <w:r>
        <w:rPr>
          <w:rFonts w:ascii="Arial" w:hAnsi="Arial" w:cs="Arial" w:eastAsia="Arial" w:hint="default"/>
        </w:rPr>
        <w:t>2011</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日，本集团未就上述调查计提相关或有负债。</w:t>
      </w:r>
    </w:p>
    <w:p>
      <w:pPr>
        <w:spacing w:line="240" w:lineRule="auto" w:before="13"/>
        <w:rPr>
          <w:rFonts w:ascii="宋体" w:hAnsi="宋体" w:cs="宋体" w:eastAsia="宋体" w:hint="default"/>
          <w:sz w:val="17"/>
          <w:szCs w:val="17"/>
        </w:rPr>
      </w:pPr>
    </w:p>
    <w:p>
      <w:pPr>
        <w:pStyle w:val="BodyText"/>
        <w:spacing w:line="230" w:lineRule="auto"/>
        <w:ind w:left="576" w:right="217"/>
        <w:jc w:val="both"/>
      </w:pPr>
      <w:r>
        <w:rPr/>
        <w:t>此外，于 </w:t>
      </w:r>
      <w:r>
        <w:rPr>
          <w:rFonts w:ascii="Arial" w:hAnsi="Arial" w:cs="Arial" w:eastAsia="Arial" w:hint="default"/>
        </w:rPr>
        <w:t>2011</w:t>
      </w:r>
      <w:r>
        <w:rPr>
          <w:rFonts w:ascii="Arial" w:hAnsi="Arial" w:cs="Arial" w:eastAsia="Arial" w:hint="default"/>
          <w:spacing w:val="15"/>
        </w:rPr>
        <w:t> </w:t>
      </w:r>
      <w:r>
        <w:rPr/>
        <w:t>年度，发改委对本集团宽带互联网业务的涉嫌垄断进行了调查。按管理层的评</w:t>
      </w:r>
      <w:r>
        <w:rPr>
          <w:w w:val="99"/>
        </w:rPr>
        <w:t> </w:t>
      </w:r>
      <w:r>
        <w:rPr/>
        <w:t>估及与发改委的持续沟通，管理层认为因本次调查导致本集团未来发生重大现金流出的机会不</w:t>
      </w:r>
      <w:r>
        <w:rPr>
          <w:spacing w:val="-86"/>
        </w:rPr>
        <w:t> </w:t>
      </w:r>
      <w:r>
        <w:rPr>
          <w:spacing w:val="-86"/>
        </w:rPr>
      </w:r>
      <w:r>
        <w:rPr/>
        <w:t>大，于</w:t>
      </w:r>
      <w:r>
        <w:rPr>
          <w:spacing w:val="-57"/>
        </w:rPr>
        <w:t> </w:t>
      </w:r>
      <w:r>
        <w:rPr>
          <w:rFonts w:ascii="Arial" w:hAnsi="Arial" w:cs="Arial" w:eastAsia="Arial" w:hint="default"/>
        </w:rPr>
        <w:t>2012</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日及</w:t>
      </w:r>
      <w:r>
        <w:rPr>
          <w:spacing w:val="-57"/>
        </w:rPr>
        <w:t> </w:t>
      </w:r>
      <w:r>
        <w:rPr>
          <w:rFonts w:ascii="Arial" w:hAnsi="Arial" w:cs="Arial" w:eastAsia="Arial" w:hint="default"/>
        </w:rPr>
        <w:t>2011</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日，本集团未就上述调查计提相关或有负债。</w:t>
      </w:r>
    </w:p>
    <w:p>
      <w:pPr>
        <w:spacing w:line="240" w:lineRule="auto" w:before="2"/>
        <w:rPr>
          <w:rFonts w:ascii="宋体" w:hAnsi="宋体" w:cs="宋体" w:eastAsia="宋体" w:hint="default"/>
          <w:sz w:val="18"/>
          <w:szCs w:val="18"/>
        </w:rPr>
      </w:pPr>
    </w:p>
    <w:p>
      <w:pPr>
        <w:pStyle w:val="BodyText"/>
        <w:tabs>
          <w:tab w:pos="559" w:val="left" w:leader="none"/>
        </w:tabs>
        <w:spacing w:line="240" w:lineRule="auto"/>
        <w:ind w:left="114" w:right="89"/>
        <w:jc w:val="left"/>
        <w:rPr>
          <w:rFonts w:ascii="黑体" w:hAnsi="黑体" w:cs="黑体" w:eastAsia="黑体" w:hint="default"/>
        </w:rPr>
      </w:pPr>
      <w:r>
        <w:rPr>
          <w:rFonts w:ascii="黑体" w:hAnsi="黑体" w:cs="黑体" w:eastAsia="黑体" w:hint="default"/>
          <w:w w:val="95"/>
        </w:rPr>
        <w:t>十</w:t>
        <w:tab/>
      </w:r>
      <w:r>
        <w:rPr>
          <w:rFonts w:ascii="黑体" w:hAnsi="黑体" w:cs="黑体" w:eastAsia="黑体" w:hint="default"/>
        </w:rPr>
        <w:t>承诺事项</w:t>
      </w:r>
    </w:p>
    <w:p>
      <w:pPr>
        <w:spacing w:line="240" w:lineRule="auto" w:before="2"/>
        <w:rPr>
          <w:rFonts w:ascii="黑体" w:hAnsi="黑体" w:cs="黑体" w:eastAsia="黑体" w:hint="default"/>
          <w:sz w:val="19"/>
          <w:szCs w:val="19"/>
        </w:rPr>
      </w:pPr>
    </w:p>
    <w:p>
      <w:pPr>
        <w:pStyle w:val="BodyText"/>
        <w:spacing w:line="240" w:lineRule="auto"/>
        <w:ind w:left="142" w:right="89"/>
        <w:jc w:val="left"/>
      </w:pPr>
      <w:r>
        <w:rPr>
          <w:rFonts w:ascii="Arial" w:hAnsi="Arial" w:cs="Arial" w:eastAsia="Arial" w:hint="default"/>
        </w:rPr>
        <w:t>1</w:t>
      </w:r>
      <w:r>
        <w:rPr/>
        <w:t>、</w:t>
      </w:r>
      <w:r>
        <w:rPr>
          <w:spacing w:val="-40"/>
        </w:rPr>
        <w:t> </w:t>
      </w:r>
      <w:r>
        <w:rPr/>
        <w:t>资本性支出承诺事项</w:t>
      </w:r>
    </w:p>
    <w:p>
      <w:pPr>
        <w:spacing w:line="240" w:lineRule="auto" w:before="0"/>
        <w:rPr>
          <w:rFonts w:ascii="宋体" w:hAnsi="宋体" w:cs="宋体" w:eastAsia="宋体" w:hint="default"/>
          <w:sz w:val="20"/>
          <w:szCs w:val="20"/>
        </w:rPr>
      </w:pPr>
    </w:p>
    <w:p>
      <w:pPr>
        <w:pStyle w:val="BodyText"/>
        <w:spacing w:line="286" w:lineRule="exact"/>
        <w:ind w:left="562" w:right="262"/>
        <w:jc w:val="both"/>
      </w:pPr>
      <w:r>
        <w:rPr/>
        <w:t>本集团的资本性支出承诺主要是关于电信网络建设方面的资本支出。以下为本集团于资产负债</w:t>
      </w:r>
      <w:r>
        <w:rPr>
          <w:w w:val="99"/>
        </w:rPr>
        <w:t> </w:t>
      </w:r>
      <w:r>
        <w:rPr/>
        <w:t>表日，已签约而尚不必在资产负债表上列示的资本性支出及其他承诺：</w:t>
      </w:r>
    </w:p>
    <w:p>
      <w:pPr>
        <w:spacing w:line="240" w:lineRule="auto" w:before="4"/>
        <w:rPr>
          <w:rFonts w:ascii="宋体" w:hAnsi="宋体" w:cs="宋体" w:eastAsia="宋体" w:hint="default"/>
          <w:sz w:val="22"/>
          <w:szCs w:val="22"/>
        </w:rPr>
      </w:pPr>
    </w:p>
    <w:tbl>
      <w:tblPr>
        <w:tblW w:w="0" w:type="auto"/>
        <w:jc w:val="left"/>
        <w:tblInd w:w="385" w:type="dxa"/>
        <w:tblLayout w:type="fixed"/>
        <w:tblCellMar>
          <w:top w:w="0" w:type="dxa"/>
          <w:left w:w="0" w:type="dxa"/>
          <w:bottom w:w="0" w:type="dxa"/>
          <w:right w:w="0" w:type="dxa"/>
        </w:tblCellMar>
        <w:tblLook w:val="01E0"/>
      </w:tblPr>
      <w:tblGrid>
        <w:gridCol w:w="3474"/>
        <w:gridCol w:w="2532"/>
        <w:gridCol w:w="431"/>
        <w:gridCol w:w="2771"/>
      </w:tblGrid>
      <w:tr>
        <w:trPr>
          <w:trHeight w:val="261" w:hRule="exact"/>
        </w:trPr>
        <w:tc>
          <w:tcPr>
            <w:tcW w:w="3474" w:type="dxa"/>
            <w:tcBorders>
              <w:top w:val="nil" w:sz="6" w:space="0" w:color="auto"/>
              <w:left w:val="nil" w:sz="6" w:space="0" w:color="auto"/>
              <w:bottom w:val="nil" w:sz="6" w:space="0" w:color="auto"/>
              <w:right w:val="nil" w:sz="6" w:space="0" w:color="auto"/>
            </w:tcBorders>
          </w:tcPr>
          <w:p>
            <w:pPr/>
          </w:p>
        </w:tc>
        <w:tc>
          <w:tcPr>
            <w:tcW w:w="2532" w:type="dxa"/>
            <w:tcBorders>
              <w:top w:val="nil" w:sz="6" w:space="0" w:color="auto"/>
              <w:left w:val="nil" w:sz="6" w:space="0" w:color="auto"/>
              <w:bottom w:val="single" w:sz="6" w:space="0" w:color="000000"/>
              <w:right w:val="nil" w:sz="6" w:space="0" w:color="auto"/>
            </w:tcBorders>
          </w:tcPr>
          <w:p>
            <w:pPr>
              <w:pStyle w:val="TableParagraph"/>
              <w:spacing w:line="235" w:lineRule="exact"/>
              <w:ind w:right="54"/>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431" w:type="dxa"/>
            <w:tcBorders>
              <w:top w:val="nil" w:sz="6" w:space="0" w:color="auto"/>
              <w:left w:val="nil" w:sz="6" w:space="0" w:color="auto"/>
              <w:bottom w:val="nil" w:sz="6" w:space="0" w:color="auto"/>
              <w:right w:val="nil" w:sz="6" w:space="0" w:color="auto"/>
            </w:tcBorders>
          </w:tcPr>
          <w:p>
            <w:pPr/>
          </w:p>
        </w:tc>
        <w:tc>
          <w:tcPr>
            <w:tcW w:w="2771" w:type="dxa"/>
            <w:tcBorders>
              <w:top w:val="nil" w:sz="6" w:space="0" w:color="auto"/>
              <w:left w:val="nil" w:sz="6" w:space="0" w:color="auto"/>
              <w:bottom w:val="single" w:sz="6" w:space="0" w:color="000000"/>
              <w:right w:val="nil" w:sz="6" w:space="0" w:color="auto"/>
            </w:tcBorders>
          </w:tcPr>
          <w:p>
            <w:pPr>
              <w:pStyle w:val="TableParagraph"/>
              <w:spacing w:line="235" w:lineRule="exact"/>
              <w:ind w:right="143"/>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70"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房屋、建筑物及机器设备</w:t>
            </w:r>
          </w:p>
        </w:tc>
        <w:tc>
          <w:tcPr>
            <w:tcW w:w="2532"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8"/>
              <w:jc w:val="right"/>
              <w:rPr>
                <w:rFonts w:ascii="Arial" w:hAnsi="Arial" w:cs="Arial" w:eastAsia="Arial" w:hint="default"/>
                <w:sz w:val="22"/>
                <w:szCs w:val="22"/>
              </w:rPr>
            </w:pPr>
            <w:r>
              <w:rPr>
                <w:rFonts w:ascii="Arial"/>
                <w:spacing w:val="-1"/>
                <w:sz w:val="22"/>
              </w:rPr>
              <w:t>8,225,435,444</w:t>
            </w:r>
          </w:p>
        </w:tc>
        <w:tc>
          <w:tcPr>
            <w:tcW w:w="431" w:type="dxa"/>
            <w:tcBorders>
              <w:top w:val="nil" w:sz="6" w:space="0" w:color="auto"/>
              <w:left w:val="nil" w:sz="6" w:space="0" w:color="auto"/>
              <w:bottom w:val="nil" w:sz="6" w:space="0" w:color="auto"/>
              <w:right w:val="nil" w:sz="6" w:space="0" w:color="auto"/>
            </w:tcBorders>
          </w:tcPr>
          <w:p>
            <w:pPr/>
          </w:p>
        </w:tc>
        <w:tc>
          <w:tcPr>
            <w:tcW w:w="2771"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60"/>
              <w:jc w:val="right"/>
              <w:rPr>
                <w:rFonts w:ascii="Arial" w:hAnsi="Arial" w:cs="Arial" w:eastAsia="Arial" w:hint="default"/>
                <w:sz w:val="22"/>
                <w:szCs w:val="22"/>
              </w:rPr>
            </w:pPr>
            <w:r>
              <w:rPr>
                <w:rFonts w:ascii="Arial"/>
                <w:spacing w:val="-1"/>
                <w:sz w:val="22"/>
              </w:rPr>
              <w:t>7,186,632,601</w:t>
            </w:r>
          </w:p>
        </w:tc>
      </w:tr>
    </w:tbl>
    <w:p>
      <w:pPr>
        <w:spacing w:line="240" w:lineRule="auto" w:before="2"/>
        <w:rPr>
          <w:rFonts w:ascii="宋体" w:hAnsi="宋体" w:cs="宋体" w:eastAsia="宋体" w:hint="default"/>
          <w:sz w:val="14"/>
          <w:szCs w:val="14"/>
        </w:rPr>
      </w:pPr>
    </w:p>
    <w:p>
      <w:pPr>
        <w:pStyle w:val="BodyText"/>
        <w:spacing w:line="240" w:lineRule="auto" w:before="31"/>
        <w:ind w:left="562" w:right="89"/>
        <w:jc w:val="left"/>
      </w:pPr>
      <w:r>
        <w:rPr/>
        <w:t>于</w:t>
      </w:r>
      <w:r>
        <w:rPr>
          <w:spacing w:val="-57"/>
        </w:rPr>
        <w:t> </w:t>
      </w:r>
      <w:r>
        <w:rPr>
          <w:rFonts w:ascii="Arial" w:hAnsi="Arial" w:cs="Arial" w:eastAsia="Arial" w:hint="default"/>
        </w:rPr>
        <w:t>2012</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日，无以美元计价的资本承诺事项（</w:t>
      </w:r>
      <w:r>
        <w:rPr>
          <w:rFonts w:ascii="Arial" w:hAnsi="Arial" w:cs="Arial" w:eastAsia="Arial" w:hint="default"/>
        </w:rPr>
        <w:t>2011</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日：无）。</w:t>
      </w:r>
    </w:p>
    <w:p>
      <w:pPr>
        <w:spacing w:line="240" w:lineRule="auto" w:before="12"/>
        <w:rPr>
          <w:rFonts w:ascii="宋体" w:hAnsi="宋体" w:cs="宋体" w:eastAsia="宋体" w:hint="default"/>
          <w:sz w:val="17"/>
          <w:szCs w:val="17"/>
        </w:rPr>
      </w:pPr>
    </w:p>
    <w:p>
      <w:pPr>
        <w:pStyle w:val="BodyText"/>
        <w:spacing w:line="240" w:lineRule="auto"/>
        <w:ind w:left="142" w:right="89"/>
        <w:jc w:val="left"/>
      </w:pPr>
      <w:r>
        <w:rPr>
          <w:rFonts w:ascii="Arial" w:hAnsi="Arial" w:cs="Arial" w:eastAsia="Arial" w:hint="default"/>
        </w:rPr>
        <w:t>2</w:t>
      </w:r>
      <w:r>
        <w:rPr/>
        <w:t>、</w:t>
      </w:r>
      <w:r>
        <w:rPr>
          <w:spacing w:val="-39"/>
        </w:rPr>
        <w:t> </w:t>
      </w:r>
      <w:r>
        <w:rPr/>
        <w:t>经营租赁承诺事项</w:t>
      </w:r>
    </w:p>
    <w:p>
      <w:pPr>
        <w:spacing w:line="240" w:lineRule="auto" w:before="2"/>
        <w:rPr>
          <w:rFonts w:ascii="宋体" w:hAnsi="宋体" w:cs="宋体" w:eastAsia="宋体" w:hint="default"/>
          <w:sz w:val="23"/>
          <w:szCs w:val="23"/>
        </w:rPr>
      </w:pPr>
    </w:p>
    <w:tbl>
      <w:tblPr>
        <w:tblW w:w="0" w:type="auto"/>
        <w:jc w:val="left"/>
        <w:tblInd w:w="385" w:type="dxa"/>
        <w:tblLayout w:type="fixed"/>
        <w:tblCellMar>
          <w:top w:w="0" w:type="dxa"/>
          <w:left w:w="0" w:type="dxa"/>
          <w:bottom w:w="0" w:type="dxa"/>
          <w:right w:w="0" w:type="dxa"/>
        </w:tblCellMar>
        <w:tblLook w:val="01E0"/>
      </w:tblPr>
      <w:tblGrid>
        <w:gridCol w:w="3473"/>
        <w:gridCol w:w="2532"/>
        <w:gridCol w:w="408"/>
        <w:gridCol w:w="2694"/>
      </w:tblGrid>
      <w:tr>
        <w:trPr>
          <w:trHeight w:val="379" w:hRule="exact"/>
        </w:trPr>
        <w:tc>
          <w:tcPr>
            <w:tcW w:w="9107" w:type="dxa"/>
            <w:gridSpan w:val="4"/>
            <w:tcBorders>
              <w:top w:val="nil" w:sz="6" w:space="0" w:color="auto"/>
              <w:left w:val="nil" w:sz="6" w:space="0" w:color="auto"/>
              <w:bottom w:val="nil" w:sz="6" w:space="0" w:color="auto"/>
              <w:right w:val="nil" w:sz="6" w:space="0" w:color="auto"/>
            </w:tcBorders>
          </w:tcPr>
          <w:p>
            <w:pPr>
              <w:pStyle w:val="TableParagraph"/>
              <w:spacing w:line="220" w:lineRule="exact"/>
              <w:ind w:left="200" w:right="0"/>
              <w:jc w:val="left"/>
              <w:rPr>
                <w:rFonts w:ascii="宋体" w:hAnsi="宋体" w:cs="宋体" w:eastAsia="宋体" w:hint="default"/>
                <w:sz w:val="22"/>
                <w:szCs w:val="22"/>
              </w:rPr>
            </w:pPr>
            <w:r>
              <w:rPr>
                <w:rFonts w:ascii="宋体" w:hAnsi="宋体" w:cs="宋体" w:eastAsia="宋体" w:hint="default"/>
                <w:sz w:val="22"/>
                <w:szCs w:val="22"/>
              </w:rPr>
              <w:t>根据已签订的不可撤销的经营性租赁合同，本集团未来最低应支付租金汇总如下：</w:t>
            </w:r>
          </w:p>
        </w:tc>
      </w:tr>
      <w:tr>
        <w:trPr>
          <w:trHeight w:val="420" w:hRule="exact"/>
        </w:trPr>
        <w:tc>
          <w:tcPr>
            <w:tcW w:w="3473" w:type="dxa"/>
            <w:tcBorders>
              <w:top w:val="nil" w:sz="6" w:space="0" w:color="auto"/>
              <w:left w:val="nil" w:sz="6" w:space="0" w:color="auto"/>
              <w:bottom w:val="nil" w:sz="6" w:space="0" w:color="auto"/>
              <w:right w:val="nil" w:sz="6" w:space="0" w:color="auto"/>
            </w:tcBorders>
          </w:tcPr>
          <w:p>
            <w:pPr/>
          </w:p>
        </w:tc>
        <w:tc>
          <w:tcPr>
            <w:tcW w:w="2532" w:type="dxa"/>
            <w:tcBorders>
              <w:top w:val="nil" w:sz="6" w:space="0" w:color="auto"/>
              <w:left w:val="nil" w:sz="6" w:space="0" w:color="auto"/>
              <w:bottom w:val="single" w:sz="6" w:space="0" w:color="000000"/>
              <w:right w:val="nil" w:sz="6" w:space="0" w:color="auto"/>
            </w:tcBorders>
          </w:tcPr>
          <w:p>
            <w:pPr>
              <w:pStyle w:val="TableParagraph"/>
              <w:spacing w:line="240" w:lineRule="auto" w:before="91"/>
              <w:ind w:right="107"/>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408" w:type="dxa"/>
            <w:tcBorders>
              <w:top w:val="nil" w:sz="6" w:space="0" w:color="auto"/>
              <w:left w:val="nil" w:sz="6" w:space="0" w:color="auto"/>
              <w:bottom w:val="nil" w:sz="6" w:space="0" w:color="auto"/>
              <w:right w:val="nil" w:sz="6" w:space="0" w:color="auto"/>
            </w:tcBorders>
          </w:tcPr>
          <w:p>
            <w:pPr/>
          </w:p>
        </w:tc>
        <w:tc>
          <w:tcPr>
            <w:tcW w:w="2694" w:type="dxa"/>
            <w:tcBorders>
              <w:top w:val="nil" w:sz="6" w:space="0" w:color="auto"/>
              <w:left w:val="nil" w:sz="6" w:space="0" w:color="auto"/>
              <w:bottom w:val="single" w:sz="6" w:space="0" w:color="000000"/>
              <w:right w:val="nil" w:sz="6" w:space="0" w:color="auto"/>
            </w:tcBorders>
          </w:tcPr>
          <w:p>
            <w:pPr>
              <w:pStyle w:val="TableParagraph"/>
              <w:spacing w:line="240" w:lineRule="auto" w:before="91"/>
              <w:ind w:right="77"/>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8" w:hRule="exact"/>
        </w:trPr>
        <w:tc>
          <w:tcPr>
            <w:tcW w:w="34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8"/>
                <w:sz w:val="22"/>
                <w:szCs w:val="22"/>
              </w:rPr>
              <w:t> </w:t>
            </w:r>
            <w:r>
              <w:rPr>
                <w:rFonts w:ascii="宋体" w:hAnsi="宋体" w:cs="宋体" w:eastAsia="宋体" w:hint="default"/>
                <w:sz w:val="22"/>
                <w:szCs w:val="22"/>
              </w:rPr>
              <w:t>年以内</w:t>
            </w:r>
          </w:p>
        </w:tc>
        <w:tc>
          <w:tcPr>
            <w:tcW w:w="253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62" w:right="0"/>
              <w:jc w:val="left"/>
              <w:rPr>
                <w:rFonts w:ascii="Arial" w:hAnsi="Arial" w:cs="Arial" w:eastAsia="Arial" w:hint="default"/>
                <w:sz w:val="22"/>
                <w:szCs w:val="22"/>
              </w:rPr>
            </w:pPr>
            <w:r>
              <w:rPr>
                <w:rFonts w:ascii="Arial"/>
                <w:sz w:val="22"/>
              </w:rPr>
              <w:t>2,091,761,729</w:t>
            </w:r>
          </w:p>
        </w:tc>
        <w:tc>
          <w:tcPr>
            <w:tcW w:w="408" w:type="dxa"/>
            <w:tcBorders>
              <w:top w:val="nil" w:sz="6" w:space="0" w:color="auto"/>
              <w:left w:val="nil" w:sz="6" w:space="0" w:color="auto"/>
              <w:bottom w:val="nil" w:sz="6" w:space="0" w:color="auto"/>
              <w:right w:val="nil" w:sz="6" w:space="0" w:color="auto"/>
            </w:tcBorders>
          </w:tcPr>
          <w:p>
            <w:pPr/>
          </w:p>
        </w:tc>
        <w:tc>
          <w:tcPr>
            <w:tcW w:w="2694"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6"/>
              <w:jc w:val="right"/>
              <w:rPr>
                <w:rFonts w:ascii="Arial" w:hAnsi="Arial" w:cs="Arial" w:eastAsia="Arial" w:hint="default"/>
                <w:sz w:val="22"/>
                <w:szCs w:val="22"/>
              </w:rPr>
            </w:pPr>
            <w:r>
              <w:rPr>
                <w:rFonts w:ascii="Arial"/>
                <w:spacing w:val="-1"/>
                <w:sz w:val="22"/>
              </w:rPr>
              <w:t>4,432,615,419</w:t>
            </w:r>
          </w:p>
        </w:tc>
      </w:tr>
      <w:tr>
        <w:trPr>
          <w:trHeight w:val="286" w:hRule="exact"/>
        </w:trPr>
        <w:tc>
          <w:tcPr>
            <w:tcW w:w="3473"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7"/>
                <w:sz w:val="22"/>
                <w:szCs w:val="22"/>
              </w:rPr>
              <w:t> </w:t>
            </w:r>
            <w:r>
              <w:rPr>
                <w:rFonts w:ascii="宋体" w:hAnsi="宋体" w:cs="宋体" w:eastAsia="宋体" w:hint="default"/>
                <w:sz w:val="22"/>
                <w:szCs w:val="22"/>
              </w:rPr>
              <w:t>到</w:t>
            </w:r>
            <w:r>
              <w:rPr>
                <w:rFonts w:ascii="宋体" w:hAnsi="宋体" w:cs="宋体" w:eastAsia="宋体" w:hint="default"/>
                <w:spacing w:val="-56"/>
                <w:sz w:val="22"/>
                <w:szCs w:val="22"/>
              </w:rPr>
              <w:t> </w:t>
            </w:r>
            <w:r>
              <w:rPr>
                <w:rFonts w:ascii="Arial" w:hAnsi="Arial" w:cs="Arial" w:eastAsia="Arial" w:hint="default"/>
                <w:sz w:val="22"/>
                <w:szCs w:val="22"/>
              </w:rPr>
              <w:t>2</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62" w:right="0"/>
              <w:jc w:val="left"/>
              <w:rPr>
                <w:rFonts w:ascii="Arial" w:hAnsi="Arial" w:cs="Arial" w:eastAsia="Arial" w:hint="default"/>
                <w:sz w:val="22"/>
                <w:szCs w:val="22"/>
              </w:rPr>
            </w:pPr>
            <w:r>
              <w:rPr>
                <w:rFonts w:ascii="Arial"/>
                <w:sz w:val="22"/>
              </w:rPr>
              <w:t>1,696,837,680</w:t>
            </w:r>
          </w:p>
        </w:tc>
        <w:tc>
          <w:tcPr>
            <w:tcW w:w="408" w:type="dxa"/>
            <w:tcBorders>
              <w:top w:val="nil" w:sz="6" w:space="0" w:color="auto"/>
              <w:left w:val="nil" w:sz="6" w:space="0" w:color="auto"/>
              <w:bottom w:val="nil" w:sz="6" w:space="0" w:color="auto"/>
              <w:right w:val="nil" w:sz="6" w:space="0" w:color="auto"/>
            </w:tcBorders>
          </w:tcPr>
          <w:p>
            <w:pPr/>
          </w:p>
        </w:tc>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2"/>
                <w:szCs w:val="22"/>
              </w:rPr>
            </w:pPr>
            <w:r>
              <w:rPr>
                <w:rFonts w:ascii="Arial"/>
                <w:spacing w:val="-1"/>
                <w:sz w:val="22"/>
              </w:rPr>
              <w:t>1,449,689,989</w:t>
            </w:r>
          </w:p>
        </w:tc>
      </w:tr>
      <w:tr>
        <w:trPr>
          <w:trHeight w:val="286" w:hRule="exact"/>
        </w:trPr>
        <w:tc>
          <w:tcPr>
            <w:tcW w:w="3473"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2</w:t>
            </w:r>
            <w:r>
              <w:rPr>
                <w:rFonts w:ascii="Arial" w:hAnsi="Arial" w:cs="Arial" w:eastAsia="Arial" w:hint="default"/>
                <w:spacing w:val="-7"/>
                <w:sz w:val="22"/>
                <w:szCs w:val="22"/>
              </w:rPr>
              <w:t> </w:t>
            </w:r>
            <w:r>
              <w:rPr>
                <w:rFonts w:ascii="宋体" w:hAnsi="宋体" w:cs="宋体" w:eastAsia="宋体" w:hint="default"/>
                <w:sz w:val="22"/>
                <w:szCs w:val="22"/>
              </w:rPr>
              <w:t>到</w:t>
            </w:r>
            <w:r>
              <w:rPr>
                <w:rFonts w:ascii="宋体" w:hAnsi="宋体" w:cs="宋体" w:eastAsia="宋体" w:hint="default"/>
                <w:spacing w:val="-56"/>
                <w:sz w:val="22"/>
                <w:szCs w:val="22"/>
              </w:rPr>
              <w:t> </w:t>
            </w:r>
            <w:r>
              <w:rPr>
                <w:rFonts w:ascii="Arial" w:hAnsi="Arial" w:cs="Arial" w:eastAsia="Arial" w:hint="default"/>
                <w:sz w:val="22"/>
                <w:szCs w:val="22"/>
              </w:rPr>
              <w:t>3</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62" w:right="0"/>
              <w:jc w:val="left"/>
              <w:rPr>
                <w:rFonts w:ascii="Arial" w:hAnsi="Arial" w:cs="Arial" w:eastAsia="Arial" w:hint="default"/>
                <w:sz w:val="22"/>
                <w:szCs w:val="22"/>
              </w:rPr>
            </w:pPr>
            <w:r>
              <w:rPr>
                <w:rFonts w:ascii="Arial"/>
                <w:sz w:val="22"/>
              </w:rPr>
              <w:t>1,488,155,839</w:t>
            </w:r>
          </w:p>
        </w:tc>
        <w:tc>
          <w:tcPr>
            <w:tcW w:w="408" w:type="dxa"/>
            <w:tcBorders>
              <w:top w:val="nil" w:sz="6" w:space="0" w:color="auto"/>
              <w:left w:val="nil" w:sz="6" w:space="0" w:color="auto"/>
              <w:bottom w:val="nil" w:sz="6" w:space="0" w:color="auto"/>
              <w:right w:val="nil" w:sz="6" w:space="0" w:color="auto"/>
            </w:tcBorders>
          </w:tcPr>
          <w:p>
            <w:pPr/>
          </w:p>
        </w:tc>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2"/>
                <w:szCs w:val="22"/>
              </w:rPr>
            </w:pPr>
            <w:r>
              <w:rPr>
                <w:rFonts w:ascii="Arial"/>
                <w:spacing w:val="-1"/>
                <w:sz w:val="22"/>
              </w:rPr>
              <w:t>1,308,168,531</w:t>
            </w:r>
          </w:p>
        </w:tc>
      </w:tr>
      <w:tr>
        <w:trPr>
          <w:trHeight w:val="419" w:hRule="exact"/>
        </w:trPr>
        <w:tc>
          <w:tcPr>
            <w:tcW w:w="3473"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3</w:t>
            </w:r>
            <w:r>
              <w:rPr>
                <w:rFonts w:ascii="Arial" w:hAnsi="Arial" w:cs="Arial" w:eastAsia="Arial" w:hint="default"/>
                <w:spacing w:val="-8"/>
                <w:sz w:val="22"/>
                <w:szCs w:val="22"/>
              </w:rPr>
              <w:t> </w:t>
            </w:r>
            <w:r>
              <w:rPr>
                <w:rFonts w:ascii="宋体" w:hAnsi="宋体" w:cs="宋体" w:eastAsia="宋体" w:hint="default"/>
                <w:sz w:val="22"/>
                <w:szCs w:val="22"/>
              </w:rPr>
              <w:t>年以上</w:t>
            </w:r>
          </w:p>
        </w:tc>
        <w:tc>
          <w:tcPr>
            <w:tcW w:w="2532" w:type="dxa"/>
            <w:tcBorders>
              <w:top w:val="nil" w:sz="6" w:space="0" w:color="auto"/>
              <w:left w:val="nil" w:sz="6" w:space="0" w:color="auto"/>
              <w:bottom w:val="nil" w:sz="6" w:space="0" w:color="auto"/>
              <w:right w:val="nil" w:sz="6" w:space="0" w:color="auto"/>
            </w:tcBorders>
          </w:tcPr>
          <w:p>
            <w:pPr>
              <w:pStyle w:val="TableParagraph"/>
              <w:tabs>
                <w:tab w:pos="962" w:val="left" w:leader="none"/>
                <w:tab w:pos="2532"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2,744,584,343</w:t>
              <w:tab/>
            </w:r>
            <w:r>
              <w:rPr>
                <w:rFonts w:ascii="Arial"/>
                <w:spacing w:val="-1"/>
                <w:sz w:val="22"/>
              </w:rPr>
            </w:r>
          </w:p>
        </w:tc>
        <w:tc>
          <w:tcPr>
            <w:tcW w:w="408" w:type="dxa"/>
            <w:tcBorders>
              <w:top w:val="nil" w:sz="6" w:space="0" w:color="auto"/>
              <w:left w:val="nil" w:sz="6" w:space="0" w:color="auto"/>
              <w:bottom w:val="nil" w:sz="6" w:space="0" w:color="auto"/>
              <w:right w:val="nil" w:sz="6" w:space="0" w:color="auto"/>
            </w:tcBorders>
          </w:tcPr>
          <w:p>
            <w:pPr/>
          </w:p>
        </w:tc>
        <w:tc>
          <w:tcPr>
            <w:tcW w:w="2694" w:type="dxa"/>
            <w:tcBorders>
              <w:top w:val="nil" w:sz="6" w:space="0" w:color="auto"/>
              <w:left w:val="nil" w:sz="6" w:space="0" w:color="auto"/>
              <w:bottom w:val="nil" w:sz="6" w:space="0" w:color="auto"/>
              <w:right w:val="nil" w:sz="6" w:space="0" w:color="auto"/>
            </w:tcBorders>
          </w:tcPr>
          <w:p>
            <w:pPr>
              <w:pStyle w:val="TableParagraph"/>
              <w:tabs>
                <w:tab w:pos="1172" w:val="left" w:leader="none"/>
                <w:tab w:pos="2686"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spacing w:val="-1"/>
                <w:sz w:val="22"/>
                <w:u w:val="single" w:color="000000"/>
              </w:rPr>
              <w:t>2,417,583,784</w:t>
              <w:tab/>
            </w:r>
            <w:r>
              <w:rPr>
                <w:rFonts w:ascii="Arial"/>
                <w:spacing w:val="-1"/>
                <w:sz w:val="22"/>
              </w:rPr>
            </w:r>
          </w:p>
        </w:tc>
      </w:tr>
      <w:tr>
        <w:trPr>
          <w:trHeight w:val="430" w:hRule="exact"/>
        </w:trPr>
        <w:tc>
          <w:tcPr>
            <w:tcW w:w="347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532"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962" w:right="0"/>
              <w:jc w:val="left"/>
              <w:rPr>
                <w:rFonts w:ascii="Arial" w:hAnsi="Arial" w:cs="Arial" w:eastAsia="Arial" w:hint="default"/>
                <w:sz w:val="22"/>
                <w:szCs w:val="22"/>
              </w:rPr>
            </w:pPr>
            <w:r>
              <w:rPr>
                <w:rFonts w:ascii="Arial"/>
                <w:sz w:val="22"/>
              </w:rPr>
              <w:t>8,021,339,591</w:t>
            </w:r>
          </w:p>
        </w:tc>
        <w:tc>
          <w:tcPr>
            <w:tcW w:w="408" w:type="dxa"/>
            <w:tcBorders>
              <w:top w:val="nil" w:sz="6" w:space="0" w:color="auto"/>
              <w:left w:val="nil" w:sz="6" w:space="0" w:color="auto"/>
              <w:bottom w:val="nil" w:sz="6" w:space="0" w:color="auto"/>
              <w:right w:val="nil" w:sz="6" w:space="0" w:color="auto"/>
            </w:tcBorders>
          </w:tcPr>
          <w:p>
            <w:pPr/>
          </w:p>
        </w:tc>
        <w:tc>
          <w:tcPr>
            <w:tcW w:w="2694"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06"/>
              <w:jc w:val="right"/>
              <w:rPr>
                <w:rFonts w:ascii="Arial" w:hAnsi="Arial" w:cs="Arial" w:eastAsia="Arial" w:hint="default"/>
                <w:sz w:val="22"/>
                <w:szCs w:val="22"/>
              </w:rPr>
            </w:pPr>
            <w:r>
              <w:rPr>
                <w:rFonts w:ascii="Arial"/>
                <w:spacing w:val="-1"/>
                <w:sz w:val="22"/>
              </w:rPr>
              <w:t>9,608,057,723</w:t>
            </w:r>
          </w:p>
        </w:tc>
      </w:tr>
    </w:tbl>
    <w:p>
      <w:pPr>
        <w:spacing w:line="240" w:lineRule="auto" w:before="2"/>
        <w:rPr>
          <w:rFonts w:ascii="宋体" w:hAnsi="宋体" w:cs="宋体" w:eastAsia="宋体" w:hint="default"/>
          <w:sz w:val="14"/>
          <w:szCs w:val="14"/>
        </w:rPr>
      </w:pPr>
    </w:p>
    <w:p>
      <w:pPr>
        <w:pStyle w:val="BodyText"/>
        <w:spacing w:line="295" w:lineRule="exact" w:before="31"/>
        <w:ind w:left="562" w:right="89"/>
        <w:jc w:val="left"/>
        <w:rPr>
          <w:rFonts w:ascii="Arial" w:hAnsi="Arial" w:cs="Arial" w:eastAsia="Arial" w:hint="default"/>
        </w:rPr>
      </w:pPr>
      <w:r>
        <w:rPr/>
        <w:t>注：联通运营公司与联通新时空新签署的租赁南方固定电信网络的协议，新租赁期自</w:t>
      </w:r>
      <w:r>
        <w:rPr>
          <w:spacing w:val="-82"/>
        </w:rPr>
        <w:t> </w:t>
      </w:r>
      <w:r>
        <w:rPr>
          <w:rFonts w:ascii="Arial" w:hAnsi="Arial" w:cs="Arial" w:eastAsia="Arial" w:hint="default"/>
        </w:rPr>
        <w:t>2011</w:t>
      </w:r>
      <w:r>
        <w:rPr>
          <w:rFonts w:ascii="Arial" w:hAnsi="Arial" w:cs="Arial" w:eastAsia="Arial" w:hint="default"/>
          <w:spacing w:val="-35"/>
        </w:rPr>
        <w:t> </w:t>
      </w:r>
      <w:r>
        <w:rPr/>
        <w:t>年</w:t>
      </w:r>
      <w:r>
        <w:rPr>
          <w:spacing w:val="-84"/>
        </w:rPr>
        <w:t> </w:t>
      </w:r>
      <w:r>
        <w:rPr>
          <w:rFonts w:ascii="Arial" w:hAnsi="Arial" w:cs="Arial" w:eastAsia="Arial" w:hint="default"/>
        </w:rPr>
        <w:t>1</w:t>
      </w:r>
    </w:p>
    <w:p>
      <w:pPr>
        <w:pStyle w:val="BodyText"/>
        <w:spacing w:line="285" w:lineRule="exact"/>
        <w:ind w:left="980" w:right="89"/>
        <w:jc w:val="left"/>
      </w:pPr>
      <w:r>
        <w:rPr/>
        <w:t>月</w:t>
      </w:r>
      <w:r>
        <w:rPr>
          <w:spacing w:val="-47"/>
        </w:rPr>
        <w:t> </w:t>
      </w:r>
      <w:r>
        <w:rPr>
          <w:rFonts w:ascii="Arial" w:hAnsi="Arial" w:cs="Arial" w:eastAsia="Arial" w:hint="default"/>
        </w:rPr>
        <w:t>1</w:t>
      </w:r>
      <w:r>
        <w:rPr>
          <w:rFonts w:ascii="Arial" w:hAnsi="Arial" w:cs="Arial" w:eastAsia="Arial" w:hint="default"/>
          <w:spacing w:val="1"/>
        </w:rPr>
        <w:t> </w:t>
      </w:r>
      <w:r>
        <w:rPr/>
        <w:t>日至</w:t>
      </w:r>
      <w:r>
        <w:rPr>
          <w:spacing w:val="-48"/>
        </w:rPr>
        <w:t> </w:t>
      </w:r>
      <w:r>
        <w:rPr>
          <w:rFonts w:ascii="Arial" w:hAnsi="Arial" w:cs="Arial" w:eastAsia="Arial" w:hint="default"/>
        </w:rPr>
        <w:t>2012</w:t>
      </w:r>
      <w:r>
        <w:rPr>
          <w:rFonts w:ascii="Arial" w:hAnsi="Arial" w:cs="Arial" w:eastAsia="Arial" w:hint="default"/>
          <w:spacing w:val="1"/>
        </w:rPr>
        <w:t> </w:t>
      </w:r>
      <w:r>
        <w:rPr/>
        <w:t>年</w:t>
      </w:r>
      <w:r>
        <w:rPr>
          <w:spacing w:val="-48"/>
        </w:rPr>
        <w:t> </w:t>
      </w:r>
      <w:r>
        <w:rPr>
          <w:rFonts w:ascii="Arial" w:hAnsi="Arial" w:cs="Arial" w:eastAsia="Arial" w:hint="default"/>
        </w:rPr>
        <w:t>12</w:t>
      </w:r>
      <w:r>
        <w:rPr>
          <w:rFonts w:ascii="Arial" w:hAnsi="Arial" w:cs="Arial" w:eastAsia="Arial" w:hint="default"/>
          <w:spacing w:val="1"/>
        </w:rPr>
        <w:t> </w:t>
      </w:r>
      <w:r>
        <w:rPr/>
        <w:t>月</w:t>
      </w:r>
      <w:r>
        <w:rPr>
          <w:spacing w:val="-48"/>
        </w:rPr>
        <w:t> </w:t>
      </w:r>
      <w:r>
        <w:rPr>
          <w:rFonts w:ascii="Arial" w:hAnsi="Arial" w:cs="Arial" w:eastAsia="Arial" w:hint="default"/>
        </w:rPr>
        <w:t>31</w:t>
      </w:r>
      <w:r>
        <w:rPr>
          <w:rFonts w:ascii="Arial" w:hAnsi="Arial" w:cs="Arial" w:eastAsia="Arial" w:hint="default"/>
          <w:spacing w:val="1"/>
        </w:rPr>
        <w:t> </w:t>
      </w:r>
      <w:r>
        <w:rPr/>
        <w:t>日止，</w:t>
      </w:r>
      <w:r>
        <w:rPr>
          <w:rFonts w:ascii="Arial" w:hAnsi="Arial" w:cs="Arial" w:eastAsia="Arial" w:hint="default"/>
        </w:rPr>
        <w:t>2011</w:t>
      </w:r>
      <w:r>
        <w:rPr>
          <w:rFonts w:ascii="Arial" w:hAnsi="Arial" w:cs="Arial" w:eastAsia="Arial" w:hint="default"/>
          <w:spacing w:val="2"/>
        </w:rPr>
        <w:t> </w:t>
      </w:r>
      <w:r>
        <w:rPr/>
        <w:t>年和</w:t>
      </w:r>
      <w:r>
        <w:rPr>
          <w:spacing w:val="-48"/>
        </w:rPr>
        <w:t> </w:t>
      </w:r>
      <w:r>
        <w:rPr>
          <w:rFonts w:ascii="Arial" w:hAnsi="Arial" w:cs="Arial" w:eastAsia="Arial" w:hint="default"/>
        </w:rPr>
        <w:t>2012</w:t>
      </w:r>
      <w:r>
        <w:rPr>
          <w:rFonts w:ascii="Arial" w:hAnsi="Arial" w:cs="Arial" w:eastAsia="Arial" w:hint="default"/>
          <w:spacing w:val="2"/>
        </w:rPr>
        <w:t> </w:t>
      </w:r>
      <w:r>
        <w:rPr/>
        <w:t>年的年度租赁费分别为人民币</w:t>
      </w:r>
      <w:r>
        <w:rPr>
          <w:spacing w:val="-47"/>
        </w:rPr>
        <w:t> </w:t>
      </w:r>
      <w:r>
        <w:rPr>
          <w:rFonts w:ascii="Arial" w:hAnsi="Arial" w:cs="Arial" w:eastAsia="Arial" w:hint="default"/>
        </w:rPr>
        <w:t>24</w:t>
      </w:r>
      <w:r>
        <w:rPr>
          <w:rFonts w:ascii="Arial" w:hAnsi="Arial" w:cs="Arial" w:eastAsia="Arial" w:hint="default"/>
          <w:spacing w:val="1"/>
        </w:rPr>
        <w:t> </w:t>
      </w:r>
      <w:r>
        <w:rPr/>
        <w:t>亿元</w:t>
      </w:r>
    </w:p>
    <w:p>
      <w:pPr>
        <w:pStyle w:val="BodyText"/>
        <w:spacing w:line="285" w:lineRule="exact"/>
        <w:ind w:left="980" w:right="89"/>
        <w:jc w:val="left"/>
      </w:pPr>
      <w:r>
        <w:rPr/>
        <w:t>和人民币</w:t>
      </w:r>
      <w:r>
        <w:rPr>
          <w:spacing w:val="-46"/>
        </w:rPr>
        <w:t> </w:t>
      </w:r>
      <w:r>
        <w:rPr>
          <w:rFonts w:ascii="Arial" w:hAnsi="Arial" w:cs="Arial" w:eastAsia="Arial" w:hint="default"/>
        </w:rPr>
        <w:t>26</w:t>
      </w:r>
      <w:r>
        <w:rPr>
          <w:rFonts w:ascii="Arial" w:hAnsi="Arial" w:cs="Arial" w:eastAsia="Arial" w:hint="default"/>
          <w:spacing w:val="3"/>
        </w:rPr>
        <w:t> </w:t>
      </w:r>
      <w:r>
        <w:rPr>
          <w:spacing w:val="-3"/>
        </w:rPr>
        <w:t>亿元，根据此两年期的租赁协议规定的年度租赁费为基础计算的承诺付款额被</w:t>
      </w:r>
    </w:p>
    <w:p>
      <w:pPr>
        <w:pStyle w:val="BodyText"/>
        <w:spacing w:line="286" w:lineRule="exact"/>
        <w:ind w:left="980" w:right="89"/>
        <w:jc w:val="left"/>
      </w:pPr>
      <w:r>
        <w:rPr/>
        <w:t>计入本集团截至</w:t>
      </w:r>
      <w:r>
        <w:rPr>
          <w:spacing w:val="-60"/>
        </w:rPr>
        <w:t> </w:t>
      </w:r>
      <w:r>
        <w:rPr>
          <w:rFonts w:ascii="Arial" w:hAnsi="Arial" w:cs="Arial" w:eastAsia="Arial" w:hint="default"/>
        </w:rPr>
        <w:t>2011</w:t>
      </w:r>
      <w:r>
        <w:rPr>
          <w:rFonts w:ascii="Arial" w:hAnsi="Arial" w:cs="Arial" w:eastAsia="Arial" w:hint="default"/>
          <w:spacing w:val="-12"/>
        </w:rPr>
        <w:t> </w:t>
      </w:r>
      <w:r>
        <w:rPr/>
        <w:t>年</w:t>
      </w:r>
      <w:r>
        <w:rPr>
          <w:spacing w:val="-61"/>
        </w:rPr>
        <w:t> </w:t>
      </w:r>
      <w:r>
        <w:rPr>
          <w:rFonts w:ascii="Arial" w:hAnsi="Arial" w:cs="Arial" w:eastAsia="Arial" w:hint="default"/>
        </w:rPr>
        <w:t>12</w:t>
      </w:r>
      <w:r>
        <w:rPr>
          <w:rFonts w:ascii="Arial" w:hAnsi="Arial" w:cs="Arial" w:eastAsia="Arial" w:hint="default"/>
          <w:spacing w:val="-12"/>
        </w:rPr>
        <w:t> </w:t>
      </w:r>
      <w:r>
        <w:rPr/>
        <w:t>月</w:t>
      </w:r>
      <w:r>
        <w:rPr>
          <w:spacing w:val="-61"/>
        </w:rPr>
        <w:t> </w:t>
      </w:r>
      <w:r>
        <w:rPr>
          <w:rFonts w:ascii="Arial" w:hAnsi="Arial" w:cs="Arial" w:eastAsia="Arial" w:hint="default"/>
        </w:rPr>
        <w:t>31</w:t>
      </w:r>
      <w:r>
        <w:rPr>
          <w:rFonts w:ascii="Arial" w:hAnsi="Arial" w:cs="Arial" w:eastAsia="Arial" w:hint="default"/>
          <w:spacing w:val="-12"/>
        </w:rPr>
        <w:t> </w:t>
      </w:r>
      <w:r>
        <w:rPr/>
        <w:t>日的经营租赁承诺事项中，金额为人民币</w:t>
      </w:r>
      <w:r>
        <w:rPr>
          <w:spacing w:val="-59"/>
        </w:rPr>
        <w:t> </w:t>
      </w:r>
      <w:r>
        <w:rPr>
          <w:rFonts w:ascii="Arial" w:hAnsi="Arial" w:cs="Arial" w:eastAsia="Arial" w:hint="default"/>
        </w:rPr>
        <w:t>26</w:t>
      </w:r>
      <w:r>
        <w:rPr>
          <w:rFonts w:ascii="Arial" w:hAnsi="Arial" w:cs="Arial" w:eastAsia="Arial" w:hint="default"/>
          <w:spacing w:val="-11"/>
        </w:rPr>
        <w:t> </w:t>
      </w:r>
      <w:r>
        <w:rPr>
          <w:spacing w:val="-6"/>
        </w:rPr>
        <w:t>亿元。如附</w:t>
      </w:r>
    </w:p>
    <w:p>
      <w:pPr>
        <w:pStyle w:val="BodyText"/>
        <w:spacing w:line="230" w:lineRule="auto" w:before="1"/>
        <w:ind w:left="980" w:right="106"/>
        <w:jc w:val="left"/>
      </w:pPr>
      <w:r>
        <w:rPr>
          <w:spacing w:val="-3"/>
        </w:rPr>
        <w:t>注一</w:t>
      </w:r>
      <w:r>
        <w:rPr>
          <w:rFonts w:ascii="Arial" w:hAnsi="Arial" w:cs="Arial" w:eastAsia="Arial" w:hint="default"/>
          <w:spacing w:val="-3"/>
        </w:rPr>
        <w:t>(2)</w:t>
      </w:r>
      <w:r>
        <w:rPr>
          <w:spacing w:val="-3"/>
        </w:rPr>
        <w:t>所述，于</w:t>
      </w:r>
      <w:r>
        <w:rPr>
          <w:spacing w:val="-59"/>
        </w:rPr>
        <w:t> </w:t>
      </w:r>
      <w:r>
        <w:rPr>
          <w:rFonts w:ascii="Arial" w:hAnsi="Arial" w:cs="Arial" w:eastAsia="Arial" w:hint="default"/>
        </w:rPr>
        <w:t>2012</w:t>
      </w:r>
      <w:r>
        <w:rPr>
          <w:rFonts w:ascii="Arial" w:hAnsi="Arial" w:cs="Arial" w:eastAsia="Arial" w:hint="default"/>
          <w:spacing w:val="-10"/>
        </w:rPr>
        <w:t> </w:t>
      </w:r>
      <w:r>
        <w:rPr/>
        <w:t>年</w:t>
      </w:r>
      <w:r>
        <w:rPr>
          <w:spacing w:val="-59"/>
        </w:rPr>
        <w:t> </w:t>
      </w:r>
      <w:r>
        <w:rPr>
          <w:rFonts w:ascii="Arial" w:hAnsi="Arial" w:cs="Arial" w:eastAsia="Arial" w:hint="default"/>
        </w:rPr>
        <w:t>12</w:t>
      </w:r>
      <w:r>
        <w:rPr>
          <w:rFonts w:ascii="Arial" w:hAnsi="Arial" w:cs="Arial" w:eastAsia="Arial" w:hint="default"/>
          <w:spacing w:val="-10"/>
        </w:rPr>
        <w:t> </w:t>
      </w:r>
      <w:r>
        <w:rPr/>
        <w:t>月</w:t>
      </w:r>
      <w:r>
        <w:rPr>
          <w:spacing w:val="-59"/>
        </w:rPr>
        <w:t> </w:t>
      </w:r>
      <w:r>
        <w:rPr>
          <w:rFonts w:ascii="Arial" w:hAnsi="Arial" w:cs="Arial" w:eastAsia="Arial" w:hint="default"/>
        </w:rPr>
        <w:t>31</w:t>
      </w:r>
      <w:r>
        <w:rPr>
          <w:rFonts w:ascii="Arial" w:hAnsi="Arial" w:cs="Arial" w:eastAsia="Arial" w:hint="default"/>
          <w:spacing w:val="-10"/>
        </w:rPr>
        <w:t> </w:t>
      </w:r>
      <w:r>
        <w:rPr/>
        <w:t>日，联通运营公司已完成收购联通新时空</w:t>
      </w:r>
      <w:r>
        <w:rPr>
          <w:spacing w:val="-57"/>
        </w:rPr>
        <w:t> </w:t>
      </w:r>
      <w:r>
        <w:rPr>
          <w:rFonts w:ascii="Arial" w:hAnsi="Arial" w:cs="Arial" w:eastAsia="Arial" w:hint="default"/>
        </w:rPr>
        <w:t>100%</w:t>
      </w:r>
      <w:r>
        <w:rPr/>
        <w:t>的股权。</w:t>
      </w:r>
      <w:r>
        <w:rPr>
          <w:w w:val="99"/>
        </w:rPr>
        <w:t> </w:t>
      </w:r>
      <w:r>
        <w:rPr/>
        <w:t>交易完成后，联通新时空与联通运营公司的交易在本集团合并对方报表中作为内部交易被</w:t>
      </w:r>
      <w:r>
        <w:rPr>
          <w:spacing w:val="-64"/>
        </w:rPr>
        <w:t> </w:t>
      </w:r>
      <w:r>
        <w:rPr>
          <w:spacing w:val="-64"/>
        </w:rPr>
      </w:r>
      <w:r>
        <w:rPr/>
        <w:t>抵销。</w:t>
      </w:r>
    </w:p>
    <w:p>
      <w:pPr>
        <w:spacing w:after="0" w:line="230" w:lineRule="auto"/>
        <w:jc w:val="left"/>
        <w:sectPr>
          <w:headerReference w:type="default" r:id="rId138"/>
          <w:pgSz w:w="11910" w:h="16840"/>
          <w:pgMar w:header="1184" w:footer="457" w:top="2500" w:bottom="640" w:left="1240" w:right="820"/>
        </w:sectPr>
      </w:pPr>
    </w:p>
    <w:p>
      <w:pPr>
        <w:spacing w:line="240" w:lineRule="auto" w:before="10"/>
        <w:rPr>
          <w:rFonts w:ascii="宋体" w:hAnsi="宋体" w:cs="宋体" w:eastAsia="宋体" w:hint="default"/>
          <w:sz w:val="16"/>
          <w:szCs w:val="16"/>
        </w:rPr>
      </w:pPr>
    </w:p>
    <w:p>
      <w:pPr>
        <w:pStyle w:val="BodyText"/>
        <w:tabs>
          <w:tab w:pos="763" w:val="left" w:leader="none"/>
        </w:tabs>
        <w:spacing w:line="240" w:lineRule="auto" w:before="31"/>
        <w:ind w:left="142" w:right="95"/>
        <w:jc w:val="left"/>
        <w:rPr>
          <w:rFonts w:ascii="黑体" w:hAnsi="黑体" w:cs="黑体" w:eastAsia="黑体" w:hint="default"/>
        </w:rPr>
      </w:pPr>
      <w:r>
        <w:rPr>
          <w:rFonts w:ascii="黑体" w:hAnsi="黑体" w:cs="黑体" w:eastAsia="黑体" w:hint="default"/>
          <w:w w:val="95"/>
        </w:rPr>
        <w:t>十</w:t>
        <w:tab/>
      </w:r>
      <w:r>
        <w:rPr>
          <w:rFonts w:ascii="黑体" w:hAnsi="黑体" w:cs="黑体" w:eastAsia="黑体" w:hint="default"/>
        </w:rPr>
        <w:t>承诺事项（续）</w:t>
      </w:r>
    </w:p>
    <w:p>
      <w:pPr>
        <w:spacing w:line="240" w:lineRule="auto" w:before="1"/>
        <w:rPr>
          <w:rFonts w:ascii="黑体" w:hAnsi="黑体" w:cs="黑体" w:eastAsia="黑体" w:hint="default"/>
          <w:sz w:val="19"/>
          <w:szCs w:val="19"/>
        </w:rPr>
      </w:pPr>
    </w:p>
    <w:p>
      <w:pPr>
        <w:pStyle w:val="BodyText"/>
        <w:tabs>
          <w:tab w:pos="763" w:val="left" w:leader="none"/>
        </w:tabs>
        <w:spacing w:line="240" w:lineRule="auto"/>
        <w:ind w:left="142" w:right="95"/>
        <w:jc w:val="left"/>
      </w:pPr>
      <w:r>
        <w:rPr>
          <w:rFonts w:ascii="Arial" w:hAnsi="Arial" w:cs="Arial" w:eastAsia="Arial" w:hint="default"/>
          <w:w w:val="95"/>
        </w:rPr>
        <w:t>3</w:t>
      </w:r>
      <w:r>
        <w:rPr>
          <w:w w:val="95"/>
        </w:rPr>
        <w:t>、</w:t>
        <w:tab/>
      </w:r>
      <w:r>
        <w:rPr/>
        <w:t>前期承诺履行情况</w:t>
      </w:r>
    </w:p>
    <w:p>
      <w:pPr>
        <w:pStyle w:val="BodyText"/>
        <w:spacing w:line="240" w:lineRule="auto" w:before="183"/>
        <w:ind w:left="764" w:right="95"/>
        <w:jc w:val="left"/>
      </w:pPr>
      <w:r>
        <w:rPr/>
        <w:t>本集团</w:t>
      </w:r>
      <w:r>
        <w:rPr>
          <w:spacing w:val="-58"/>
        </w:rPr>
        <w:t> </w:t>
      </w:r>
      <w:r>
        <w:rPr>
          <w:rFonts w:ascii="Arial" w:hAnsi="Arial" w:cs="Arial" w:eastAsia="Arial" w:hint="default"/>
        </w:rPr>
        <w:t>2012</w:t>
      </w:r>
      <w:r>
        <w:rPr>
          <w:rFonts w:ascii="Arial" w:hAnsi="Arial" w:cs="Arial" w:eastAsia="Arial" w:hint="default"/>
          <w:spacing w:val="-9"/>
        </w:rPr>
        <w:t> </w:t>
      </w:r>
      <w:r>
        <w:rPr/>
        <w:t>年</w:t>
      </w:r>
      <w:r>
        <w:rPr>
          <w:spacing w:val="-58"/>
        </w:rPr>
        <w:t> </w:t>
      </w:r>
      <w:r>
        <w:rPr>
          <w:rFonts w:ascii="Arial" w:hAnsi="Arial" w:cs="Arial" w:eastAsia="Arial" w:hint="default"/>
        </w:rPr>
        <w:t>12</w:t>
      </w:r>
      <w:r>
        <w:rPr>
          <w:rFonts w:ascii="Arial" w:hAnsi="Arial" w:cs="Arial" w:eastAsia="Arial" w:hint="default"/>
          <w:spacing w:val="-9"/>
        </w:rPr>
        <w:t> </w:t>
      </w:r>
      <w:r>
        <w:rPr/>
        <w:t>月</w:t>
      </w:r>
      <w:r>
        <w:rPr>
          <w:spacing w:val="-58"/>
        </w:rPr>
        <w:t> </w:t>
      </w:r>
      <w:r>
        <w:rPr>
          <w:rFonts w:ascii="Arial" w:hAnsi="Arial" w:cs="Arial" w:eastAsia="Arial" w:hint="default"/>
        </w:rPr>
        <w:t>31</w:t>
      </w:r>
      <w:r>
        <w:rPr>
          <w:rFonts w:ascii="Arial" w:hAnsi="Arial" w:cs="Arial" w:eastAsia="Arial" w:hint="default"/>
          <w:spacing w:val="-9"/>
        </w:rPr>
        <w:t> </w:t>
      </w:r>
      <w:r>
        <w:rPr/>
        <w:t>日之资本性支出承诺及经营租赁承诺基本已按照之前承诺履行。</w:t>
      </w:r>
    </w:p>
    <w:p>
      <w:pPr>
        <w:spacing w:line="240" w:lineRule="auto" w:before="12"/>
        <w:rPr>
          <w:rFonts w:ascii="宋体" w:hAnsi="宋体" w:cs="宋体" w:eastAsia="宋体" w:hint="default"/>
          <w:sz w:val="17"/>
          <w:szCs w:val="17"/>
        </w:rPr>
      </w:pPr>
    </w:p>
    <w:p>
      <w:pPr>
        <w:pStyle w:val="BodyText"/>
        <w:tabs>
          <w:tab w:pos="763" w:val="left" w:leader="none"/>
        </w:tabs>
        <w:spacing w:line="240" w:lineRule="auto"/>
        <w:ind w:left="114" w:right="95"/>
        <w:jc w:val="left"/>
        <w:rPr>
          <w:rFonts w:ascii="黑体" w:hAnsi="黑体" w:cs="黑体" w:eastAsia="黑体" w:hint="default"/>
        </w:rPr>
      </w:pPr>
      <w:r>
        <w:rPr>
          <w:rFonts w:ascii="黑体" w:hAnsi="黑体" w:cs="黑体" w:eastAsia="黑体" w:hint="default"/>
          <w:w w:val="95"/>
        </w:rPr>
        <w:t>十一</w:t>
        <w:tab/>
      </w:r>
      <w:r>
        <w:rPr>
          <w:rFonts w:ascii="黑体" w:hAnsi="黑体" w:cs="黑体" w:eastAsia="黑体" w:hint="default"/>
        </w:rPr>
        <w:t>资产负债表日后事项</w:t>
      </w:r>
    </w:p>
    <w:p>
      <w:pPr>
        <w:spacing w:line="240" w:lineRule="auto" w:before="2"/>
        <w:rPr>
          <w:rFonts w:ascii="黑体" w:hAnsi="黑体" w:cs="黑体" w:eastAsia="黑体" w:hint="default"/>
          <w:sz w:val="19"/>
          <w:szCs w:val="19"/>
        </w:rPr>
      </w:pPr>
    </w:p>
    <w:p>
      <w:pPr>
        <w:pStyle w:val="BodyText"/>
        <w:spacing w:line="240" w:lineRule="auto"/>
        <w:ind w:left="771" w:right="95"/>
        <w:jc w:val="left"/>
      </w:pPr>
      <w:r>
        <w:rPr/>
        <w:t>资产负债表日后利润分配情况</w:t>
      </w:r>
    </w:p>
    <w:p>
      <w:pPr>
        <w:spacing w:line="240" w:lineRule="auto" w:before="1"/>
        <w:rPr>
          <w:rFonts w:ascii="宋体" w:hAnsi="宋体" w:cs="宋体" w:eastAsia="宋体" w:hint="default"/>
          <w:sz w:val="19"/>
          <w:szCs w:val="19"/>
        </w:rPr>
      </w:pPr>
    </w:p>
    <w:p>
      <w:pPr>
        <w:pStyle w:val="BodyText"/>
        <w:spacing w:line="295" w:lineRule="exact"/>
        <w:ind w:left="772" w:right="95"/>
        <w:jc w:val="left"/>
      </w:pPr>
      <w:r>
        <w:rPr/>
        <w:t>根据</w:t>
      </w:r>
      <w:r>
        <w:rPr>
          <w:spacing w:val="-57"/>
        </w:rPr>
        <w:t> </w:t>
      </w:r>
      <w:r>
        <w:rPr>
          <w:rFonts w:ascii="Arial" w:hAnsi="Arial" w:cs="Arial" w:eastAsia="Arial" w:hint="default"/>
        </w:rPr>
        <w:t>2013</w:t>
      </w:r>
      <w:r>
        <w:rPr>
          <w:rFonts w:ascii="Arial" w:hAnsi="Arial" w:cs="Arial" w:eastAsia="Arial" w:hint="default"/>
          <w:spacing w:val="-8"/>
        </w:rPr>
        <w:t> </w:t>
      </w:r>
      <w:r>
        <w:rPr/>
        <w:t>年</w:t>
      </w:r>
      <w:r>
        <w:rPr>
          <w:spacing w:val="-57"/>
        </w:rPr>
        <w:t> </w:t>
      </w:r>
      <w:r>
        <w:rPr>
          <w:rFonts w:ascii="Arial" w:hAnsi="Arial" w:cs="Arial" w:eastAsia="Arial" w:hint="default"/>
        </w:rPr>
        <w:t>3</w:t>
      </w:r>
      <w:r>
        <w:rPr>
          <w:rFonts w:ascii="Arial" w:hAnsi="Arial" w:cs="Arial" w:eastAsia="Arial" w:hint="default"/>
          <w:spacing w:val="-8"/>
        </w:rPr>
        <w:t> </w:t>
      </w:r>
      <w:r>
        <w:rPr/>
        <w:t>月</w:t>
      </w:r>
      <w:r>
        <w:rPr>
          <w:spacing w:val="-57"/>
        </w:rPr>
        <w:t> </w:t>
      </w:r>
      <w:r>
        <w:rPr>
          <w:rFonts w:ascii="Arial" w:hAnsi="Arial" w:cs="Arial" w:eastAsia="Arial" w:hint="default"/>
        </w:rPr>
        <w:t>21</w:t>
      </w:r>
      <w:r>
        <w:rPr>
          <w:rFonts w:ascii="Arial" w:hAnsi="Arial" w:cs="Arial" w:eastAsia="Arial" w:hint="default"/>
          <w:spacing w:val="-8"/>
        </w:rPr>
        <w:t> </w:t>
      </w:r>
      <w:r>
        <w:rPr/>
        <w:t>日董事会决议，董事会提议本公司以</w:t>
      </w:r>
      <w:r>
        <w:rPr>
          <w:spacing w:val="-55"/>
        </w:rPr>
        <w:t> </w:t>
      </w:r>
      <w:r>
        <w:rPr>
          <w:rFonts w:ascii="Arial" w:hAnsi="Arial" w:cs="Arial" w:eastAsia="Arial" w:hint="default"/>
        </w:rPr>
        <w:t>2012</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日的股本为基准</w:t>
      </w:r>
    </w:p>
    <w:p>
      <w:pPr>
        <w:pStyle w:val="BodyText"/>
        <w:spacing w:line="286" w:lineRule="exact" w:before="19"/>
        <w:ind w:left="772" w:right="95"/>
        <w:jc w:val="left"/>
      </w:pPr>
      <w:r>
        <w:rPr/>
        <w:t>向全体股东分配每</w:t>
      </w:r>
      <w:r>
        <w:rPr>
          <w:spacing w:val="-48"/>
        </w:rPr>
        <w:t> </w:t>
      </w:r>
      <w:r>
        <w:rPr>
          <w:rFonts w:ascii="Arial" w:hAnsi="Arial" w:cs="Arial" w:eastAsia="Arial" w:hint="default"/>
        </w:rPr>
        <w:t>10 </w:t>
      </w:r>
      <w:r>
        <w:rPr/>
        <w:t>股股利人民币</w:t>
      </w:r>
      <w:r>
        <w:rPr>
          <w:spacing w:val="-48"/>
        </w:rPr>
        <w:t> </w:t>
      </w:r>
      <w:r>
        <w:rPr>
          <w:rFonts w:ascii="Arial" w:hAnsi="Arial" w:cs="Arial" w:eastAsia="Arial" w:hint="default"/>
        </w:rPr>
        <w:t>0.399 </w:t>
      </w:r>
      <w:r>
        <w:rPr/>
        <w:t>元（含税），合计约人民币</w:t>
      </w:r>
      <w:r>
        <w:rPr>
          <w:spacing w:val="-47"/>
        </w:rPr>
        <w:t> </w:t>
      </w:r>
      <w:r>
        <w:rPr>
          <w:rFonts w:ascii="Arial" w:hAnsi="Arial" w:cs="Arial" w:eastAsia="Arial" w:hint="default"/>
        </w:rPr>
        <w:t>8.46 </w:t>
      </w:r>
      <w:r>
        <w:rPr/>
        <w:t>亿元。该股利分</w:t>
      </w:r>
      <w:r>
        <w:rPr>
          <w:w w:val="99"/>
        </w:rPr>
        <w:t> </w:t>
      </w:r>
      <w:r>
        <w:rPr/>
        <w:t>配预案尚待本公司股东大会批准，故未在本财务报表中确认为负债。</w:t>
      </w:r>
    </w:p>
    <w:p>
      <w:pPr>
        <w:spacing w:line="240" w:lineRule="auto" w:before="2"/>
        <w:rPr>
          <w:rFonts w:ascii="宋体" w:hAnsi="宋体" w:cs="宋体" w:eastAsia="宋体" w:hint="default"/>
          <w:sz w:val="17"/>
          <w:szCs w:val="17"/>
        </w:rPr>
      </w:pPr>
    </w:p>
    <w:p>
      <w:pPr>
        <w:pStyle w:val="BodyText"/>
        <w:spacing w:line="240" w:lineRule="auto"/>
        <w:ind w:left="142" w:right="95"/>
        <w:jc w:val="left"/>
        <w:rPr>
          <w:rFonts w:ascii="黑体" w:hAnsi="黑体" w:cs="黑体" w:eastAsia="黑体" w:hint="default"/>
        </w:rPr>
      </w:pPr>
      <w:r>
        <w:rPr>
          <w:rFonts w:ascii="黑体" w:hAnsi="黑体" w:cs="黑体" w:eastAsia="黑体" w:hint="default"/>
        </w:rPr>
        <w:t>十二</w:t>
      </w:r>
      <w:r>
        <w:rPr>
          <w:rFonts w:ascii="黑体" w:hAnsi="黑体" w:cs="黑体" w:eastAsia="黑体" w:hint="default"/>
          <w:spacing w:val="69"/>
        </w:rPr>
        <w:t> </w:t>
      </w:r>
      <w:r>
        <w:rPr>
          <w:rFonts w:ascii="黑体" w:hAnsi="黑体" w:cs="黑体" w:eastAsia="黑体" w:hint="default"/>
        </w:rPr>
        <w:t>融资租赁</w:t>
      </w:r>
    </w:p>
    <w:p>
      <w:pPr>
        <w:spacing w:line="240" w:lineRule="auto" w:before="1"/>
        <w:rPr>
          <w:rFonts w:ascii="黑体" w:hAnsi="黑体" w:cs="黑体" w:eastAsia="黑体" w:hint="default"/>
          <w:sz w:val="19"/>
          <w:szCs w:val="19"/>
        </w:rPr>
      </w:pPr>
    </w:p>
    <w:p>
      <w:pPr>
        <w:pStyle w:val="BodyText"/>
        <w:spacing w:line="240" w:lineRule="auto"/>
        <w:ind w:left="772" w:right="95"/>
        <w:jc w:val="left"/>
      </w:pPr>
      <w:r>
        <w:rPr/>
        <w:t>本集团通过融资租赁租入固定资产（附注五</w:t>
      </w:r>
      <w:r>
        <w:rPr>
          <w:spacing w:val="-67"/>
        </w:rPr>
        <w:t> </w:t>
      </w:r>
      <w:r>
        <w:rPr>
          <w:rFonts w:ascii="Arial" w:hAnsi="Arial" w:cs="Arial" w:eastAsia="Arial" w:hint="default"/>
        </w:rPr>
        <w:t>10(a)</w:t>
      </w:r>
      <w:r>
        <w:rPr/>
        <w:t>），未来应支付租金汇总如下：</w:t>
      </w:r>
    </w:p>
    <w:p>
      <w:pPr>
        <w:spacing w:line="240" w:lineRule="auto" w:before="2"/>
        <w:rPr>
          <w:rFonts w:ascii="宋体" w:hAnsi="宋体" w:cs="宋体" w:eastAsia="宋体" w:hint="default"/>
          <w:sz w:val="23"/>
          <w:szCs w:val="23"/>
        </w:rPr>
      </w:pPr>
    </w:p>
    <w:tbl>
      <w:tblPr>
        <w:tblW w:w="0" w:type="auto"/>
        <w:jc w:val="left"/>
        <w:tblInd w:w="590" w:type="dxa"/>
        <w:tblLayout w:type="fixed"/>
        <w:tblCellMar>
          <w:top w:w="0" w:type="dxa"/>
          <w:left w:w="0" w:type="dxa"/>
          <w:bottom w:w="0" w:type="dxa"/>
          <w:right w:w="0" w:type="dxa"/>
        </w:tblCellMar>
        <w:tblLook w:val="01E0"/>
      </w:tblPr>
      <w:tblGrid>
        <w:gridCol w:w="3520"/>
        <w:gridCol w:w="2693"/>
        <w:gridCol w:w="290"/>
        <w:gridCol w:w="2545"/>
      </w:tblGrid>
      <w:tr>
        <w:trPr>
          <w:trHeight w:val="260" w:hRule="exact"/>
        </w:trPr>
        <w:tc>
          <w:tcPr>
            <w:tcW w:w="3520"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6" w:space="0" w:color="000000"/>
              <w:right w:val="nil" w:sz="6" w:space="0" w:color="auto"/>
            </w:tcBorders>
          </w:tcPr>
          <w:p>
            <w:pPr>
              <w:pStyle w:val="TableParagraph"/>
              <w:spacing w:line="235" w:lineRule="exact"/>
              <w:ind w:left="670" w:right="0"/>
              <w:jc w:val="lef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90" w:type="dxa"/>
            <w:tcBorders>
              <w:top w:val="nil" w:sz="6" w:space="0" w:color="auto"/>
              <w:left w:val="nil" w:sz="6" w:space="0" w:color="auto"/>
              <w:bottom w:val="nil" w:sz="6" w:space="0" w:color="auto"/>
              <w:right w:val="nil" w:sz="6" w:space="0" w:color="auto"/>
            </w:tcBorders>
          </w:tcPr>
          <w:p>
            <w:pPr/>
          </w:p>
        </w:tc>
        <w:tc>
          <w:tcPr>
            <w:tcW w:w="2545" w:type="dxa"/>
            <w:tcBorders>
              <w:top w:val="nil" w:sz="6" w:space="0" w:color="auto"/>
              <w:left w:val="nil" w:sz="6" w:space="0" w:color="auto"/>
              <w:bottom w:val="single" w:sz="6" w:space="0" w:color="000000"/>
              <w:right w:val="nil" w:sz="6" w:space="0" w:color="auto"/>
            </w:tcBorders>
          </w:tcPr>
          <w:p>
            <w:pPr>
              <w:pStyle w:val="TableParagraph"/>
              <w:spacing w:line="235" w:lineRule="exact"/>
              <w:ind w:right="107"/>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9"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8"/>
                <w:sz w:val="22"/>
                <w:szCs w:val="22"/>
              </w:rPr>
              <w:t> </w:t>
            </w:r>
            <w:r>
              <w:rPr>
                <w:rFonts w:ascii="宋体" w:hAnsi="宋体" w:cs="宋体" w:eastAsia="宋体" w:hint="default"/>
                <w:sz w:val="22"/>
                <w:szCs w:val="22"/>
              </w:rPr>
              <w:t>年以内</w:t>
            </w:r>
          </w:p>
        </w:tc>
        <w:tc>
          <w:tcPr>
            <w:tcW w:w="2693"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362" w:right="0"/>
              <w:jc w:val="left"/>
              <w:rPr>
                <w:rFonts w:ascii="Arial" w:hAnsi="Arial" w:cs="Arial" w:eastAsia="Arial" w:hint="default"/>
                <w:sz w:val="22"/>
                <w:szCs w:val="22"/>
              </w:rPr>
            </w:pPr>
            <w:r>
              <w:rPr>
                <w:rFonts w:ascii="Arial"/>
                <w:sz w:val="22"/>
              </w:rPr>
              <w:t>127,508,142</w:t>
            </w:r>
          </w:p>
        </w:tc>
        <w:tc>
          <w:tcPr>
            <w:tcW w:w="290" w:type="dxa"/>
            <w:tcBorders>
              <w:top w:val="nil" w:sz="6" w:space="0" w:color="auto"/>
              <w:left w:val="nil" w:sz="6" w:space="0" w:color="auto"/>
              <w:bottom w:val="nil" w:sz="6" w:space="0" w:color="auto"/>
              <w:right w:val="nil" w:sz="6" w:space="0" w:color="auto"/>
            </w:tcBorders>
          </w:tcPr>
          <w:p>
            <w:pPr/>
          </w:p>
        </w:tc>
        <w:tc>
          <w:tcPr>
            <w:tcW w:w="2545"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15"/>
              <w:jc w:val="right"/>
              <w:rPr>
                <w:rFonts w:ascii="Arial" w:hAnsi="Arial" w:cs="Arial" w:eastAsia="Arial" w:hint="default"/>
                <w:sz w:val="22"/>
                <w:szCs w:val="22"/>
              </w:rPr>
            </w:pPr>
            <w:r>
              <w:rPr>
                <w:rFonts w:ascii="Arial"/>
                <w:w w:val="95"/>
                <w:sz w:val="22"/>
              </w:rPr>
              <w:t>78,150,630</w:t>
            </w:r>
            <w:r>
              <w:rPr>
                <w:rFonts w:ascii="Arial"/>
                <w:sz w:val="22"/>
              </w:rPr>
            </w:r>
          </w:p>
        </w:tc>
      </w:tr>
      <w:tr>
        <w:trPr>
          <w:trHeight w:val="285"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7"/>
                <w:sz w:val="22"/>
                <w:szCs w:val="22"/>
              </w:rPr>
              <w:t> </w:t>
            </w:r>
            <w:r>
              <w:rPr>
                <w:rFonts w:ascii="宋体" w:hAnsi="宋体" w:cs="宋体" w:eastAsia="宋体" w:hint="default"/>
                <w:sz w:val="22"/>
                <w:szCs w:val="22"/>
              </w:rPr>
              <w:t>到</w:t>
            </w:r>
            <w:r>
              <w:rPr>
                <w:rFonts w:ascii="宋体" w:hAnsi="宋体" w:cs="宋体" w:eastAsia="宋体" w:hint="default"/>
                <w:spacing w:val="-56"/>
                <w:sz w:val="22"/>
                <w:szCs w:val="22"/>
              </w:rPr>
              <w:t> </w:t>
            </w:r>
            <w:r>
              <w:rPr>
                <w:rFonts w:ascii="Arial" w:hAnsi="Arial" w:cs="Arial" w:eastAsia="Arial" w:hint="default"/>
                <w:sz w:val="22"/>
                <w:szCs w:val="22"/>
              </w:rPr>
              <w:t>2</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362" w:right="0"/>
              <w:jc w:val="left"/>
              <w:rPr>
                <w:rFonts w:ascii="Arial" w:hAnsi="Arial" w:cs="Arial" w:eastAsia="Arial" w:hint="default"/>
                <w:sz w:val="22"/>
                <w:szCs w:val="22"/>
              </w:rPr>
            </w:pPr>
            <w:r>
              <w:rPr>
                <w:rFonts w:ascii="Arial"/>
                <w:sz w:val="22"/>
              </w:rPr>
              <w:t>127,508,142</w:t>
            </w:r>
          </w:p>
        </w:tc>
        <w:tc>
          <w:tcPr>
            <w:tcW w:w="290" w:type="dxa"/>
            <w:tcBorders>
              <w:top w:val="nil" w:sz="6" w:space="0" w:color="auto"/>
              <w:left w:val="nil" w:sz="6" w:space="0" w:color="auto"/>
              <w:bottom w:val="nil" w:sz="6" w:space="0" w:color="auto"/>
              <w:right w:val="nil" w:sz="6" w:space="0" w:color="auto"/>
            </w:tcBorders>
          </w:tcPr>
          <w:p>
            <w:pPr/>
          </w:p>
        </w:tc>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5"/>
              <w:jc w:val="right"/>
              <w:rPr>
                <w:rFonts w:ascii="Arial" w:hAnsi="Arial" w:cs="Arial" w:eastAsia="Arial" w:hint="default"/>
                <w:sz w:val="22"/>
                <w:szCs w:val="22"/>
              </w:rPr>
            </w:pPr>
            <w:r>
              <w:rPr>
                <w:rFonts w:ascii="Arial"/>
                <w:w w:val="99"/>
                <w:sz w:val="22"/>
              </w:rPr>
              <w:t>-</w:t>
            </w:r>
            <w:r>
              <w:rPr>
                <w:rFonts w:ascii="Arial"/>
                <w:sz w:val="22"/>
              </w:rPr>
            </w:r>
          </w:p>
        </w:tc>
      </w:tr>
      <w:tr>
        <w:trPr>
          <w:trHeight w:val="419"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2</w:t>
            </w:r>
            <w:r>
              <w:rPr>
                <w:rFonts w:ascii="Arial" w:hAnsi="Arial" w:cs="Arial" w:eastAsia="Arial" w:hint="default"/>
                <w:spacing w:val="-7"/>
                <w:sz w:val="22"/>
                <w:szCs w:val="22"/>
              </w:rPr>
              <w:t> </w:t>
            </w:r>
            <w:r>
              <w:rPr>
                <w:rFonts w:ascii="宋体" w:hAnsi="宋体" w:cs="宋体" w:eastAsia="宋体" w:hint="default"/>
                <w:sz w:val="22"/>
                <w:szCs w:val="22"/>
              </w:rPr>
              <w:t>到</w:t>
            </w:r>
            <w:r>
              <w:rPr>
                <w:rFonts w:ascii="宋体" w:hAnsi="宋体" w:cs="宋体" w:eastAsia="宋体" w:hint="default"/>
                <w:spacing w:val="-56"/>
                <w:sz w:val="22"/>
                <w:szCs w:val="22"/>
              </w:rPr>
              <w:t> </w:t>
            </w:r>
            <w:r>
              <w:rPr>
                <w:rFonts w:ascii="Arial" w:hAnsi="Arial" w:cs="Arial" w:eastAsia="Arial" w:hint="default"/>
                <w:sz w:val="22"/>
                <w:szCs w:val="22"/>
              </w:rPr>
              <w:t>3</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693" w:type="dxa"/>
            <w:tcBorders>
              <w:top w:val="nil" w:sz="6" w:space="0" w:color="auto"/>
              <w:left w:val="nil" w:sz="6" w:space="0" w:color="auto"/>
              <w:bottom w:val="nil" w:sz="6" w:space="0" w:color="auto"/>
              <w:right w:val="nil" w:sz="6" w:space="0" w:color="auto"/>
            </w:tcBorders>
          </w:tcPr>
          <w:p>
            <w:pPr>
              <w:pStyle w:val="TableParagraph"/>
              <w:tabs>
                <w:tab w:pos="1483" w:val="left" w:leader="none"/>
                <w:tab w:pos="2693" w:val="left" w:leader="none"/>
              </w:tabs>
              <w:spacing w:line="240" w:lineRule="auto" w:before="17"/>
              <w:ind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89,404,804</w:t>
              <w:tab/>
            </w:r>
            <w:r>
              <w:rPr>
                <w:rFonts w:ascii="Arial"/>
                <w:sz w:val="22"/>
              </w:rPr>
            </w:r>
          </w:p>
        </w:tc>
        <w:tc>
          <w:tcPr>
            <w:tcW w:w="290" w:type="dxa"/>
            <w:tcBorders>
              <w:top w:val="nil" w:sz="6" w:space="0" w:color="auto"/>
              <w:left w:val="nil" w:sz="6" w:space="0" w:color="auto"/>
              <w:bottom w:val="nil" w:sz="6" w:space="0" w:color="auto"/>
              <w:right w:val="nil" w:sz="6" w:space="0" w:color="auto"/>
            </w:tcBorders>
          </w:tcPr>
          <w:p>
            <w:pPr/>
          </w:p>
        </w:tc>
        <w:tc>
          <w:tcPr>
            <w:tcW w:w="2545" w:type="dxa"/>
            <w:tcBorders>
              <w:top w:val="nil" w:sz="6" w:space="0" w:color="auto"/>
              <w:left w:val="nil" w:sz="6" w:space="0" w:color="auto"/>
              <w:bottom w:val="nil" w:sz="6" w:space="0" w:color="auto"/>
              <w:right w:val="nil" w:sz="6" w:space="0" w:color="auto"/>
            </w:tcBorders>
          </w:tcPr>
          <w:p>
            <w:pPr>
              <w:pStyle w:val="TableParagraph"/>
              <w:tabs>
                <w:tab w:pos="2347" w:val="left" w:leader="none"/>
                <w:tab w:pos="2537"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sz w:val="22"/>
                <w:u w:val="single" w:color="000000"/>
              </w:rPr>
              <w:tab/>
            </w:r>
            <w:r>
              <w:rPr>
                <w:rFonts w:ascii="Arial"/>
                <w:sz w:val="22"/>
              </w:rPr>
            </w:r>
          </w:p>
        </w:tc>
      </w:tr>
      <w:tr>
        <w:trPr>
          <w:trHeight w:val="431"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693"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left="1362" w:right="0"/>
              <w:jc w:val="left"/>
              <w:rPr>
                <w:rFonts w:ascii="Arial" w:hAnsi="Arial" w:cs="Arial" w:eastAsia="Arial" w:hint="default"/>
                <w:sz w:val="22"/>
                <w:szCs w:val="22"/>
              </w:rPr>
            </w:pPr>
            <w:r>
              <w:rPr>
                <w:rFonts w:ascii="Arial"/>
                <w:sz w:val="22"/>
              </w:rPr>
              <w:t>344,421,088</w:t>
            </w:r>
          </w:p>
        </w:tc>
        <w:tc>
          <w:tcPr>
            <w:tcW w:w="290" w:type="dxa"/>
            <w:tcBorders>
              <w:top w:val="nil" w:sz="6" w:space="0" w:color="auto"/>
              <w:left w:val="nil" w:sz="6" w:space="0" w:color="auto"/>
              <w:bottom w:val="nil" w:sz="6" w:space="0" w:color="auto"/>
              <w:right w:val="nil" w:sz="6" w:space="0" w:color="auto"/>
            </w:tcBorders>
          </w:tcPr>
          <w:p>
            <w:pPr/>
          </w:p>
        </w:tc>
        <w:tc>
          <w:tcPr>
            <w:tcW w:w="2545" w:type="dxa"/>
            <w:tcBorders>
              <w:top w:val="nil" w:sz="6" w:space="0" w:color="auto"/>
              <w:left w:val="nil" w:sz="6" w:space="0" w:color="auto"/>
              <w:bottom w:val="single" w:sz="17" w:space="0" w:color="000000"/>
              <w:right w:val="nil" w:sz="6" w:space="0" w:color="auto"/>
            </w:tcBorders>
          </w:tcPr>
          <w:p>
            <w:pPr>
              <w:pStyle w:val="TableParagraph"/>
              <w:spacing w:line="240" w:lineRule="auto" w:before="151"/>
              <w:ind w:right="115"/>
              <w:jc w:val="right"/>
              <w:rPr>
                <w:rFonts w:ascii="Arial" w:hAnsi="Arial" w:cs="Arial" w:eastAsia="Arial" w:hint="default"/>
                <w:sz w:val="22"/>
                <w:szCs w:val="22"/>
              </w:rPr>
            </w:pPr>
            <w:r>
              <w:rPr>
                <w:rFonts w:ascii="Arial"/>
                <w:w w:val="95"/>
                <w:sz w:val="22"/>
              </w:rPr>
              <w:t>78,150,630</w:t>
            </w:r>
            <w:r>
              <w:rPr>
                <w:rFonts w:ascii="Arial"/>
                <w:sz w:val="22"/>
              </w:rPr>
            </w:r>
          </w:p>
        </w:tc>
      </w:tr>
    </w:tbl>
    <w:p>
      <w:pPr>
        <w:spacing w:line="240" w:lineRule="auto" w:before="1"/>
        <w:rPr>
          <w:rFonts w:ascii="宋体" w:hAnsi="宋体" w:cs="宋体" w:eastAsia="宋体" w:hint="default"/>
          <w:sz w:val="14"/>
          <w:szCs w:val="14"/>
        </w:rPr>
      </w:pPr>
    </w:p>
    <w:p>
      <w:pPr>
        <w:pStyle w:val="BodyText"/>
        <w:spacing w:line="295" w:lineRule="exact" w:before="31"/>
        <w:ind w:left="772" w:right="0"/>
        <w:jc w:val="left"/>
      </w:pPr>
      <w:r>
        <w:rPr>
          <w:w w:val="99"/>
        </w:rPr>
        <w:t>于</w:t>
      </w:r>
      <w:r>
        <w:rPr>
          <w:spacing w:val="-55"/>
        </w:rPr>
        <w:t> </w:t>
      </w:r>
      <w:r>
        <w:rPr>
          <w:rFonts w:ascii="Arial" w:hAnsi="Arial" w:cs="Arial" w:eastAsia="Arial" w:hint="default"/>
          <w:w w:val="99"/>
        </w:rPr>
        <w:t>2012</w:t>
      </w:r>
      <w:r>
        <w:rPr>
          <w:rFonts w:ascii="Arial" w:hAnsi="Arial" w:cs="Arial" w:eastAsia="Arial" w:hint="default"/>
          <w:spacing w:val="-6"/>
        </w:rPr>
        <w:t> </w:t>
      </w:r>
      <w:r>
        <w:rPr>
          <w:w w:val="99"/>
        </w:rPr>
        <w:t>年</w:t>
      </w:r>
      <w:r>
        <w:rPr>
          <w:spacing w:val="-55"/>
        </w:rPr>
        <w:t> </w:t>
      </w:r>
      <w:r>
        <w:rPr>
          <w:rFonts w:ascii="Arial" w:hAnsi="Arial" w:cs="Arial" w:eastAsia="Arial" w:hint="default"/>
          <w:w w:val="99"/>
        </w:rPr>
        <w:t>12</w:t>
      </w:r>
      <w:r>
        <w:rPr>
          <w:rFonts w:ascii="Arial" w:hAnsi="Arial" w:cs="Arial" w:eastAsia="Arial" w:hint="default"/>
          <w:spacing w:val="-6"/>
        </w:rPr>
        <w:t> </w:t>
      </w:r>
      <w:r>
        <w:rPr>
          <w:w w:val="99"/>
        </w:rPr>
        <w:t>月</w:t>
      </w:r>
      <w:r>
        <w:rPr>
          <w:spacing w:val="-55"/>
        </w:rPr>
        <w:t> </w:t>
      </w:r>
      <w:r>
        <w:rPr>
          <w:rFonts w:ascii="Arial" w:hAnsi="Arial" w:cs="Arial" w:eastAsia="Arial" w:hint="default"/>
          <w:w w:val="99"/>
        </w:rPr>
        <w:t>31</w:t>
      </w:r>
      <w:r>
        <w:rPr>
          <w:rFonts w:ascii="Arial" w:hAnsi="Arial" w:cs="Arial" w:eastAsia="Arial" w:hint="default"/>
          <w:spacing w:val="-6"/>
        </w:rPr>
        <w:t> </w:t>
      </w:r>
      <w:r>
        <w:rPr>
          <w:w w:val="99"/>
        </w:rPr>
        <w:t>日</w:t>
      </w:r>
      <w:r>
        <w:rPr>
          <w:spacing w:val="-92"/>
          <w:w w:val="99"/>
        </w:rPr>
        <w:t>，</w:t>
      </w:r>
      <w:r>
        <w:rPr>
          <w:w w:val="99"/>
        </w:rPr>
        <w:t>未确认的融资费用余</w:t>
      </w:r>
      <w:r>
        <w:rPr>
          <w:spacing w:val="2"/>
          <w:w w:val="99"/>
        </w:rPr>
        <w:t>额</w:t>
      </w:r>
      <w:r>
        <w:rPr>
          <w:w w:val="99"/>
        </w:rPr>
        <w:t>约为人民币</w:t>
      </w:r>
      <w:r>
        <w:rPr>
          <w:spacing w:val="-54"/>
        </w:rPr>
        <w:t> </w:t>
      </w:r>
      <w:r>
        <w:rPr>
          <w:rFonts w:ascii="Arial" w:hAnsi="Arial" w:cs="Arial" w:eastAsia="Arial" w:hint="default"/>
          <w:w w:val="99"/>
        </w:rPr>
        <w:t>1,779</w:t>
      </w:r>
      <w:r>
        <w:rPr>
          <w:rFonts w:ascii="Arial" w:hAnsi="Arial" w:cs="Arial" w:eastAsia="Arial" w:hint="default"/>
          <w:spacing w:val="-6"/>
        </w:rPr>
        <w:t> </w:t>
      </w:r>
      <w:r>
        <w:rPr>
          <w:w w:val="99"/>
        </w:rPr>
        <w:t>万</w:t>
      </w:r>
      <w:r>
        <w:rPr>
          <w:spacing w:val="-92"/>
          <w:w w:val="99"/>
        </w:rPr>
        <w:t>元</w:t>
      </w:r>
      <w:r>
        <w:rPr>
          <w:w w:val="99"/>
        </w:rPr>
        <w:t>（</w:t>
      </w:r>
      <w:r>
        <w:rPr>
          <w:rFonts w:ascii="Arial" w:hAnsi="Arial" w:cs="Arial" w:eastAsia="Arial" w:hint="default"/>
          <w:w w:val="99"/>
        </w:rPr>
        <w:t>2011</w:t>
      </w:r>
      <w:r>
        <w:rPr>
          <w:rFonts w:ascii="Arial" w:hAnsi="Arial" w:cs="Arial" w:eastAsia="Arial" w:hint="default"/>
          <w:spacing w:val="-6"/>
        </w:rPr>
        <w:t> </w:t>
      </w:r>
      <w:r>
        <w:rPr>
          <w:w w:val="99"/>
        </w:rPr>
        <w:t>年</w:t>
      </w:r>
      <w:r>
        <w:rPr>
          <w:spacing w:val="-55"/>
        </w:rPr>
        <w:t> </w:t>
      </w:r>
      <w:r>
        <w:rPr>
          <w:rFonts w:ascii="Arial" w:hAnsi="Arial" w:cs="Arial" w:eastAsia="Arial" w:hint="default"/>
          <w:w w:val="99"/>
        </w:rPr>
        <w:t>12</w:t>
      </w:r>
      <w:r>
        <w:rPr>
          <w:rFonts w:ascii="Arial" w:hAnsi="Arial" w:cs="Arial" w:eastAsia="Arial" w:hint="default"/>
          <w:spacing w:val="-6"/>
        </w:rPr>
        <w:t> </w:t>
      </w:r>
      <w:r>
        <w:rPr>
          <w:w w:val="99"/>
        </w:rPr>
        <w:t>月</w:t>
      </w:r>
      <w:r>
        <w:rPr>
          <w:spacing w:val="-55"/>
        </w:rPr>
        <w:t> </w:t>
      </w:r>
      <w:r>
        <w:rPr>
          <w:rFonts w:ascii="Arial" w:hAnsi="Arial" w:cs="Arial" w:eastAsia="Arial" w:hint="default"/>
          <w:w w:val="99"/>
        </w:rPr>
        <w:t>31</w:t>
      </w:r>
      <w:r>
        <w:rPr>
          <w:rFonts w:ascii="Arial" w:hAnsi="Arial" w:cs="Arial" w:eastAsia="Arial" w:hint="default"/>
          <w:spacing w:val="-6"/>
        </w:rPr>
        <w:t> </w:t>
      </w:r>
      <w:r>
        <w:rPr>
          <w:w w:val="99"/>
        </w:rPr>
        <w:t>日：</w:t>
      </w:r>
      <w:r>
        <w:rPr/>
      </w:r>
    </w:p>
    <w:p>
      <w:pPr>
        <w:pStyle w:val="BodyText"/>
        <w:spacing w:line="295" w:lineRule="exact"/>
        <w:ind w:left="772" w:right="95"/>
        <w:jc w:val="left"/>
      </w:pPr>
      <w:r>
        <w:rPr/>
        <w:t>约人民币</w:t>
      </w:r>
      <w:r>
        <w:rPr>
          <w:spacing w:val="-57"/>
        </w:rPr>
        <w:t> </w:t>
      </w:r>
      <w:r>
        <w:rPr>
          <w:rFonts w:ascii="Arial" w:hAnsi="Arial" w:cs="Arial" w:eastAsia="Arial" w:hint="default"/>
        </w:rPr>
        <w:t>205</w:t>
      </w:r>
      <w:r>
        <w:rPr>
          <w:rFonts w:ascii="Arial" w:hAnsi="Arial" w:cs="Arial" w:eastAsia="Arial" w:hint="default"/>
          <w:spacing w:val="-8"/>
        </w:rPr>
        <w:t> </w:t>
      </w:r>
      <w:r>
        <w:rPr/>
        <w:t>万元）。</w:t>
      </w:r>
    </w:p>
    <w:p>
      <w:pPr>
        <w:spacing w:line="240" w:lineRule="auto" w:before="0"/>
        <w:rPr>
          <w:rFonts w:ascii="宋体" w:hAnsi="宋体" w:cs="宋体" w:eastAsia="宋体" w:hint="default"/>
          <w:sz w:val="18"/>
          <w:szCs w:val="18"/>
        </w:rPr>
      </w:pPr>
    </w:p>
    <w:p>
      <w:pPr>
        <w:pStyle w:val="BodyText"/>
        <w:spacing w:line="240" w:lineRule="auto"/>
        <w:ind w:left="184" w:right="95"/>
        <w:jc w:val="left"/>
        <w:rPr>
          <w:rFonts w:ascii="黑体" w:hAnsi="黑体" w:cs="黑体" w:eastAsia="黑体" w:hint="default"/>
        </w:rPr>
      </w:pPr>
      <w:r>
        <w:rPr>
          <w:rFonts w:ascii="黑体" w:hAnsi="黑体" w:cs="黑体" w:eastAsia="黑体" w:hint="default"/>
        </w:rPr>
        <w:t>十三</w:t>
      </w:r>
      <w:r>
        <w:rPr>
          <w:rFonts w:ascii="黑体" w:hAnsi="黑体" w:cs="黑体" w:eastAsia="黑体" w:hint="default"/>
          <w:spacing w:val="35"/>
        </w:rPr>
        <w:t> </w:t>
      </w:r>
      <w:r>
        <w:rPr>
          <w:rFonts w:ascii="黑体" w:hAnsi="黑体" w:cs="黑体" w:eastAsia="黑体" w:hint="default"/>
        </w:rPr>
        <w:t>企业合并</w:t>
      </w:r>
    </w:p>
    <w:p>
      <w:pPr>
        <w:spacing w:line="240" w:lineRule="auto" w:before="1"/>
        <w:rPr>
          <w:rFonts w:ascii="黑体" w:hAnsi="黑体" w:cs="黑体" w:eastAsia="黑体" w:hint="default"/>
          <w:sz w:val="19"/>
          <w:szCs w:val="19"/>
        </w:rPr>
      </w:pPr>
    </w:p>
    <w:p>
      <w:pPr>
        <w:pStyle w:val="BodyText"/>
        <w:spacing w:line="240" w:lineRule="auto"/>
        <w:ind w:left="764" w:right="95"/>
        <w:jc w:val="left"/>
      </w:pPr>
      <w:r>
        <w:rPr/>
        <w:t>见附注四</w:t>
      </w:r>
      <w:r>
        <w:rPr>
          <w:rFonts w:ascii="Arial" w:hAnsi="Arial" w:cs="Arial" w:eastAsia="Arial" w:hint="default"/>
        </w:rPr>
        <w:t>(3)</w:t>
      </w:r>
      <w:r>
        <w:rPr/>
        <w:t>。</w:t>
      </w:r>
    </w:p>
    <w:p>
      <w:pPr>
        <w:spacing w:line="240" w:lineRule="auto" w:before="13"/>
        <w:rPr>
          <w:rFonts w:ascii="宋体" w:hAnsi="宋体" w:cs="宋体" w:eastAsia="宋体" w:hint="default"/>
          <w:sz w:val="17"/>
          <w:szCs w:val="17"/>
        </w:rPr>
      </w:pPr>
    </w:p>
    <w:p>
      <w:pPr>
        <w:pStyle w:val="BodyText"/>
        <w:spacing w:line="240" w:lineRule="auto"/>
        <w:ind w:left="184" w:right="95"/>
        <w:jc w:val="left"/>
        <w:rPr>
          <w:rFonts w:ascii="黑体" w:hAnsi="黑体" w:cs="黑体" w:eastAsia="黑体" w:hint="default"/>
        </w:rPr>
      </w:pPr>
      <w:r>
        <w:rPr>
          <w:rFonts w:ascii="黑体" w:hAnsi="黑体" w:cs="黑体" w:eastAsia="黑体" w:hint="default"/>
        </w:rPr>
        <w:t>十四</w:t>
      </w:r>
      <w:r>
        <w:rPr>
          <w:rFonts w:ascii="黑体" w:hAnsi="黑体" w:cs="黑体" w:eastAsia="黑体" w:hint="default"/>
          <w:spacing w:val="60"/>
        </w:rPr>
        <w:t> </w:t>
      </w:r>
      <w:r>
        <w:rPr>
          <w:rFonts w:ascii="黑体" w:hAnsi="黑体" w:cs="黑体" w:eastAsia="黑体" w:hint="default"/>
        </w:rPr>
        <w:t>以公允价值计量的资产和负债</w:t>
      </w:r>
    </w:p>
    <w:p>
      <w:pPr>
        <w:spacing w:line="240" w:lineRule="auto" w:before="12"/>
        <w:rPr>
          <w:rFonts w:ascii="黑体" w:hAnsi="黑体" w:cs="黑体" w:eastAsia="黑体" w:hint="default"/>
          <w:sz w:val="27"/>
          <w:szCs w:val="27"/>
        </w:rPr>
      </w:pPr>
    </w:p>
    <w:tbl>
      <w:tblPr>
        <w:tblW w:w="0" w:type="auto"/>
        <w:jc w:val="left"/>
        <w:tblInd w:w="657" w:type="dxa"/>
        <w:tblLayout w:type="fixed"/>
        <w:tblCellMar>
          <w:top w:w="0" w:type="dxa"/>
          <w:left w:w="0" w:type="dxa"/>
          <w:bottom w:w="0" w:type="dxa"/>
          <w:right w:w="0" w:type="dxa"/>
        </w:tblCellMar>
        <w:tblLook w:val="01E0"/>
      </w:tblPr>
      <w:tblGrid>
        <w:gridCol w:w="2705"/>
        <w:gridCol w:w="1397"/>
        <w:gridCol w:w="137"/>
        <w:gridCol w:w="1403"/>
        <w:gridCol w:w="133"/>
        <w:gridCol w:w="1280"/>
        <w:gridCol w:w="157"/>
        <w:gridCol w:w="1861"/>
      </w:tblGrid>
      <w:tr>
        <w:trPr>
          <w:trHeight w:val="496" w:hRule="exact"/>
        </w:trPr>
        <w:tc>
          <w:tcPr>
            <w:tcW w:w="2705"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single" w:sz="6" w:space="0" w:color="000000"/>
              <w:right w:val="nil" w:sz="6" w:space="0" w:color="auto"/>
            </w:tcBorders>
          </w:tcPr>
          <w:p>
            <w:pPr>
              <w:pStyle w:val="TableParagraph"/>
              <w:spacing w:line="206" w:lineRule="exact"/>
              <w:ind w:left="675"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p>
          <w:p>
            <w:pPr>
              <w:pStyle w:val="TableParagraph"/>
              <w:spacing w:line="268" w:lineRule="exact"/>
              <w:ind w:left="375"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137"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single" w:sz="6" w:space="0" w:color="000000"/>
              <w:right w:val="nil" w:sz="6" w:space="0" w:color="auto"/>
            </w:tcBorders>
          </w:tcPr>
          <w:p>
            <w:pPr>
              <w:pStyle w:val="TableParagraph"/>
              <w:spacing w:line="206" w:lineRule="exact"/>
              <w:ind w:left="673"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5"/>
                <w:sz w:val="20"/>
                <w:szCs w:val="20"/>
              </w:rPr>
              <w:t> </w:t>
            </w:r>
            <w:r>
              <w:rPr>
                <w:rFonts w:ascii="宋体" w:hAnsi="宋体" w:cs="宋体" w:eastAsia="宋体" w:hint="default"/>
                <w:sz w:val="20"/>
                <w:szCs w:val="20"/>
              </w:rPr>
              <w:t>年</w:t>
            </w:r>
          </w:p>
          <w:p>
            <w:pPr>
              <w:pStyle w:val="TableParagraph"/>
              <w:spacing w:line="268" w:lineRule="exact"/>
              <w:ind w:left="373"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133"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single" w:sz="6" w:space="0" w:color="000000"/>
              <w:right w:val="nil" w:sz="6" w:space="0" w:color="auto"/>
            </w:tcBorders>
          </w:tcPr>
          <w:p>
            <w:pPr>
              <w:pStyle w:val="TableParagraph"/>
              <w:spacing w:line="199" w:lineRule="exact"/>
              <w:ind w:left="625" w:right="0" w:hanging="201"/>
              <w:jc w:val="left"/>
              <w:rPr>
                <w:rFonts w:ascii="宋体" w:hAnsi="宋体" w:cs="宋体" w:eastAsia="宋体" w:hint="default"/>
                <w:sz w:val="20"/>
                <w:szCs w:val="20"/>
              </w:rPr>
            </w:pPr>
            <w:r>
              <w:rPr>
                <w:rFonts w:ascii="宋体" w:hAnsi="宋体" w:cs="宋体" w:eastAsia="宋体" w:hint="default"/>
                <w:sz w:val="20"/>
                <w:szCs w:val="20"/>
              </w:rPr>
              <w:t>本年计提</w:t>
            </w:r>
          </w:p>
          <w:p>
            <w:pPr>
              <w:pStyle w:val="TableParagraph"/>
              <w:spacing w:line="260" w:lineRule="exact"/>
              <w:ind w:left="625" w:right="0"/>
              <w:jc w:val="left"/>
              <w:rPr>
                <w:rFonts w:ascii="宋体" w:hAnsi="宋体" w:cs="宋体" w:eastAsia="宋体" w:hint="default"/>
                <w:sz w:val="20"/>
                <w:szCs w:val="20"/>
              </w:rPr>
            </w:pPr>
            <w:r>
              <w:rPr>
                <w:rFonts w:ascii="宋体" w:hAnsi="宋体" w:cs="宋体" w:eastAsia="宋体" w:hint="default"/>
                <w:sz w:val="20"/>
                <w:szCs w:val="20"/>
              </w:rPr>
              <w:t>的减值</w:t>
            </w:r>
          </w:p>
        </w:tc>
        <w:tc>
          <w:tcPr>
            <w:tcW w:w="157"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single" w:sz="6" w:space="0" w:color="000000"/>
              <w:right w:val="nil" w:sz="6" w:space="0" w:color="auto"/>
            </w:tcBorders>
          </w:tcPr>
          <w:p>
            <w:pPr>
              <w:pStyle w:val="TableParagraph"/>
              <w:spacing w:line="199" w:lineRule="exact"/>
              <w:ind w:left="205" w:right="0"/>
              <w:jc w:val="left"/>
              <w:rPr>
                <w:rFonts w:ascii="宋体" w:hAnsi="宋体" w:cs="宋体" w:eastAsia="宋体" w:hint="default"/>
                <w:sz w:val="20"/>
                <w:szCs w:val="20"/>
              </w:rPr>
            </w:pPr>
            <w:r>
              <w:rPr>
                <w:rFonts w:ascii="宋体" w:hAnsi="宋体" w:cs="宋体" w:eastAsia="宋体" w:hint="default"/>
                <w:sz w:val="20"/>
                <w:szCs w:val="20"/>
              </w:rPr>
              <w:t>计入总股东权益的</w:t>
            </w:r>
          </w:p>
          <w:p>
            <w:pPr>
              <w:pStyle w:val="TableParagraph"/>
              <w:spacing w:line="260" w:lineRule="exact"/>
              <w:ind w:left="205" w:right="0"/>
              <w:jc w:val="left"/>
              <w:rPr>
                <w:rFonts w:ascii="宋体" w:hAnsi="宋体" w:cs="宋体" w:eastAsia="宋体" w:hint="default"/>
                <w:sz w:val="20"/>
                <w:szCs w:val="20"/>
              </w:rPr>
            </w:pPr>
            <w:r>
              <w:rPr>
                <w:rFonts w:ascii="宋体" w:hAnsi="宋体" w:cs="宋体" w:eastAsia="宋体" w:hint="default"/>
                <w:sz w:val="20"/>
                <w:szCs w:val="20"/>
              </w:rPr>
              <w:t>累计公允价值变动</w:t>
            </w:r>
          </w:p>
        </w:tc>
      </w:tr>
      <w:tr>
        <w:trPr>
          <w:trHeight w:val="584" w:hRule="exact"/>
        </w:trPr>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20"/>
                <w:szCs w:val="20"/>
              </w:rPr>
            </w:pPr>
          </w:p>
          <w:p>
            <w:pPr>
              <w:pStyle w:val="TableParagraph"/>
              <w:spacing w:line="240" w:lineRule="auto"/>
              <w:ind w:left="200"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397" w:type="dxa"/>
            <w:tcBorders>
              <w:top w:val="single" w:sz="6" w:space="0" w:color="000000"/>
              <w:left w:val="nil" w:sz="6" w:space="0" w:color="auto"/>
              <w:bottom w:val="single" w:sz="17" w:space="0" w:color="000000"/>
              <w:right w:val="nil" w:sz="6" w:space="0" w:color="auto"/>
            </w:tcBorders>
          </w:tcPr>
          <w:p>
            <w:pPr>
              <w:pStyle w:val="TableParagraph"/>
              <w:spacing w:line="240" w:lineRule="auto" w:before="7"/>
              <w:ind w:right="0"/>
              <w:jc w:val="left"/>
              <w:rPr>
                <w:rFonts w:ascii="黑体" w:hAnsi="黑体" w:cs="黑体" w:eastAsia="黑体" w:hint="default"/>
                <w:sz w:val="24"/>
                <w:szCs w:val="24"/>
              </w:rPr>
            </w:pPr>
          </w:p>
          <w:p>
            <w:pPr>
              <w:pStyle w:val="TableParagraph"/>
              <w:spacing w:line="240" w:lineRule="auto"/>
              <w:ind w:left="57" w:right="0"/>
              <w:jc w:val="left"/>
              <w:rPr>
                <w:rFonts w:ascii="Arial" w:hAnsi="Arial" w:cs="Arial" w:eastAsia="Arial" w:hint="default"/>
                <w:sz w:val="20"/>
                <w:szCs w:val="20"/>
              </w:rPr>
            </w:pPr>
            <w:r>
              <w:rPr>
                <w:rFonts w:ascii="Arial"/>
                <w:sz w:val="20"/>
              </w:rPr>
              <w:t>5,567,113,651</w:t>
            </w:r>
          </w:p>
        </w:tc>
        <w:tc>
          <w:tcPr>
            <w:tcW w:w="137" w:type="dxa"/>
            <w:tcBorders>
              <w:top w:val="nil" w:sz="6" w:space="0" w:color="auto"/>
              <w:left w:val="nil" w:sz="6" w:space="0" w:color="auto"/>
              <w:bottom w:val="nil" w:sz="6" w:space="0" w:color="auto"/>
              <w:right w:val="nil" w:sz="6" w:space="0" w:color="auto"/>
            </w:tcBorders>
          </w:tcPr>
          <w:p>
            <w:pPr/>
          </w:p>
        </w:tc>
        <w:tc>
          <w:tcPr>
            <w:tcW w:w="1403" w:type="dxa"/>
            <w:tcBorders>
              <w:top w:val="single" w:sz="6" w:space="0" w:color="000000"/>
              <w:left w:val="nil" w:sz="6" w:space="0" w:color="auto"/>
              <w:bottom w:val="single" w:sz="17" w:space="0" w:color="000000"/>
              <w:right w:val="nil" w:sz="6" w:space="0" w:color="auto"/>
            </w:tcBorders>
          </w:tcPr>
          <w:p>
            <w:pPr>
              <w:pStyle w:val="TableParagraph"/>
              <w:spacing w:line="240" w:lineRule="auto" w:before="7"/>
              <w:ind w:right="0"/>
              <w:jc w:val="left"/>
              <w:rPr>
                <w:rFonts w:ascii="黑体" w:hAnsi="黑体" w:cs="黑体" w:eastAsia="黑体" w:hint="default"/>
                <w:sz w:val="24"/>
                <w:szCs w:val="24"/>
              </w:rPr>
            </w:pPr>
          </w:p>
          <w:p>
            <w:pPr>
              <w:pStyle w:val="TableParagraph"/>
              <w:spacing w:line="240" w:lineRule="auto"/>
              <w:ind w:left="67" w:right="0"/>
              <w:jc w:val="left"/>
              <w:rPr>
                <w:rFonts w:ascii="Arial" w:hAnsi="Arial" w:cs="Arial" w:eastAsia="Arial" w:hint="default"/>
                <w:sz w:val="20"/>
                <w:szCs w:val="20"/>
              </w:rPr>
            </w:pPr>
            <w:r>
              <w:rPr>
                <w:rFonts w:ascii="Arial"/>
                <w:sz w:val="20"/>
              </w:rPr>
              <w:t>6,951,106,326</w:t>
            </w:r>
          </w:p>
        </w:tc>
        <w:tc>
          <w:tcPr>
            <w:tcW w:w="133" w:type="dxa"/>
            <w:tcBorders>
              <w:top w:val="nil" w:sz="6" w:space="0" w:color="auto"/>
              <w:left w:val="nil" w:sz="6" w:space="0" w:color="auto"/>
              <w:bottom w:val="nil" w:sz="6" w:space="0" w:color="auto"/>
              <w:right w:val="nil" w:sz="6" w:space="0" w:color="auto"/>
            </w:tcBorders>
          </w:tcPr>
          <w:p>
            <w:pPr/>
          </w:p>
        </w:tc>
        <w:tc>
          <w:tcPr>
            <w:tcW w:w="1280" w:type="dxa"/>
            <w:tcBorders>
              <w:top w:val="single" w:sz="6" w:space="0" w:color="000000"/>
              <w:left w:val="nil" w:sz="6" w:space="0" w:color="auto"/>
              <w:bottom w:val="single" w:sz="17" w:space="0" w:color="000000"/>
              <w:right w:val="nil" w:sz="6" w:space="0" w:color="auto"/>
            </w:tcBorders>
          </w:tcPr>
          <w:p>
            <w:pPr>
              <w:pStyle w:val="TableParagraph"/>
              <w:spacing w:line="240" w:lineRule="auto" w:before="7"/>
              <w:ind w:right="0"/>
              <w:jc w:val="left"/>
              <w:rPr>
                <w:rFonts w:ascii="黑体" w:hAnsi="黑体" w:cs="黑体" w:eastAsia="黑体" w:hint="default"/>
                <w:sz w:val="24"/>
                <w:szCs w:val="24"/>
              </w:rPr>
            </w:pPr>
          </w:p>
          <w:p>
            <w:pPr>
              <w:pStyle w:val="TableParagraph"/>
              <w:spacing w:line="240" w:lineRule="auto"/>
              <w:ind w:right="185"/>
              <w:jc w:val="right"/>
              <w:rPr>
                <w:rFonts w:ascii="Arial" w:hAnsi="Arial" w:cs="Arial" w:eastAsia="Arial" w:hint="default"/>
                <w:sz w:val="20"/>
                <w:szCs w:val="20"/>
              </w:rPr>
            </w:pPr>
            <w:r>
              <w:rPr>
                <w:rFonts w:ascii="Arial"/>
                <w:w w:val="100"/>
                <w:sz w:val="20"/>
              </w:rPr>
              <w:t>-</w:t>
            </w:r>
          </w:p>
        </w:tc>
        <w:tc>
          <w:tcPr>
            <w:tcW w:w="157" w:type="dxa"/>
            <w:tcBorders>
              <w:top w:val="nil" w:sz="6" w:space="0" w:color="auto"/>
              <w:left w:val="nil" w:sz="6" w:space="0" w:color="auto"/>
              <w:bottom w:val="nil" w:sz="6" w:space="0" w:color="auto"/>
              <w:right w:val="nil" w:sz="6" w:space="0" w:color="auto"/>
            </w:tcBorders>
          </w:tcPr>
          <w:p>
            <w:pPr/>
          </w:p>
        </w:tc>
        <w:tc>
          <w:tcPr>
            <w:tcW w:w="1861" w:type="dxa"/>
            <w:tcBorders>
              <w:top w:val="single" w:sz="6" w:space="0" w:color="000000"/>
              <w:left w:val="nil" w:sz="6" w:space="0" w:color="auto"/>
              <w:bottom w:val="single" w:sz="17" w:space="0" w:color="000000"/>
              <w:right w:val="nil" w:sz="6" w:space="0" w:color="auto"/>
            </w:tcBorders>
          </w:tcPr>
          <w:p>
            <w:pPr>
              <w:pStyle w:val="TableParagraph"/>
              <w:spacing w:line="240" w:lineRule="auto" w:before="7"/>
              <w:ind w:right="0"/>
              <w:jc w:val="left"/>
              <w:rPr>
                <w:rFonts w:ascii="黑体" w:hAnsi="黑体" w:cs="黑体" w:eastAsia="黑体" w:hint="default"/>
                <w:sz w:val="24"/>
                <w:szCs w:val="24"/>
              </w:rPr>
            </w:pPr>
          </w:p>
          <w:p>
            <w:pPr>
              <w:pStyle w:val="TableParagraph"/>
              <w:spacing w:line="240" w:lineRule="auto"/>
              <w:ind w:left="376" w:right="0"/>
              <w:jc w:val="left"/>
              <w:rPr>
                <w:rFonts w:ascii="Arial" w:hAnsi="Arial" w:cs="Arial" w:eastAsia="Arial" w:hint="default"/>
                <w:sz w:val="20"/>
                <w:szCs w:val="20"/>
              </w:rPr>
            </w:pPr>
            <w:r>
              <w:rPr>
                <w:rFonts w:ascii="Arial"/>
                <w:sz w:val="20"/>
              </w:rPr>
              <w:t>(4,453,305,839)</w:t>
            </w:r>
          </w:p>
        </w:tc>
      </w:tr>
    </w:tbl>
    <w:p>
      <w:pPr>
        <w:spacing w:after="0" w:line="240" w:lineRule="auto"/>
        <w:jc w:val="left"/>
        <w:rPr>
          <w:rFonts w:ascii="Arial" w:hAnsi="Arial" w:cs="Arial" w:eastAsia="Arial" w:hint="default"/>
          <w:sz w:val="20"/>
          <w:szCs w:val="20"/>
        </w:rPr>
        <w:sectPr>
          <w:headerReference w:type="default" r:id="rId139"/>
          <w:pgSz w:w="11910" w:h="16840"/>
          <w:pgMar w:header="1184" w:footer="457" w:top="2500" w:bottom="640" w:left="1240" w:right="800"/>
        </w:sectPr>
      </w:pPr>
    </w:p>
    <w:p>
      <w:pPr>
        <w:spacing w:line="240" w:lineRule="auto" w:before="10"/>
        <w:rPr>
          <w:rFonts w:ascii="黑体" w:hAnsi="黑体" w:cs="黑体" w:eastAsia="黑体" w:hint="default"/>
          <w:sz w:val="16"/>
          <w:szCs w:val="16"/>
        </w:rPr>
      </w:pPr>
    </w:p>
    <w:p>
      <w:pPr>
        <w:pStyle w:val="BodyText"/>
        <w:spacing w:line="240" w:lineRule="auto" w:before="31"/>
        <w:ind w:left="144" w:right="3521"/>
        <w:jc w:val="left"/>
        <w:rPr>
          <w:rFonts w:ascii="黑体" w:hAnsi="黑体" w:cs="黑体" w:eastAsia="黑体" w:hint="default"/>
        </w:rPr>
      </w:pPr>
      <w:r>
        <w:rPr>
          <w:rFonts w:ascii="黑体" w:hAnsi="黑体" w:cs="黑体" w:eastAsia="黑体" w:hint="default"/>
        </w:rPr>
        <w:t>十五</w:t>
      </w:r>
      <w:r>
        <w:rPr>
          <w:rFonts w:ascii="黑体" w:hAnsi="黑体" w:cs="黑体" w:eastAsia="黑体" w:hint="default"/>
          <w:spacing w:val="32"/>
        </w:rPr>
        <w:t> </w:t>
      </w:r>
      <w:r>
        <w:rPr>
          <w:rFonts w:ascii="黑体" w:hAnsi="黑体" w:cs="黑体" w:eastAsia="黑体" w:hint="default"/>
        </w:rPr>
        <w:t>外币金融资产和外币金融负债</w:t>
      </w:r>
    </w:p>
    <w:p>
      <w:pPr>
        <w:spacing w:line="240" w:lineRule="auto" w:before="1"/>
        <w:rPr>
          <w:rFonts w:ascii="黑体" w:hAnsi="黑体" w:cs="黑体" w:eastAsia="黑体" w:hint="default"/>
          <w:sz w:val="24"/>
          <w:szCs w:val="24"/>
        </w:rPr>
      </w:pPr>
    </w:p>
    <w:tbl>
      <w:tblPr>
        <w:tblW w:w="0" w:type="auto"/>
        <w:jc w:val="left"/>
        <w:tblInd w:w="760" w:type="dxa"/>
        <w:tblLayout w:type="fixed"/>
        <w:tblCellMar>
          <w:top w:w="0" w:type="dxa"/>
          <w:left w:w="0" w:type="dxa"/>
          <w:bottom w:w="0" w:type="dxa"/>
          <w:right w:w="0" w:type="dxa"/>
        </w:tblCellMar>
        <w:tblLook w:val="01E0"/>
      </w:tblPr>
      <w:tblGrid>
        <w:gridCol w:w="2889"/>
        <w:gridCol w:w="1144"/>
        <w:gridCol w:w="1121"/>
        <w:gridCol w:w="1166"/>
        <w:gridCol w:w="1762"/>
        <w:gridCol w:w="872"/>
      </w:tblGrid>
      <w:tr>
        <w:trPr>
          <w:trHeight w:val="498"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0"/>
              <w:jc w:val="left"/>
              <w:rPr>
                <w:rFonts w:ascii="宋体" w:hAnsi="宋体" w:cs="宋体" w:eastAsia="宋体" w:hint="default"/>
                <w:sz w:val="20"/>
                <w:szCs w:val="20"/>
              </w:rPr>
            </w:pPr>
            <w:r>
              <w:rPr>
                <w:rFonts w:ascii="宋体" w:hAnsi="宋体" w:cs="宋体" w:eastAsia="宋体" w:hint="default"/>
                <w:sz w:val="20"/>
                <w:szCs w:val="20"/>
              </w:rPr>
              <w:t>单位：人民币百万元</w:t>
            </w:r>
          </w:p>
        </w:tc>
        <w:tc>
          <w:tcPr>
            <w:tcW w:w="1144" w:type="dxa"/>
            <w:tcBorders>
              <w:top w:val="nil" w:sz="6" w:space="0" w:color="auto"/>
              <w:left w:val="nil" w:sz="6" w:space="0" w:color="auto"/>
              <w:bottom w:val="single" w:sz="6" w:space="0" w:color="000000"/>
              <w:right w:val="nil" w:sz="6" w:space="0" w:color="auto"/>
            </w:tcBorders>
          </w:tcPr>
          <w:p>
            <w:pPr>
              <w:pStyle w:val="TableParagraph"/>
              <w:spacing w:line="206" w:lineRule="exact"/>
              <w:ind w:left="349"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p>
          <w:p>
            <w:pPr>
              <w:pStyle w:val="TableParagraph"/>
              <w:spacing w:line="268" w:lineRule="exact"/>
              <w:ind w:left="49"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1121" w:type="dxa"/>
            <w:tcBorders>
              <w:top w:val="nil" w:sz="6" w:space="0" w:color="auto"/>
              <w:left w:val="nil" w:sz="6" w:space="0" w:color="auto"/>
              <w:bottom w:val="single" w:sz="6" w:space="0" w:color="000000"/>
              <w:right w:val="nil" w:sz="6" w:space="0" w:color="auto"/>
            </w:tcBorders>
          </w:tcPr>
          <w:p>
            <w:pPr>
              <w:pStyle w:val="TableParagraph"/>
              <w:spacing w:line="206" w:lineRule="exact"/>
              <w:ind w:left="34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p>
          <w:p>
            <w:pPr>
              <w:pStyle w:val="TableParagraph"/>
              <w:spacing w:line="268" w:lineRule="exact"/>
              <w:ind w:left="49"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1166" w:type="dxa"/>
            <w:tcBorders>
              <w:top w:val="nil" w:sz="6" w:space="0" w:color="auto"/>
              <w:left w:val="nil" w:sz="6" w:space="0" w:color="auto"/>
              <w:bottom w:val="single" w:sz="6" w:space="0" w:color="000000"/>
              <w:right w:val="nil" w:sz="6" w:space="0" w:color="auto"/>
            </w:tcBorders>
          </w:tcPr>
          <w:p>
            <w:pPr>
              <w:pStyle w:val="TableParagraph"/>
              <w:spacing w:line="199" w:lineRule="exact"/>
              <w:ind w:left="74" w:right="0"/>
              <w:jc w:val="left"/>
              <w:rPr>
                <w:rFonts w:ascii="宋体" w:hAnsi="宋体" w:cs="宋体" w:eastAsia="宋体" w:hint="default"/>
                <w:sz w:val="20"/>
                <w:szCs w:val="20"/>
              </w:rPr>
            </w:pPr>
            <w:r>
              <w:rPr>
                <w:rFonts w:ascii="宋体" w:hAnsi="宋体" w:cs="宋体" w:eastAsia="宋体" w:hint="default"/>
                <w:sz w:val="20"/>
                <w:szCs w:val="20"/>
              </w:rPr>
              <w:t>本年公允价</w:t>
            </w:r>
          </w:p>
          <w:p>
            <w:pPr>
              <w:pStyle w:val="TableParagraph"/>
              <w:spacing w:line="261" w:lineRule="exact"/>
              <w:ind w:left="74" w:right="0"/>
              <w:jc w:val="left"/>
              <w:rPr>
                <w:rFonts w:ascii="宋体" w:hAnsi="宋体" w:cs="宋体" w:eastAsia="宋体" w:hint="default"/>
                <w:sz w:val="20"/>
                <w:szCs w:val="20"/>
              </w:rPr>
            </w:pPr>
            <w:r>
              <w:rPr>
                <w:rFonts w:ascii="宋体" w:hAnsi="宋体" w:cs="宋体" w:eastAsia="宋体" w:hint="default"/>
                <w:sz w:val="20"/>
                <w:szCs w:val="20"/>
              </w:rPr>
              <w:t>值变动损益</w:t>
            </w:r>
          </w:p>
        </w:tc>
        <w:tc>
          <w:tcPr>
            <w:tcW w:w="1762" w:type="dxa"/>
            <w:tcBorders>
              <w:top w:val="nil" w:sz="6" w:space="0" w:color="auto"/>
              <w:left w:val="nil" w:sz="6" w:space="0" w:color="auto"/>
              <w:bottom w:val="single" w:sz="6" w:space="0" w:color="000000"/>
              <w:right w:val="nil" w:sz="6" w:space="0" w:color="auto"/>
            </w:tcBorders>
          </w:tcPr>
          <w:p>
            <w:pPr>
              <w:pStyle w:val="TableParagraph"/>
              <w:spacing w:line="199" w:lineRule="exact"/>
              <w:ind w:left="289" w:right="0" w:hanging="200"/>
              <w:jc w:val="left"/>
              <w:rPr>
                <w:rFonts w:ascii="宋体" w:hAnsi="宋体" w:cs="宋体" w:eastAsia="宋体" w:hint="default"/>
                <w:sz w:val="20"/>
                <w:szCs w:val="20"/>
              </w:rPr>
            </w:pPr>
            <w:r>
              <w:rPr>
                <w:rFonts w:ascii="宋体" w:hAnsi="宋体" w:cs="宋体" w:eastAsia="宋体" w:hint="default"/>
                <w:sz w:val="20"/>
                <w:szCs w:val="20"/>
              </w:rPr>
              <w:t>计入股东权益的累</w:t>
            </w:r>
          </w:p>
          <w:p>
            <w:pPr>
              <w:pStyle w:val="TableParagraph"/>
              <w:spacing w:line="261" w:lineRule="exact"/>
              <w:ind w:left="289" w:right="0"/>
              <w:jc w:val="left"/>
              <w:rPr>
                <w:rFonts w:ascii="宋体" w:hAnsi="宋体" w:cs="宋体" w:eastAsia="宋体" w:hint="default"/>
                <w:sz w:val="20"/>
                <w:szCs w:val="20"/>
              </w:rPr>
            </w:pPr>
            <w:r>
              <w:rPr>
                <w:rFonts w:ascii="宋体" w:hAnsi="宋体" w:cs="宋体" w:eastAsia="宋体" w:hint="default"/>
                <w:sz w:val="20"/>
                <w:szCs w:val="20"/>
              </w:rPr>
              <w:t>计公允价值变动</w:t>
            </w:r>
          </w:p>
        </w:tc>
        <w:tc>
          <w:tcPr>
            <w:tcW w:w="872" w:type="dxa"/>
            <w:tcBorders>
              <w:top w:val="nil" w:sz="6" w:space="0" w:color="auto"/>
              <w:left w:val="nil" w:sz="6" w:space="0" w:color="auto"/>
              <w:bottom w:val="single" w:sz="6" w:space="0" w:color="000000"/>
              <w:right w:val="nil" w:sz="6" w:space="0" w:color="auto"/>
            </w:tcBorders>
          </w:tcPr>
          <w:p>
            <w:pPr>
              <w:pStyle w:val="TableParagraph"/>
              <w:spacing w:line="199" w:lineRule="exact"/>
              <w:ind w:left="271" w:right="0" w:hanging="201"/>
              <w:jc w:val="left"/>
              <w:rPr>
                <w:rFonts w:ascii="宋体" w:hAnsi="宋体" w:cs="宋体" w:eastAsia="宋体" w:hint="default"/>
                <w:sz w:val="20"/>
                <w:szCs w:val="20"/>
              </w:rPr>
            </w:pPr>
            <w:r>
              <w:rPr>
                <w:rFonts w:ascii="宋体" w:hAnsi="宋体" w:cs="宋体" w:eastAsia="宋体" w:hint="default"/>
                <w:sz w:val="20"/>
                <w:szCs w:val="20"/>
              </w:rPr>
              <w:t>本年计提</w:t>
            </w:r>
          </w:p>
          <w:p>
            <w:pPr>
              <w:pStyle w:val="TableParagraph"/>
              <w:spacing w:line="261" w:lineRule="exact"/>
              <w:ind w:left="271" w:right="0"/>
              <w:jc w:val="left"/>
              <w:rPr>
                <w:rFonts w:ascii="宋体" w:hAnsi="宋体" w:cs="宋体" w:eastAsia="宋体" w:hint="default"/>
                <w:sz w:val="20"/>
                <w:szCs w:val="20"/>
              </w:rPr>
            </w:pPr>
            <w:r>
              <w:rPr>
                <w:rFonts w:ascii="宋体" w:hAnsi="宋体" w:cs="宋体" w:eastAsia="宋体" w:hint="default"/>
                <w:sz w:val="20"/>
                <w:szCs w:val="20"/>
              </w:rPr>
              <w:t>的减值</w:t>
            </w:r>
          </w:p>
        </w:tc>
      </w:tr>
      <w:tr>
        <w:trPr>
          <w:trHeight w:val="473" w:hRule="exact"/>
        </w:trPr>
        <w:tc>
          <w:tcPr>
            <w:tcW w:w="2889"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left"/>
              <w:rPr>
                <w:rFonts w:ascii="宋体" w:hAnsi="宋体" w:cs="宋体" w:eastAsia="宋体" w:hint="default"/>
                <w:sz w:val="20"/>
                <w:szCs w:val="20"/>
              </w:rPr>
            </w:pPr>
            <w:r>
              <w:rPr>
                <w:rFonts w:ascii="宋体" w:hAnsi="宋体" w:cs="宋体" w:eastAsia="宋体" w:hint="default"/>
                <w:sz w:val="20"/>
                <w:szCs w:val="20"/>
              </w:rPr>
              <w:t>金融资产</w:t>
            </w:r>
          </w:p>
        </w:tc>
        <w:tc>
          <w:tcPr>
            <w:tcW w:w="1144" w:type="dxa"/>
            <w:tcBorders>
              <w:top w:val="single" w:sz="6" w:space="0" w:color="000000"/>
              <w:left w:val="nil" w:sz="6" w:space="0" w:color="auto"/>
              <w:bottom w:val="nil" w:sz="6" w:space="0" w:color="auto"/>
              <w:right w:val="nil" w:sz="6" w:space="0" w:color="auto"/>
            </w:tcBorders>
          </w:tcPr>
          <w:p>
            <w:pPr/>
          </w:p>
        </w:tc>
        <w:tc>
          <w:tcPr>
            <w:tcW w:w="1121" w:type="dxa"/>
            <w:tcBorders>
              <w:top w:val="single" w:sz="6" w:space="0" w:color="000000"/>
              <w:left w:val="nil" w:sz="6" w:space="0" w:color="auto"/>
              <w:bottom w:val="nil" w:sz="6" w:space="0" w:color="auto"/>
              <w:right w:val="nil" w:sz="6" w:space="0" w:color="auto"/>
            </w:tcBorders>
          </w:tcPr>
          <w:p>
            <w:pPr/>
          </w:p>
        </w:tc>
        <w:tc>
          <w:tcPr>
            <w:tcW w:w="1166" w:type="dxa"/>
            <w:tcBorders>
              <w:top w:val="single" w:sz="6" w:space="0" w:color="000000"/>
              <w:left w:val="nil" w:sz="6" w:space="0" w:color="auto"/>
              <w:bottom w:val="nil" w:sz="6" w:space="0" w:color="auto"/>
              <w:right w:val="nil" w:sz="6" w:space="0" w:color="auto"/>
            </w:tcBorders>
          </w:tcPr>
          <w:p>
            <w:pPr/>
          </w:p>
        </w:tc>
        <w:tc>
          <w:tcPr>
            <w:tcW w:w="1762" w:type="dxa"/>
            <w:tcBorders>
              <w:top w:val="single" w:sz="6" w:space="0" w:color="000000"/>
              <w:left w:val="nil" w:sz="6" w:space="0" w:color="auto"/>
              <w:bottom w:val="nil" w:sz="6" w:space="0" w:color="auto"/>
              <w:right w:val="nil" w:sz="6" w:space="0" w:color="auto"/>
            </w:tcBorders>
          </w:tcPr>
          <w:p>
            <w:pPr/>
          </w:p>
        </w:tc>
        <w:tc>
          <w:tcPr>
            <w:tcW w:w="872" w:type="dxa"/>
            <w:tcBorders>
              <w:top w:val="single" w:sz="6" w:space="0" w:color="000000"/>
              <w:left w:val="nil" w:sz="6" w:space="0" w:color="auto"/>
              <w:bottom w:val="nil" w:sz="6" w:space="0" w:color="auto"/>
              <w:right w:val="nil" w:sz="6" w:space="0" w:color="auto"/>
            </w:tcBorders>
          </w:tcPr>
          <w:p>
            <w:pPr/>
          </w:p>
        </w:tc>
      </w:tr>
      <w:tr>
        <w:trPr>
          <w:trHeight w:val="294" w:hRule="exact"/>
        </w:trPr>
        <w:tc>
          <w:tcPr>
            <w:tcW w:w="2889" w:type="dxa"/>
            <w:tcBorders>
              <w:top w:val="single" w:sz="4" w:space="0" w:color="000000"/>
              <w:left w:val="nil" w:sz="6" w:space="0" w:color="auto"/>
              <w:bottom w:val="nil" w:sz="6" w:space="0" w:color="auto"/>
              <w:right w:val="nil" w:sz="6" w:space="0" w:color="auto"/>
            </w:tcBorders>
          </w:tcPr>
          <w:p>
            <w:pPr>
              <w:pStyle w:val="TableParagraph"/>
              <w:spacing w:line="249" w:lineRule="exact"/>
              <w:ind w:right="0"/>
              <w:jc w:val="left"/>
              <w:rPr>
                <w:rFonts w:ascii="宋体" w:hAnsi="宋体" w:cs="宋体" w:eastAsia="宋体" w:hint="default"/>
                <w:sz w:val="20"/>
                <w:szCs w:val="20"/>
              </w:rPr>
            </w:pPr>
            <w:r>
              <w:rPr>
                <w:rFonts w:ascii="宋体" w:hAnsi="宋体" w:cs="宋体" w:eastAsia="宋体" w:hint="default"/>
                <w:sz w:val="20"/>
                <w:szCs w:val="20"/>
              </w:rPr>
              <w:t>现金及现金等价物</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6"/>
              <w:jc w:val="right"/>
              <w:rPr>
                <w:rFonts w:ascii="Arial" w:hAnsi="Arial" w:cs="Arial" w:eastAsia="Arial" w:hint="default"/>
                <w:sz w:val="20"/>
                <w:szCs w:val="20"/>
              </w:rPr>
            </w:pPr>
            <w:r>
              <w:rPr>
                <w:rFonts w:ascii="Arial"/>
                <w:sz w:val="20"/>
              </w:rPr>
              <w:t>762</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9"/>
              <w:jc w:val="right"/>
              <w:rPr>
                <w:rFonts w:ascii="Arial" w:hAnsi="Arial" w:cs="Arial" w:eastAsia="Arial" w:hint="default"/>
                <w:sz w:val="20"/>
                <w:szCs w:val="20"/>
              </w:rPr>
            </w:pPr>
            <w:r>
              <w:rPr>
                <w:rFonts w:ascii="Arial"/>
                <w:sz w:val="20"/>
              </w:rPr>
              <w:t>736</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5"/>
              <w:jc w:val="right"/>
              <w:rPr>
                <w:rFonts w:ascii="Arial" w:hAnsi="Arial" w:cs="Arial" w:eastAsia="Arial" w:hint="default"/>
                <w:sz w:val="20"/>
                <w:szCs w:val="20"/>
              </w:rPr>
            </w:pPr>
            <w:r>
              <w:rPr>
                <w:rFonts w:ascii="Arial"/>
                <w:w w:val="100"/>
                <w:sz w:val="20"/>
              </w:rPr>
              <w:t>-</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7"/>
              <w:jc w:val="right"/>
              <w:rPr>
                <w:rFonts w:ascii="Arial" w:hAnsi="Arial" w:cs="Arial" w:eastAsia="Arial" w:hint="default"/>
                <w:sz w:val="20"/>
                <w:szCs w:val="20"/>
              </w:rPr>
            </w:pPr>
            <w:r>
              <w:rPr>
                <w:rFonts w:ascii="Arial"/>
                <w:w w:val="100"/>
                <w:sz w:val="20"/>
              </w:rPr>
              <w:t>-</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0"/>
              <w:jc w:val="right"/>
              <w:rPr>
                <w:rFonts w:ascii="Arial" w:hAnsi="Arial" w:cs="Arial" w:eastAsia="Arial" w:hint="default"/>
                <w:sz w:val="20"/>
                <w:szCs w:val="20"/>
              </w:rPr>
            </w:pPr>
            <w:r>
              <w:rPr>
                <w:rFonts w:ascii="Arial"/>
                <w:w w:val="100"/>
                <w:sz w:val="20"/>
              </w:rPr>
              <w:t>-</w:t>
            </w:r>
          </w:p>
        </w:tc>
      </w:tr>
      <w:tr>
        <w:trPr>
          <w:trHeight w:val="259"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33" w:lineRule="exact"/>
              <w:ind w:right="0"/>
              <w:jc w:val="left"/>
              <w:rPr>
                <w:rFonts w:ascii="宋体" w:hAnsi="宋体" w:cs="宋体" w:eastAsia="宋体" w:hint="default"/>
                <w:sz w:val="20"/>
                <w:szCs w:val="20"/>
              </w:rPr>
            </w:pPr>
            <w:r>
              <w:rPr>
                <w:rFonts w:ascii="Arial" w:hAnsi="Arial" w:cs="Arial" w:eastAsia="Arial" w:hint="default"/>
                <w:sz w:val="20"/>
                <w:szCs w:val="20"/>
              </w:rPr>
              <w:t>3</w:t>
            </w:r>
            <w:r>
              <w:rPr>
                <w:rFonts w:ascii="Arial" w:hAnsi="Arial" w:cs="Arial" w:eastAsia="Arial" w:hint="default"/>
                <w:spacing w:val="-6"/>
                <w:sz w:val="20"/>
                <w:szCs w:val="20"/>
              </w:rPr>
              <w:t> </w:t>
            </w:r>
            <w:r>
              <w:rPr>
                <w:rFonts w:ascii="宋体" w:hAnsi="宋体" w:cs="宋体" w:eastAsia="宋体" w:hint="default"/>
                <w:sz w:val="20"/>
                <w:szCs w:val="20"/>
              </w:rPr>
              <w:t>个月以上银行存款</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6"/>
              <w:jc w:val="right"/>
              <w:rPr>
                <w:rFonts w:ascii="Arial" w:hAnsi="Arial" w:cs="Arial" w:eastAsia="Arial" w:hint="default"/>
                <w:sz w:val="20"/>
                <w:szCs w:val="20"/>
              </w:rPr>
            </w:pPr>
            <w:r>
              <w:rPr>
                <w:rFonts w:ascii="Arial"/>
                <w:w w:val="100"/>
                <w:sz w:val="20"/>
              </w:rPr>
              <w:t>-</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9"/>
              <w:jc w:val="right"/>
              <w:rPr>
                <w:rFonts w:ascii="Arial" w:hAnsi="Arial" w:cs="Arial" w:eastAsia="Arial" w:hint="default"/>
                <w:sz w:val="20"/>
                <w:szCs w:val="20"/>
              </w:rPr>
            </w:pPr>
            <w:r>
              <w:rPr>
                <w:rFonts w:ascii="Arial"/>
                <w:sz w:val="20"/>
              </w:rPr>
              <w:t>239</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5"/>
              <w:jc w:val="right"/>
              <w:rPr>
                <w:rFonts w:ascii="Arial" w:hAnsi="Arial" w:cs="Arial" w:eastAsia="Arial" w:hint="default"/>
                <w:sz w:val="20"/>
                <w:szCs w:val="20"/>
              </w:rPr>
            </w:pPr>
            <w:r>
              <w:rPr>
                <w:rFonts w:ascii="Arial"/>
                <w:w w:val="100"/>
                <w:sz w:val="20"/>
              </w:rPr>
              <w:t>-</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7"/>
              <w:jc w:val="right"/>
              <w:rPr>
                <w:rFonts w:ascii="Arial" w:hAnsi="Arial" w:cs="Arial" w:eastAsia="Arial" w:hint="default"/>
                <w:sz w:val="20"/>
                <w:szCs w:val="20"/>
              </w:rPr>
            </w:pPr>
            <w:r>
              <w:rPr>
                <w:rFonts w:ascii="Arial"/>
                <w:w w:val="100"/>
                <w:sz w:val="20"/>
              </w:rPr>
              <w:t>-</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0"/>
              <w:jc w:val="right"/>
              <w:rPr>
                <w:rFonts w:ascii="Arial" w:hAnsi="Arial" w:cs="Arial" w:eastAsia="Arial" w:hint="default"/>
                <w:sz w:val="20"/>
                <w:szCs w:val="20"/>
              </w:rPr>
            </w:pPr>
            <w:r>
              <w:rPr>
                <w:rFonts w:ascii="Arial"/>
                <w:w w:val="100"/>
                <w:sz w:val="20"/>
              </w:rPr>
              <w:t>-</w:t>
            </w:r>
          </w:p>
        </w:tc>
      </w:tr>
      <w:tr>
        <w:trPr>
          <w:trHeight w:val="382"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19" w:lineRule="exact"/>
              <w:ind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144" w:type="dxa"/>
            <w:tcBorders>
              <w:top w:val="nil" w:sz="6" w:space="0" w:color="auto"/>
              <w:left w:val="nil" w:sz="6" w:space="0" w:color="auto"/>
              <w:bottom w:val="nil" w:sz="6" w:space="0" w:color="auto"/>
              <w:right w:val="nil" w:sz="6" w:space="0" w:color="auto"/>
            </w:tcBorders>
          </w:tcPr>
          <w:p>
            <w:pPr>
              <w:pStyle w:val="TableParagraph"/>
              <w:tabs>
                <w:tab w:pos="453" w:val="left" w:leader="none"/>
                <w:tab w:pos="1043" w:val="left" w:leader="none"/>
              </w:tabs>
              <w:spacing w:line="240" w:lineRule="auto" w:before="16"/>
              <w:ind w:right="97"/>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5,442</w:t>
              <w:tab/>
            </w:r>
            <w:r>
              <w:rPr>
                <w:rFonts w:ascii="Arial"/>
                <w:sz w:val="20"/>
              </w:rPr>
            </w:r>
          </w:p>
        </w:tc>
        <w:tc>
          <w:tcPr>
            <w:tcW w:w="1121" w:type="dxa"/>
            <w:tcBorders>
              <w:top w:val="nil" w:sz="6" w:space="0" w:color="auto"/>
              <w:left w:val="nil" w:sz="6" w:space="0" w:color="auto"/>
              <w:bottom w:val="nil" w:sz="6" w:space="0" w:color="auto"/>
              <w:right w:val="nil" w:sz="6" w:space="0" w:color="auto"/>
            </w:tcBorders>
          </w:tcPr>
          <w:p>
            <w:pPr>
              <w:pStyle w:val="TableParagraph"/>
              <w:tabs>
                <w:tab w:pos="427" w:val="left" w:leader="none"/>
                <w:tab w:pos="1044" w:val="left" w:leader="none"/>
              </w:tabs>
              <w:spacing w:line="240" w:lineRule="auto" w:before="16"/>
              <w:ind w:right="74"/>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6,837</w:t>
              <w:tab/>
            </w:r>
            <w:r>
              <w:rPr>
                <w:rFonts w:ascii="Arial"/>
                <w:sz w:val="20"/>
              </w:rPr>
            </w:r>
          </w:p>
        </w:tc>
        <w:tc>
          <w:tcPr>
            <w:tcW w:w="1166" w:type="dxa"/>
            <w:tcBorders>
              <w:top w:val="nil" w:sz="6" w:space="0" w:color="auto"/>
              <w:left w:val="nil" w:sz="6" w:space="0" w:color="auto"/>
              <w:bottom w:val="nil" w:sz="6" w:space="0" w:color="auto"/>
              <w:right w:val="nil" w:sz="6" w:space="0" w:color="auto"/>
            </w:tcBorders>
          </w:tcPr>
          <w:p>
            <w:pPr>
              <w:pStyle w:val="TableParagraph"/>
              <w:tabs>
                <w:tab w:pos="982" w:val="left" w:leader="none"/>
                <w:tab w:pos="1156" w:val="left" w:leader="none"/>
              </w:tabs>
              <w:spacing w:line="240" w:lineRule="auto" w:before="16"/>
              <w:ind w:left="-14" w:right="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tab/>
            </w:r>
            <w:r>
              <w:rPr>
                <w:rFonts w:ascii="Arial"/>
                <w:sz w:val="20"/>
              </w:rPr>
            </w:r>
          </w:p>
        </w:tc>
        <w:tc>
          <w:tcPr>
            <w:tcW w:w="1762" w:type="dxa"/>
            <w:tcBorders>
              <w:top w:val="nil" w:sz="6" w:space="0" w:color="auto"/>
              <w:left w:val="nil" w:sz="6" w:space="0" w:color="auto"/>
              <w:bottom w:val="nil" w:sz="6" w:space="0" w:color="auto"/>
              <w:right w:val="nil" w:sz="6" w:space="0" w:color="auto"/>
            </w:tcBorders>
          </w:tcPr>
          <w:p>
            <w:pPr>
              <w:pStyle w:val="TableParagraph"/>
              <w:tabs>
                <w:tab w:pos="962" w:val="left" w:leader="none"/>
              </w:tabs>
              <w:spacing w:line="240" w:lineRule="auto" w:before="16"/>
              <w:ind w:right="10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r>
            <w:r>
              <w:rPr>
                <w:rFonts w:ascii="Arial"/>
                <w:spacing w:val="-1"/>
                <w:sz w:val="20"/>
                <w:u w:val="single" w:color="000000"/>
              </w:rPr>
              <w:t>(4,517)</w:t>
            </w:r>
            <w:r>
              <w:rPr>
                <w:rFonts w:ascii="Arial"/>
                <w:spacing w:val="-1"/>
                <w:sz w:val="20"/>
              </w:rPr>
            </w:r>
          </w:p>
        </w:tc>
        <w:tc>
          <w:tcPr>
            <w:tcW w:w="872" w:type="dxa"/>
            <w:tcBorders>
              <w:top w:val="nil" w:sz="6" w:space="0" w:color="auto"/>
              <w:left w:val="nil" w:sz="6" w:space="0" w:color="auto"/>
              <w:bottom w:val="nil" w:sz="6" w:space="0" w:color="auto"/>
              <w:right w:val="nil" w:sz="6" w:space="0" w:color="auto"/>
            </w:tcBorders>
          </w:tcPr>
          <w:p>
            <w:pPr>
              <w:pStyle w:val="TableParagraph"/>
              <w:tabs>
                <w:tab w:pos="681" w:val="left" w:leader="none"/>
                <w:tab w:pos="869" w:val="left" w:leader="none"/>
              </w:tabs>
              <w:spacing w:line="240" w:lineRule="auto" w:before="16"/>
              <w:ind w:right="1"/>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tab/>
            </w:r>
            <w:r>
              <w:rPr>
                <w:rFonts w:ascii="Arial"/>
                <w:sz w:val="20"/>
              </w:rPr>
            </w:r>
          </w:p>
        </w:tc>
      </w:tr>
      <w:tr>
        <w:trPr>
          <w:trHeight w:val="394"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144" w:type="dxa"/>
            <w:tcBorders>
              <w:top w:val="nil" w:sz="6" w:space="0" w:color="auto"/>
              <w:left w:val="nil" w:sz="6" w:space="0" w:color="auto"/>
              <w:bottom w:val="single" w:sz="17" w:space="0" w:color="000000"/>
              <w:right w:val="nil" w:sz="6" w:space="0" w:color="auto"/>
            </w:tcBorders>
          </w:tcPr>
          <w:p>
            <w:pPr>
              <w:pStyle w:val="TableParagraph"/>
              <w:spacing w:line="240" w:lineRule="auto" w:before="138"/>
              <w:ind w:left="453" w:right="0"/>
              <w:jc w:val="left"/>
              <w:rPr>
                <w:rFonts w:ascii="Arial" w:hAnsi="Arial" w:cs="Arial" w:eastAsia="Arial" w:hint="default"/>
                <w:sz w:val="20"/>
                <w:szCs w:val="20"/>
              </w:rPr>
            </w:pPr>
            <w:r>
              <w:rPr>
                <w:rFonts w:ascii="Arial"/>
                <w:sz w:val="20"/>
              </w:rPr>
              <w:t>6,204</w:t>
            </w:r>
          </w:p>
        </w:tc>
        <w:tc>
          <w:tcPr>
            <w:tcW w:w="1121" w:type="dxa"/>
            <w:tcBorders>
              <w:top w:val="nil" w:sz="6" w:space="0" w:color="auto"/>
              <w:left w:val="nil" w:sz="6" w:space="0" w:color="auto"/>
              <w:bottom w:val="single" w:sz="17" w:space="0" w:color="000000"/>
              <w:right w:val="nil" w:sz="6" w:space="0" w:color="auto"/>
            </w:tcBorders>
          </w:tcPr>
          <w:p>
            <w:pPr>
              <w:pStyle w:val="TableParagraph"/>
              <w:spacing w:line="240" w:lineRule="auto" w:before="138"/>
              <w:ind w:left="427" w:right="0"/>
              <w:jc w:val="left"/>
              <w:rPr>
                <w:rFonts w:ascii="Arial" w:hAnsi="Arial" w:cs="Arial" w:eastAsia="Arial" w:hint="default"/>
                <w:sz w:val="20"/>
                <w:szCs w:val="20"/>
              </w:rPr>
            </w:pPr>
            <w:r>
              <w:rPr>
                <w:rFonts w:ascii="Arial"/>
                <w:sz w:val="20"/>
              </w:rPr>
              <w:t>7,812</w:t>
            </w:r>
          </w:p>
        </w:tc>
        <w:tc>
          <w:tcPr>
            <w:tcW w:w="1166" w:type="dxa"/>
            <w:tcBorders>
              <w:top w:val="nil" w:sz="6" w:space="0" w:color="auto"/>
              <w:left w:val="nil" w:sz="6" w:space="0" w:color="auto"/>
              <w:bottom w:val="single" w:sz="17" w:space="0" w:color="000000"/>
              <w:right w:val="nil" w:sz="6" w:space="0" w:color="auto"/>
            </w:tcBorders>
          </w:tcPr>
          <w:p>
            <w:pPr>
              <w:pStyle w:val="TableParagraph"/>
              <w:spacing w:line="240" w:lineRule="auto" w:before="138"/>
              <w:ind w:right="115"/>
              <w:jc w:val="right"/>
              <w:rPr>
                <w:rFonts w:ascii="Arial" w:hAnsi="Arial" w:cs="Arial" w:eastAsia="Arial" w:hint="default"/>
                <w:sz w:val="20"/>
                <w:szCs w:val="20"/>
              </w:rPr>
            </w:pPr>
            <w:r>
              <w:rPr>
                <w:rFonts w:ascii="Arial"/>
                <w:w w:val="100"/>
                <w:sz w:val="20"/>
              </w:rPr>
              <w:t>-</w:t>
            </w:r>
          </w:p>
        </w:tc>
        <w:tc>
          <w:tcPr>
            <w:tcW w:w="1762" w:type="dxa"/>
            <w:tcBorders>
              <w:top w:val="nil" w:sz="6" w:space="0" w:color="auto"/>
              <w:left w:val="nil" w:sz="6" w:space="0" w:color="auto"/>
              <w:bottom w:val="single" w:sz="17" w:space="0" w:color="000000"/>
              <w:right w:val="nil" w:sz="6" w:space="0" w:color="auto"/>
            </w:tcBorders>
          </w:tcPr>
          <w:p>
            <w:pPr>
              <w:pStyle w:val="TableParagraph"/>
              <w:spacing w:line="240" w:lineRule="auto" w:before="138"/>
              <w:ind w:right="101"/>
              <w:jc w:val="right"/>
              <w:rPr>
                <w:rFonts w:ascii="Arial" w:hAnsi="Arial" w:cs="Arial" w:eastAsia="Arial" w:hint="default"/>
                <w:sz w:val="20"/>
                <w:szCs w:val="20"/>
              </w:rPr>
            </w:pPr>
            <w:r>
              <w:rPr>
                <w:rFonts w:ascii="Arial"/>
                <w:spacing w:val="-1"/>
                <w:sz w:val="20"/>
              </w:rPr>
              <w:t>(4,517)</w:t>
            </w:r>
          </w:p>
        </w:tc>
        <w:tc>
          <w:tcPr>
            <w:tcW w:w="872" w:type="dxa"/>
            <w:tcBorders>
              <w:top w:val="nil" w:sz="6" w:space="0" w:color="auto"/>
              <w:left w:val="nil" w:sz="6" w:space="0" w:color="auto"/>
              <w:bottom w:val="single" w:sz="17" w:space="0" w:color="000000"/>
              <w:right w:val="nil" w:sz="6" w:space="0" w:color="auto"/>
            </w:tcBorders>
          </w:tcPr>
          <w:p>
            <w:pPr>
              <w:pStyle w:val="TableParagraph"/>
              <w:spacing w:line="240" w:lineRule="auto" w:before="138"/>
              <w:ind w:right="120"/>
              <w:jc w:val="right"/>
              <w:rPr>
                <w:rFonts w:ascii="Arial" w:hAnsi="Arial" w:cs="Arial" w:eastAsia="Arial" w:hint="default"/>
                <w:sz w:val="20"/>
                <w:szCs w:val="20"/>
              </w:rPr>
            </w:pPr>
            <w:r>
              <w:rPr>
                <w:rFonts w:ascii="Arial"/>
                <w:w w:val="100"/>
                <w:sz w:val="20"/>
              </w:rPr>
              <w:t>-</w:t>
            </w:r>
          </w:p>
        </w:tc>
      </w:tr>
    </w:tbl>
    <w:p>
      <w:pPr>
        <w:spacing w:line="240" w:lineRule="auto" w:before="11"/>
        <w:rPr>
          <w:rFonts w:ascii="黑体" w:hAnsi="黑体" w:cs="黑体" w:eastAsia="黑体" w:hint="default"/>
          <w:sz w:val="19"/>
          <w:szCs w:val="19"/>
        </w:rPr>
      </w:pPr>
    </w:p>
    <w:tbl>
      <w:tblPr>
        <w:tblW w:w="0" w:type="auto"/>
        <w:jc w:val="left"/>
        <w:tblInd w:w="760" w:type="dxa"/>
        <w:tblLayout w:type="fixed"/>
        <w:tblCellMar>
          <w:top w:w="0" w:type="dxa"/>
          <w:left w:w="0" w:type="dxa"/>
          <w:bottom w:w="0" w:type="dxa"/>
          <w:right w:w="0" w:type="dxa"/>
        </w:tblCellMar>
        <w:tblLook w:val="01E0"/>
      </w:tblPr>
      <w:tblGrid>
        <w:gridCol w:w="2874"/>
        <w:gridCol w:w="1109"/>
        <w:gridCol w:w="1165"/>
        <w:gridCol w:w="1166"/>
        <w:gridCol w:w="1742"/>
        <w:gridCol w:w="896"/>
      </w:tblGrid>
      <w:tr>
        <w:trPr>
          <w:trHeight w:val="496" w:hRule="exact"/>
        </w:trPr>
        <w:tc>
          <w:tcPr>
            <w:tcW w:w="28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0"/>
              <w:jc w:val="left"/>
              <w:rPr>
                <w:rFonts w:ascii="宋体" w:hAnsi="宋体" w:cs="宋体" w:eastAsia="宋体" w:hint="default"/>
                <w:sz w:val="20"/>
                <w:szCs w:val="20"/>
              </w:rPr>
            </w:pPr>
            <w:r>
              <w:rPr>
                <w:rFonts w:ascii="宋体" w:hAnsi="宋体" w:cs="宋体" w:eastAsia="宋体" w:hint="default"/>
                <w:sz w:val="20"/>
                <w:szCs w:val="20"/>
              </w:rPr>
              <w:t>单位：人民币百万元</w:t>
            </w:r>
          </w:p>
        </w:tc>
        <w:tc>
          <w:tcPr>
            <w:tcW w:w="1109" w:type="dxa"/>
            <w:tcBorders>
              <w:top w:val="nil" w:sz="6" w:space="0" w:color="auto"/>
              <w:left w:val="nil" w:sz="6" w:space="0" w:color="auto"/>
              <w:bottom w:val="single" w:sz="6" w:space="0" w:color="000000"/>
              <w:right w:val="nil" w:sz="6" w:space="0" w:color="auto"/>
            </w:tcBorders>
          </w:tcPr>
          <w:p>
            <w:pPr>
              <w:pStyle w:val="TableParagraph"/>
              <w:spacing w:line="206" w:lineRule="exact"/>
              <w:ind w:left="363"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p>
          <w:p>
            <w:pPr>
              <w:pStyle w:val="TableParagraph"/>
              <w:spacing w:line="268" w:lineRule="exact"/>
              <w:ind w:left="14"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10"/>
                <w:sz w:val="20"/>
                <w:szCs w:val="20"/>
              </w:rPr>
              <w:t> </w:t>
            </w:r>
            <w:r>
              <w:rPr>
                <w:rFonts w:ascii="宋体" w:hAnsi="宋体" w:cs="宋体" w:eastAsia="宋体" w:hint="default"/>
                <w:sz w:val="20"/>
                <w:szCs w:val="20"/>
              </w:rPr>
              <w:t>月</w:t>
            </w:r>
            <w:r>
              <w:rPr>
                <w:rFonts w:ascii="宋体" w:hAnsi="宋体" w:cs="宋体" w:eastAsia="宋体" w:hint="default"/>
                <w:spacing w:val="-56"/>
                <w:sz w:val="20"/>
                <w:szCs w:val="20"/>
              </w:rPr>
              <w:t> </w:t>
            </w:r>
            <w:r>
              <w:rPr>
                <w:rFonts w:ascii="Arial" w:hAnsi="Arial" w:cs="Arial" w:eastAsia="Arial" w:hint="default"/>
                <w:sz w:val="20"/>
                <w:szCs w:val="20"/>
              </w:rPr>
              <w:t>31</w:t>
            </w:r>
            <w:r>
              <w:rPr>
                <w:rFonts w:ascii="Arial" w:hAnsi="Arial" w:cs="Arial" w:eastAsia="Arial" w:hint="default"/>
                <w:spacing w:val="-11"/>
                <w:sz w:val="20"/>
                <w:szCs w:val="20"/>
              </w:rPr>
              <w:t> </w:t>
            </w:r>
            <w:r>
              <w:rPr>
                <w:rFonts w:ascii="宋体" w:hAnsi="宋体" w:cs="宋体" w:eastAsia="宋体" w:hint="default"/>
                <w:sz w:val="20"/>
                <w:szCs w:val="20"/>
              </w:rPr>
              <w:t>日</w:t>
            </w:r>
          </w:p>
        </w:tc>
        <w:tc>
          <w:tcPr>
            <w:tcW w:w="1165" w:type="dxa"/>
            <w:tcBorders>
              <w:top w:val="nil" w:sz="6" w:space="0" w:color="auto"/>
              <w:left w:val="nil" w:sz="6" w:space="0" w:color="auto"/>
              <w:bottom w:val="single" w:sz="6" w:space="0" w:color="000000"/>
              <w:right w:val="nil" w:sz="6" w:space="0" w:color="auto"/>
            </w:tcBorders>
          </w:tcPr>
          <w:p>
            <w:pPr>
              <w:pStyle w:val="TableParagraph"/>
              <w:spacing w:line="206" w:lineRule="exact"/>
              <w:ind w:left="398"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p>
          <w:p>
            <w:pPr>
              <w:pStyle w:val="TableParagraph"/>
              <w:spacing w:line="268" w:lineRule="exact"/>
              <w:ind w:left="49"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10"/>
                <w:sz w:val="20"/>
                <w:szCs w:val="20"/>
              </w:rPr>
              <w:t> </w:t>
            </w:r>
            <w:r>
              <w:rPr>
                <w:rFonts w:ascii="宋体" w:hAnsi="宋体" w:cs="宋体" w:eastAsia="宋体" w:hint="default"/>
                <w:sz w:val="20"/>
                <w:szCs w:val="20"/>
              </w:rPr>
              <w:t>月</w:t>
            </w:r>
            <w:r>
              <w:rPr>
                <w:rFonts w:ascii="宋体" w:hAnsi="宋体" w:cs="宋体" w:eastAsia="宋体" w:hint="default"/>
                <w:spacing w:val="-56"/>
                <w:sz w:val="20"/>
                <w:szCs w:val="20"/>
              </w:rPr>
              <w:t> </w:t>
            </w:r>
            <w:r>
              <w:rPr>
                <w:rFonts w:ascii="Arial" w:hAnsi="Arial" w:cs="Arial" w:eastAsia="Arial" w:hint="default"/>
                <w:sz w:val="20"/>
                <w:szCs w:val="20"/>
              </w:rPr>
              <w:t>31</w:t>
            </w:r>
            <w:r>
              <w:rPr>
                <w:rFonts w:ascii="Arial" w:hAnsi="Arial" w:cs="Arial" w:eastAsia="Arial" w:hint="default"/>
                <w:spacing w:val="-11"/>
                <w:sz w:val="20"/>
                <w:szCs w:val="20"/>
              </w:rPr>
              <w:t> </w:t>
            </w:r>
            <w:r>
              <w:rPr>
                <w:rFonts w:ascii="宋体" w:hAnsi="宋体" w:cs="宋体" w:eastAsia="宋体" w:hint="default"/>
                <w:sz w:val="20"/>
                <w:szCs w:val="20"/>
              </w:rPr>
              <w:t>日</w:t>
            </w:r>
          </w:p>
        </w:tc>
        <w:tc>
          <w:tcPr>
            <w:tcW w:w="1166" w:type="dxa"/>
            <w:tcBorders>
              <w:top w:val="nil" w:sz="6" w:space="0" w:color="auto"/>
              <w:left w:val="nil" w:sz="6" w:space="0" w:color="auto"/>
              <w:bottom w:val="single" w:sz="6" w:space="0" w:color="000000"/>
              <w:right w:val="nil" w:sz="6" w:space="0" w:color="auto"/>
            </w:tcBorders>
          </w:tcPr>
          <w:p>
            <w:pPr>
              <w:pStyle w:val="TableParagraph"/>
              <w:spacing w:line="199" w:lineRule="exact"/>
              <w:ind w:left="70" w:right="0"/>
              <w:jc w:val="left"/>
              <w:rPr>
                <w:rFonts w:ascii="宋体" w:hAnsi="宋体" w:cs="宋体" w:eastAsia="宋体" w:hint="default"/>
                <w:sz w:val="20"/>
                <w:szCs w:val="20"/>
              </w:rPr>
            </w:pPr>
            <w:r>
              <w:rPr>
                <w:rFonts w:ascii="宋体" w:hAnsi="宋体" w:cs="宋体" w:eastAsia="宋体" w:hint="default"/>
                <w:sz w:val="20"/>
                <w:szCs w:val="20"/>
              </w:rPr>
              <w:t>本年公允价</w:t>
            </w:r>
          </w:p>
          <w:p>
            <w:pPr>
              <w:pStyle w:val="TableParagraph"/>
              <w:spacing w:line="260" w:lineRule="exact"/>
              <w:ind w:left="70" w:right="0"/>
              <w:jc w:val="left"/>
              <w:rPr>
                <w:rFonts w:ascii="宋体" w:hAnsi="宋体" w:cs="宋体" w:eastAsia="宋体" w:hint="default"/>
                <w:sz w:val="20"/>
                <w:szCs w:val="20"/>
              </w:rPr>
            </w:pPr>
            <w:r>
              <w:rPr>
                <w:rFonts w:ascii="宋体" w:hAnsi="宋体" w:cs="宋体" w:eastAsia="宋体" w:hint="default"/>
                <w:sz w:val="20"/>
                <w:szCs w:val="20"/>
              </w:rPr>
              <w:t>值变动损益</w:t>
            </w:r>
          </w:p>
        </w:tc>
        <w:tc>
          <w:tcPr>
            <w:tcW w:w="1742" w:type="dxa"/>
            <w:tcBorders>
              <w:top w:val="nil" w:sz="6" w:space="0" w:color="auto"/>
              <w:left w:val="nil" w:sz="6" w:space="0" w:color="auto"/>
              <w:bottom w:val="single" w:sz="6" w:space="0" w:color="000000"/>
              <w:right w:val="nil" w:sz="6" w:space="0" w:color="auto"/>
            </w:tcBorders>
          </w:tcPr>
          <w:p>
            <w:pPr>
              <w:pStyle w:val="TableParagraph"/>
              <w:spacing w:line="199" w:lineRule="exact"/>
              <w:ind w:left="294" w:right="0" w:hanging="200"/>
              <w:jc w:val="left"/>
              <w:rPr>
                <w:rFonts w:ascii="宋体" w:hAnsi="宋体" w:cs="宋体" w:eastAsia="宋体" w:hint="default"/>
                <w:sz w:val="20"/>
                <w:szCs w:val="20"/>
              </w:rPr>
            </w:pPr>
            <w:r>
              <w:rPr>
                <w:rFonts w:ascii="宋体" w:hAnsi="宋体" w:cs="宋体" w:eastAsia="宋体" w:hint="default"/>
                <w:sz w:val="20"/>
                <w:szCs w:val="20"/>
              </w:rPr>
              <w:t>计入股东权益的累</w:t>
            </w:r>
          </w:p>
          <w:p>
            <w:pPr>
              <w:pStyle w:val="TableParagraph"/>
              <w:spacing w:line="260" w:lineRule="exact"/>
              <w:ind w:left="294" w:right="0"/>
              <w:jc w:val="left"/>
              <w:rPr>
                <w:rFonts w:ascii="宋体" w:hAnsi="宋体" w:cs="宋体" w:eastAsia="宋体" w:hint="default"/>
                <w:sz w:val="20"/>
                <w:szCs w:val="20"/>
              </w:rPr>
            </w:pPr>
            <w:r>
              <w:rPr>
                <w:rFonts w:ascii="宋体" w:hAnsi="宋体" w:cs="宋体" w:eastAsia="宋体" w:hint="default"/>
                <w:sz w:val="20"/>
                <w:szCs w:val="20"/>
              </w:rPr>
              <w:t>计公允价值变动</w:t>
            </w:r>
          </w:p>
        </w:tc>
        <w:tc>
          <w:tcPr>
            <w:tcW w:w="896" w:type="dxa"/>
            <w:tcBorders>
              <w:top w:val="nil" w:sz="6" w:space="0" w:color="auto"/>
              <w:left w:val="nil" w:sz="6" w:space="0" w:color="auto"/>
              <w:bottom w:val="single" w:sz="6" w:space="0" w:color="000000"/>
              <w:right w:val="nil" w:sz="6" w:space="0" w:color="auto"/>
            </w:tcBorders>
          </w:tcPr>
          <w:p>
            <w:pPr>
              <w:pStyle w:val="TableParagraph"/>
              <w:spacing w:line="199" w:lineRule="exact"/>
              <w:ind w:left="246" w:right="0" w:hanging="201"/>
              <w:jc w:val="left"/>
              <w:rPr>
                <w:rFonts w:ascii="宋体" w:hAnsi="宋体" w:cs="宋体" w:eastAsia="宋体" w:hint="default"/>
                <w:sz w:val="20"/>
                <w:szCs w:val="20"/>
              </w:rPr>
            </w:pPr>
            <w:r>
              <w:rPr>
                <w:rFonts w:ascii="宋体" w:hAnsi="宋体" w:cs="宋体" w:eastAsia="宋体" w:hint="default"/>
                <w:sz w:val="20"/>
                <w:szCs w:val="20"/>
              </w:rPr>
              <w:t>本年计提</w:t>
            </w:r>
          </w:p>
          <w:p>
            <w:pPr>
              <w:pStyle w:val="TableParagraph"/>
              <w:spacing w:line="260" w:lineRule="exact"/>
              <w:ind w:left="246" w:right="0"/>
              <w:jc w:val="left"/>
              <w:rPr>
                <w:rFonts w:ascii="宋体" w:hAnsi="宋体" w:cs="宋体" w:eastAsia="宋体" w:hint="default"/>
                <w:sz w:val="20"/>
                <w:szCs w:val="20"/>
              </w:rPr>
            </w:pPr>
            <w:r>
              <w:rPr>
                <w:rFonts w:ascii="宋体" w:hAnsi="宋体" w:cs="宋体" w:eastAsia="宋体" w:hint="default"/>
                <w:sz w:val="20"/>
                <w:szCs w:val="20"/>
              </w:rPr>
              <w:t>的减值</w:t>
            </w:r>
          </w:p>
        </w:tc>
      </w:tr>
      <w:tr>
        <w:trPr>
          <w:trHeight w:val="473" w:hRule="exact"/>
        </w:trPr>
        <w:tc>
          <w:tcPr>
            <w:tcW w:w="2874"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0"/>
              <w:jc w:val="left"/>
              <w:rPr>
                <w:rFonts w:ascii="宋体" w:hAnsi="宋体" w:cs="宋体" w:eastAsia="宋体" w:hint="default"/>
                <w:sz w:val="20"/>
                <w:szCs w:val="20"/>
              </w:rPr>
            </w:pPr>
            <w:r>
              <w:rPr>
                <w:rFonts w:ascii="宋体" w:hAnsi="宋体" w:cs="宋体" w:eastAsia="宋体" w:hint="default"/>
                <w:sz w:val="20"/>
                <w:szCs w:val="20"/>
              </w:rPr>
              <w:t>金融负债</w:t>
            </w:r>
          </w:p>
        </w:tc>
        <w:tc>
          <w:tcPr>
            <w:tcW w:w="1109" w:type="dxa"/>
            <w:tcBorders>
              <w:top w:val="single" w:sz="6" w:space="0" w:color="000000"/>
              <w:left w:val="nil" w:sz="6" w:space="0" w:color="auto"/>
              <w:bottom w:val="nil" w:sz="6" w:space="0" w:color="auto"/>
              <w:right w:val="nil" w:sz="6" w:space="0" w:color="auto"/>
            </w:tcBorders>
          </w:tcPr>
          <w:p>
            <w:pPr/>
          </w:p>
        </w:tc>
        <w:tc>
          <w:tcPr>
            <w:tcW w:w="1165" w:type="dxa"/>
            <w:tcBorders>
              <w:top w:val="single" w:sz="6" w:space="0" w:color="000000"/>
              <w:left w:val="nil" w:sz="6" w:space="0" w:color="auto"/>
              <w:bottom w:val="nil" w:sz="6" w:space="0" w:color="auto"/>
              <w:right w:val="nil" w:sz="6" w:space="0" w:color="auto"/>
            </w:tcBorders>
          </w:tcPr>
          <w:p>
            <w:pPr/>
          </w:p>
        </w:tc>
        <w:tc>
          <w:tcPr>
            <w:tcW w:w="1166" w:type="dxa"/>
            <w:tcBorders>
              <w:top w:val="single" w:sz="6" w:space="0" w:color="000000"/>
              <w:left w:val="nil" w:sz="6" w:space="0" w:color="auto"/>
              <w:bottom w:val="nil" w:sz="6" w:space="0" w:color="auto"/>
              <w:right w:val="nil" w:sz="6" w:space="0" w:color="auto"/>
            </w:tcBorders>
          </w:tcPr>
          <w:p>
            <w:pPr/>
          </w:p>
        </w:tc>
        <w:tc>
          <w:tcPr>
            <w:tcW w:w="1742" w:type="dxa"/>
            <w:tcBorders>
              <w:top w:val="single" w:sz="6" w:space="0" w:color="000000"/>
              <w:left w:val="nil" w:sz="6" w:space="0" w:color="auto"/>
              <w:bottom w:val="nil" w:sz="6" w:space="0" w:color="auto"/>
              <w:right w:val="nil" w:sz="6" w:space="0" w:color="auto"/>
            </w:tcBorders>
          </w:tcPr>
          <w:p>
            <w:pPr/>
          </w:p>
        </w:tc>
        <w:tc>
          <w:tcPr>
            <w:tcW w:w="896" w:type="dxa"/>
            <w:tcBorders>
              <w:top w:val="single" w:sz="6" w:space="0" w:color="000000"/>
              <w:left w:val="nil" w:sz="6" w:space="0" w:color="auto"/>
              <w:bottom w:val="nil" w:sz="6" w:space="0" w:color="auto"/>
              <w:right w:val="nil" w:sz="6" w:space="0" w:color="auto"/>
            </w:tcBorders>
          </w:tcPr>
          <w:p>
            <w:pPr/>
          </w:p>
        </w:tc>
      </w:tr>
      <w:tr>
        <w:trPr>
          <w:trHeight w:val="295" w:hRule="exact"/>
        </w:trPr>
        <w:tc>
          <w:tcPr>
            <w:tcW w:w="2874" w:type="dxa"/>
            <w:tcBorders>
              <w:top w:val="single" w:sz="4" w:space="0" w:color="000000"/>
              <w:left w:val="nil" w:sz="6" w:space="0" w:color="auto"/>
              <w:bottom w:val="nil" w:sz="6" w:space="0" w:color="auto"/>
              <w:right w:val="nil" w:sz="6" w:space="0" w:color="auto"/>
            </w:tcBorders>
          </w:tcPr>
          <w:p>
            <w:pPr>
              <w:pStyle w:val="TableParagraph"/>
              <w:spacing w:line="263" w:lineRule="exact"/>
              <w:ind w:right="0"/>
              <w:jc w:val="left"/>
              <w:rPr>
                <w:rFonts w:ascii="宋体" w:hAnsi="宋体" w:cs="宋体" w:eastAsia="宋体" w:hint="default"/>
                <w:sz w:val="20"/>
                <w:szCs w:val="20"/>
              </w:rPr>
            </w:pPr>
            <w:r>
              <w:rPr>
                <w:rFonts w:ascii="宋体" w:hAnsi="宋体" w:cs="宋体" w:eastAsia="宋体" w:hint="default"/>
                <w:sz w:val="20"/>
                <w:szCs w:val="20"/>
              </w:rPr>
              <w:t>对网通</w:t>
            </w:r>
            <w:r>
              <w:rPr>
                <w:rFonts w:ascii="宋体" w:hAnsi="宋体" w:cs="宋体" w:eastAsia="宋体" w:hint="default"/>
                <w:spacing w:val="-51"/>
                <w:sz w:val="20"/>
                <w:szCs w:val="20"/>
              </w:rPr>
              <w:t> </w:t>
            </w:r>
            <w:r>
              <w:rPr>
                <w:rFonts w:ascii="Arial" w:hAnsi="Arial" w:cs="Arial" w:eastAsia="Arial" w:hint="default"/>
                <w:sz w:val="20"/>
                <w:szCs w:val="20"/>
              </w:rPr>
              <w:t>BVI</w:t>
            </w:r>
            <w:r>
              <w:rPr>
                <w:rFonts w:ascii="Arial" w:hAnsi="Arial" w:cs="Arial" w:eastAsia="Arial" w:hint="default"/>
                <w:spacing w:val="-7"/>
                <w:sz w:val="20"/>
                <w:szCs w:val="20"/>
              </w:rPr>
              <w:t> </w:t>
            </w:r>
            <w:r>
              <w:rPr>
                <w:rFonts w:ascii="宋体" w:hAnsi="宋体" w:cs="宋体" w:eastAsia="宋体" w:hint="default"/>
                <w:sz w:val="20"/>
                <w:szCs w:val="20"/>
              </w:rPr>
              <w:t>借款本金</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7"/>
              <w:jc w:val="right"/>
              <w:rPr>
                <w:rFonts w:ascii="Arial" w:hAnsi="Arial" w:cs="Arial" w:eastAsia="Arial" w:hint="default"/>
                <w:sz w:val="20"/>
                <w:szCs w:val="20"/>
              </w:rPr>
            </w:pPr>
            <w:r>
              <w:rPr>
                <w:rFonts w:ascii="Arial"/>
                <w:w w:val="100"/>
                <w:sz w:val="20"/>
              </w:rPr>
              <w:t>-</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6"/>
              <w:jc w:val="right"/>
              <w:rPr>
                <w:rFonts w:ascii="Arial" w:hAnsi="Arial" w:cs="Arial" w:eastAsia="Arial" w:hint="default"/>
                <w:sz w:val="20"/>
                <w:szCs w:val="20"/>
              </w:rPr>
            </w:pPr>
            <w:r>
              <w:rPr>
                <w:rFonts w:ascii="Arial"/>
                <w:sz w:val="20"/>
              </w:rPr>
              <w:t>2,132</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1"/>
              <w:jc w:val="right"/>
              <w:rPr>
                <w:rFonts w:ascii="Arial" w:hAnsi="Arial" w:cs="Arial" w:eastAsia="Arial" w:hint="default"/>
                <w:sz w:val="20"/>
                <w:szCs w:val="20"/>
              </w:rPr>
            </w:pPr>
            <w:r>
              <w:rPr>
                <w:rFonts w:ascii="Arial"/>
                <w:w w:val="100"/>
                <w:sz w:val="20"/>
              </w:rPr>
              <w:t>-</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0"/>
              <w:jc w:val="right"/>
              <w:rPr>
                <w:rFonts w:ascii="Arial" w:hAnsi="Arial" w:cs="Arial" w:eastAsia="Arial" w:hint="default"/>
                <w:sz w:val="20"/>
                <w:szCs w:val="20"/>
              </w:rPr>
            </w:pPr>
            <w:r>
              <w:rPr>
                <w:rFonts w:ascii="Arial"/>
                <w:w w:val="100"/>
                <w:sz w:val="20"/>
              </w:rPr>
              <w:t>-</w:t>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9"/>
              <w:jc w:val="right"/>
              <w:rPr>
                <w:rFonts w:ascii="Arial" w:hAnsi="Arial" w:cs="Arial" w:eastAsia="Arial" w:hint="default"/>
                <w:sz w:val="20"/>
                <w:szCs w:val="20"/>
              </w:rPr>
            </w:pPr>
            <w:r>
              <w:rPr>
                <w:rFonts w:ascii="Arial"/>
                <w:w w:val="100"/>
                <w:sz w:val="20"/>
              </w:rPr>
              <w:t>-</w:t>
            </w:r>
          </w:p>
        </w:tc>
      </w:tr>
      <w:tr>
        <w:trPr>
          <w:trHeight w:val="260" w:hRule="exact"/>
        </w:trPr>
        <w:tc>
          <w:tcPr>
            <w:tcW w:w="2874" w:type="dxa"/>
            <w:tcBorders>
              <w:top w:val="nil" w:sz="6" w:space="0" w:color="auto"/>
              <w:left w:val="nil" w:sz="6" w:space="0" w:color="auto"/>
              <w:bottom w:val="nil" w:sz="6" w:space="0" w:color="auto"/>
              <w:right w:val="nil" w:sz="6" w:space="0" w:color="auto"/>
            </w:tcBorders>
          </w:tcPr>
          <w:p>
            <w:pPr>
              <w:pStyle w:val="TableParagraph"/>
              <w:spacing w:line="232" w:lineRule="exact"/>
              <w:ind w:right="0"/>
              <w:jc w:val="left"/>
              <w:rPr>
                <w:rFonts w:ascii="宋体" w:hAnsi="宋体" w:cs="宋体" w:eastAsia="宋体" w:hint="default"/>
                <w:sz w:val="20"/>
                <w:szCs w:val="20"/>
              </w:rPr>
            </w:pPr>
            <w:r>
              <w:rPr>
                <w:rFonts w:ascii="宋体" w:hAnsi="宋体" w:cs="宋体" w:eastAsia="宋体" w:hint="default"/>
                <w:sz w:val="20"/>
                <w:szCs w:val="20"/>
              </w:rPr>
              <w:t>对联通集团</w:t>
            </w:r>
            <w:r>
              <w:rPr>
                <w:rFonts w:ascii="宋体" w:hAnsi="宋体" w:cs="宋体" w:eastAsia="宋体" w:hint="default"/>
                <w:spacing w:val="-51"/>
                <w:sz w:val="20"/>
                <w:szCs w:val="20"/>
              </w:rPr>
              <w:t> </w:t>
            </w:r>
            <w:r>
              <w:rPr>
                <w:rFonts w:ascii="Arial" w:hAnsi="Arial" w:cs="Arial" w:eastAsia="Arial" w:hint="default"/>
                <w:sz w:val="20"/>
                <w:szCs w:val="20"/>
              </w:rPr>
              <w:t>BVI</w:t>
            </w:r>
            <w:r>
              <w:rPr>
                <w:rFonts w:ascii="Arial" w:hAnsi="Arial" w:cs="Arial" w:eastAsia="Arial" w:hint="default"/>
                <w:spacing w:val="-8"/>
                <w:sz w:val="20"/>
                <w:szCs w:val="20"/>
              </w:rPr>
              <w:t> </w:t>
            </w:r>
            <w:r>
              <w:rPr>
                <w:rFonts w:ascii="宋体" w:hAnsi="宋体" w:cs="宋体" w:eastAsia="宋体" w:hint="default"/>
                <w:sz w:val="20"/>
                <w:szCs w:val="20"/>
              </w:rPr>
              <w:t>公司借款本金</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7"/>
              <w:jc w:val="right"/>
              <w:rPr>
                <w:rFonts w:ascii="Arial" w:hAnsi="Arial" w:cs="Arial" w:eastAsia="Arial" w:hint="default"/>
                <w:sz w:val="20"/>
                <w:szCs w:val="20"/>
              </w:rPr>
            </w:pPr>
            <w:r>
              <w:rPr>
                <w:rFonts w:ascii="Arial"/>
                <w:w w:val="100"/>
                <w:sz w:val="20"/>
              </w:rPr>
              <w:t>-</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6"/>
              <w:jc w:val="right"/>
              <w:rPr>
                <w:rFonts w:ascii="Arial" w:hAnsi="Arial" w:cs="Arial" w:eastAsia="Arial" w:hint="default"/>
                <w:sz w:val="20"/>
                <w:szCs w:val="20"/>
              </w:rPr>
            </w:pPr>
            <w:r>
              <w:rPr>
                <w:rFonts w:ascii="Arial"/>
                <w:sz w:val="20"/>
              </w:rPr>
              <w:t>24</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1"/>
              <w:jc w:val="right"/>
              <w:rPr>
                <w:rFonts w:ascii="Arial" w:hAnsi="Arial" w:cs="Arial" w:eastAsia="Arial" w:hint="default"/>
                <w:sz w:val="20"/>
                <w:szCs w:val="20"/>
              </w:rPr>
            </w:pPr>
            <w:r>
              <w:rPr>
                <w:rFonts w:ascii="Arial"/>
                <w:w w:val="100"/>
                <w:sz w:val="20"/>
              </w:rPr>
              <w:t>-</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0"/>
              <w:jc w:val="right"/>
              <w:rPr>
                <w:rFonts w:ascii="Arial" w:hAnsi="Arial" w:cs="Arial" w:eastAsia="Arial" w:hint="default"/>
                <w:sz w:val="20"/>
                <w:szCs w:val="20"/>
              </w:rPr>
            </w:pPr>
            <w:r>
              <w:rPr>
                <w:rFonts w:ascii="Arial"/>
                <w:w w:val="100"/>
                <w:sz w:val="20"/>
              </w:rPr>
              <w:t>-</w:t>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9"/>
              <w:jc w:val="right"/>
              <w:rPr>
                <w:rFonts w:ascii="Arial" w:hAnsi="Arial" w:cs="Arial" w:eastAsia="Arial" w:hint="default"/>
                <w:sz w:val="20"/>
                <w:szCs w:val="20"/>
              </w:rPr>
            </w:pPr>
            <w:r>
              <w:rPr>
                <w:rFonts w:ascii="Arial"/>
                <w:w w:val="100"/>
                <w:sz w:val="20"/>
              </w:rPr>
              <w:t>-</w:t>
            </w:r>
          </w:p>
        </w:tc>
      </w:tr>
      <w:tr>
        <w:trPr>
          <w:trHeight w:val="259" w:hRule="exact"/>
        </w:trPr>
        <w:tc>
          <w:tcPr>
            <w:tcW w:w="2874" w:type="dxa"/>
            <w:tcBorders>
              <w:top w:val="nil" w:sz="6" w:space="0" w:color="auto"/>
              <w:left w:val="nil" w:sz="6" w:space="0" w:color="auto"/>
              <w:bottom w:val="nil" w:sz="6" w:space="0" w:color="auto"/>
              <w:right w:val="nil" w:sz="6" w:space="0" w:color="auto"/>
            </w:tcBorders>
          </w:tcPr>
          <w:p>
            <w:pPr>
              <w:pStyle w:val="TableParagraph"/>
              <w:spacing w:line="219" w:lineRule="exact"/>
              <w:ind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7"/>
              <w:jc w:val="right"/>
              <w:rPr>
                <w:rFonts w:ascii="Arial" w:hAnsi="Arial" w:cs="Arial" w:eastAsia="Arial" w:hint="default"/>
                <w:sz w:val="20"/>
                <w:szCs w:val="20"/>
              </w:rPr>
            </w:pPr>
            <w:r>
              <w:rPr>
                <w:rFonts w:ascii="Arial"/>
                <w:sz w:val="20"/>
              </w:rPr>
              <w:t>29,395</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73" w:right="0"/>
              <w:jc w:val="left"/>
              <w:rPr>
                <w:rFonts w:ascii="Arial" w:hAnsi="Arial" w:cs="Arial" w:eastAsia="Arial" w:hint="default"/>
                <w:sz w:val="20"/>
                <w:szCs w:val="20"/>
              </w:rPr>
            </w:pPr>
            <w:r>
              <w:rPr>
                <w:rFonts w:ascii="Arial"/>
                <w:sz w:val="20"/>
              </w:rPr>
              <w:t>14,512</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1"/>
              <w:jc w:val="right"/>
              <w:rPr>
                <w:rFonts w:ascii="Arial" w:hAnsi="Arial" w:cs="Arial" w:eastAsia="Arial" w:hint="default"/>
                <w:sz w:val="20"/>
                <w:szCs w:val="20"/>
              </w:rPr>
            </w:pPr>
            <w:r>
              <w:rPr>
                <w:rFonts w:ascii="Arial"/>
                <w:w w:val="100"/>
                <w:sz w:val="20"/>
              </w:rPr>
              <w:t>-</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0"/>
              <w:jc w:val="right"/>
              <w:rPr>
                <w:rFonts w:ascii="Arial" w:hAnsi="Arial" w:cs="Arial" w:eastAsia="Arial" w:hint="default"/>
                <w:sz w:val="20"/>
                <w:szCs w:val="20"/>
              </w:rPr>
            </w:pPr>
            <w:r>
              <w:rPr>
                <w:rFonts w:ascii="Arial"/>
                <w:w w:val="100"/>
                <w:sz w:val="20"/>
              </w:rPr>
              <w:t>-</w:t>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9"/>
              <w:jc w:val="right"/>
              <w:rPr>
                <w:rFonts w:ascii="Arial" w:hAnsi="Arial" w:cs="Arial" w:eastAsia="Arial" w:hint="default"/>
                <w:sz w:val="20"/>
                <w:szCs w:val="20"/>
              </w:rPr>
            </w:pPr>
            <w:r>
              <w:rPr>
                <w:rFonts w:ascii="Arial"/>
                <w:w w:val="100"/>
                <w:sz w:val="20"/>
              </w:rPr>
              <w:t>-</w:t>
            </w:r>
          </w:p>
        </w:tc>
      </w:tr>
      <w:tr>
        <w:trPr>
          <w:trHeight w:val="259" w:hRule="exact"/>
        </w:trPr>
        <w:tc>
          <w:tcPr>
            <w:tcW w:w="2874" w:type="dxa"/>
            <w:tcBorders>
              <w:top w:val="nil" w:sz="6" w:space="0" w:color="auto"/>
              <w:left w:val="nil" w:sz="6" w:space="0" w:color="auto"/>
              <w:bottom w:val="nil" w:sz="6" w:space="0" w:color="auto"/>
              <w:right w:val="nil" w:sz="6" w:space="0" w:color="auto"/>
            </w:tcBorders>
          </w:tcPr>
          <w:p>
            <w:pPr>
              <w:pStyle w:val="TableParagraph"/>
              <w:spacing w:line="233" w:lineRule="exact"/>
              <w:ind w:right="0"/>
              <w:jc w:val="left"/>
              <w:rPr>
                <w:rFonts w:ascii="宋体" w:hAnsi="宋体" w:cs="宋体" w:eastAsia="宋体" w:hint="default"/>
                <w:sz w:val="20"/>
                <w:szCs w:val="20"/>
              </w:rPr>
            </w:pPr>
            <w:r>
              <w:rPr>
                <w:rFonts w:ascii="宋体" w:hAnsi="宋体" w:cs="宋体" w:eastAsia="宋体" w:hint="default"/>
                <w:sz w:val="20"/>
                <w:szCs w:val="20"/>
              </w:rPr>
              <w:t>长期借款（含</w:t>
            </w:r>
            <w:r>
              <w:rPr>
                <w:rFonts w:ascii="宋体" w:hAnsi="宋体" w:cs="宋体" w:eastAsia="宋体" w:hint="default"/>
                <w:spacing w:val="-52"/>
                <w:sz w:val="20"/>
                <w:szCs w:val="20"/>
              </w:rPr>
              <w:t> </w:t>
            </w:r>
            <w:r>
              <w:rPr>
                <w:rFonts w:ascii="Arial" w:hAnsi="Arial" w:cs="Arial" w:eastAsia="Arial" w:hint="default"/>
                <w:sz w:val="20"/>
                <w:szCs w:val="20"/>
              </w:rPr>
              <w:t>1</w:t>
            </w:r>
            <w:r>
              <w:rPr>
                <w:rFonts w:ascii="Arial" w:hAnsi="Arial" w:cs="Arial" w:eastAsia="Arial" w:hint="default"/>
                <w:spacing w:val="-9"/>
                <w:sz w:val="20"/>
                <w:szCs w:val="20"/>
              </w:rPr>
              <w:t> </w:t>
            </w:r>
            <w:r>
              <w:rPr>
                <w:rFonts w:ascii="宋体" w:hAnsi="宋体" w:cs="宋体" w:eastAsia="宋体" w:hint="default"/>
                <w:sz w:val="20"/>
                <w:szCs w:val="20"/>
              </w:rPr>
              <w:t>年内到期部分）</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7"/>
              <w:jc w:val="right"/>
              <w:rPr>
                <w:rFonts w:ascii="Arial" w:hAnsi="Arial" w:cs="Arial" w:eastAsia="Arial" w:hint="default"/>
                <w:sz w:val="20"/>
                <w:szCs w:val="20"/>
              </w:rPr>
            </w:pPr>
            <w:r>
              <w:rPr>
                <w:rFonts w:ascii="Arial"/>
                <w:sz w:val="20"/>
              </w:rPr>
              <w:t>586</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6"/>
              <w:jc w:val="right"/>
              <w:rPr>
                <w:rFonts w:ascii="Arial" w:hAnsi="Arial" w:cs="Arial" w:eastAsia="Arial" w:hint="default"/>
                <w:sz w:val="20"/>
                <w:szCs w:val="20"/>
              </w:rPr>
            </w:pPr>
            <w:r>
              <w:rPr>
                <w:rFonts w:ascii="Arial"/>
                <w:sz w:val="20"/>
              </w:rPr>
              <w:t>634</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1"/>
              <w:jc w:val="right"/>
              <w:rPr>
                <w:rFonts w:ascii="Arial" w:hAnsi="Arial" w:cs="Arial" w:eastAsia="Arial" w:hint="default"/>
                <w:sz w:val="20"/>
                <w:szCs w:val="20"/>
              </w:rPr>
            </w:pPr>
            <w:r>
              <w:rPr>
                <w:rFonts w:ascii="Arial"/>
                <w:w w:val="100"/>
                <w:sz w:val="20"/>
              </w:rPr>
              <w:t>-</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0"/>
              <w:jc w:val="right"/>
              <w:rPr>
                <w:rFonts w:ascii="Arial" w:hAnsi="Arial" w:cs="Arial" w:eastAsia="Arial" w:hint="default"/>
                <w:sz w:val="20"/>
                <w:szCs w:val="20"/>
              </w:rPr>
            </w:pPr>
            <w:r>
              <w:rPr>
                <w:rFonts w:ascii="Arial"/>
                <w:w w:val="100"/>
                <w:sz w:val="20"/>
              </w:rPr>
              <w:t>-</w:t>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9"/>
              <w:jc w:val="right"/>
              <w:rPr>
                <w:rFonts w:ascii="Arial" w:hAnsi="Arial" w:cs="Arial" w:eastAsia="Arial" w:hint="default"/>
                <w:sz w:val="20"/>
                <w:szCs w:val="20"/>
              </w:rPr>
            </w:pPr>
            <w:r>
              <w:rPr>
                <w:rFonts w:ascii="Arial"/>
                <w:w w:val="100"/>
                <w:sz w:val="20"/>
              </w:rPr>
              <w:t>-</w:t>
            </w:r>
          </w:p>
        </w:tc>
      </w:tr>
      <w:tr>
        <w:trPr>
          <w:trHeight w:val="259" w:hRule="exact"/>
        </w:trPr>
        <w:tc>
          <w:tcPr>
            <w:tcW w:w="2874" w:type="dxa"/>
            <w:tcBorders>
              <w:top w:val="nil" w:sz="6" w:space="0" w:color="auto"/>
              <w:left w:val="nil" w:sz="6" w:space="0" w:color="auto"/>
              <w:bottom w:val="nil" w:sz="6" w:space="0" w:color="auto"/>
              <w:right w:val="nil" w:sz="6" w:space="0" w:color="auto"/>
            </w:tcBorders>
          </w:tcPr>
          <w:p>
            <w:pPr>
              <w:pStyle w:val="TableParagraph"/>
              <w:spacing w:line="219" w:lineRule="exact"/>
              <w:ind w:right="0"/>
              <w:jc w:val="left"/>
              <w:rPr>
                <w:rFonts w:ascii="宋体" w:hAnsi="宋体" w:cs="宋体" w:eastAsia="宋体" w:hint="default"/>
                <w:sz w:val="20"/>
                <w:szCs w:val="20"/>
              </w:rPr>
            </w:pPr>
            <w:r>
              <w:rPr>
                <w:rFonts w:ascii="宋体" w:hAnsi="宋体" w:cs="宋体" w:eastAsia="宋体" w:hint="default"/>
                <w:sz w:val="20"/>
                <w:szCs w:val="20"/>
              </w:rPr>
              <w:t>可转换债券负债部分</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7"/>
              <w:jc w:val="right"/>
              <w:rPr>
                <w:rFonts w:ascii="Arial" w:hAnsi="Arial" w:cs="Arial" w:eastAsia="Arial" w:hint="default"/>
                <w:sz w:val="20"/>
                <w:szCs w:val="20"/>
              </w:rPr>
            </w:pPr>
            <w:r>
              <w:rPr>
                <w:rFonts w:ascii="Arial"/>
                <w:sz w:val="20"/>
              </w:rPr>
              <w:t>11,215</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73" w:right="0"/>
              <w:jc w:val="left"/>
              <w:rPr>
                <w:rFonts w:ascii="Arial" w:hAnsi="Arial" w:cs="Arial" w:eastAsia="Arial" w:hint="default"/>
                <w:sz w:val="20"/>
                <w:szCs w:val="20"/>
              </w:rPr>
            </w:pPr>
            <w:r>
              <w:rPr>
                <w:rFonts w:ascii="Arial"/>
                <w:sz w:val="20"/>
              </w:rPr>
              <w:t>11,118</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1"/>
              <w:jc w:val="right"/>
              <w:rPr>
                <w:rFonts w:ascii="Arial" w:hAnsi="Arial" w:cs="Arial" w:eastAsia="Arial" w:hint="default"/>
                <w:sz w:val="20"/>
                <w:szCs w:val="20"/>
              </w:rPr>
            </w:pPr>
            <w:r>
              <w:rPr>
                <w:rFonts w:ascii="Arial"/>
                <w:w w:val="100"/>
                <w:sz w:val="20"/>
              </w:rPr>
              <w:t>-</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0"/>
              <w:jc w:val="right"/>
              <w:rPr>
                <w:rFonts w:ascii="Arial" w:hAnsi="Arial" w:cs="Arial" w:eastAsia="Arial" w:hint="default"/>
                <w:sz w:val="20"/>
                <w:szCs w:val="20"/>
              </w:rPr>
            </w:pPr>
            <w:r>
              <w:rPr>
                <w:rFonts w:ascii="Arial"/>
                <w:w w:val="100"/>
                <w:sz w:val="20"/>
              </w:rPr>
              <w:t>-</w:t>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9"/>
              <w:jc w:val="right"/>
              <w:rPr>
                <w:rFonts w:ascii="Arial" w:hAnsi="Arial" w:cs="Arial" w:eastAsia="Arial" w:hint="default"/>
                <w:sz w:val="20"/>
                <w:szCs w:val="20"/>
              </w:rPr>
            </w:pPr>
            <w:r>
              <w:rPr>
                <w:rFonts w:ascii="Arial"/>
                <w:w w:val="100"/>
                <w:sz w:val="20"/>
              </w:rPr>
              <w:t>-</w:t>
            </w:r>
          </w:p>
        </w:tc>
      </w:tr>
      <w:tr>
        <w:trPr>
          <w:trHeight w:val="382" w:hRule="exact"/>
        </w:trPr>
        <w:tc>
          <w:tcPr>
            <w:tcW w:w="2874" w:type="dxa"/>
            <w:tcBorders>
              <w:top w:val="nil" w:sz="6" w:space="0" w:color="auto"/>
              <w:left w:val="nil" w:sz="6" w:space="0" w:color="auto"/>
              <w:bottom w:val="nil" w:sz="6" w:space="0" w:color="auto"/>
              <w:right w:val="nil" w:sz="6" w:space="0" w:color="auto"/>
            </w:tcBorders>
          </w:tcPr>
          <w:p>
            <w:pPr>
              <w:pStyle w:val="TableParagraph"/>
              <w:spacing w:line="219" w:lineRule="exact"/>
              <w:ind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1109" w:type="dxa"/>
            <w:tcBorders>
              <w:top w:val="nil" w:sz="6" w:space="0" w:color="auto"/>
              <w:left w:val="nil" w:sz="6" w:space="0" w:color="auto"/>
              <w:bottom w:val="nil" w:sz="6" w:space="0" w:color="auto"/>
              <w:right w:val="nil" w:sz="6" w:space="0" w:color="auto"/>
            </w:tcBorders>
          </w:tcPr>
          <w:p>
            <w:pPr>
              <w:pStyle w:val="TableParagraph"/>
              <w:tabs>
                <w:tab w:pos="620" w:val="left" w:leader="none"/>
                <w:tab w:pos="1043" w:val="left" w:leader="none"/>
              </w:tabs>
              <w:spacing w:line="240" w:lineRule="auto" w:before="16"/>
              <w:ind w:right="48"/>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344</w:t>
              <w:tab/>
            </w:r>
            <w:r>
              <w:rPr>
                <w:rFonts w:ascii="Arial"/>
                <w:sz w:val="20"/>
              </w:rPr>
            </w:r>
          </w:p>
        </w:tc>
        <w:tc>
          <w:tcPr>
            <w:tcW w:w="1165" w:type="dxa"/>
            <w:tcBorders>
              <w:top w:val="nil" w:sz="6" w:space="0" w:color="auto"/>
              <w:left w:val="nil" w:sz="6" w:space="0" w:color="auto"/>
              <w:bottom w:val="nil" w:sz="6" w:space="0" w:color="auto"/>
              <w:right w:val="nil" w:sz="6" w:space="0" w:color="auto"/>
            </w:tcBorders>
          </w:tcPr>
          <w:p>
            <w:pPr>
              <w:pStyle w:val="TableParagraph"/>
              <w:tabs>
                <w:tab w:pos="713" w:val="left" w:leader="none"/>
                <w:tab w:pos="1044" w:val="left" w:leader="none"/>
              </w:tabs>
              <w:spacing w:line="240" w:lineRule="auto" w:before="16"/>
              <w:ind w:right="69"/>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78</w:t>
              <w:tab/>
            </w:r>
            <w:r>
              <w:rPr>
                <w:rFonts w:ascii="Arial"/>
                <w:sz w:val="20"/>
              </w:rPr>
            </w:r>
          </w:p>
        </w:tc>
        <w:tc>
          <w:tcPr>
            <w:tcW w:w="1166" w:type="dxa"/>
            <w:tcBorders>
              <w:top w:val="nil" w:sz="6" w:space="0" w:color="auto"/>
              <w:left w:val="nil" w:sz="6" w:space="0" w:color="auto"/>
              <w:bottom w:val="nil" w:sz="6" w:space="0" w:color="auto"/>
              <w:right w:val="nil" w:sz="6" w:space="0" w:color="auto"/>
            </w:tcBorders>
          </w:tcPr>
          <w:p>
            <w:pPr>
              <w:pStyle w:val="TableParagraph"/>
              <w:tabs>
                <w:tab w:pos="996" w:val="left" w:leader="none"/>
                <w:tab w:pos="1160" w:val="left" w:leader="none"/>
              </w:tabs>
              <w:spacing w:line="240" w:lineRule="auto" w:before="16"/>
              <w:ind w:left="-10" w:right="3"/>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tab/>
            </w:r>
            <w:r>
              <w:rPr>
                <w:rFonts w:ascii="Arial"/>
                <w:sz w:val="20"/>
              </w:rPr>
            </w:r>
          </w:p>
        </w:tc>
        <w:tc>
          <w:tcPr>
            <w:tcW w:w="1742" w:type="dxa"/>
            <w:tcBorders>
              <w:top w:val="nil" w:sz="6" w:space="0" w:color="auto"/>
              <w:left w:val="nil" w:sz="6" w:space="0" w:color="auto"/>
              <w:bottom w:val="nil" w:sz="6" w:space="0" w:color="auto"/>
              <w:right w:val="nil" w:sz="6" w:space="0" w:color="auto"/>
            </w:tcBorders>
          </w:tcPr>
          <w:p>
            <w:pPr>
              <w:pStyle w:val="TableParagraph"/>
              <w:tabs>
                <w:tab w:pos="1512" w:val="left" w:leader="none"/>
                <w:tab w:pos="1696" w:val="left" w:leader="none"/>
              </w:tabs>
              <w:spacing w:line="240" w:lineRule="auto" w:before="16"/>
              <w:ind w:left="66" w:right="0"/>
              <w:jc w:val="lef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tab/>
            </w:r>
            <w:r>
              <w:rPr>
                <w:rFonts w:ascii="Arial"/>
                <w:sz w:val="20"/>
              </w:rPr>
            </w:r>
          </w:p>
        </w:tc>
        <w:tc>
          <w:tcPr>
            <w:tcW w:w="896" w:type="dxa"/>
            <w:tcBorders>
              <w:top w:val="nil" w:sz="6" w:space="0" w:color="auto"/>
              <w:left w:val="nil" w:sz="6" w:space="0" w:color="auto"/>
              <w:bottom w:val="nil" w:sz="6" w:space="0" w:color="auto"/>
              <w:right w:val="nil" w:sz="6" w:space="0" w:color="auto"/>
            </w:tcBorders>
          </w:tcPr>
          <w:p>
            <w:pPr>
              <w:pStyle w:val="TableParagraph"/>
              <w:tabs>
                <w:tab w:pos="671" w:val="left" w:leader="none"/>
                <w:tab w:pos="869" w:val="left" w:leader="none"/>
              </w:tabs>
              <w:spacing w:line="240" w:lineRule="auto" w:before="16"/>
              <w:ind w:right="0"/>
              <w:jc w:val="right"/>
              <w:rPr>
                <w:rFonts w:ascii="Arial" w:hAnsi="Arial" w:cs="Arial" w:eastAsia="Arial" w:hint="default"/>
                <w:sz w:val="20"/>
                <w:szCs w:val="20"/>
              </w:rPr>
            </w:pPr>
            <w:r>
              <w:rPr>
                <w:rFonts w:ascii="Arial"/>
                <w:w w:val="100"/>
                <w:sz w:val="20"/>
              </w:rPr>
            </w:r>
            <w:r>
              <w:rPr>
                <w:rFonts w:ascii="Arial"/>
                <w:w w:val="100"/>
                <w:sz w:val="20"/>
                <w:u w:val="single" w:color="000000"/>
              </w:rPr>
              <w:t> </w:t>
            </w:r>
            <w:r>
              <w:rPr>
                <w:rFonts w:ascii="Arial"/>
                <w:sz w:val="20"/>
                <w:u w:val="single" w:color="000000"/>
              </w:rPr>
              <w:tab/>
              <w:t>-</w:t>
              <w:tab/>
            </w:r>
            <w:r>
              <w:rPr>
                <w:rFonts w:ascii="Arial"/>
                <w:sz w:val="20"/>
              </w:rPr>
            </w:r>
          </w:p>
        </w:tc>
      </w:tr>
      <w:tr>
        <w:trPr>
          <w:trHeight w:val="394" w:hRule="exact"/>
        </w:trPr>
        <w:tc>
          <w:tcPr>
            <w:tcW w:w="287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109" w:type="dxa"/>
            <w:tcBorders>
              <w:top w:val="nil" w:sz="6" w:space="0" w:color="auto"/>
              <w:left w:val="nil" w:sz="6" w:space="0" w:color="auto"/>
              <w:bottom w:val="single" w:sz="17" w:space="0" w:color="000000"/>
              <w:right w:val="nil" w:sz="6" w:space="0" w:color="auto"/>
            </w:tcBorders>
          </w:tcPr>
          <w:p>
            <w:pPr>
              <w:pStyle w:val="TableParagraph"/>
              <w:spacing w:line="240" w:lineRule="auto" w:before="138"/>
              <w:ind w:right="137"/>
              <w:jc w:val="right"/>
              <w:rPr>
                <w:rFonts w:ascii="Arial" w:hAnsi="Arial" w:cs="Arial" w:eastAsia="Arial" w:hint="default"/>
                <w:sz w:val="20"/>
                <w:szCs w:val="20"/>
              </w:rPr>
            </w:pPr>
            <w:r>
              <w:rPr>
                <w:rFonts w:ascii="Arial"/>
                <w:sz w:val="20"/>
              </w:rPr>
              <w:t>41,540</w:t>
            </w:r>
          </w:p>
        </w:tc>
        <w:tc>
          <w:tcPr>
            <w:tcW w:w="1165" w:type="dxa"/>
            <w:tcBorders>
              <w:top w:val="nil" w:sz="6" w:space="0" w:color="auto"/>
              <w:left w:val="nil" w:sz="6" w:space="0" w:color="auto"/>
              <w:bottom w:val="single" w:sz="17" w:space="0" w:color="000000"/>
              <w:right w:val="nil" w:sz="6" w:space="0" w:color="auto"/>
            </w:tcBorders>
          </w:tcPr>
          <w:p>
            <w:pPr>
              <w:pStyle w:val="TableParagraph"/>
              <w:spacing w:line="240" w:lineRule="auto" w:before="138"/>
              <w:ind w:left="373" w:right="0"/>
              <w:jc w:val="left"/>
              <w:rPr>
                <w:rFonts w:ascii="Arial" w:hAnsi="Arial" w:cs="Arial" w:eastAsia="Arial" w:hint="default"/>
                <w:sz w:val="20"/>
                <w:szCs w:val="20"/>
              </w:rPr>
            </w:pPr>
            <w:r>
              <w:rPr>
                <w:rFonts w:ascii="Arial"/>
                <w:sz w:val="20"/>
              </w:rPr>
              <w:t>28,498</w:t>
            </w:r>
          </w:p>
        </w:tc>
        <w:tc>
          <w:tcPr>
            <w:tcW w:w="1166" w:type="dxa"/>
            <w:tcBorders>
              <w:top w:val="nil" w:sz="6" w:space="0" w:color="auto"/>
              <w:left w:val="nil" w:sz="6" w:space="0" w:color="auto"/>
              <w:bottom w:val="single" w:sz="17" w:space="0" w:color="000000"/>
              <w:right w:val="nil" w:sz="6" w:space="0" w:color="auto"/>
            </w:tcBorders>
          </w:tcPr>
          <w:p>
            <w:pPr>
              <w:pStyle w:val="TableParagraph"/>
              <w:spacing w:line="240" w:lineRule="auto" w:before="138"/>
              <w:ind w:right="101"/>
              <w:jc w:val="right"/>
              <w:rPr>
                <w:rFonts w:ascii="Arial" w:hAnsi="Arial" w:cs="Arial" w:eastAsia="Arial" w:hint="default"/>
                <w:sz w:val="20"/>
                <w:szCs w:val="20"/>
              </w:rPr>
            </w:pPr>
            <w:r>
              <w:rPr>
                <w:rFonts w:ascii="Arial"/>
                <w:w w:val="100"/>
                <w:sz w:val="20"/>
              </w:rPr>
              <w:t>-</w:t>
            </w:r>
          </w:p>
        </w:tc>
        <w:tc>
          <w:tcPr>
            <w:tcW w:w="1742" w:type="dxa"/>
            <w:tcBorders>
              <w:top w:val="nil" w:sz="6" w:space="0" w:color="auto"/>
              <w:left w:val="nil" w:sz="6" w:space="0" w:color="auto"/>
              <w:bottom w:val="single" w:sz="17" w:space="0" w:color="000000"/>
              <w:right w:val="nil" w:sz="6" w:space="0" w:color="auto"/>
            </w:tcBorders>
          </w:tcPr>
          <w:p>
            <w:pPr>
              <w:pStyle w:val="TableParagraph"/>
              <w:spacing w:line="240" w:lineRule="auto" w:before="138"/>
              <w:ind w:right="160"/>
              <w:jc w:val="right"/>
              <w:rPr>
                <w:rFonts w:ascii="Arial" w:hAnsi="Arial" w:cs="Arial" w:eastAsia="Arial" w:hint="default"/>
                <w:sz w:val="20"/>
                <w:szCs w:val="20"/>
              </w:rPr>
            </w:pPr>
            <w:r>
              <w:rPr>
                <w:rFonts w:ascii="Arial"/>
                <w:w w:val="100"/>
                <w:sz w:val="20"/>
              </w:rPr>
              <w:t>-</w:t>
            </w:r>
          </w:p>
        </w:tc>
        <w:tc>
          <w:tcPr>
            <w:tcW w:w="896" w:type="dxa"/>
            <w:tcBorders>
              <w:top w:val="nil" w:sz="6" w:space="0" w:color="auto"/>
              <w:left w:val="nil" w:sz="6" w:space="0" w:color="auto"/>
              <w:bottom w:val="single" w:sz="17" w:space="0" w:color="000000"/>
              <w:right w:val="nil" w:sz="6" w:space="0" w:color="auto"/>
            </w:tcBorders>
          </w:tcPr>
          <w:p>
            <w:pPr>
              <w:pStyle w:val="TableParagraph"/>
              <w:spacing w:line="240" w:lineRule="auto" w:before="138"/>
              <w:ind w:right="129"/>
              <w:jc w:val="right"/>
              <w:rPr>
                <w:rFonts w:ascii="Arial" w:hAnsi="Arial" w:cs="Arial" w:eastAsia="Arial" w:hint="default"/>
                <w:sz w:val="20"/>
                <w:szCs w:val="20"/>
              </w:rPr>
            </w:pPr>
            <w:r>
              <w:rPr>
                <w:rFonts w:ascii="Arial"/>
                <w:w w:val="100"/>
                <w:sz w:val="20"/>
              </w:rPr>
              <w:t>-</w:t>
            </w:r>
          </w:p>
        </w:tc>
      </w:tr>
    </w:tbl>
    <w:p>
      <w:pPr>
        <w:spacing w:line="240" w:lineRule="auto" w:before="2"/>
        <w:rPr>
          <w:rFonts w:ascii="黑体" w:hAnsi="黑体" w:cs="黑体" w:eastAsia="黑体" w:hint="default"/>
          <w:sz w:val="14"/>
          <w:szCs w:val="14"/>
        </w:rPr>
      </w:pPr>
    </w:p>
    <w:p>
      <w:pPr>
        <w:pStyle w:val="BodyText"/>
        <w:spacing w:line="240" w:lineRule="auto" w:before="31"/>
        <w:ind w:left="144" w:right="3521"/>
        <w:jc w:val="left"/>
        <w:rPr>
          <w:rFonts w:ascii="黑体" w:hAnsi="黑体" w:cs="黑体" w:eastAsia="黑体" w:hint="default"/>
        </w:rPr>
      </w:pPr>
      <w:r>
        <w:rPr>
          <w:rFonts w:ascii="黑体" w:hAnsi="黑体" w:cs="黑体" w:eastAsia="黑体" w:hint="default"/>
        </w:rPr>
        <w:t>十六</w:t>
      </w:r>
      <w:r>
        <w:rPr>
          <w:rFonts w:ascii="黑体" w:hAnsi="黑体" w:cs="黑体" w:eastAsia="黑体" w:hint="default"/>
          <w:spacing w:val="13"/>
        </w:rPr>
        <w:t> </w:t>
      </w:r>
      <w:r>
        <w:rPr>
          <w:rFonts w:ascii="黑体" w:hAnsi="黑体" w:cs="黑体" w:eastAsia="黑体" w:hint="default"/>
        </w:rPr>
        <w:t>本公司个别财务报表主要项目注释</w:t>
      </w:r>
    </w:p>
    <w:p>
      <w:pPr>
        <w:pStyle w:val="BodyText"/>
        <w:tabs>
          <w:tab w:pos="723" w:val="left" w:leader="none"/>
        </w:tabs>
        <w:spacing w:line="240" w:lineRule="auto" w:before="197"/>
        <w:ind w:left="110" w:right="3521"/>
        <w:jc w:val="left"/>
      </w:pPr>
      <w:r>
        <w:rPr>
          <w:rFonts w:ascii="Arial" w:hAnsi="Arial" w:cs="Arial" w:eastAsia="Arial" w:hint="default"/>
          <w:w w:val="95"/>
        </w:rPr>
        <w:t>1</w:t>
      </w:r>
      <w:r>
        <w:rPr>
          <w:w w:val="95"/>
        </w:rPr>
        <w:t>、</w:t>
        <w:tab/>
      </w:r>
      <w:r>
        <w:rPr/>
        <w:t>货币资金</w:t>
      </w:r>
    </w:p>
    <w:p>
      <w:pPr>
        <w:spacing w:line="240" w:lineRule="auto" w:before="2"/>
        <w:rPr>
          <w:rFonts w:ascii="宋体" w:hAnsi="宋体" w:cs="宋体" w:eastAsia="宋体" w:hint="default"/>
          <w:sz w:val="23"/>
          <w:szCs w:val="23"/>
        </w:rPr>
      </w:pPr>
    </w:p>
    <w:tbl>
      <w:tblPr>
        <w:tblW w:w="0" w:type="auto"/>
        <w:jc w:val="left"/>
        <w:tblInd w:w="561" w:type="dxa"/>
        <w:tblLayout w:type="fixed"/>
        <w:tblCellMar>
          <w:top w:w="0" w:type="dxa"/>
          <w:left w:w="0" w:type="dxa"/>
          <w:bottom w:w="0" w:type="dxa"/>
          <w:right w:w="0" w:type="dxa"/>
        </w:tblCellMar>
        <w:tblLook w:val="01E0"/>
      </w:tblPr>
      <w:tblGrid>
        <w:gridCol w:w="4386"/>
        <w:gridCol w:w="2309"/>
        <w:gridCol w:w="119"/>
        <w:gridCol w:w="2322"/>
      </w:tblGrid>
      <w:tr>
        <w:trPr>
          <w:trHeight w:val="261" w:hRule="exact"/>
        </w:trPr>
        <w:tc>
          <w:tcPr>
            <w:tcW w:w="4386"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single" w:sz="6" w:space="0" w:color="000000"/>
              <w:right w:val="nil" w:sz="6" w:space="0" w:color="auto"/>
            </w:tcBorders>
          </w:tcPr>
          <w:p>
            <w:pPr>
              <w:pStyle w:val="TableParagraph"/>
              <w:spacing w:line="235" w:lineRule="exact"/>
              <w:ind w:right="54"/>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19" w:type="dxa"/>
            <w:tcBorders>
              <w:top w:val="nil" w:sz="6" w:space="0" w:color="auto"/>
              <w:left w:val="nil" w:sz="6" w:space="0" w:color="auto"/>
              <w:bottom w:val="nil" w:sz="6" w:space="0" w:color="auto"/>
              <w:right w:val="nil" w:sz="6" w:space="0" w:color="auto"/>
            </w:tcBorders>
          </w:tcPr>
          <w:p>
            <w:pPr/>
          </w:p>
        </w:tc>
        <w:tc>
          <w:tcPr>
            <w:tcW w:w="2322" w:type="dxa"/>
            <w:tcBorders>
              <w:top w:val="nil" w:sz="6" w:space="0" w:color="auto"/>
              <w:left w:val="nil" w:sz="6" w:space="0" w:color="auto"/>
              <w:bottom w:val="single" w:sz="6" w:space="0" w:color="000000"/>
              <w:right w:val="nil" w:sz="6" w:space="0" w:color="auto"/>
            </w:tcBorders>
          </w:tcPr>
          <w:p>
            <w:pPr>
              <w:pStyle w:val="TableParagraph"/>
              <w:spacing w:line="235" w:lineRule="exact"/>
              <w:ind w:right="0"/>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71" w:hRule="exact"/>
        </w:trPr>
        <w:tc>
          <w:tcPr>
            <w:tcW w:w="438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库存现金</w:t>
            </w:r>
          </w:p>
        </w:tc>
        <w:tc>
          <w:tcPr>
            <w:tcW w:w="2309"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5"/>
              <w:jc w:val="right"/>
              <w:rPr>
                <w:rFonts w:ascii="Arial" w:hAnsi="Arial" w:cs="Arial" w:eastAsia="Arial" w:hint="default"/>
                <w:sz w:val="22"/>
                <w:szCs w:val="22"/>
              </w:rPr>
            </w:pPr>
            <w:r>
              <w:rPr>
                <w:rFonts w:ascii="Arial"/>
                <w:w w:val="95"/>
                <w:sz w:val="22"/>
              </w:rPr>
              <w:t>37,102</w:t>
            </w:r>
            <w:r>
              <w:rPr>
                <w:rFonts w:ascii="Arial"/>
                <w:sz w:val="22"/>
              </w:rPr>
            </w:r>
          </w:p>
        </w:tc>
        <w:tc>
          <w:tcPr>
            <w:tcW w:w="119" w:type="dxa"/>
            <w:tcBorders>
              <w:top w:val="nil" w:sz="6" w:space="0" w:color="auto"/>
              <w:left w:val="nil" w:sz="6" w:space="0" w:color="auto"/>
              <w:bottom w:val="nil" w:sz="6" w:space="0" w:color="auto"/>
              <w:right w:val="nil" w:sz="6" w:space="0" w:color="auto"/>
            </w:tcBorders>
          </w:tcPr>
          <w:p>
            <w:pPr/>
          </w:p>
        </w:tc>
        <w:tc>
          <w:tcPr>
            <w:tcW w:w="232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22"/>
                <w:szCs w:val="22"/>
              </w:rPr>
            </w:pPr>
            <w:r>
              <w:rPr>
                <w:rFonts w:ascii="Arial"/>
                <w:w w:val="95"/>
                <w:sz w:val="22"/>
              </w:rPr>
              <w:t>28,938</w:t>
            </w:r>
            <w:r>
              <w:rPr>
                <w:rFonts w:ascii="Arial"/>
                <w:sz w:val="22"/>
              </w:rPr>
            </w:r>
          </w:p>
        </w:tc>
      </w:tr>
      <w:tr>
        <w:trPr>
          <w:trHeight w:val="293" w:hRule="exact"/>
        </w:trPr>
        <w:tc>
          <w:tcPr>
            <w:tcW w:w="4386"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银行存款</w:t>
            </w:r>
          </w:p>
        </w:tc>
        <w:tc>
          <w:tcPr>
            <w:tcW w:w="2309" w:type="dxa"/>
            <w:tcBorders>
              <w:top w:val="nil" w:sz="6" w:space="0" w:color="auto"/>
              <w:left w:val="nil" w:sz="6" w:space="0" w:color="auto"/>
              <w:bottom w:val="nil" w:sz="6" w:space="0" w:color="auto"/>
              <w:right w:val="nil" w:sz="6" w:space="0" w:color="auto"/>
            </w:tcBorders>
          </w:tcPr>
          <w:p>
            <w:pPr>
              <w:pStyle w:val="TableParagraph"/>
              <w:tabs>
                <w:tab w:pos="1110" w:val="left" w:leader="none"/>
                <w:tab w:pos="2309"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38,270,929</w:t>
            </w:r>
            <w:r>
              <w:rPr>
                <w:rFonts w:ascii="Arial"/>
                <w:sz w:val="22"/>
                <w:u w:val="single" w:color="000000"/>
              </w:rPr>
              <w:tab/>
            </w:r>
            <w:r>
              <w:rPr>
                <w:rFonts w:ascii="Arial"/>
                <w:sz w:val="22"/>
              </w:rPr>
            </w:r>
          </w:p>
        </w:tc>
        <w:tc>
          <w:tcPr>
            <w:tcW w:w="119" w:type="dxa"/>
            <w:tcBorders>
              <w:top w:val="nil" w:sz="6" w:space="0" w:color="auto"/>
              <w:left w:val="nil" w:sz="6" w:space="0" w:color="auto"/>
              <w:bottom w:val="nil" w:sz="6" w:space="0" w:color="auto"/>
              <w:right w:val="nil" w:sz="6" w:space="0" w:color="auto"/>
            </w:tcBorders>
          </w:tcPr>
          <w:p>
            <w:pPr/>
          </w:p>
        </w:tc>
        <w:tc>
          <w:tcPr>
            <w:tcW w:w="2322" w:type="dxa"/>
            <w:tcBorders>
              <w:top w:val="nil" w:sz="6" w:space="0" w:color="auto"/>
              <w:left w:val="nil" w:sz="6" w:space="0" w:color="auto"/>
              <w:bottom w:val="nil" w:sz="6" w:space="0" w:color="auto"/>
              <w:right w:val="nil" w:sz="6" w:space="0" w:color="auto"/>
            </w:tcBorders>
          </w:tcPr>
          <w:p>
            <w:pPr>
              <w:pStyle w:val="TableParagraph"/>
              <w:tabs>
                <w:tab w:pos="1109" w:val="left" w:leader="none"/>
                <w:tab w:pos="2314"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28,354,618</w:t>
            </w:r>
            <w:r>
              <w:rPr>
                <w:rFonts w:ascii="Arial"/>
                <w:sz w:val="22"/>
                <w:u w:val="single" w:color="000000"/>
              </w:rPr>
              <w:tab/>
            </w:r>
            <w:r>
              <w:rPr>
                <w:rFonts w:ascii="Arial"/>
                <w:sz w:val="22"/>
              </w:rPr>
            </w:r>
          </w:p>
        </w:tc>
      </w:tr>
      <w:tr>
        <w:trPr>
          <w:trHeight w:val="305" w:hRule="exact"/>
        </w:trPr>
        <w:tc>
          <w:tcPr>
            <w:tcW w:w="4386"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09" w:type="dxa"/>
            <w:tcBorders>
              <w:top w:val="nil" w:sz="6" w:space="0" w:color="auto"/>
              <w:left w:val="nil" w:sz="6" w:space="0" w:color="auto"/>
              <w:bottom w:val="single" w:sz="17" w:space="0" w:color="000000"/>
              <w:right w:val="nil" w:sz="6" w:space="0" w:color="auto"/>
            </w:tcBorders>
          </w:tcPr>
          <w:p>
            <w:pPr>
              <w:pStyle w:val="TableParagraph"/>
              <w:spacing w:line="240" w:lineRule="auto" w:before="25"/>
              <w:ind w:right="94"/>
              <w:jc w:val="right"/>
              <w:rPr>
                <w:rFonts w:ascii="Arial" w:hAnsi="Arial" w:cs="Arial" w:eastAsia="Arial" w:hint="default"/>
                <w:sz w:val="22"/>
                <w:szCs w:val="22"/>
              </w:rPr>
            </w:pPr>
            <w:r>
              <w:rPr>
                <w:rFonts w:ascii="Arial"/>
                <w:w w:val="95"/>
                <w:sz w:val="22"/>
              </w:rPr>
              <w:t>38,308,031</w:t>
            </w:r>
            <w:r>
              <w:rPr>
                <w:rFonts w:ascii="Arial"/>
                <w:sz w:val="22"/>
              </w:rPr>
            </w:r>
          </w:p>
        </w:tc>
        <w:tc>
          <w:tcPr>
            <w:tcW w:w="119" w:type="dxa"/>
            <w:tcBorders>
              <w:top w:val="nil" w:sz="6" w:space="0" w:color="auto"/>
              <w:left w:val="nil" w:sz="6" w:space="0" w:color="auto"/>
              <w:bottom w:val="nil" w:sz="6" w:space="0" w:color="auto"/>
              <w:right w:val="nil" w:sz="6" w:space="0" w:color="auto"/>
            </w:tcBorders>
          </w:tcPr>
          <w:p>
            <w:pPr/>
          </w:p>
        </w:tc>
        <w:tc>
          <w:tcPr>
            <w:tcW w:w="2322" w:type="dxa"/>
            <w:tcBorders>
              <w:top w:val="nil" w:sz="6" w:space="0" w:color="auto"/>
              <w:left w:val="nil" w:sz="6" w:space="0" w:color="auto"/>
              <w:bottom w:val="single" w:sz="17" w:space="0" w:color="000000"/>
              <w:right w:val="nil" w:sz="6" w:space="0" w:color="auto"/>
            </w:tcBorders>
          </w:tcPr>
          <w:p>
            <w:pPr>
              <w:pStyle w:val="TableParagraph"/>
              <w:spacing w:line="240" w:lineRule="auto" w:before="25"/>
              <w:ind w:right="100"/>
              <w:jc w:val="right"/>
              <w:rPr>
                <w:rFonts w:ascii="Arial" w:hAnsi="Arial" w:cs="Arial" w:eastAsia="Arial" w:hint="default"/>
                <w:sz w:val="22"/>
                <w:szCs w:val="22"/>
              </w:rPr>
            </w:pPr>
            <w:r>
              <w:rPr>
                <w:rFonts w:ascii="Arial"/>
                <w:w w:val="95"/>
                <w:sz w:val="22"/>
              </w:rPr>
              <w:t>28,383,556</w:t>
            </w:r>
            <w:r>
              <w:rPr>
                <w:rFonts w:ascii="Arial"/>
                <w:sz w:val="22"/>
              </w:rPr>
            </w:r>
          </w:p>
        </w:tc>
      </w:tr>
    </w:tbl>
    <w:p>
      <w:pPr>
        <w:spacing w:line="240" w:lineRule="auto" w:before="1"/>
        <w:rPr>
          <w:rFonts w:ascii="宋体" w:hAnsi="宋体" w:cs="宋体" w:eastAsia="宋体" w:hint="default"/>
          <w:sz w:val="14"/>
          <w:szCs w:val="14"/>
        </w:rPr>
      </w:pPr>
    </w:p>
    <w:p>
      <w:pPr>
        <w:pStyle w:val="BodyText"/>
        <w:tabs>
          <w:tab w:pos="759" w:val="left" w:leader="none"/>
        </w:tabs>
        <w:spacing w:line="240" w:lineRule="auto" w:before="31"/>
        <w:ind w:left="113" w:right="3521"/>
        <w:jc w:val="left"/>
      </w:pPr>
      <w:r>
        <w:rPr>
          <w:rFonts w:ascii="Arial" w:hAnsi="Arial" w:cs="Arial" w:eastAsia="Arial" w:hint="default"/>
          <w:w w:val="95"/>
        </w:rPr>
        <w:t>2</w:t>
      </w:r>
      <w:r>
        <w:rPr>
          <w:w w:val="95"/>
        </w:rPr>
        <w:t>、</w:t>
        <w:tab/>
      </w:r>
      <w:r>
        <w:rPr/>
        <w:t>应收股利</w:t>
      </w:r>
    </w:p>
    <w:p>
      <w:pPr>
        <w:spacing w:line="240" w:lineRule="auto" w:before="13"/>
        <w:rPr>
          <w:rFonts w:ascii="宋体" w:hAnsi="宋体" w:cs="宋体" w:eastAsia="宋体" w:hint="default"/>
          <w:sz w:val="17"/>
          <w:szCs w:val="17"/>
        </w:rPr>
      </w:pPr>
    </w:p>
    <w:tbl>
      <w:tblPr>
        <w:tblW w:w="0" w:type="auto"/>
        <w:jc w:val="left"/>
        <w:tblInd w:w="546" w:type="dxa"/>
        <w:tblLayout w:type="fixed"/>
        <w:tblCellMar>
          <w:top w:w="0" w:type="dxa"/>
          <w:left w:w="0" w:type="dxa"/>
          <w:bottom w:w="0" w:type="dxa"/>
          <w:right w:w="0" w:type="dxa"/>
        </w:tblCellMar>
        <w:tblLook w:val="01E0"/>
      </w:tblPr>
      <w:tblGrid>
        <w:gridCol w:w="4366"/>
        <w:gridCol w:w="2291"/>
        <w:gridCol w:w="118"/>
        <w:gridCol w:w="2256"/>
      </w:tblGrid>
      <w:tr>
        <w:trPr>
          <w:trHeight w:val="260" w:hRule="exact"/>
        </w:trPr>
        <w:tc>
          <w:tcPr>
            <w:tcW w:w="4366" w:type="dxa"/>
            <w:tcBorders>
              <w:top w:val="nil" w:sz="6" w:space="0" w:color="auto"/>
              <w:left w:val="nil" w:sz="6" w:space="0" w:color="auto"/>
              <w:bottom w:val="nil" w:sz="6" w:space="0" w:color="auto"/>
              <w:right w:val="nil" w:sz="6" w:space="0" w:color="auto"/>
            </w:tcBorders>
          </w:tcPr>
          <w:p>
            <w:pPr/>
          </w:p>
        </w:tc>
        <w:tc>
          <w:tcPr>
            <w:tcW w:w="2291" w:type="dxa"/>
            <w:tcBorders>
              <w:top w:val="nil" w:sz="6" w:space="0" w:color="auto"/>
              <w:left w:val="nil" w:sz="6" w:space="0" w:color="auto"/>
              <w:bottom w:val="single" w:sz="6" w:space="0" w:color="000000"/>
              <w:right w:val="nil" w:sz="6" w:space="0" w:color="auto"/>
            </w:tcBorders>
          </w:tcPr>
          <w:p>
            <w:pPr>
              <w:pStyle w:val="TableParagraph"/>
              <w:spacing w:line="235" w:lineRule="exact"/>
              <w:ind w:right="41"/>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18" w:type="dxa"/>
            <w:tcBorders>
              <w:top w:val="nil" w:sz="6" w:space="0" w:color="auto"/>
              <w:left w:val="nil" w:sz="6" w:space="0" w:color="auto"/>
              <w:bottom w:val="nil" w:sz="6" w:space="0" w:color="auto"/>
              <w:right w:val="nil" w:sz="6" w:space="0" w:color="auto"/>
            </w:tcBorders>
          </w:tcPr>
          <w:p>
            <w:pPr/>
          </w:p>
        </w:tc>
        <w:tc>
          <w:tcPr>
            <w:tcW w:w="2256" w:type="dxa"/>
            <w:tcBorders>
              <w:top w:val="nil" w:sz="6" w:space="0" w:color="auto"/>
              <w:left w:val="nil" w:sz="6" w:space="0" w:color="auto"/>
              <w:bottom w:val="single" w:sz="6" w:space="0" w:color="000000"/>
              <w:right w:val="nil" w:sz="6" w:space="0" w:color="auto"/>
            </w:tcBorders>
          </w:tcPr>
          <w:p>
            <w:pPr>
              <w:pStyle w:val="TableParagraph"/>
              <w:spacing w:line="235" w:lineRule="exact"/>
              <w:ind w:right="0"/>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96"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应收股利</w:t>
            </w:r>
          </w:p>
        </w:tc>
        <w:tc>
          <w:tcPr>
            <w:tcW w:w="2291" w:type="dxa"/>
            <w:tcBorders>
              <w:top w:val="single" w:sz="6"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74"/>
              <w:jc w:val="right"/>
              <w:rPr>
                <w:rFonts w:ascii="Arial" w:hAnsi="Arial" w:cs="Arial" w:eastAsia="Arial" w:hint="default"/>
                <w:sz w:val="22"/>
                <w:szCs w:val="22"/>
              </w:rPr>
            </w:pPr>
            <w:r>
              <w:rPr>
                <w:rFonts w:ascii="Arial"/>
                <w:w w:val="95"/>
                <w:sz w:val="22"/>
              </w:rPr>
              <w:t>551,400,293</w:t>
            </w:r>
            <w:r>
              <w:rPr>
                <w:rFonts w:ascii="Arial"/>
                <w:sz w:val="22"/>
              </w:rPr>
            </w:r>
          </w:p>
        </w:tc>
        <w:tc>
          <w:tcPr>
            <w:tcW w:w="118" w:type="dxa"/>
            <w:tcBorders>
              <w:top w:val="nil" w:sz="6" w:space="0" w:color="auto"/>
              <w:left w:val="nil" w:sz="6" w:space="0" w:color="auto"/>
              <w:bottom w:val="nil" w:sz="6" w:space="0" w:color="auto"/>
              <w:right w:val="nil" w:sz="6" w:space="0" w:color="auto"/>
            </w:tcBorders>
          </w:tcPr>
          <w:p>
            <w:pPr/>
          </w:p>
        </w:tc>
        <w:tc>
          <w:tcPr>
            <w:tcW w:w="2256" w:type="dxa"/>
            <w:tcBorders>
              <w:top w:val="single" w:sz="6"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3"/>
              <w:jc w:val="right"/>
              <w:rPr>
                <w:rFonts w:ascii="Arial" w:hAnsi="Arial" w:cs="Arial" w:eastAsia="Arial" w:hint="default"/>
                <w:sz w:val="22"/>
                <w:szCs w:val="22"/>
              </w:rPr>
            </w:pPr>
            <w:r>
              <w:rPr>
                <w:rFonts w:ascii="Arial"/>
                <w:w w:val="95"/>
                <w:sz w:val="22"/>
              </w:rPr>
              <w:t>479,119,262</w:t>
            </w:r>
            <w:r>
              <w:rPr>
                <w:rFonts w:ascii="Arial"/>
                <w:sz w:val="22"/>
              </w:rPr>
            </w:r>
          </w:p>
        </w:tc>
      </w:tr>
    </w:tbl>
    <w:p>
      <w:pPr>
        <w:spacing w:line="240" w:lineRule="auto" w:before="1"/>
        <w:rPr>
          <w:rFonts w:ascii="宋体" w:hAnsi="宋体" w:cs="宋体" w:eastAsia="宋体" w:hint="default"/>
          <w:sz w:val="14"/>
          <w:szCs w:val="14"/>
        </w:rPr>
      </w:pPr>
    </w:p>
    <w:p>
      <w:pPr>
        <w:pStyle w:val="BodyText"/>
        <w:spacing w:line="286" w:lineRule="exact" w:before="60"/>
        <w:ind w:left="774" w:right="238"/>
        <w:jc w:val="both"/>
      </w:pPr>
      <w:r>
        <w:rPr/>
        <w:t>于</w:t>
      </w:r>
      <w:r>
        <w:rPr>
          <w:spacing w:val="-56"/>
        </w:rPr>
        <w:t> </w:t>
      </w:r>
      <w:r>
        <w:rPr>
          <w:rFonts w:ascii="Arial" w:hAnsi="Arial" w:cs="Arial" w:eastAsia="Arial" w:hint="default"/>
        </w:rPr>
        <w:t>2012</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7"/>
        </w:rPr>
        <w:t> </w:t>
      </w:r>
      <w:r>
        <w:rPr>
          <w:spacing w:val="-3"/>
        </w:rPr>
        <w:t>日，应收股利余额中有约人民币</w:t>
      </w:r>
      <w:r>
        <w:rPr>
          <w:spacing w:val="-56"/>
        </w:rPr>
        <w:t> </w:t>
      </w:r>
      <w:r>
        <w:rPr>
          <w:rFonts w:ascii="Arial" w:hAnsi="Arial" w:cs="Arial" w:eastAsia="Arial" w:hint="default"/>
        </w:rPr>
        <w:t>4.79</w:t>
      </w:r>
      <w:r>
        <w:rPr>
          <w:rFonts w:ascii="Arial" w:hAnsi="Arial" w:cs="Arial" w:eastAsia="Arial" w:hint="default"/>
          <w:spacing w:val="-7"/>
        </w:rPr>
        <w:t> </w:t>
      </w:r>
      <w:r>
        <w:rPr/>
        <w:t>亿元为</w:t>
      </w:r>
      <w:r>
        <w:rPr>
          <w:spacing w:val="-56"/>
        </w:rPr>
        <w:t> </w:t>
      </w:r>
      <w:r>
        <w:rPr>
          <w:rFonts w:ascii="Arial" w:hAnsi="Arial" w:cs="Arial" w:eastAsia="Arial" w:hint="default"/>
        </w:rPr>
        <w:t>1</w:t>
      </w:r>
      <w:r>
        <w:rPr>
          <w:rFonts w:ascii="Arial" w:hAnsi="Arial" w:cs="Arial" w:eastAsia="Arial" w:hint="default"/>
          <w:spacing w:val="-7"/>
        </w:rPr>
        <w:t> </w:t>
      </w:r>
      <w:r>
        <w:rPr>
          <w:spacing w:val="-5"/>
        </w:rPr>
        <w:t>年以上应收股利，为本公</w:t>
      </w:r>
      <w:r>
        <w:rPr>
          <w:w w:val="99"/>
        </w:rPr>
        <w:t> </w:t>
      </w:r>
      <w:r>
        <w:rPr/>
        <w:t>司的子公司联通</w:t>
      </w:r>
      <w:r>
        <w:rPr>
          <w:spacing w:val="-46"/>
        </w:rPr>
        <w:t> </w:t>
      </w:r>
      <w:r>
        <w:rPr>
          <w:rFonts w:ascii="Arial" w:hAnsi="Arial" w:cs="Arial" w:eastAsia="Arial" w:hint="default"/>
        </w:rPr>
        <w:t>BVI</w:t>
      </w:r>
      <w:r>
        <w:rPr>
          <w:rFonts w:ascii="Arial" w:hAnsi="Arial" w:cs="Arial" w:eastAsia="Arial" w:hint="default"/>
          <w:spacing w:val="2"/>
        </w:rPr>
        <w:t> </w:t>
      </w:r>
      <w:r>
        <w:rPr/>
        <w:t>公司未支付的</w:t>
      </w:r>
      <w:r>
        <w:rPr>
          <w:spacing w:val="-45"/>
        </w:rPr>
        <w:t> </w:t>
      </w:r>
      <w:r>
        <w:rPr>
          <w:rFonts w:ascii="Arial" w:hAnsi="Arial" w:cs="Arial" w:eastAsia="Arial" w:hint="default"/>
        </w:rPr>
        <w:t>2011</w:t>
      </w:r>
      <w:r>
        <w:rPr>
          <w:rFonts w:ascii="Arial" w:hAnsi="Arial" w:cs="Arial" w:eastAsia="Arial" w:hint="default"/>
          <w:spacing w:val="2"/>
        </w:rPr>
        <w:t> </w:t>
      </w:r>
      <w:r>
        <w:rPr/>
        <w:t>年度及以前年度现金股利。本公司认为该等应收股</w:t>
      </w:r>
      <w:r>
        <w:rPr>
          <w:w w:val="99"/>
        </w:rPr>
        <w:t> </w:t>
      </w:r>
      <w:r>
        <w:rPr/>
        <w:t>利并无回收风险。</w:t>
      </w:r>
    </w:p>
    <w:p>
      <w:pPr>
        <w:spacing w:after="0" w:line="286" w:lineRule="exact"/>
        <w:jc w:val="both"/>
        <w:sectPr>
          <w:headerReference w:type="default" r:id="rId140"/>
          <w:pgSz w:w="11910" w:h="16840"/>
          <w:pgMar w:header="1184" w:footer="457" w:top="2500" w:bottom="640" w:left="1280" w:right="800"/>
        </w:sectPr>
      </w:pPr>
    </w:p>
    <w:p>
      <w:pPr>
        <w:spacing w:line="240" w:lineRule="auto" w:before="9"/>
        <w:rPr>
          <w:rFonts w:ascii="宋体" w:hAnsi="宋体" w:cs="宋体" w:eastAsia="宋体" w:hint="default"/>
          <w:sz w:val="16"/>
          <w:szCs w:val="16"/>
        </w:rPr>
      </w:pPr>
    </w:p>
    <w:p>
      <w:pPr>
        <w:pStyle w:val="BodyText"/>
        <w:tabs>
          <w:tab w:pos="723" w:val="left" w:leader="none"/>
        </w:tabs>
        <w:spacing w:line="240" w:lineRule="auto" w:before="31"/>
        <w:ind w:left="120" w:right="0"/>
        <w:jc w:val="left"/>
      </w:pPr>
      <w:r>
        <w:rPr>
          <w:rFonts w:ascii="Arial" w:hAnsi="Arial" w:cs="Arial" w:eastAsia="Arial" w:hint="default"/>
          <w:w w:val="95"/>
        </w:rPr>
        <w:t>3</w:t>
      </w:r>
      <w:r>
        <w:rPr>
          <w:w w:val="95"/>
        </w:rPr>
        <w:t>、</w:t>
        <w:tab/>
      </w:r>
      <w:r>
        <w:rPr/>
        <w:t>长期股权投资</w:t>
      </w:r>
    </w:p>
    <w:p>
      <w:pPr>
        <w:spacing w:line="240" w:lineRule="auto" w:before="2"/>
        <w:rPr>
          <w:rFonts w:ascii="宋体" w:hAnsi="宋体" w:cs="宋体" w:eastAsia="宋体" w:hint="default"/>
          <w:sz w:val="19"/>
          <w:szCs w:val="19"/>
        </w:rPr>
      </w:pPr>
    </w:p>
    <w:p>
      <w:pPr>
        <w:pStyle w:val="BodyText"/>
        <w:spacing w:line="225" w:lineRule="auto"/>
        <w:ind w:left="724" w:right="117"/>
        <w:jc w:val="both"/>
      </w:pPr>
      <w:r>
        <w:rPr/>
        <w:t>本公司的长期股权投资为持有联通</w:t>
      </w:r>
      <w:r>
        <w:rPr>
          <w:spacing w:val="-53"/>
        </w:rPr>
        <w:t> </w:t>
      </w:r>
      <w:r>
        <w:rPr>
          <w:rFonts w:ascii="Arial" w:hAnsi="Arial" w:cs="Arial" w:eastAsia="Arial" w:hint="default"/>
        </w:rPr>
        <w:t>BVI</w:t>
      </w:r>
      <w:r>
        <w:rPr>
          <w:rFonts w:ascii="Arial" w:hAnsi="Arial" w:cs="Arial" w:eastAsia="Arial" w:hint="default"/>
          <w:spacing w:val="-8"/>
        </w:rPr>
        <w:t> </w:t>
      </w:r>
      <w:r>
        <w:rPr/>
        <w:t>公司的股权投资，本公司再通过联通</w:t>
      </w:r>
      <w:r>
        <w:rPr>
          <w:spacing w:val="-54"/>
        </w:rPr>
        <w:t> </w:t>
      </w:r>
      <w:r>
        <w:rPr>
          <w:rFonts w:ascii="Arial" w:hAnsi="Arial" w:cs="Arial" w:eastAsia="Arial" w:hint="default"/>
        </w:rPr>
        <w:t>BVI</w:t>
      </w:r>
      <w:r>
        <w:rPr>
          <w:rFonts w:ascii="Arial" w:hAnsi="Arial" w:cs="Arial" w:eastAsia="Arial" w:hint="default"/>
          <w:spacing w:val="-6"/>
        </w:rPr>
        <w:t> </w:t>
      </w:r>
      <w:r>
        <w:rPr/>
        <w:t>公司间接拥</w:t>
      </w:r>
      <w:r>
        <w:rPr>
          <w:w w:val="99"/>
        </w:rPr>
        <w:t> </w:t>
      </w:r>
      <w:r>
        <w:rPr/>
        <w:t>有对联通红筹公司及其子公司的投资。于</w:t>
      </w:r>
      <w:r>
        <w:rPr>
          <w:spacing w:val="-51"/>
        </w:rPr>
        <w:t> </w:t>
      </w:r>
      <w:r>
        <w:rPr>
          <w:rFonts w:ascii="Arial" w:hAnsi="Arial" w:cs="Arial" w:eastAsia="Arial" w:hint="default"/>
        </w:rPr>
        <w:t>2012</w:t>
      </w:r>
      <w:r>
        <w:rPr>
          <w:rFonts w:ascii="Arial" w:hAnsi="Arial" w:cs="Arial" w:eastAsia="Arial" w:hint="default"/>
          <w:spacing w:val="-2"/>
        </w:rPr>
        <w:t> </w:t>
      </w:r>
      <w:r>
        <w:rPr/>
        <w:t>年</w:t>
      </w:r>
      <w:r>
        <w:rPr>
          <w:spacing w:val="-51"/>
        </w:rPr>
        <w:t> </w:t>
      </w:r>
      <w:r>
        <w:rPr>
          <w:rFonts w:ascii="Arial" w:hAnsi="Arial" w:cs="Arial" w:eastAsia="Arial" w:hint="default"/>
        </w:rPr>
        <w:t>12</w:t>
      </w:r>
      <w:r>
        <w:rPr>
          <w:rFonts w:ascii="Arial" w:hAnsi="Arial" w:cs="Arial" w:eastAsia="Arial" w:hint="default"/>
          <w:spacing w:val="-2"/>
        </w:rPr>
        <w:t> </w:t>
      </w:r>
      <w:r>
        <w:rPr/>
        <w:t>月</w:t>
      </w:r>
      <w:r>
        <w:rPr>
          <w:spacing w:val="-51"/>
        </w:rPr>
        <w:t> </w:t>
      </w:r>
      <w:r>
        <w:rPr>
          <w:rFonts w:ascii="Arial" w:hAnsi="Arial" w:cs="Arial" w:eastAsia="Arial" w:hint="default"/>
        </w:rPr>
        <w:t>31</w:t>
      </w:r>
      <w:r>
        <w:rPr>
          <w:rFonts w:ascii="Arial" w:hAnsi="Arial" w:cs="Arial" w:eastAsia="Arial" w:hint="default"/>
          <w:spacing w:val="-2"/>
        </w:rPr>
        <w:t> </w:t>
      </w:r>
      <w:r>
        <w:rPr/>
        <w:t>日，本公司对联通</w:t>
      </w:r>
      <w:r>
        <w:rPr>
          <w:spacing w:val="-51"/>
        </w:rPr>
        <w:t> </w:t>
      </w:r>
      <w:r>
        <w:rPr>
          <w:rFonts w:ascii="Arial" w:hAnsi="Arial" w:cs="Arial" w:eastAsia="Arial" w:hint="default"/>
        </w:rPr>
        <w:t>BVI</w:t>
      </w:r>
      <w:r>
        <w:rPr>
          <w:rFonts w:ascii="Arial" w:hAnsi="Arial" w:cs="Arial" w:eastAsia="Arial" w:hint="default"/>
          <w:spacing w:val="-2"/>
        </w:rPr>
        <w:t> </w:t>
      </w:r>
      <w:r>
        <w:rPr/>
        <w:t>公司的长</w:t>
      </w:r>
      <w:r>
        <w:rPr>
          <w:w w:val="99"/>
        </w:rPr>
        <w:t> </w:t>
      </w:r>
      <w:r>
        <w:rPr/>
        <w:t>期股权投资明细如下：</w:t>
      </w:r>
    </w:p>
    <w:p>
      <w:pPr>
        <w:spacing w:line="240" w:lineRule="auto" w:before="7"/>
        <w:rPr>
          <w:rFonts w:ascii="宋体" w:hAnsi="宋体" w:cs="宋体" w:eastAsia="宋体" w:hint="default"/>
          <w:sz w:val="24"/>
          <w:szCs w:val="24"/>
        </w:rPr>
      </w:pPr>
    </w:p>
    <w:tbl>
      <w:tblPr>
        <w:tblW w:w="0" w:type="auto"/>
        <w:jc w:val="left"/>
        <w:tblInd w:w="574" w:type="dxa"/>
        <w:tblLayout w:type="fixed"/>
        <w:tblCellMar>
          <w:top w:w="0" w:type="dxa"/>
          <w:left w:w="0" w:type="dxa"/>
          <w:bottom w:w="0" w:type="dxa"/>
          <w:right w:w="0" w:type="dxa"/>
        </w:tblCellMar>
        <w:tblLook w:val="01E0"/>
      </w:tblPr>
      <w:tblGrid>
        <w:gridCol w:w="1698"/>
        <w:gridCol w:w="1751"/>
        <w:gridCol w:w="2066"/>
        <w:gridCol w:w="1518"/>
        <w:gridCol w:w="1970"/>
      </w:tblGrid>
      <w:tr>
        <w:trPr>
          <w:trHeight w:val="261" w:hRule="exact"/>
        </w:trPr>
        <w:tc>
          <w:tcPr>
            <w:tcW w:w="1698"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single" w:sz="6" w:space="0" w:color="000000"/>
              <w:right w:val="nil" w:sz="6" w:space="0" w:color="auto"/>
            </w:tcBorders>
          </w:tcPr>
          <w:p>
            <w:pPr>
              <w:pStyle w:val="TableParagraph"/>
              <w:spacing w:line="220" w:lineRule="exact"/>
              <w:ind w:right="0"/>
              <w:jc w:val="center"/>
              <w:rPr>
                <w:rFonts w:ascii="宋体" w:hAnsi="宋体" w:cs="宋体" w:eastAsia="宋体" w:hint="default"/>
                <w:sz w:val="22"/>
                <w:szCs w:val="22"/>
              </w:rPr>
            </w:pPr>
            <w:r>
              <w:rPr>
                <w:rFonts w:ascii="宋体" w:hAnsi="宋体" w:cs="宋体" w:eastAsia="宋体" w:hint="default"/>
                <w:sz w:val="22"/>
                <w:szCs w:val="22"/>
              </w:rPr>
              <w:t>初始投资成本</w:t>
            </w:r>
          </w:p>
        </w:tc>
        <w:tc>
          <w:tcPr>
            <w:tcW w:w="2066" w:type="dxa"/>
            <w:tcBorders>
              <w:top w:val="nil" w:sz="6" w:space="0" w:color="auto"/>
              <w:left w:val="nil" w:sz="6" w:space="0" w:color="auto"/>
              <w:bottom w:val="single" w:sz="6" w:space="0" w:color="000000"/>
              <w:right w:val="nil" w:sz="6" w:space="0" w:color="auto"/>
            </w:tcBorders>
          </w:tcPr>
          <w:p>
            <w:pPr>
              <w:pStyle w:val="TableParagraph"/>
              <w:spacing w:line="235" w:lineRule="exact"/>
              <w:ind w:right="36"/>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18"/>
                <w:sz w:val="22"/>
                <w:szCs w:val="22"/>
              </w:rPr>
              <w:t> </w:t>
            </w:r>
            <w:r>
              <w:rPr>
                <w:rFonts w:ascii="宋体" w:hAnsi="宋体" w:cs="宋体" w:eastAsia="宋体" w:hint="default"/>
                <w:sz w:val="22"/>
                <w:szCs w:val="22"/>
              </w:rPr>
              <w:t>年</w:t>
            </w:r>
            <w:r>
              <w:rPr>
                <w:rFonts w:ascii="宋体" w:hAnsi="宋体" w:cs="宋体" w:eastAsia="宋体" w:hint="default"/>
                <w:spacing w:val="-67"/>
                <w:sz w:val="22"/>
                <w:szCs w:val="22"/>
              </w:rPr>
              <w:t> </w:t>
            </w:r>
            <w:r>
              <w:rPr>
                <w:rFonts w:ascii="Arial" w:hAnsi="Arial" w:cs="Arial" w:eastAsia="Arial" w:hint="default"/>
                <w:sz w:val="22"/>
                <w:szCs w:val="22"/>
              </w:rPr>
              <w:t>12</w:t>
            </w:r>
            <w:r>
              <w:rPr>
                <w:rFonts w:ascii="Arial" w:hAnsi="Arial" w:cs="Arial" w:eastAsia="Arial" w:hint="default"/>
                <w:spacing w:val="-18"/>
                <w:sz w:val="22"/>
                <w:szCs w:val="22"/>
              </w:rPr>
              <w:t> </w:t>
            </w:r>
            <w:r>
              <w:rPr>
                <w:rFonts w:ascii="宋体" w:hAnsi="宋体" w:cs="宋体" w:eastAsia="宋体" w:hint="default"/>
                <w:sz w:val="22"/>
                <w:szCs w:val="22"/>
              </w:rPr>
              <w:t>月</w:t>
            </w:r>
            <w:r>
              <w:rPr>
                <w:rFonts w:ascii="宋体" w:hAnsi="宋体" w:cs="宋体" w:eastAsia="宋体" w:hint="default"/>
                <w:spacing w:val="-67"/>
                <w:sz w:val="22"/>
                <w:szCs w:val="22"/>
              </w:rPr>
              <w:t> </w:t>
            </w:r>
            <w:r>
              <w:rPr>
                <w:rFonts w:ascii="Arial" w:hAnsi="Arial" w:cs="Arial" w:eastAsia="Arial" w:hint="default"/>
                <w:sz w:val="22"/>
                <w:szCs w:val="22"/>
              </w:rPr>
              <w:t>31</w:t>
            </w:r>
            <w:r>
              <w:rPr>
                <w:rFonts w:ascii="Arial" w:hAnsi="Arial" w:cs="Arial" w:eastAsia="Arial" w:hint="default"/>
                <w:spacing w:val="-18"/>
                <w:sz w:val="22"/>
                <w:szCs w:val="22"/>
              </w:rPr>
              <w:t> </w:t>
            </w:r>
            <w:r>
              <w:rPr>
                <w:rFonts w:ascii="宋体" w:hAnsi="宋体" w:cs="宋体" w:eastAsia="宋体" w:hint="default"/>
                <w:sz w:val="22"/>
                <w:szCs w:val="22"/>
              </w:rPr>
              <w:t>日</w:t>
            </w:r>
          </w:p>
        </w:tc>
        <w:tc>
          <w:tcPr>
            <w:tcW w:w="1518" w:type="dxa"/>
            <w:tcBorders>
              <w:top w:val="nil" w:sz="6" w:space="0" w:color="auto"/>
              <w:left w:val="nil" w:sz="6" w:space="0" w:color="auto"/>
              <w:bottom w:val="single" w:sz="6" w:space="0" w:color="000000"/>
              <w:right w:val="nil" w:sz="6" w:space="0" w:color="auto"/>
            </w:tcBorders>
          </w:tcPr>
          <w:p>
            <w:pPr>
              <w:pStyle w:val="TableParagraph"/>
              <w:spacing w:line="220" w:lineRule="exact"/>
              <w:ind w:right="51"/>
              <w:jc w:val="right"/>
              <w:rPr>
                <w:rFonts w:ascii="宋体" w:hAnsi="宋体" w:cs="宋体" w:eastAsia="宋体" w:hint="default"/>
                <w:sz w:val="22"/>
                <w:szCs w:val="22"/>
              </w:rPr>
            </w:pPr>
            <w:r>
              <w:rPr>
                <w:rFonts w:ascii="宋体" w:hAnsi="宋体" w:cs="宋体" w:eastAsia="宋体" w:hint="default"/>
                <w:w w:val="95"/>
                <w:sz w:val="22"/>
                <w:szCs w:val="22"/>
              </w:rPr>
              <w:t>本年增减变动</w:t>
            </w:r>
            <w:r>
              <w:rPr>
                <w:rFonts w:ascii="宋体" w:hAnsi="宋体" w:cs="宋体" w:eastAsia="宋体" w:hint="default"/>
                <w:sz w:val="22"/>
                <w:szCs w:val="22"/>
              </w:rPr>
            </w:r>
          </w:p>
        </w:tc>
        <w:tc>
          <w:tcPr>
            <w:tcW w:w="1970" w:type="dxa"/>
            <w:tcBorders>
              <w:top w:val="nil" w:sz="6" w:space="0" w:color="auto"/>
              <w:left w:val="nil" w:sz="6" w:space="0" w:color="auto"/>
              <w:bottom w:val="single" w:sz="6" w:space="0" w:color="000000"/>
              <w:right w:val="nil" w:sz="6" w:space="0" w:color="auto"/>
            </w:tcBorders>
          </w:tcPr>
          <w:p>
            <w:pPr>
              <w:pStyle w:val="TableParagraph"/>
              <w:spacing w:line="235" w:lineRule="exact"/>
              <w:ind w:left="88" w:right="0"/>
              <w:jc w:val="lef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21"/>
                <w:sz w:val="22"/>
                <w:szCs w:val="22"/>
              </w:rPr>
              <w:t> </w:t>
            </w:r>
            <w:r>
              <w:rPr>
                <w:rFonts w:ascii="宋体" w:hAnsi="宋体" w:cs="宋体" w:eastAsia="宋体" w:hint="default"/>
                <w:sz w:val="22"/>
                <w:szCs w:val="22"/>
              </w:rPr>
              <w:t>年</w:t>
            </w:r>
            <w:r>
              <w:rPr>
                <w:rFonts w:ascii="宋体" w:hAnsi="宋体" w:cs="宋体" w:eastAsia="宋体" w:hint="default"/>
                <w:spacing w:val="-71"/>
                <w:sz w:val="22"/>
                <w:szCs w:val="22"/>
              </w:rPr>
              <w:t> </w:t>
            </w:r>
            <w:r>
              <w:rPr>
                <w:rFonts w:ascii="Arial" w:hAnsi="Arial" w:cs="Arial" w:eastAsia="Arial" w:hint="default"/>
                <w:sz w:val="22"/>
                <w:szCs w:val="22"/>
              </w:rPr>
              <w:t>12</w:t>
            </w:r>
            <w:r>
              <w:rPr>
                <w:rFonts w:ascii="Arial" w:hAnsi="Arial" w:cs="Arial" w:eastAsia="Arial" w:hint="default"/>
                <w:spacing w:val="-20"/>
                <w:sz w:val="22"/>
                <w:szCs w:val="22"/>
              </w:rPr>
              <w:t> </w:t>
            </w:r>
            <w:r>
              <w:rPr>
                <w:rFonts w:ascii="宋体" w:hAnsi="宋体" w:cs="宋体" w:eastAsia="宋体" w:hint="default"/>
                <w:sz w:val="22"/>
                <w:szCs w:val="22"/>
              </w:rPr>
              <w:t>月</w:t>
            </w:r>
            <w:r>
              <w:rPr>
                <w:rFonts w:ascii="宋体" w:hAnsi="宋体" w:cs="宋体" w:eastAsia="宋体" w:hint="default"/>
                <w:spacing w:val="-71"/>
                <w:sz w:val="22"/>
                <w:szCs w:val="22"/>
              </w:rPr>
              <w:t> </w:t>
            </w:r>
            <w:r>
              <w:rPr>
                <w:rFonts w:ascii="Arial" w:hAnsi="Arial" w:cs="Arial" w:eastAsia="Arial" w:hint="default"/>
                <w:sz w:val="22"/>
                <w:szCs w:val="22"/>
              </w:rPr>
              <w:t>31</w:t>
            </w:r>
            <w:r>
              <w:rPr>
                <w:rFonts w:ascii="Arial" w:hAnsi="Arial" w:cs="Arial" w:eastAsia="Arial" w:hint="default"/>
                <w:spacing w:val="-22"/>
                <w:sz w:val="22"/>
                <w:szCs w:val="22"/>
              </w:rPr>
              <w:t> </w:t>
            </w:r>
            <w:r>
              <w:rPr>
                <w:rFonts w:ascii="宋体" w:hAnsi="宋体" w:cs="宋体" w:eastAsia="宋体" w:hint="default"/>
                <w:sz w:val="22"/>
                <w:szCs w:val="22"/>
              </w:rPr>
              <w:t>日</w:t>
            </w:r>
          </w:p>
        </w:tc>
      </w:tr>
      <w:tr>
        <w:trPr>
          <w:trHeight w:val="569" w:hRule="exact"/>
        </w:trPr>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联通</w:t>
            </w:r>
            <w:r>
              <w:rPr>
                <w:rFonts w:ascii="宋体" w:hAnsi="宋体" w:cs="宋体" w:eastAsia="宋体" w:hint="default"/>
                <w:spacing w:val="-57"/>
                <w:sz w:val="22"/>
                <w:szCs w:val="22"/>
              </w:rPr>
              <w:t> </w:t>
            </w:r>
            <w:r>
              <w:rPr>
                <w:rFonts w:ascii="Arial" w:hAnsi="Arial" w:cs="Arial" w:eastAsia="Arial" w:hint="default"/>
                <w:sz w:val="22"/>
                <w:szCs w:val="22"/>
              </w:rPr>
              <w:t>BVI</w:t>
            </w:r>
            <w:r>
              <w:rPr>
                <w:rFonts w:ascii="Arial" w:hAnsi="Arial" w:cs="Arial" w:eastAsia="Arial" w:hint="default"/>
                <w:spacing w:val="-8"/>
                <w:sz w:val="22"/>
                <w:szCs w:val="22"/>
              </w:rPr>
              <w:t> </w:t>
            </w:r>
            <w:r>
              <w:rPr>
                <w:rFonts w:ascii="宋体" w:hAnsi="宋体" w:cs="宋体" w:eastAsia="宋体" w:hint="default"/>
                <w:sz w:val="22"/>
                <w:szCs w:val="22"/>
              </w:rPr>
              <w:t>公司</w:t>
            </w:r>
          </w:p>
        </w:tc>
        <w:tc>
          <w:tcPr>
            <w:tcW w:w="1751"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8"/>
              <w:jc w:val="center"/>
              <w:rPr>
                <w:rFonts w:ascii="Arial" w:hAnsi="Arial" w:cs="Arial" w:eastAsia="Arial" w:hint="default"/>
                <w:sz w:val="22"/>
                <w:szCs w:val="22"/>
              </w:rPr>
            </w:pPr>
            <w:r>
              <w:rPr>
                <w:rFonts w:ascii="Arial"/>
                <w:sz w:val="22"/>
              </w:rPr>
              <w:t>38,538,133,791</w:t>
            </w:r>
          </w:p>
        </w:tc>
        <w:tc>
          <w:tcPr>
            <w:tcW w:w="2066"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7"/>
              <w:jc w:val="right"/>
              <w:rPr>
                <w:rFonts w:ascii="Arial" w:hAnsi="Arial" w:cs="Arial" w:eastAsia="Arial" w:hint="default"/>
                <w:sz w:val="22"/>
                <w:szCs w:val="22"/>
              </w:rPr>
            </w:pPr>
            <w:r>
              <w:rPr>
                <w:rFonts w:ascii="Arial"/>
                <w:spacing w:val="-1"/>
                <w:sz w:val="22"/>
              </w:rPr>
              <w:t>38,538,133,791</w:t>
            </w:r>
          </w:p>
        </w:tc>
        <w:tc>
          <w:tcPr>
            <w:tcW w:w="1518"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43"/>
              <w:jc w:val="right"/>
              <w:rPr>
                <w:rFonts w:ascii="Arial" w:hAnsi="Arial" w:cs="Arial" w:eastAsia="Arial" w:hint="default"/>
                <w:sz w:val="22"/>
                <w:szCs w:val="22"/>
              </w:rPr>
            </w:pPr>
            <w:r>
              <w:rPr>
                <w:rFonts w:ascii="Arial"/>
                <w:w w:val="99"/>
                <w:sz w:val="22"/>
              </w:rPr>
              <w:t>-</w:t>
            </w:r>
            <w:r>
              <w:rPr>
                <w:rFonts w:ascii="Arial"/>
                <w:sz w:val="22"/>
              </w:rPr>
            </w:r>
          </w:p>
        </w:tc>
        <w:tc>
          <w:tcPr>
            <w:tcW w:w="1970"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41" w:right="0"/>
              <w:jc w:val="left"/>
              <w:rPr>
                <w:rFonts w:ascii="Arial" w:hAnsi="Arial" w:cs="Arial" w:eastAsia="Arial" w:hint="default"/>
                <w:sz w:val="22"/>
                <w:szCs w:val="22"/>
              </w:rPr>
            </w:pPr>
            <w:r>
              <w:rPr>
                <w:rFonts w:ascii="Arial"/>
                <w:sz w:val="22"/>
              </w:rPr>
              <w:t>38,538,133,791</w:t>
            </w:r>
          </w:p>
        </w:tc>
      </w:tr>
    </w:tbl>
    <w:p>
      <w:pPr>
        <w:spacing w:line="240" w:lineRule="auto" w:before="8"/>
        <w:rPr>
          <w:rFonts w:ascii="宋体" w:hAnsi="宋体" w:cs="宋体" w:eastAsia="宋体" w:hint="default"/>
          <w:sz w:val="21"/>
          <w:szCs w:val="21"/>
        </w:rPr>
      </w:pPr>
    </w:p>
    <w:tbl>
      <w:tblPr>
        <w:tblW w:w="0" w:type="auto"/>
        <w:jc w:val="left"/>
        <w:tblInd w:w="544" w:type="dxa"/>
        <w:tblLayout w:type="fixed"/>
        <w:tblCellMar>
          <w:top w:w="0" w:type="dxa"/>
          <w:left w:w="0" w:type="dxa"/>
          <w:bottom w:w="0" w:type="dxa"/>
          <w:right w:w="0" w:type="dxa"/>
        </w:tblCellMar>
        <w:tblLook w:val="01E0"/>
      </w:tblPr>
      <w:tblGrid>
        <w:gridCol w:w="1459"/>
        <w:gridCol w:w="712"/>
        <w:gridCol w:w="935"/>
        <w:gridCol w:w="1132"/>
        <w:gridCol w:w="1318"/>
        <w:gridCol w:w="983"/>
        <w:gridCol w:w="1109"/>
        <w:gridCol w:w="1373"/>
      </w:tblGrid>
      <w:tr>
        <w:trPr>
          <w:trHeight w:val="757" w:hRule="exact"/>
        </w:trPr>
        <w:tc>
          <w:tcPr>
            <w:tcW w:w="1459"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60" w:lineRule="exact"/>
              <w:ind w:left="234" w:right="0"/>
              <w:jc w:val="left"/>
              <w:rPr>
                <w:rFonts w:ascii="宋体" w:hAnsi="宋体" w:cs="宋体" w:eastAsia="宋体" w:hint="default"/>
                <w:sz w:val="20"/>
                <w:szCs w:val="20"/>
              </w:rPr>
            </w:pPr>
            <w:r>
              <w:rPr>
                <w:rFonts w:ascii="宋体" w:hAnsi="宋体" w:cs="宋体" w:eastAsia="宋体" w:hint="default"/>
                <w:sz w:val="20"/>
                <w:szCs w:val="20"/>
              </w:rPr>
              <w:t>核算</w:t>
            </w:r>
          </w:p>
          <w:p>
            <w:pPr>
              <w:pStyle w:val="TableParagraph"/>
              <w:tabs>
                <w:tab w:pos="1278" w:val="left" w:leader="none"/>
              </w:tabs>
              <w:spacing w:line="260" w:lineRule="exact"/>
              <w:ind w:left="17" w:right="-567"/>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  </w:t>
            </w:r>
            <w:r>
              <w:rPr>
                <w:rFonts w:ascii="Times New Roman" w:hAnsi="Times New Roman" w:cs="Times New Roman" w:eastAsia="Times New Roman" w:hint="default"/>
                <w:spacing w:val="17"/>
                <w:sz w:val="20"/>
                <w:szCs w:val="20"/>
                <w:u w:val="single" w:color="000000"/>
              </w:rPr>
              <w:t> </w:t>
            </w:r>
            <w:r>
              <w:rPr>
                <w:rFonts w:ascii="宋体" w:hAnsi="宋体" w:cs="宋体" w:eastAsia="宋体" w:hint="default"/>
                <w:sz w:val="20"/>
                <w:szCs w:val="20"/>
                <w:u w:val="single" w:color="000000"/>
              </w:rPr>
              <w:t>方法</w:t>
              <w:tab/>
            </w:r>
            <w:r>
              <w:rPr>
                <w:rFonts w:ascii="宋体" w:hAnsi="宋体" w:cs="宋体" w:eastAsia="宋体" w:hint="default"/>
                <w:sz w:val="20"/>
                <w:szCs w:val="20"/>
              </w:rPr>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6" w:right="0"/>
              <w:jc w:val="left"/>
              <w:rPr>
                <w:rFonts w:ascii="宋体" w:hAnsi="宋体" w:cs="宋体" w:eastAsia="宋体" w:hint="default"/>
                <w:sz w:val="20"/>
                <w:szCs w:val="20"/>
              </w:rPr>
            </w:pPr>
            <w:r>
              <w:rPr>
                <w:rFonts w:ascii="宋体" w:hAnsi="宋体" w:cs="宋体" w:eastAsia="宋体" w:hint="default"/>
                <w:sz w:val="20"/>
                <w:szCs w:val="20"/>
              </w:rPr>
              <w:t>持股比例</w:t>
            </w:r>
          </w:p>
          <w:p>
            <w:pPr>
              <w:pStyle w:val="TableParagraph"/>
              <w:tabs>
                <w:tab w:pos="1681" w:val="left" w:leader="none"/>
              </w:tabs>
              <w:spacing w:line="240" w:lineRule="auto" w:before="26"/>
              <w:ind w:left="566" w:right="-746"/>
              <w:jc w:val="left"/>
              <w:rPr>
                <w:rFonts w:ascii="Arial" w:hAnsi="Arial" w:cs="Arial" w:eastAsia="Arial" w:hint="default"/>
                <w:sz w:val="20"/>
                <w:szCs w:val="20"/>
              </w:rPr>
            </w:pPr>
            <w:r>
              <w:rPr>
                <w:rFonts w:ascii="Arial"/>
                <w:w w:val="100"/>
                <w:sz w:val="20"/>
              </w:rPr>
            </w:r>
            <w:r>
              <w:rPr>
                <w:rFonts w:ascii="Arial"/>
                <w:sz w:val="20"/>
                <w:u w:val="single" w:color="000000"/>
              </w:rPr>
              <w:t>(%)</w:t>
              <w:tab/>
            </w:r>
            <w:r>
              <w:rPr>
                <w:rFonts w:ascii="Arial"/>
                <w:sz w:val="20"/>
              </w:rPr>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6" w:right="0"/>
              <w:jc w:val="left"/>
              <w:rPr>
                <w:rFonts w:ascii="宋体" w:hAnsi="宋体" w:cs="宋体" w:eastAsia="宋体" w:hint="default"/>
                <w:sz w:val="20"/>
                <w:szCs w:val="20"/>
              </w:rPr>
            </w:pPr>
            <w:r>
              <w:rPr>
                <w:rFonts w:ascii="宋体" w:hAnsi="宋体" w:cs="宋体" w:eastAsia="宋体" w:hint="default"/>
                <w:sz w:val="20"/>
                <w:szCs w:val="20"/>
              </w:rPr>
              <w:t>表决权比例</w:t>
            </w:r>
          </w:p>
          <w:p>
            <w:pPr>
              <w:pStyle w:val="TableParagraph"/>
              <w:spacing w:line="240" w:lineRule="auto" w:before="26"/>
              <w:ind w:left="745" w:right="0"/>
              <w:jc w:val="left"/>
              <w:rPr>
                <w:rFonts w:ascii="Arial" w:hAnsi="Arial" w:cs="Arial" w:eastAsia="Arial" w:hint="default"/>
                <w:sz w:val="20"/>
                <w:szCs w:val="20"/>
              </w:rPr>
            </w:pPr>
            <w:r>
              <w:rPr>
                <w:rFonts w:ascii="Arial"/>
                <w:w w:val="100"/>
                <w:sz w:val="20"/>
              </w:rPr>
            </w:r>
            <w:r>
              <w:rPr>
                <w:rFonts w:ascii="Arial"/>
                <w:sz w:val="20"/>
                <w:u w:val="single" w:color="000000"/>
              </w:rPr>
              <w:t>(%)</w:t>
            </w:r>
            <w:r>
              <w:rPr>
                <w:rFonts w:ascii="Arial"/>
                <w:sz w:val="20"/>
              </w:rPr>
            </w:r>
          </w:p>
        </w:tc>
        <w:tc>
          <w:tcPr>
            <w:tcW w:w="1318" w:type="dxa"/>
            <w:tcBorders>
              <w:top w:val="nil" w:sz="6" w:space="0" w:color="auto"/>
              <w:left w:val="nil" w:sz="6" w:space="0" w:color="auto"/>
              <w:bottom w:val="single" w:sz="6" w:space="0" w:color="000000"/>
              <w:right w:val="nil" w:sz="6" w:space="0" w:color="auto"/>
            </w:tcBorders>
          </w:tcPr>
          <w:p>
            <w:pPr>
              <w:pStyle w:val="TableParagraph"/>
              <w:spacing w:line="199" w:lineRule="exact"/>
              <w:ind w:left="68" w:right="0"/>
              <w:jc w:val="left"/>
              <w:rPr>
                <w:rFonts w:ascii="宋体" w:hAnsi="宋体" w:cs="宋体" w:eastAsia="宋体" w:hint="default"/>
                <w:sz w:val="20"/>
                <w:szCs w:val="20"/>
              </w:rPr>
            </w:pPr>
            <w:r>
              <w:rPr>
                <w:rFonts w:ascii="宋体" w:hAnsi="宋体" w:cs="宋体" w:eastAsia="宋体" w:hint="default"/>
                <w:sz w:val="20"/>
                <w:szCs w:val="20"/>
              </w:rPr>
              <w:t>持股比例与表</w:t>
            </w:r>
          </w:p>
          <w:p>
            <w:pPr>
              <w:pStyle w:val="TableParagraph"/>
              <w:spacing w:line="259" w:lineRule="exact"/>
              <w:ind w:left="68" w:right="0"/>
              <w:jc w:val="left"/>
              <w:rPr>
                <w:rFonts w:ascii="宋体" w:hAnsi="宋体" w:cs="宋体" w:eastAsia="宋体" w:hint="default"/>
                <w:sz w:val="20"/>
                <w:szCs w:val="20"/>
              </w:rPr>
            </w:pPr>
            <w:r>
              <w:rPr>
                <w:rFonts w:ascii="宋体" w:hAnsi="宋体" w:cs="宋体" w:eastAsia="宋体" w:hint="default"/>
                <w:sz w:val="20"/>
                <w:szCs w:val="20"/>
              </w:rPr>
              <w:t>决权比例不一</w:t>
            </w:r>
          </w:p>
          <w:p>
            <w:pPr>
              <w:pStyle w:val="TableParagraph"/>
              <w:spacing w:line="260" w:lineRule="exact"/>
              <w:ind w:left="468" w:right="0"/>
              <w:jc w:val="left"/>
              <w:rPr>
                <w:rFonts w:ascii="宋体" w:hAnsi="宋体" w:cs="宋体" w:eastAsia="宋体" w:hint="default"/>
                <w:sz w:val="20"/>
                <w:szCs w:val="20"/>
              </w:rPr>
            </w:pPr>
            <w:r>
              <w:rPr>
                <w:rFonts w:ascii="宋体" w:hAnsi="宋体" w:cs="宋体" w:eastAsia="宋体" w:hint="default"/>
                <w:sz w:val="20"/>
                <w:szCs w:val="20"/>
              </w:rPr>
              <w:t>致的说明</w:t>
            </w:r>
          </w:p>
        </w:tc>
        <w:tc>
          <w:tcPr>
            <w:tcW w:w="983"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2"/>
              <w:jc w:val="right"/>
              <w:rPr>
                <w:rFonts w:ascii="宋体" w:hAnsi="宋体" w:cs="宋体" w:eastAsia="宋体" w:hint="default"/>
                <w:sz w:val="20"/>
                <w:szCs w:val="20"/>
              </w:rPr>
            </w:pPr>
            <w:r>
              <w:rPr>
                <w:rFonts w:ascii="宋体" w:hAnsi="宋体" w:cs="宋体" w:eastAsia="宋体" w:hint="default"/>
                <w:sz w:val="20"/>
                <w:szCs w:val="20"/>
              </w:rPr>
              <w:t>减值准备</w:t>
            </w:r>
          </w:p>
        </w:tc>
        <w:tc>
          <w:tcPr>
            <w:tcW w:w="1109"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60" w:lineRule="exact"/>
              <w:ind w:left="144" w:right="160"/>
              <w:jc w:val="left"/>
              <w:rPr>
                <w:rFonts w:ascii="宋体" w:hAnsi="宋体" w:cs="宋体" w:eastAsia="宋体" w:hint="default"/>
                <w:sz w:val="20"/>
                <w:szCs w:val="20"/>
              </w:rPr>
            </w:pPr>
            <w:r>
              <w:rPr>
                <w:rFonts w:ascii="宋体" w:hAnsi="宋体" w:cs="宋体" w:eastAsia="宋体" w:hint="default"/>
                <w:sz w:val="20"/>
                <w:szCs w:val="20"/>
              </w:rPr>
              <w:t>本年计提</w:t>
            </w:r>
            <w:r>
              <w:rPr>
                <w:rFonts w:ascii="宋体" w:hAnsi="宋体" w:cs="宋体" w:eastAsia="宋体" w:hint="default"/>
                <w:w w:val="100"/>
                <w:sz w:val="20"/>
                <w:szCs w:val="20"/>
              </w:rPr>
              <w:t> </w:t>
            </w:r>
            <w:r>
              <w:rPr>
                <w:rFonts w:ascii="宋体" w:hAnsi="宋体" w:cs="宋体" w:eastAsia="宋体" w:hint="default"/>
                <w:sz w:val="20"/>
                <w:szCs w:val="20"/>
              </w:rPr>
              <w:t>减值准备</w:t>
            </w:r>
          </w:p>
        </w:tc>
        <w:tc>
          <w:tcPr>
            <w:tcW w:w="1373"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60" w:lineRule="exact"/>
              <w:ind w:left="362" w:right="7" w:hanging="201"/>
              <w:jc w:val="left"/>
              <w:rPr>
                <w:rFonts w:ascii="宋体" w:hAnsi="宋体" w:cs="宋体" w:eastAsia="宋体" w:hint="default"/>
                <w:sz w:val="20"/>
                <w:szCs w:val="20"/>
              </w:rPr>
            </w:pPr>
            <w:r>
              <w:rPr>
                <w:rFonts w:ascii="宋体" w:hAnsi="宋体" w:cs="宋体" w:eastAsia="宋体" w:hint="default"/>
                <w:sz w:val="20"/>
                <w:szCs w:val="20"/>
              </w:rPr>
              <w:t>本年宣告分派</w:t>
            </w:r>
            <w:r>
              <w:rPr>
                <w:rFonts w:ascii="宋体" w:hAnsi="宋体" w:cs="宋体" w:eastAsia="宋体" w:hint="default"/>
                <w:w w:val="100"/>
                <w:sz w:val="20"/>
                <w:szCs w:val="20"/>
              </w:rPr>
              <w:t> </w:t>
            </w:r>
            <w:r>
              <w:rPr>
                <w:rFonts w:ascii="宋体" w:hAnsi="宋体" w:cs="宋体" w:eastAsia="宋体" w:hint="default"/>
                <w:sz w:val="20"/>
                <w:szCs w:val="20"/>
              </w:rPr>
              <w:t>的现金股利</w:t>
            </w:r>
          </w:p>
        </w:tc>
      </w:tr>
      <w:tr>
        <w:trPr>
          <w:trHeight w:val="540"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0"/>
                <w:szCs w:val="20"/>
              </w:rPr>
            </w:pPr>
            <w:r>
              <w:rPr>
                <w:rFonts w:ascii="宋体" w:hAnsi="宋体" w:cs="宋体" w:eastAsia="宋体" w:hint="default"/>
                <w:sz w:val="20"/>
                <w:szCs w:val="20"/>
              </w:rPr>
              <w:t>联通</w:t>
            </w:r>
            <w:r>
              <w:rPr>
                <w:rFonts w:ascii="宋体" w:hAnsi="宋体" w:cs="宋体" w:eastAsia="宋体" w:hint="default"/>
                <w:spacing w:val="-50"/>
                <w:sz w:val="20"/>
                <w:szCs w:val="20"/>
              </w:rPr>
              <w:t> </w:t>
            </w:r>
            <w:r>
              <w:rPr>
                <w:rFonts w:ascii="Arial" w:hAnsi="Arial" w:cs="Arial" w:eastAsia="Arial" w:hint="default"/>
                <w:sz w:val="20"/>
                <w:szCs w:val="20"/>
              </w:rPr>
              <w:t>BVI</w:t>
            </w:r>
            <w:r>
              <w:rPr>
                <w:rFonts w:ascii="Arial" w:hAnsi="Arial" w:cs="Arial" w:eastAsia="Arial" w:hint="default"/>
                <w:spacing w:val="-6"/>
                <w:sz w:val="20"/>
                <w:szCs w:val="20"/>
              </w:rPr>
              <w:t> </w:t>
            </w:r>
            <w:r>
              <w:rPr>
                <w:rFonts w:ascii="宋体" w:hAnsi="宋体" w:cs="宋体" w:eastAsia="宋体" w:hint="default"/>
                <w:sz w:val="20"/>
                <w:szCs w:val="20"/>
              </w:rPr>
              <w:t>公司</w:t>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4" w:right="0"/>
              <w:jc w:val="left"/>
              <w:rPr>
                <w:rFonts w:ascii="宋体" w:hAnsi="宋体" w:cs="宋体" w:eastAsia="宋体" w:hint="default"/>
                <w:sz w:val="20"/>
                <w:szCs w:val="20"/>
              </w:rPr>
            </w:pPr>
            <w:r>
              <w:rPr>
                <w:rFonts w:ascii="宋体" w:hAnsi="宋体" w:cs="宋体" w:eastAsia="宋体" w:hint="default"/>
                <w:sz w:val="20"/>
                <w:szCs w:val="20"/>
              </w:rPr>
              <w:t>成本法</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76" w:right="0"/>
              <w:jc w:val="left"/>
              <w:rPr>
                <w:rFonts w:ascii="Arial" w:hAnsi="Arial" w:cs="Arial" w:eastAsia="Arial" w:hint="default"/>
                <w:sz w:val="20"/>
                <w:szCs w:val="20"/>
              </w:rPr>
            </w:pPr>
            <w:r>
              <w:rPr>
                <w:rFonts w:ascii="Arial"/>
                <w:sz w:val="20"/>
              </w:rPr>
              <w:t>82.10</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56" w:right="0"/>
              <w:jc w:val="left"/>
              <w:rPr>
                <w:rFonts w:ascii="Arial" w:hAnsi="Arial" w:cs="Arial" w:eastAsia="Arial" w:hint="default"/>
                <w:sz w:val="20"/>
                <w:szCs w:val="20"/>
              </w:rPr>
            </w:pPr>
            <w:r>
              <w:rPr>
                <w:rFonts w:ascii="Arial"/>
                <w:sz w:val="20"/>
              </w:rPr>
              <w:t>82.10</w:t>
            </w:r>
          </w:p>
        </w:tc>
        <w:tc>
          <w:tcPr>
            <w:tcW w:w="1318"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668" w:right="0"/>
              <w:jc w:val="left"/>
              <w:rPr>
                <w:rFonts w:ascii="宋体" w:hAnsi="宋体" w:cs="宋体" w:eastAsia="宋体" w:hint="default"/>
                <w:sz w:val="20"/>
                <w:szCs w:val="20"/>
              </w:rPr>
            </w:pPr>
            <w:r>
              <w:rPr>
                <w:rFonts w:ascii="宋体" w:hAnsi="宋体" w:cs="宋体" w:eastAsia="宋体" w:hint="default"/>
                <w:sz w:val="20"/>
                <w:szCs w:val="20"/>
              </w:rPr>
              <w:t>不适用</w:t>
            </w:r>
          </w:p>
        </w:tc>
        <w:tc>
          <w:tcPr>
            <w:tcW w:w="983" w:type="dxa"/>
            <w:tcBorders>
              <w:top w:val="single" w:sz="6" w:space="0" w:color="000000"/>
              <w:left w:val="nil" w:sz="6" w:space="0" w:color="auto"/>
              <w:bottom w:val="single" w:sz="17"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79"/>
              <w:jc w:val="right"/>
              <w:rPr>
                <w:rFonts w:ascii="Arial" w:hAnsi="Arial" w:cs="Arial" w:eastAsia="Arial" w:hint="default"/>
                <w:sz w:val="20"/>
                <w:szCs w:val="20"/>
              </w:rPr>
            </w:pPr>
            <w:r>
              <w:rPr>
                <w:rFonts w:ascii="Arial"/>
                <w:w w:val="100"/>
                <w:sz w:val="20"/>
              </w:rPr>
              <w:t>-</w:t>
            </w:r>
          </w:p>
        </w:tc>
        <w:tc>
          <w:tcPr>
            <w:tcW w:w="1109" w:type="dxa"/>
            <w:tcBorders>
              <w:top w:val="single" w:sz="6" w:space="0" w:color="000000"/>
              <w:left w:val="nil" w:sz="6" w:space="0" w:color="auto"/>
              <w:bottom w:val="single" w:sz="17"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92"/>
              <w:jc w:val="right"/>
              <w:rPr>
                <w:rFonts w:ascii="Arial" w:hAnsi="Arial" w:cs="Arial" w:eastAsia="Arial" w:hint="default"/>
                <w:sz w:val="20"/>
                <w:szCs w:val="20"/>
              </w:rPr>
            </w:pPr>
            <w:r>
              <w:rPr>
                <w:rFonts w:ascii="Arial"/>
                <w:w w:val="100"/>
                <w:sz w:val="20"/>
              </w:rPr>
              <w:t>-</w:t>
            </w:r>
          </w:p>
        </w:tc>
        <w:tc>
          <w:tcPr>
            <w:tcW w:w="1373" w:type="dxa"/>
            <w:tcBorders>
              <w:top w:val="single" w:sz="6" w:space="0" w:color="000000"/>
              <w:left w:val="nil" w:sz="6" w:space="0" w:color="auto"/>
              <w:bottom w:val="single" w:sz="17"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04" w:right="0"/>
              <w:jc w:val="left"/>
              <w:rPr>
                <w:rFonts w:ascii="Arial" w:hAnsi="Arial" w:cs="Arial" w:eastAsia="Arial" w:hint="default"/>
                <w:sz w:val="20"/>
                <w:szCs w:val="20"/>
              </w:rPr>
            </w:pPr>
            <w:r>
              <w:rPr>
                <w:rFonts w:ascii="Arial"/>
                <w:sz w:val="20"/>
              </w:rPr>
              <w:t>798,250,738</w:t>
            </w:r>
          </w:p>
        </w:tc>
      </w:tr>
    </w:tbl>
    <w:p>
      <w:pPr>
        <w:spacing w:line="240" w:lineRule="auto" w:before="2"/>
        <w:rPr>
          <w:rFonts w:ascii="宋体" w:hAnsi="宋体" w:cs="宋体" w:eastAsia="宋体" w:hint="default"/>
          <w:sz w:val="14"/>
          <w:szCs w:val="14"/>
        </w:rPr>
      </w:pPr>
    </w:p>
    <w:p>
      <w:pPr>
        <w:pStyle w:val="BodyText"/>
        <w:tabs>
          <w:tab w:pos="759" w:val="left" w:leader="none"/>
        </w:tabs>
        <w:spacing w:line="240" w:lineRule="auto" w:before="31"/>
        <w:ind w:left="113" w:right="0"/>
        <w:jc w:val="left"/>
      </w:pPr>
      <w:r>
        <w:rPr>
          <w:rFonts w:ascii="Arial" w:hAnsi="Arial" w:cs="Arial" w:eastAsia="Arial" w:hint="default"/>
          <w:w w:val="95"/>
        </w:rPr>
        <w:t>4</w:t>
      </w:r>
      <w:r>
        <w:rPr>
          <w:w w:val="95"/>
        </w:rPr>
        <w:t>、</w:t>
        <w:tab/>
      </w:r>
      <w:r>
        <w:rPr/>
        <w:t>盈余公积</w:t>
      </w:r>
    </w:p>
    <w:p>
      <w:pPr>
        <w:pStyle w:val="BodyText"/>
        <w:spacing w:line="240" w:lineRule="auto" w:before="162"/>
        <w:ind w:left="760" w:right="0"/>
        <w:jc w:val="left"/>
      </w:pPr>
      <w:r>
        <w:rPr/>
        <w:t>本公司盈余公积参见附注五</w:t>
      </w:r>
      <w:r>
        <w:rPr>
          <w:rFonts w:ascii="Arial" w:hAnsi="Arial" w:cs="Arial" w:eastAsia="Arial" w:hint="default"/>
        </w:rPr>
        <w:t>(33)</w:t>
      </w:r>
      <w:r>
        <w:rPr/>
        <w:t>。</w:t>
      </w:r>
    </w:p>
    <w:p>
      <w:pPr>
        <w:spacing w:line="240" w:lineRule="auto" w:before="13"/>
        <w:rPr>
          <w:rFonts w:ascii="宋体" w:hAnsi="宋体" w:cs="宋体" w:eastAsia="宋体" w:hint="default"/>
          <w:sz w:val="17"/>
          <w:szCs w:val="17"/>
        </w:rPr>
      </w:pPr>
    </w:p>
    <w:p>
      <w:pPr>
        <w:pStyle w:val="BodyText"/>
        <w:tabs>
          <w:tab w:pos="759" w:val="left" w:leader="none"/>
        </w:tabs>
        <w:spacing w:line="240" w:lineRule="auto"/>
        <w:ind w:left="113" w:right="0"/>
        <w:jc w:val="left"/>
      </w:pPr>
      <w:r>
        <w:rPr>
          <w:rFonts w:ascii="Arial" w:hAnsi="Arial" w:cs="Arial" w:eastAsia="Arial" w:hint="default"/>
          <w:w w:val="95"/>
        </w:rPr>
        <w:t>5</w:t>
      </w:r>
      <w:r>
        <w:rPr>
          <w:w w:val="95"/>
        </w:rPr>
        <w:t>、</w:t>
        <w:tab/>
      </w:r>
      <w:r>
        <w:rPr/>
        <w:t>管理费用</w:t>
      </w:r>
    </w:p>
    <w:p>
      <w:pPr>
        <w:spacing w:line="240" w:lineRule="auto" w:before="12"/>
        <w:rPr>
          <w:rFonts w:ascii="宋体" w:hAnsi="宋体" w:cs="宋体" w:eastAsia="宋体" w:hint="default"/>
          <w:sz w:val="17"/>
          <w:szCs w:val="17"/>
        </w:rPr>
      </w:pPr>
    </w:p>
    <w:p>
      <w:pPr>
        <w:pStyle w:val="BodyText"/>
        <w:spacing w:line="240" w:lineRule="auto"/>
        <w:ind w:left="760" w:right="0"/>
        <w:jc w:val="left"/>
      </w:pPr>
      <w:r>
        <w:rPr/>
        <w:t>管理费用主要包括本公司本部日常经费支出、工资、福利费等。</w:t>
      </w:r>
    </w:p>
    <w:p>
      <w:pPr>
        <w:spacing w:line="240" w:lineRule="auto" w:before="2"/>
        <w:rPr>
          <w:rFonts w:ascii="宋体" w:hAnsi="宋体" w:cs="宋体" w:eastAsia="宋体" w:hint="default"/>
          <w:sz w:val="19"/>
          <w:szCs w:val="19"/>
        </w:rPr>
      </w:pPr>
    </w:p>
    <w:p>
      <w:pPr>
        <w:pStyle w:val="BodyText"/>
        <w:tabs>
          <w:tab w:pos="759" w:val="left" w:leader="none"/>
        </w:tabs>
        <w:spacing w:line="240" w:lineRule="auto"/>
        <w:ind w:left="113" w:right="0"/>
        <w:jc w:val="left"/>
      </w:pPr>
      <w:r>
        <w:rPr>
          <w:rFonts w:ascii="Arial" w:hAnsi="Arial" w:cs="Arial" w:eastAsia="Arial" w:hint="default"/>
          <w:w w:val="95"/>
        </w:rPr>
        <w:t>6</w:t>
      </w:r>
      <w:r>
        <w:rPr>
          <w:w w:val="95"/>
        </w:rPr>
        <w:t>、</w:t>
        <w:tab/>
      </w:r>
      <w:r>
        <w:rPr/>
        <w:t>投资收益</w:t>
      </w:r>
    </w:p>
    <w:p>
      <w:pPr>
        <w:spacing w:line="240" w:lineRule="auto" w:before="1"/>
        <w:rPr>
          <w:rFonts w:ascii="宋体" w:hAnsi="宋体" w:cs="宋体" w:eastAsia="宋体" w:hint="default"/>
          <w:sz w:val="23"/>
          <w:szCs w:val="23"/>
        </w:rPr>
      </w:pPr>
    </w:p>
    <w:tbl>
      <w:tblPr>
        <w:tblW w:w="0" w:type="auto"/>
        <w:jc w:val="left"/>
        <w:tblInd w:w="546" w:type="dxa"/>
        <w:tblLayout w:type="fixed"/>
        <w:tblCellMar>
          <w:top w:w="0" w:type="dxa"/>
          <w:left w:w="0" w:type="dxa"/>
          <w:bottom w:w="0" w:type="dxa"/>
          <w:right w:w="0" w:type="dxa"/>
        </w:tblCellMar>
        <w:tblLook w:val="01E0"/>
      </w:tblPr>
      <w:tblGrid>
        <w:gridCol w:w="4379"/>
        <w:gridCol w:w="2297"/>
        <w:gridCol w:w="2354"/>
      </w:tblGrid>
      <w:tr>
        <w:trPr>
          <w:trHeight w:val="261" w:hRule="exact"/>
        </w:trPr>
        <w:tc>
          <w:tcPr>
            <w:tcW w:w="4379" w:type="dxa"/>
            <w:tcBorders>
              <w:top w:val="nil" w:sz="6" w:space="0" w:color="auto"/>
              <w:left w:val="nil" w:sz="6" w:space="0" w:color="auto"/>
              <w:bottom w:val="nil" w:sz="6" w:space="0" w:color="auto"/>
              <w:right w:val="nil" w:sz="6" w:space="0" w:color="auto"/>
            </w:tcBorders>
          </w:tcPr>
          <w:p>
            <w:pPr/>
          </w:p>
        </w:tc>
        <w:tc>
          <w:tcPr>
            <w:tcW w:w="2297" w:type="dxa"/>
            <w:tcBorders>
              <w:top w:val="nil" w:sz="6" w:space="0" w:color="auto"/>
              <w:left w:val="nil" w:sz="6" w:space="0" w:color="auto"/>
              <w:bottom w:val="single" w:sz="6" w:space="0" w:color="000000"/>
              <w:right w:val="nil" w:sz="6" w:space="0" w:color="auto"/>
            </w:tcBorders>
          </w:tcPr>
          <w:p>
            <w:pPr>
              <w:pStyle w:val="TableParagraph"/>
              <w:spacing w:line="235" w:lineRule="exact"/>
              <w:ind w:right="30"/>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2354" w:type="dxa"/>
            <w:tcBorders>
              <w:top w:val="nil" w:sz="6" w:space="0" w:color="auto"/>
              <w:left w:val="nil" w:sz="6" w:space="0" w:color="auto"/>
              <w:bottom w:val="single" w:sz="6" w:space="0" w:color="000000"/>
              <w:right w:val="nil" w:sz="6" w:space="0" w:color="auto"/>
            </w:tcBorders>
          </w:tcPr>
          <w:p>
            <w:pPr>
              <w:pStyle w:val="TableParagraph"/>
              <w:spacing w:line="235" w:lineRule="exact"/>
              <w:ind w:right="23"/>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64" w:hRule="exact"/>
        </w:trPr>
        <w:tc>
          <w:tcPr>
            <w:tcW w:w="43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投资收益</w:t>
            </w:r>
          </w:p>
        </w:tc>
        <w:tc>
          <w:tcPr>
            <w:tcW w:w="2297" w:type="dxa"/>
            <w:tcBorders>
              <w:top w:val="single" w:sz="6" w:space="0" w:color="000000"/>
              <w:left w:val="nil" w:sz="6" w:space="0" w:color="auto"/>
              <w:bottom w:val="single" w:sz="17"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58"/>
              <w:jc w:val="right"/>
              <w:rPr>
                <w:rFonts w:ascii="Arial" w:hAnsi="Arial" w:cs="Arial" w:eastAsia="Arial" w:hint="default"/>
                <w:sz w:val="22"/>
                <w:szCs w:val="22"/>
              </w:rPr>
            </w:pPr>
            <w:r>
              <w:rPr>
                <w:rFonts w:ascii="Arial"/>
                <w:w w:val="95"/>
                <w:sz w:val="22"/>
              </w:rPr>
              <w:t>798,250,738</w:t>
            </w:r>
            <w:r>
              <w:rPr>
                <w:rFonts w:ascii="Arial"/>
                <w:sz w:val="22"/>
              </w:rPr>
            </w:r>
          </w:p>
        </w:tc>
        <w:tc>
          <w:tcPr>
            <w:tcW w:w="2354" w:type="dxa"/>
            <w:tcBorders>
              <w:top w:val="single" w:sz="6" w:space="0" w:color="000000"/>
              <w:left w:val="nil" w:sz="6" w:space="0" w:color="auto"/>
              <w:bottom w:val="single" w:sz="17"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64"/>
              <w:jc w:val="right"/>
              <w:rPr>
                <w:rFonts w:ascii="Arial" w:hAnsi="Arial" w:cs="Arial" w:eastAsia="Arial" w:hint="default"/>
                <w:sz w:val="22"/>
                <w:szCs w:val="22"/>
              </w:rPr>
            </w:pPr>
            <w:r>
              <w:rPr>
                <w:rFonts w:ascii="Arial"/>
                <w:w w:val="95"/>
                <w:sz w:val="22"/>
              </w:rPr>
              <w:t>625,590,662</w:t>
            </w:r>
            <w:r>
              <w:rPr>
                <w:rFonts w:ascii="Arial"/>
                <w:sz w:val="22"/>
              </w:rPr>
            </w:r>
          </w:p>
        </w:tc>
      </w:tr>
    </w:tbl>
    <w:p>
      <w:pPr>
        <w:spacing w:line="240" w:lineRule="auto" w:before="2"/>
        <w:rPr>
          <w:rFonts w:ascii="宋体" w:hAnsi="宋体" w:cs="宋体" w:eastAsia="宋体" w:hint="default"/>
          <w:sz w:val="14"/>
          <w:szCs w:val="14"/>
        </w:rPr>
      </w:pPr>
    </w:p>
    <w:p>
      <w:pPr>
        <w:pStyle w:val="BodyText"/>
        <w:spacing w:line="294" w:lineRule="exact" w:before="31"/>
        <w:ind w:left="739" w:right="0"/>
        <w:jc w:val="left"/>
        <w:rPr>
          <w:rFonts w:ascii="Arial" w:hAnsi="Arial" w:cs="Arial" w:eastAsia="Arial" w:hint="default"/>
        </w:rPr>
      </w:pPr>
      <w:r>
        <w:rPr/>
        <w:t>于</w:t>
      </w:r>
      <w:r>
        <w:rPr>
          <w:spacing w:val="-58"/>
        </w:rPr>
        <w:t> </w:t>
      </w:r>
      <w:r>
        <w:rPr>
          <w:rFonts w:ascii="Arial" w:hAnsi="Arial" w:cs="Arial" w:eastAsia="Arial" w:hint="default"/>
        </w:rPr>
        <w:t>2012</w:t>
      </w:r>
      <w:r>
        <w:rPr>
          <w:rFonts w:ascii="Arial" w:hAnsi="Arial" w:cs="Arial" w:eastAsia="Arial" w:hint="default"/>
          <w:spacing w:val="-9"/>
        </w:rPr>
        <w:t> </w:t>
      </w:r>
      <w:r>
        <w:rPr/>
        <w:t>年度，本公司子公司联通</w:t>
      </w:r>
      <w:r>
        <w:rPr>
          <w:spacing w:val="-56"/>
        </w:rPr>
        <w:t> </w:t>
      </w:r>
      <w:r>
        <w:rPr>
          <w:rFonts w:ascii="Arial" w:hAnsi="Arial" w:cs="Arial" w:eastAsia="Arial" w:hint="default"/>
        </w:rPr>
        <w:t>BVI</w:t>
      </w:r>
      <w:r>
        <w:rPr>
          <w:rFonts w:ascii="Arial" w:hAnsi="Arial" w:cs="Arial" w:eastAsia="Arial" w:hint="default"/>
          <w:spacing w:val="-9"/>
        </w:rPr>
        <w:t> </w:t>
      </w:r>
      <w:r>
        <w:rPr/>
        <w:t>公司宣布派发的</w:t>
      </w:r>
      <w:r>
        <w:rPr>
          <w:spacing w:val="-58"/>
        </w:rPr>
        <w:t> </w:t>
      </w:r>
      <w:r>
        <w:rPr>
          <w:rFonts w:ascii="Arial" w:hAnsi="Arial" w:cs="Arial" w:eastAsia="Arial" w:hint="default"/>
        </w:rPr>
        <w:t>2011</w:t>
      </w:r>
      <w:r>
        <w:rPr>
          <w:rFonts w:ascii="Arial" w:hAnsi="Arial" w:cs="Arial" w:eastAsia="Arial" w:hint="default"/>
          <w:spacing w:val="-9"/>
        </w:rPr>
        <w:t> </w:t>
      </w:r>
      <w:r>
        <w:rPr/>
        <w:t>年度现金股利中约人民币</w:t>
      </w:r>
      <w:r>
        <w:rPr>
          <w:spacing w:val="-58"/>
        </w:rPr>
        <w:t> </w:t>
      </w:r>
      <w:r>
        <w:rPr>
          <w:rFonts w:ascii="Arial" w:hAnsi="Arial" w:cs="Arial" w:eastAsia="Arial" w:hint="default"/>
        </w:rPr>
        <w:t>7.98</w:t>
      </w:r>
    </w:p>
    <w:p>
      <w:pPr>
        <w:pStyle w:val="BodyText"/>
        <w:spacing w:line="424" w:lineRule="auto"/>
        <w:ind w:left="739" w:right="3693" w:firstLine="1"/>
        <w:jc w:val="left"/>
      </w:pPr>
      <w:r>
        <w:rPr/>
        <w:t>亿元（</w:t>
      </w:r>
      <w:r>
        <w:rPr>
          <w:rFonts w:ascii="Arial" w:hAnsi="Arial" w:cs="Arial" w:eastAsia="Arial" w:hint="default"/>
        </w:rPr>
        <w:t>2011</w:t>
      </w:r>
      <w:r>
        <w:rPr>
          <w:rFonts w:ascii="Arial" w:hAnsi="Arial" w:cs="Arial" w:eastAsia="Arial" w:hint="default"/>
          <w:spacing w:val="-8"/>
        </w:rPr>
        <w:t> </w:t>
      </w:r>
      <w:r>
        <w:rPr/>
        <w:t>年：约人民币</w:t>
      </w:r>
      <w:r>
        <w:rPr>
          <w:spacing w:val="-58"/>
        </w:rPr>
        <w:t> </w:t>
      </w:r>
      <w:r>
        <w:rPr>
          <w:rFonts w:ascii="Arial" w:hAnsi="Arial" w:cs="Arial" w:eastAsia="Arial" w:hint="default"/>
        </w:rPr>
        <w:t>6.26</w:t>
      </w:r>
      <w:r>
        <w:rPr>
          <w:rFonts w:ascii="Arial" w:hAnsi="Arial" w:cs="Arial" w:eastAsia="Arial" w:hint="default"/>
          <w:spacing w:val="-9"/>
        </w:rPr>
        <w:t> </w:t>
      </w:r>
      <w:r>
        <w:rPr/>
        <w:t>亿元）归属于本公司。</w:t>
      </w:r>
      <w:r>
        <w:rPr>
          <w:w w:val="99"/>
        </w:rPr>
        <w:t> </w:t>
      </w:r>
      <w:r>
        <w:rPr/>
        <w:t>本公司不存在投资收益汇回的重大限制。</w:t>
      </w:r>
    </w:p>
    <w:p>
      <w:pPr>
        <w:spacing w:after="0" w:line="424" w:lineRule="auto"/>
        <w:jc w:val="left"/>
        <w:sectPr>
          <w:headerReference w:type="default" r:id="rId141"/>
          <w:pgSz w:w="11910" w:h="16840"/>
          <w:pgMar w:header="1184" w:footer="457" w:top="3040" w:bottom="640" w:left="1280" w:right="920"/>
        </w:sectPr>
      </w:pPr>
    </w:p>
    <w:p>
      <w:pPr>
        <w:spacing w:line="240" w:lineRule="auto" w:before="9"/>
        <w:rPr>
          <w:rFonts w:ascii="宋体" w:hAnsi="宋体" w:cs="宋体" w:eastAsia="宋体" w:hint="default"/>
          <w:sz w:val="16"/>
          <w:szCs w:val="16"/>
        </w:rPr>
      </w:pPr>
    </w:p>
    <w:p>
      <w:pPr>
        <w:pStyle w:val="BodyText"/>
        <w:tabs>
          <w:tab w:pos="779" w:val="left" w:leader="none"/>
        </w:tabs>
        <w:spacing w:line="240" w:lineRule="auto" w:before="31"/>
        <w:ind w:left="133" w:right="5273"/>
        <w:jc w:val="left"/>
      </w:pPr>
      <w:r>
        <w:rPr>
          <w:rFonts w:ascii="Arial" w:hAnsi="Arial" w:cs="Arial" w:eastAsia="Arial" w:hint="default"/>
          <w:w w:val="95"/>
        </w:rPr>
        <w:t>7</w:t>
      </w:r>
      <w:r>
        <w:rPr>
          <w:w w:val="95"/>
        </w:rPr>
        <w:t>、</w:t>
        <w:tab/>
      </w:r>
      <w:r>
        <w:rPr/>
        <w:t>公司现金流量表补充资料</w:t>
      </w:r>
    </w:p>
    <w:p>
      <w:pPr>
        <w:spacing w:line="240" w:lineRule="auto" w:before="0"/>
        <w:rPr>
          <w:rFonts w:ascii="宋体" w:hAnsi="宋体" w:cs="宋体" w:eastAsia="宋体" w:hint="default"/>
          <w:sz w:val="18"/>
          <w:szCs w:val="18"/>
        </w:rPr>
      </w:pPr>
    </w:p>
    <w:p>
      <w:pPr>
        <w:pStyle w:val="BodyText"/>
        <w:tabs>
          <w:tab w:pos="779" w:val="left" w:leader="none"/>
        </w:tabs>
        <w:spacing w:line="240" w:lineRule="auto"/>
        <w:ind w:left="104" w:right="5273"/>
        <w:jc w:val="left"/>
      </w:pPr>
      <w:r>
        <w:rPr>
          <w:rFonts w:ascii="Arial" w:hAnsi="Arial" w:cs="Arial" w:eastAsia="Arial" w:hint="default"/>
          <w:w w:val="95"/>
        </w:rPr>
        <w:t>(a)</w:t>
        <w:tab/>
      </w:r>
      <w:r>
        <w:rPr/>
        <w:t>将净利润调节为经营活动现金流量</w:t>
      </w:r>
    </w:p>
    <w:p>
      <w:pPr>
        <w:spacing w:line="240" w:lineRule="auto" w:before="1"/>
        <w:rPr>
          <w:rFonts w:ascii="宋体" w:hAnsi="宋体" w:cs="宋体" w:eastAsia="宋体" w:hint="default"/>
          <w:sz w:val="23"/>
          <w:szCs w:val="23"/>
        </w:rPr>
      </w:pPr>
    </w:p>
    <w:tbl>
      <w:tblPr>
        <w:tblW w:w="0" w:type="auto"/>
        <w:jc w:val="left"/>
        <w:tblInd w:w="587" w:type="dxa"/>
        <w:tblLayout w:type="fixed"/>
        <w:tblCellMar>
          <w:top w:w="0" w:type="dxa"/>
          <w:left w:w="0" w:type="dxa"/>
          <w:bottom w:w="0" w:type="dxa"/>
          <w:right w:w="0" w:type="dxa"/>
        </w:tblCellMar>
        <w:tblLook w:val="01E0"/>
      </w:tblPr>
      <w:tblGrid>
        <w:gridCol w:w="4180"/>
        <w:gridCol w:w="2220"/>
        <w:gridCol w:w="240"/>
        <w:gridCol w:w="2262"/>
      </w:tblGrid>
      <w:tr>
        <w:trPr>
          <w:trHeight w:val="261" w:hRule="exact"/>
        </w:trPr>
        <w:tc>
          <w:tcPr>
            <w:tcW w:w="4180"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single" w:sz="6" w:space="0" w:color="000000"/>
              <w:right w:val="nil" w:sz="6" w:space="0" w:color="auto"/>
            </w:tcBorders>
          </w:tcPr>
          <w:p>
            <w:pPr>
              <w:pStyle w:val="TableParagraph"/>
              <w:spacing w:line="235" w:lineRule="exact"/>
              <w:ind w:right="107"/>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240"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single" w:sz="6" w:space="0" w:color="000000"/>
              <w:right w:val="nil" w:sz="6" w:space="0" w:color="auto"/>
            </w:tcBorders>
          </w:tcPr>
          <w:p>
            <w:pPr>
              <w:pStyle w:val="TableParagraph"/>
              <w:spacing w:line="235" w:lineRule="exact"/>
              <w:ind w:right="107"/>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58" w:hRule="exact"/>
        </w:trPr>
        <w:tc>
          <w:tcPr>
            <w:tcW w:w="41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净利润</w:t>
            </w:r>
          </w:p>
        </w:tc>
        <w:tc>
          <w:tcPr>
            <w:tcW w:w="222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Arial" w:hAnsi="Arial" w:cs="Arial" w:eastAsia="Arial" w:hint="default"/>
                <w:sz w:val="22"/>
                <w:szCs w:val="22"/>
              </w:rPr>
            </w:pPr>
            <w:r>
              <w:rPr>
                <w:rFonts w:ascii="Arial"/>
                <w:w w:val="95"/>
                <w:sz w:val="22"/>
              </w:rPr>
              <w:t>779,203,755</w:t>
            </w:r>
            <w:r>
              <w:rPr>
                <w:rFonts w:ascii="Arial"/>
                <w:sz w:val="22"/>
              </w:rPr>
            </w:r>
          </w:p>
        </w:tc>
        <w:tc>
          <w:tcPr>
            <w:tcW w:w="240" w:type="dxa"/>
            <w:tcBorders>
              <w:top w:val="nil" w:sz="6" w:space="0" w:color="auto"/>
              <w:left w:val="nil" w:sz="6" w:space="0" w:color="auto"/>
              <w:bottom w:val="nil" w:sz="6" w:space="0" w:color="auto"/>
              <w:right w:val="nil" w:sz="6" w:space="0" w:color="auto"/>
            </w:tcBorders>
          </w:tcPr>
          <w:p>
            <w:pPr/>
          </w:p>
        </w:tc>
        <w:tc>
          <w:tcPr>
            <w:tcW w:w="226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36"/>
              <w:jc w:val="right"/>
              <w:rPr>
                <w:rFonts w:ascii="Arial" w:hAnsi="Arial" w:cs="Arial" w:eastAsia="Arial" w:hint="default"/>
                <w:sz w:val="22"/>
                <w:szCs w:val="22"/>
              </w:rPr>
            </w:pPr>
            <w:r>
              <w:rPr>
                <w:rFonts w:ascii="Arial"/>
                <w:w w:val="95"/>
                <w:sz w:val="22"/>
              </w:rPr>
              <w:t>615,402,212</w:t>
            </w:r>
            <w:r>
              <w:rPr>
                <w:rFonts w:ascii="Arial"/>
                <w:sz w:val="22"/>
              </w:rPr>
            </w:r>
          </w:p>
        </w:tc>
      </w:tr>
      <w:tr>
        <w:trPr>
          <w:trHeight w:val="286" w:hRule="exact"/>
        </w:trPr>
        <w:tc>
          <w:tcPr>
            <w:tcW w:w="4180"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加：固定资产折旧</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3"/>
              <w:jc w:val="right"/>
              <w:rPr>
                <w:rFonts w:ascii="Arial" w:hAnsi="Arial" w:cs="Arial" w:eastAsia="Arial" w:hint="default"/>
                <w:sz w:val="22"/>
                <w:szCs w:val="22"/>
              </w:rPr>
            </w:pPr>
            <w:r>
              <w:rPr>
                <w:rFonts w:ascii="Arial"/>
                <w:w w:val="95"/>
                <w:sz w:val="22"/>
              </w:rPr>
              <w:t>374,483</w:t>
            </w:r>
            <w:r>
              <w:rPr>
                <w:rFonts w:ascii="Arial"/>
                <w:sz w:val="22"/>
              </w:rPr>
            </w:r>
          </w:p>
        </w:tc>
        <w:tc>
          <w:tcPr>
            <w:tcW w:w="240"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8"/>
              <w:jc w:val="right"/>
              <w:rPr>
                <w:rFonts w:ascii="Arial" w:hAnsi="Arial" w:cs="Arial" w:eastAsia="Arial" w:hint="default"/>
                <w:sz w:val="22"/>
                <w:szCs w:val="22"/>
              </w:rPr>
            </w:pPr>
            <w:r>
              <w:rPr>
                <w:rFonts w:ascii="Arial"/>
                <w:w w:val="95"/>
                <w:sz w:val="22"/>
              </w:rPr>
              <w:t>374,308</w:t>
            </w:r>
            <w:r>
              <w:rPr>
                <w:rFonts w:ascii="Arial"/>
                <w:sz w:val="22"/>
              </w:rPr>
            </w:r>
          </w:p>
        </w:tc>
      </w:tr>
      <w:tr>
        <w:trPr>
          <w:trHeight w:val="286" w:hRule="exact"/>
        </w:trPr>
        <w:tc>
          <w:tcPr>
            <w:tcW w:w="4180" w:type="dxa"/>
            <w:tcBorders>
              <w:top w:val="nil" w:sz="6" w:space="0" w:color="auto"/>
              <w:left w:val="nil" w:sz="6" w:space="0" w:color="auto"/>
              <w:bottom w:val="nil" w:sz="6" w:space="0" w:color="auto"/>
              <w:right w:val="nil" w:sz="6" w:space="0" w:color="auto"/>
            </w:tcBorders>
          </w:tcPr>
          <w:p>
            <w:pPr>
              <w:pStyle w:val="TableParagraph"/>
              <w:spacing w:line="239" w:lineRule="exact"/>
              <w:ind w:left="657" w:right="0"/>
              <w:jc w:val="left"/>
              <w:rPr>
                <w:rFonts w:ascii="宋体" w:hAnsi="宋体" w:cs="宋体" w:eastAsia="宋体" w:hint="default"/>
                <w:sz w:val="22"/>
                <w:szCs w:val="22"/>
              </w:rPr>
            </w:pPr>
            <w:r>
              <w:rPr>
                <w:rFonts w:ascii="宋体" w:hAnsi="宋体" w:cs="宋体" w:eastAsia="宋体" w:hint="default"/>
                <w:sz w:val="22"/>
                <w:szCs w:val="22"/>
              </w:rPr>
              <w:t>无形资产摊销</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3"/>
              <w:jc w:val="right"/>
              <w:rPr>
                <w:rFonts w:ascii="Arial" w:hAnsi="Arial" w:cs="Arial" w:eastAsia="Arial" w:hint="default"/>
                <w:sz w:val="22"/>
                <w:szCs w:val="22"/>
              </w:rPr>
            </w:pPr>
            <w:r>
              <w:rPr>
                <w:rFonts w:ascii="Arial"/>
                <w:w w:val="95"/>
                <w:sz w:val="22"/>
              </w:rPr>
              <w:t>248,107</w:t>
            </w:r>
            <w:r>
              <w:rPr>
                <w:rFonts w:ascii="Arial"/>
                <w:sz w:val="22"/>
              </w:rPr>
            </w:r>
          </w:p>
        </w:tc>
        <w:tc>
          <w:tcPr>
            <w:tcW w:w="240"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8"/>
              <w:jc w:val="right"/>
              <w:rPr>
                <w:rFonts w:ascii="Arial" w:hAnsi="Arial" w:cs="Arial" w:eastAsia="Arial" w:hint="default"/>
                <w:sz w:val="22"/>
                <w:szCs w:val="22"/>
              </w:rPr>
            </w:pPr>
            <w:r>
              <w:rPr>
                <w:rFonts w:ascii="Arial"/>
                <w:w w:val="95"/>
                <w:sz w:val="22"/>
              </w:rPr>
              <w:t>248,107</w:t>
            </w:r>
            <w:r>
              <w:rPr>
                <w:rFonts w:ascii="Arial"/>
                <w:sz w:val="22"/>
              </w:rPr>
            </w:r>
          </w:p>
        </w:tc>
      </w:tr>
      <w:tr>
        <w:trPr>
          <w:trHeight w:val="570" w:hRule="exact"/>
        </w:trPr>
        <w:tc>
          <w:tcPr>
            <w:tcW w:w="4180" w:type="dxa"/>
            <w:tcBorders>
              <w:top w:val="nil" w:sz="6" w:space="0" w:color="auto"/>
              <w:left w:val="nil" w:sz="6" w:space="0" w:color="auto"/>
              <w:bottom w:val="nil" w:sz="6" w:space="0" w:color="auto"/>
              <w:right w:val="nil" w:sz="6" w:space="0" w:color="auto"/>
            </w:tcBorders>
          </w:tcPr>
          <w:p>
            <w:pPr>
              <w:pStyle w:val="TableParagraph"/>
              <w:spacing w:line="238" w:lineRule="exact"/>
              <w:ind w:left="656" w:right="0"/>
              <w:jc w:val="left"/>
              <w:rPr>
                <w:rFonts w:ascii="宋体" w:hAnsi="宋体" w:cs="宋体" w:eastAsia="宋体" w:hint="default"/>
                <w:sz w:val="22"/>
                <w:szCs w:val="22"/>
              </w:rPr>
            </w:pPr>
            <w:r>
              <w:rPr>
                <w:rFonts w:ascii="宋体" w:hAnsi="宋体" w:cs="宋体" w:eastAsia="宋体" w:hint="default"/>
                <w:w w:val="99"/>
                <w:sz w:val="22"/>
                <w:szCs w:val="22"/>
              </w:rPr>
              <w:t>处置固定资产</w:t>
            </w:r>
            <w:r>
              <w:rPr>
                <w:rFonts w:ascii="宋体" w:hAnsi="宋体" w:cs="宋体" w:eastAsia="宋体" w:hint="default"/>
                <w:spacing w:val="-105"/>
                <w:w w:val="99"/>
                <w:sz w:val="22"/>
                <w:szCs w:val="22"/>
              </w:rPr>
              <w:t>、</w:t>
            </w:r>
            <w:r>
              <w:rPr>
                <w:rFonts w:ascii="宋体" w:hAnsi="宋体" w:cs="宋体" w:eastAsia="宋体" w:hint="default"/>
                <w:w w:val="99"/>
                <w:sz w:val="22"/>
                <w:szCs w:val="22"/>
              </w:rPr>
              <w:t>无形资产和其他长期</w:t>
            </w:r>
            <w:r>
              <w:rPr>
                <w:rFonts w:ascii="宋体" w:hAnsi="宋体" w:cs="宋体" w:eastAsia="宋体" w:hint="default"/>
                <w:sz w:val="22"/>
                <w:szCs w:val="22"/>
              </w:rPr>
            </w:r>
          </w:p>
          <w:p>
            <w:pPr>
              <w:pStyle w:val="TableParagraph"/>
              <w:spacing w:line="287" w:lineRule="exact"/>
              <w:ind w:left="867" w:right="0"/>
              <w:jc w:val="left"/>
              <w:rPr>
                <w:rFonts w:ascii="宋体" w:hAnsi="宋体" w:cs="宋体" w:eastAsia="宋体" w:hint="default"/>
                <w:sz w:val="22"/>
                <w:szCs w:val="22"/>
              </w:rPr>
            </w:pPr>
            <w:r>
              <w:rPr>
                <w:rFonts w:ascii="宋体" w:hAnsi="宋体" w:cs="宋体" w:eastAsia="宋体" w:hint="default"/>
                <w:sz w:val="22"/>
                <w:szCs w:val="22"/>
              </w:rPr>
              <w:t>资产的损失（收益）</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3"/>
              <w:jc w:val="right"/>
              <w:rPr>
                <w:rFonts w:ascii="Arial" w:hAnsi="Arial" w:cs="Arial" w:eastAsia="Arial" w:hint="default"/>
                <w:sz w:val="22"/>
                <w:szCs w:val="22"/>
              </w:rPr>
            </w:pPr>
            <w:r>
              <w:rPr>
                <w:rFonts w:ascii="Arial"/>
                <w:w w:val="95"/>
                <w:sz w:val="22"/>
              </w:rPr>
              <w:t>3,769</w:t>
            </w:r>
            <w:r>
              <w:rPr>
                <w:rFonts w:ascii="Arial"/>
                <w:sz w:val="22"/>
              </w:rPr>
            </w:r>
          </w:p>
        </w:tc>
        <w:tc>
          <w:tcPr>
            <w:tcW w:w="240"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66"/>
              <w:jc w:val="right"/>
              <w:rPr>
                <w:rFonts w:ascii="Arial" w:hAnsi="Arial" w:cs="Arial" w:eastAsia="Arial" w:hint="default"/>
                <w:sz w:val="22"/>
                <w:szCs w:val="22"/>
              </w:rPr>
            </w:pPr>
            <w:r>
              <w:rPr>
                <w:rFonts w:ascii="Arial"/>
                <w:w w:val="95"/>
                <w:sz w:val="22"/>
              </w:rPr>
              <w:t>(23,449)</w:t>
            </w:r>
            <w:r>
              <w:rPr>
                <w:rFonts w:ascii="Arial"/>
                <w:sz w:val="22"/>
              </w:rPr>
            </w:r>
          </w:p>
        </w:tc>
      </w:tr>
      <w:tr>
        <w:trPr>
          <w:trHeight w:val="286" w:hRule="exact"/>
        </w:trPr>
        <w:tc>
          <w:tcPr>
            <w:tcW w:w="4180" w:type="dxa"/>
            <w:tcBorders>
              <w:top w:val="nil" w:sz="6" w:space="0" w:color="auto"/>
              <w:left w:val="nil" w:sz="6" w:space="0" w:color="auto"/>
              <w:bottom w:val="nil" w:sz="6" w:space="0" w:color="auto"/>
              <w:right w:val="nil" w:sz="6" w:space="0" w:color="auto"/>
            </w:tcBorders>
          </w:tcPr>
          <w:p>
            <w:pPr>
              <w:pStyle w:val="TableParagraph"/>
              <w:spacing w:line="239" w:lineRule="exact"/>
              <w:ind w:left="657" w:right="0"/>
              <w:jc w:val="left"/>
              <w:rPr>
                <w:rFonts w:ascii="宋体" w:hAnsi="宋体" w:cs="宋体" w:eastAsia="宋体" w:hint="default"/>
                <w:sz w:val="22"/>
                <w:szCs w:val="22"/>
              </w:rPr>
            </w:pPr>
            <w:r>
              <w:rPr>
                <w:rFonts w:ascii="宋体" w:hAnsi="宋体" w:cs="宋体" w:eastAsia="宋体" w:hint="default"/>
                <w:sz w:val="22"/>
                <w:szCs w:val="22"/>
              </w:rPr>
              <w:t>财务净收益</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1"/>
              <w:jc w:val="right"/>
              <w:rPr>
                <w:rFonts w:ascii="Arial" w:hAnsi="Arial" w:cs="Arial" w:eastAsia="Arial" w:hint="default"/>
                <w:sz w:val="22"/>
                <w:szCs w:val="22"/>
              </w:rPr>
            </w:pPr>
            <w:r>
              <w:rPr>
                <w:rFonts w:ascii="Arial"/>
                <w:w w:val="95"/>
                <w:sz w:val="22"/>
              </w:rPr>
              <w:t>(5,832,440)</w:t>
            </w:r>
            <w:r>
              <w:rPr>
                <w:rFonts w:ascii="Arial"/>
                <w:sz w:val="22"/>
              </w:rPr>
            </w:r>
          </w:p>
        </w:tc>
        <w:tc>
          <w:tcPr>
            <w:tcW w:w="240"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6"/>
              <w:jc w:val="right"/>
              <w:rPr>
                <w:rFonts w:ascii="Arial" w:hAnsi="Arial" w:cs="Arial" w:eastAsia="Arial" w:hint="default"/>
                <w:sz w:val="22"/>
                <w:szCs w:val="22"/>
              </w:rPr>
            </w:pPr>
            <w:r>
              <w:rPr>
                <w:rFonts w:ascii="Arial"/>
                <w:w w:val="95"/>
                <w:sz w:val="22"/>
              </w:rPr>
              <w:t>(477,380)</w:t>
            </w:r>
            <w:r>
              <w:rPr>
                <w:rFonts w:ascii="Arial"/>
                <w:sz w:val="22"/>
              </w:rPr>
            </w:r>
          </w:p>
        </w:tc>
      </w:tr>
      <w:tr>
        <w:trPr>
          <w:trHeight w:val="286" w:hRule="exact"/>
        </w:trPr>
        <w:tc>
          <w:tcPr>
            <w:tcW w:w="4180" w:type="dxa"/>
            <w:tcBorders>
              <w:top w:val="nil" w:sz="6" w:space="0" w:color="auto"/>
              <w:left w:val="nil" w:sz="6" w:space="0" w:color="auto"/>
              <w:bottom w:val="nil" w:sz="6" w:space="0" w:color="auto"/>
              <w:right w:val="nil" w:sz="6" w:space="0" w:color="auto"/>
            </w:tcBorders>
          </w:tcPr>
          <w:p>
            <w:pPr>
              <w:pStyle w:val="TableParagraph"/>
              <w:spacing w:line="239" w:lineRule="exact"/>
              <w:ind w:left="657" w:right="0"/>
              <w:jc w:val="left"/>
              <w:rPr>
                <w:rFonts w:ascii="宋体" w:hAnsi="宋体" w:cs="宋体" w:eastAsia="宋体" w:hint="default"/>
                <w:sz w:val="22"/>
                <w:szCs w:val="22"/>
              </w:rPr>
            </w:pPr>
            <w:r>
              <w:rPr>
                <w:rFonts w:ascii="宋体" w:hAnsi="宋体" w:cs="宋体" w:eastAsia="宋体" w:hint="default"/>
                <w:sz w:val="22"/>
                <w:szCs w:val="22"/>
              </w:rPr>
              <w:t>投资收益</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
              <w:jc w:val="right"/>
              <w:rPr>
                <w:rFonts w:ascii="Arial" w:hAnsi="Arial" w:cs="Arial" w:eastAsia="Arial" w:hint="default"/>
                <w:sz w:val="22"/>
                <w:szCs w:val="22"/>
              </w:rPr>
            </w:pPr>
            <w:r>
              <w:rPr>
                <w:rFonts w:ascii="Arial"/>
                <w:w w:val="95"/>
                <w:sz w:val="22"/>
              </w:rPr>
              <w:t>(798,250,738)</w:t>
            </w:r>
            <w:r>
              <w:rPr>
                <w:rFonts w:ascii="Arial"/>
                <w:sz w:val="22"/>
              </w:rPr>
            </w:r>
          </w:p>
        </w:tc>
        <w:tc>
          <w:tcPr>
            <w:tcW w:w="240"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6"/>
              <w:jc w:val="right"/>
              <w:rPr>
                <w:rFonts w:ascii="Arial" w:hAnsi="Arial" w:cs="Arial" w:eastAsia="Arial" w:hint="default"/>
                <w:sz w:val="22"/>
                <w:szCs w:val="22"/>
              </w:rPr>
            </w:pPr>
            <w:r>
              <w:rPr>
                <w:rFonts w:ascii="Arial"/>
                <w:w w:val="95"/>
                <w:sz w:val="22"/>
              </w:rPr>
              <w:t>(625,590,662)</w:t>
            </w:r>
            <w:r>
              <w:rPr>
                <w:rFonts w:ascii="Arial"/>
                <w:sz w:val="22"/>
              </w:rPr>
            </w:r>
          </w:p>
        </w:tc>
      </w:tr>
      <w:tr>
        <w:trPr>
          <w:trHeight w:val="286" w:hRule="exact"/>
        </w:trPr>
        <w:tc>
          <w:tcPr>
            <w:tcW w:w="4180" w:type="dxa"/>
            <w:tcBorders>
              <w:top w:val="nil" w:sz="6" w:space="0" w:color="auto"/>
              <w:left w:val="nil" w:sz="6" w:space="0" w:color="auto"/>
              <w:bottom w:val="nil" w:sz="6" w:space="0" w:color="auto"/>
              <w:right w:val="nil" w:sz="6" w:space="0" w:color="auto"/>
            </w:tcBorders>
          </w:tcPr>
          <w:p>
            <w:pPr>
              <w:pStyle w:val="TableParagraph"/>
              <w:spacing w:line="239" w:lineRule="exact"/>
              <w:ind w:left="657" w:right="0"/>
              <w:jc w:val="left"/>
              <w:rPr>
                <w:rFonts w:ascii="宋体" w:hAnsi="宋体" w:cs="宋体" w:eastAsia="宋体" w:hint="default"/>
                <w:sz w:val="22"/>
                <w:szCs w:val="22"/>
              </w:rPr>
            </w:pPr>
            <w:r>
              <w:rPr>
                <w:rFonts w:ascii="宋体" w:hAnsi="宋体" w:cs="宋体" w:eastAsia="宋体" w:hint="default"/>
                <w:sz w:val="22"/>
                <w:szCs w:val="22"/>
              </w:rPr>
              <w:t>经营性应收项目的减少</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3"/>
              <w:jc w:val="right"/>
              <w:rPr>
                <w:rFonts w:ascii="Arial" w:hAnsi="Arial" w:cs="Arial" w:eastAsia="Arial" w:hint="default"/>
                <w:sz w:val="22"/>
                <w:szCs w:val="22"/>
              </w:rPr>
            </w:pPr>
            <w:r>
              <w:rPr>
                <w:rFonts w:ascii="Arial"/>
                <w:w w:val="95"/>
                <w:sz w:val="22"/>
              </w:rPr>
              <w:t>312,580</w:t>
            </w:r>
            <w:r>
              <w:rPr>
                <w:rFonts w:ascii="Arial"/>
                <w:sz w:val="22"/>
              </w:rPr>
            </w:r>
          </w:p>
        </w:tc>
        <w:tc>
          <w:tcPr>
            <w:tcW w:w="240"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8"/>
              <w:jc w:val="right"/>
              <w:rPr>
                <w:rFonts w:ascii="Arial" w:hAnsi="Arial" w:cs="Arial" w:eastAsia="Arial" w:hint="default"/>
                <w:sz w:val="22"/>
                <w:szCs w:val="22"/>
              </w:rPr>
            </w:pPr>
            <w:r>
              <w:rPr>
                <w:rFonts w:ascii="Arial"/>
                <w:w w:val="95"/>
                <w:sz w:val="22"/>
              </w:rPr>
              <w:t>4,977</w:t>
            </w:r>
            <w:r>
              <w:rPr>
                <w:rFonts w:ascii="Arial"/>
                <w:sz w:val="22"/>
              </w:rPr>
            </w:r>
          </w:p>
        </w:tc>
      </w:tr>
      <w:tr>
        <w:trPr>
          <w:trHeight w:val="293" w:hRule="exact"/>
        </w:trPr>
        <w:tc>
          <w:tcPr>
            <w:tcW w:w="4180" w:type="dxa"/>
            <w:tcBorders>
              <w:top w:val="nil" w:sz="6" w:space="0" w:color="auto"/>
              <w:left w:val="nil" w:sz="6" w:space="0" w:color="auto"/>
              <w:bottom w:val="nil" w:sz="6" w:space="0" w:color="auto"/>
              <w:right w:val="nil" w:sz="6" w:space="0" w:color="auto"/>
            </w:tcBorders>
          </w:tcPr>
          <w:p>
            <w:pPr>
              <w:pStyle w:val="TableParagraph"/>
              <w:spacing w:line="239" w:lineRule="exact"/>
              <w:ind w:left="657" w:right="0"/>
              <w:jc w:val="left"/>
              <w:rPr>
                <w:rFonts w:ascii="宋体" w:hAnsi="宋体" w:cs="宋体" w:eastAsia="宋体" w:hint="default"/>
                <w:sz w:val="22"/>
                <w:szCs w:val="22"/>
              </w:rPr>
            </w:pPr>
            <w:r>
              <w:rPr>
                <w:rFonts w:ascii="宋体" w:hAnsi="宋体" w:cs="宋体" w:eastAsia="宋体" w:hint="default"/>
                <w:sz w:val="22"/>
                <w:szCs w:val="22"/>
              </w:rPr>
              <w:t>经营性应付项目的增加（减少）</w:t>
            </w:r>
          </w:p>
        </w:tc>
        <w:tc>
          <w:tcPr>
            <w:tcW w:w="2220" w:type="dxa"/>
            <w:tcBorders>
              <w:top w:val="nil" w:sz="6" w:space="0" w:color="auto"/>
              <w:left w:val="nil" w:sz="6" w:space="0" w:color="auto"/>
              <w:bottom w:val="nil" w:sz="6" w:space="0" w:color="auto"/>
              <w:right w:val="nil" w:sz="6" w:space="0" w:color="auto"/>
            </w:tcBorders>
          </w:tcPr>
          <w:p>
            <w:pPr>
              <w:pStyle w:val="TableParagraph"/>
              <w:tabs>
                <w:tab w:pos="1013" w:val="left" w:leader="none"/>
                <w:tab w:pos="2220"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12,153,502</w:t>
            </w:r>
            <w:r>
              <w:rPr>
                <w:rFonts w:ascii="Arial"/>
                <w:sz w:val="22"/>
                <w:u w:val="single" w:color="000000"/>
              </w:rPr>
              <w:tab/>
            </w:r>
            <w:r>
              <w:rPr>
                <w:rFonts w:ascii="Arial"/>
                <w:sz w:val="22"/>
              </w:rPr>
            </w:r>
          </w:p>
        </w:tc>
        <w:tc>
          <w:tcPr>
            <w:tcW w:w="240"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tabs>
                <w:tab w:pos="1061" w:val="left" w:leader="none"/>
                <w:tab w:pos="2254"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(2,964,375)</w:t>
            </w:r>
            <w:r>
              <w:rPr>
                <w:rFonts w:ascii="Arial"/>
                <w:sz w:val="22"/>
                <w:u w:val="single" w:color="000000"/>
              </w:rPr>
              <w:tab/>
            </w:r>
            <w:r>
              <w:rPr>
                <w:rFonts w:ascii="Arial"/>
                <w:sz w:val="22"/>
              </w:rPr>
            </w:r>
          </w:p>
        </w:tc>
      </w:tr>
      <w:tr>
        <w:trPr>
          <w:trHeight w:val="303" w:hRule="exact"/>
        </w:trPr>
        <w:tc>
          <w:tcPr>
            <w:tcW w:w="4180" w:type="dxa"/>
            <w:tcBorders>
              <w:top w:val="nil" w:sz="6" w:space="0" w:color="auto"/>
              <w:left w:val="nil" w:sz="6" w:space="0" w:color="auto"/>
              <w:bottom w:val="nil" w:sz="6" w:space="0" w:color="auto"/>
              <w:right w:val="nil" w:sz="6" w:space="0" w:color="auto"/>
            </w:tcBorders>
          </w:tcPr>
          <w:p>
            <w:pPr>
              <w:pStyle w:val="TableParagraph"/>
              <w:spacing w:line="247" w:lineRule="exact"/>
              <w:ind w:left="657"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2220" w:type="dxa"/>
            <w:tcBorders>
              <w:top w:val="nil" w:sz="6" w:space="0" w:color="auto"/>
              <w:left w:val="nil" w:sz="6" w:space="0" w:color="auto"/>
              <w:bottom w:val="single" w:sz="17" w:space="0" w:color="000000"/>
              <w:right w:val="nil" w:sz="6" w:space="0" w:color="auto"/>
            </w:tcBorders>
          </w:tcPr>
          <w:p>
            <w:pPr>
              <w:pStyle w:val="TableParagraph"/>
              <w:spacing w:line="240" w:lineRule="auto" w:before="25"/>
              <w:ind w:right="31"/>
              <w:jc w:val="right"/>
              <w:rPr>
                <w:rFonts w:ascii="Arial" w:hAnsi="Arial" w:cs="Arial" w:eastAsia="Arial" w:hint="default"/>
                <w:sz w:val="22"/>
                <w:szCs w:val="22"/>
              </w:rPr>
            </w:pPr>
            <w:r>
              <w:rPr>
                <w:rFonts w:ascii="Arial"/>
                <w:w w:val="95"/>
                <w:sz w:val="22"/>
              </w:rPr>
              <w:t>(11,786,982)</w:t>
            </w:r>
            <w:r>
              <w:rPr>
                <w:rFonts w:ascii="Arial"/>
                <w:sz w:val="22"/>
              </w:rPr>
            </w:r>
          </w:p>
        </w:tc>
        <w:tc>
          <w:tcPr>
            <w:tcW w:w="240"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single" w:sz="17" w:space="0" w:color="000000"/>
              <w:right w:val="nil" w:sz="6" w:space="0" w:color="auto"/>
            </w:tcBorders>
          </w:tcPr>
          <w:p>
            <w:pPr>
              <w:pStyle w:val="TableParagraph"/>
              <w:spacing w:line="240" w:lineRule="auto" w:before="25"/>
              <w:ind w:right="66"/>
              <w:jc w:val="right"/>
              <w:rPr>
                <w:rFonts w:ascii="Arial" w:hAnsi="Arial" w:cs="Arial" w:eastAsia="Arial" w:hint="default"/>
                <w:sz w:val="22"/>
                <w:szCs w:val="22"/>
              </w:rPr>
            </w:pPr>
            <w:r>
              <w:rPr>
                <w:rFonts w:ascii="Arial"/>
                <w:w w:val="95"/>
                <w:sz w:val="22"/>
              </w:rPr>
              <w:t>(13,026,262)</w:t>
            </w:r>
            <w:r>
              <w:rPr>
                <w:rFonts w:ascii="Arial"/>
                <w:sz w:val="22"/>
              </w:rPr>
            </w:r>
          </w:p>
        </w:tc>
      </w:tr>
    </w:tbl>
    <w:p>
      <w:pPr>
        <w:spacing w:line="240" w:lineRule="auto" w:before="2"/>
        <w:rPr>
          <w:rFonts w:ascii="宋体" w:hAnsi="宋体" w:cs="宋体" w:eastAsia="宋体" w:hint="default"/>
          <w:sz w:val="14"/>
          <w:szCs w:val="14"/>
        </w:rPr>
      </w:pPr>
    </w:p>
    <w:p>
      <w:pPr>
        <w:pStyle w:val="BodyText"/>
        <w:tabs>
          <w:tab w:pos="779" w:val="left" w:leader="none"/>
        </w:tabs>
        <w:spacing w:line="240" w:lineRule="auto" w:before="31"/>
        <w:ind w:left="104" w:right="5273"/>
        <w:jc w:val="left"/>
      </w:pPr>
      <w:r>
        <w:rPr>
          <w:rFonts w:ascii="Arial" w:hAnsi="Arial" w:cs="Arial" w:eastAsia="Arial" w:hint="default"/>
          <w:w w:val="95"/>
        </w:rPr>
        <w:t>(b)</w:t>
        <w:tab/>
      </w:r>
      <w:r>
        <w:rPr/>
        <w:t>现金及现金等价物净变动情况</w:t>
      </w:r>
    </w:p>
    <w:p>
      <w:pPr>
        <w:spacing w:line="240" w:lineRule="auto" w:before="1"/>
        <w:rPr>
          <w:rFonts w:ascii="宋体" w:hAnsi="宋体" w:cs="宋体" w:eastAsia="宋体" w:hint="default"/>
          <w:sz w:val="23"/>
          <w:szCs w:val="23"/>
        </w:rPr>
      </w:pPr>
    </w:p>
    <w:tbl>
      <w:tblPr>
        <w:tblW w:w="0" w:type="auto"/>
        <w:jc w:val="left"/>
        <w:tblInd w:w="587" w:type="dxa"/>
        <w:tblLayout w:type="fixed"/>
        <w:tblCellMar>
          <w:top w:w="0" w:type="dxa"/>
          <w:left w:w="0" w:type="dxa"/>
          <w:bottom w:w="0" w:type="dxa"/>
          <w:right w:w="0" w:type="dxa"/>
        </w:tblCellMar>
        <w:tblLook w:val="01E0"/>
      </w:tblPr>
      <w:tblGrid>
        <w:gridCol w:w="4182"/>
        <w:gridCol w:w="2218"/>
        <w:gridCol w:w="240"/>
        <w:gridCol w:w="2262"/>
      </w:tblGrid>
      <w:tr>
        <w:trPr>
          <w:trHeight w:val="261" w:hRule="exact"/>
        </w:trPr>
        <w:tc>
          <w:tcPr>
            <w:tcW w:w="4182"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single" w:sz="6" w:space="0" w:color="000000"/>
              <w:right w:val="nil" w:sz="6" w:space="0" w:color="auto"/>
            </w:tcBorders>
          </w:tcPr>
          <w:p>
            <w:pPr>
              <w:pStyle w:val="TableParagraph"/>
              <w:spacing w:line="235" w:lineRule="exact"/>
              <w:ind w:right="107"/>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240"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single" w:sz="6" w:space="0" w:color="000000"/>
              <w:right w:val="nil" w:sz="6" w:space="0" w:color="auto"/>
            </w:tcBorders>
          </w:tcPr>
          <w:p>
            <w:pPr>
              <w:pStyle w:val="TableParagraph"/>
              <w:spacing w:line="235" w:lineRule="exact"/>
              <w:ind w:right="107"/>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558"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现金的年末余额</w:t>
            </w:r>
          </w:p>
        </w:tc>
        <w:tc>
          <w:tcPr>
            <w:tcW w:w="2218"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Arial" w:hAnsi="Arial" w:cs="Arial" w:eastAsia="Arial" w:hint="default"/>
                <w:sz w:val="22"/>
                <w:szCs w:val="22"/>
              </w:rPr>
            </w:pPr>
            <w:r>
              <w:rPr>
                <w:rFonts w:ascii="Arial"/>
                <w:w w:val="95"/>
                <w:sz w:val="22"/>
              </w:rPr>
              <w:t>38,308,031</w:t>
            </w:r>
            <w:r>
              <w:rPr>
                <w:rFonts w:ascii="Arial"/>
                <w:sz w:val="22"/>
              </w:rPr>
            </w:r>
          </w:p>
        </w:tc>
        <w:tc>
          <w:tcPr>
            <w:tcW w:w="240" w:type="dxa"/>
            <w:tcBorders>
              <w:top w:val="nil" w:sz="6" w:space="0" w:color="auto"/>
              <w:left w:val="nil" w:sz="6" w:space="0" w:color="auto"/>
              <w:bottom w:val="nil" w:sz="6" w:space="0" w:color="auto"/>
              <w:right w:val="nil" w:sz="6" w:space="0" w:color="auto"/>
            </w:tcBorders>
          </w:tcPr>
          <w:p>
            <w:pPr/>
          </w:p>
        </w:tc>
        <w:tc>
          <w:tcPr>
            <w:tcW w:w="226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38"/>
              <w:jc w:val="right"/>
              <w:rPr>
                <w:rFonts w:ascii="Arial" w:hAnsi="Arial" w:cs="Arial" w:eastAsia="Arial" w:hint="default"/>
                <w:sz w:val="22"/>
                <w:szCs w:val="22"/>
              </w:rPr>
            </w:pPr>
            <w:r>
              <w:rPr>
                <w:rFonts w:ascii="Arial"/>
                <w:w w:val="95"/>
                <w:sz w:val="22"/>
              </w:rPr>
              <w:t>28,383,556</w:t>
            </w:r>
            <w:r>
              <w:rPr>
                <w:rFonts w:ascii="Arial"/>
                <w:sz w:val="22"/>
              </w:rPr>
            </w:r>
          </w:p>
        </w:tc>
      </w:tr>
      <w:tr>
        <w:trPr>
          <w:trHeight w:val="293"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减：现金的年初余额</w:t>
            </w:r>
          </w:p>
        </w:tc>
        <w:tc>
          <w:tcPr>
            <w:tcW w:w="2218" w:type="dxa"/>
            <w:tcBorders>
              <w:top w:val="nil" w:sz="6" w:space="0" w:color="auto"/>
              <w:left w:val="nil" w:sz="6" w:space="0" w:color="auto"/>
              <w:bottom w:val="nil" w:sz="6" w:space="0" w:color="auto"/>
              <w:right w:val="nil" w:sz="6" w:space="0" w:color="auto"/>
            </w:tcBorders>
          </w:tcPr>
          <w:p>
            <w:pPr>
              <w:pStyle w:val="TableParagraph"/>
              <w:tabs>
                <w:tab w:pos="939" w:val="left" w:leader="none"/>
              </w:tabs>
              <w:spacing w:line="240" w:lineRule="auto" w:before="17"/>
              <w:ind w:right="29"/>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(28,383,556)</w:t>
            </w:r>
            <w:r>
              <w:rPr>
                <w:rFonts w:ascii="Arial"/>
                <w:w w:val="95"/>
                <w:sz w:val="22"/>
              </w:rPr>
            </w:r>
            <w:r>
              <w:rPr>
                <w:rFonts w:ascii="Arial"/>
                <w:sz w:val="22"/>
              </w:rPr>
            </w:r>
          </w:p>
        </w:tc>
        <w:tc>
          <w:tcPr>
            <w:tcW w:w="240"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tabs>
                <w:tab w:pos="939" w:val="left" w:leader="none"/>
                <w:tab w:pos="2254"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(22,094,474)</w:t>
            </w:r>
            <w:r>
              <w:rPr>
                <w:rFonts w:ascii="Arial"/>
                <w:sz w:val="22"/>
                <w:u w:val="single" w:color="000000"/>
              </w:rPr>
              <w:tab/>
            </w:r>
            <w:r>
              <w:rPr>
                <w:rFonts w:ascii="Arial"/>
                <w:sz w:val="22"/>
              </w:rPr>
            </w:r>
          </w:p>
        </w:tc>
      </w:tr>
      <w:tr>
        <w:trPr>
          <w:trHeight w:val="304"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2"/>
                <w:szCs w:val="22"/>
              </w:rPr>
            </w:pPr>
            <w:r>
              <w:rPr>
                <w:rFonts w:ascii="宋体" w:hAnsi="宋体" w:cs="宋体" w:eastAsia="宋体" w:hint="default"/>
                <w:sz w:val="22"/>
                <w:szCs w:val="22"/>
              </w:rPr>
              <w:t>现金净增加（减少）额</w:t>
            </w:r>
          </w:p>
        </w:tc>
        <w:tc>
          <w:tcPr>
            <w:tcW w:w="2218" w:type="dxa"/>
            <w:tcBorders>
              <w:top w:val="nil" w:sz="6" w:space="0" w:color="auto"/>
              <w:left w:val="nil" w:sz="6" w:space="0" w:color="auto"/>
              <w:bottom w:val="single" w:sz="17" w:space="0" w:color="000000"/>
              <w:right w:val="nil" w:sz="6" w:space="0" w:color="auto"/>
            </w:tcBorders>
          </w:tcPr>
          <w:p>
            <w:pPr>
              <w:pStyle w:val="TableParagraph"/>
              <w:spacing w:line="240" w:lineRule="auto" w:before="25"/>
              <w:ind w:right="100"/>
              <w:jc w:val="right"/>
              <w:rPr>
                <w:rFonts w:ascii="Arial" w:hAnsi="Arial" w:cs="Arial" w:eastAsia="Arial" w:hint="default"/>
                <w:sz w:val="22"/>
                <w:szCs w:val="22"/>
              </w:rPr>
            </w:pPr>
            <w:r>
              <w:rPr>
                <w:rFonts w:ascii="Arial"/>
                <w:w w:val="95"/>
                <w:sz w:val="22"/>
              </w:rPr>
              <w:t>9,924,475</w:t>
            </w:r>
            <w:r>
              <w:rPr>
                <w:rFonts w:ascii="Arial"/>
                <w:sz w:val="22"/>
              </w:rPr>
            </w:r>
          </w:p>
        </w:tc>
        <w:tc>
          <w:tcPr>
            <w:tcW w:w="240"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single" w:sz="17" w:space="0" w:color="000000"/>
              <w:right w:val="nil" w:sz="6" w:space="0" w:color="auto"/>
            </w:tcBorders>
          </w:tcPr>
          <w:p>
            <w:pPr>
              <w:pStyle w:val="TableParagraph"/>
              <w:spacing w:line="240" w:lineRule="auto" w:before="25"/>
              <w:ind w:right="138"/>
              <w:jc w:val="right"/>
              <w:rPr>
                <w:rFonts w:ascii="Arial" w:hAnsi="Arial" w:cs="Arial" w:eastAsia="Arial" w:hint="default"/>
                <w:sz w:val="22"/>
                <w:szCs w:val="22"/>
              </w:rPr>
            </w:pPr>
            <w:r>
              <w:rPr>
                <w:rFonts w:ascii="Arial"/>
                <w:w w:val="95"/>
                <w:sz w:val="22"/>
              </w:rPr>
              <w:t>6,289,082</w:t>
            </w:r>
            <w:r>
              <w:rPr>
                <w:rFonts w:ascii="Arial"/>
                <w:sz w:val="22"/>
              </w:rPr>
            </w:r>
          </w:p>
        </w:tc>
      </w:tr>
    </w:tbl>
    <w:p>
      <w:pPr>
        <w:spacing w:after="0" w:line="240" w:lineRule="auto"/>
        <w:jc w:val="right"/>
        <w:rPr>
          <w:rFonts w:ascii="Arial" w:hAnsi="Arial" w:cs="Arial" w:eastAsia="Arial" w:hint="default"/>
          <w:sz w:val="22"/>
          <w:szCs w:val="22"/>
        </w:rPr>
        <w:sectPr>
          <w:headerReference w:type="default" r:id="rId142"/>
          <w:pgSz w:w="11910" w:h="16840"/>
          <w:pgMar w:header="1184" w:footer="457" w:top="3040" w:bottom="640" w:left="1260" w:right="1040"/>
        </w:sectPr>
      </w:pPr>
    </w:p>
    <w:p>
      <w:pPr>
        <w:spacing w:line="240" w:lineRule="auto" w:before="11"/>
        <w:rPr>
          <w:rFonts w:ascii="宋体" w:hAnsi="宋体" w:cs="宋体" w:eastAsia="宋体" w:hint="default"/>
          <w:sz w:val="19"/>
          <w:szCs w:val="19"/>
        </w:rPr>
      </w:pPr>
      <w:r>
        <w:rPr/>
        <w:pict>
          <v:group style="position:absolute;margin-left:437.920013pt;margin-top:267.5pt;width:.1pt;height:31.45pt;mso-position-horizontal-relative:page;mso-position-vertical-relative:page;z-index:-853096" coordorigin="8758,5350" coordsize="2,629">
            <v:shape style="position:absolute;left:8758;top:5350;width:2;height:629" coordorigin="8758,5350" coordsize="0,629" path="m8758,5350l8758,5979e" filled="false" stroked="true" strokeweight=".72pt" strokecolor="#000000">
              <v:path arrowok="t"/>
            </v:shape>
            <w10:wrap type="none"/>
          </v:group>
        </w:pict>
      </w:r>
    </w:p>
    <w:p>
      <w:pPr>
        <w:pStyle w:val="BodyText"/>
        <w:spacing w:line="240" w:lineRule="auto" w:before="31"/>
        <w:ind w:left="304" w:right="5567"/>
        <w:jc w:val="left"/>
        <w:rPr>
          <w:rFonts w:ascii="黑体" w:hAnsi="黑体" w:cs="黑体" w:eastAsia="黑体" w:hint="default"/>
        </w:rPr>
      </w:pPr>
      <w:r>
        <w:rPr/>
        <w:pict>
          <v:group style="position:absolute;margin-left:437.920013pt;margin-top:76.037628pt;width:.1pt;height:48.75pt;mso-position-horizontal-relative:page;mso-position-vertical-relative:paragraph;z-index:-853120" coordorigin="8758,1521" coordsize="2,975">
            <v:shape style="position:absolute;left:8758;top:1521;width:2;height:975" coordorigin="8758,1521" coordsize="0,975" path="m8758,1521l8758,2495e" filled="false" stroked="true" strokeweight=".72pt" strokecolor="#000000">
              <v:path arrowok="t"/>
            </v:shape>
            <w10:wrap type="none"/>
          </v:group>
        </w:pict>
      </w:r>
      <w:r>
        <w:rPr>
          <w:rFonts w:ascii="黑体" w:hAnsi="黑体" w:cs="黑体" w:eastAsia="黑体" w:hint="default"/>
        </w:rPr>
        <w:t>一、非经常性损益明细表</w:t>
      </w:r>
    </w:p>
    <w:p>
      <w:pPr>
        <w:spacing w:line="240" w:lineRule="auto" w:before="6"/>
        <w:rPr>
          <w:rFonts w:ascii="黑体" w:hAnsi="黑体" w:cs="黑体" w:eastAsia="黑体" w:hint="default"/>
          <w:sz w:val="25"/>
          <w:szCs w:val="25"/>
        </w:rPr>
      </w:pPr>
    </w:p>
    <w:tbl>
      <w:tblPr>
        <w:tblW w:w="0" w:type="auto"/>
        <w:jc w:val="left"/>
        <w:tblInd w:w="562" w:type="dxa"/>
        <w:tblLayout w:type="fixed"/>
        <w:tblCellMar>
          <w:top w:w="0" w:type="dxa"/>
          <w:left w:w="0" w:type="dxa"/>
          <w:bottom w:w="0" w:type="dxa"/>
          <w:right w:w="0" w:type="dxa"/>
        </w:tblCellMar>
        <w:tblLook w:val="01E0"/>
      </w:tblPr>
      <w:tblGrid>
        <w:gridCol w:w="4990"/>
        <w:gridCol w:w="1926"/>
        <w:gridCol w:w="2052"/>
      </w:tblGrid>
      <w:tr>
        <w:trPr>
          <w:trHeight w:val="261" w:hRule="exact"/>
        </w:trPr>
        <w:tc>
          <w:tcPr>
            <w:tcW w:w="4990" w:type="dxa"/>
            <w:tcBorders>
              <w:top w:val="nil" w:sz="6" w:space="0" w:color="auto"/>
              <w:left w:val="nil" w:sz="6" w:space="0" w:color="auto"/>
              <w:bottom w:val="nil" w:sz="6" w:space="0" w:color="auto"/>
              <w:right w:val="nil" w:sz="6" w:space="0" w:color="auto"/>
            </w:tcBorders>
          </w:tcPr>
          <w:p>
            <w:pPr>
              <w:pStyle w:val="TableParagraph"/>
              <w:spacing w:line="220" w:lineRule="exact"/>
              <w:ind w:left="200" w:right="0"/>
              <w:jc w:val="left"/>
              <w:rPr>
                <w:rFonts w:ascii="宋体" w:hAnsi="宋体" w:cs="宋体" w:eastAsia="宋体" w:hint="default"/>
                <w:sz w:val="22"/>
                <w:szCs w:val="22"/>
              </w:rPr>
            </w:pPr>
            <w:r>
              <w:rPr>
                <w:rFonts w:ascii="宋体" w:hAnsi="宋体" w:cs="宋体" w:eastAsia="宋体" w:hint="default"/>
                <w:sz w:val="22"/>
                <w:szCs w:val="22"/>
              </w:rPr>
              <w:t>（单位：人民币百万元）</w:t>
            </w:r>
          </w:p>
        </w:tc>
        <w:tc>
          <w:tcPr>
            <w:tcW w:w="1926" w:type="dxa"/>
            <w:tcBorders>
              <w:top w:val="nil" w:sz="6" w:space="0" w:color="auto"/>
              <w:left w:val="nil" w:sz="6" w:space="0" w:color="auto"/>
              <w:bottom w:val="single" w:sz="6" w:space="0" w:color="000000"/>
              <w:right w:val="nil" w:sz="6" w:space="0" w:color="auto"/>
            </w:tcBorders>
          </w:tcPr>
          <w:p>
            <w:pPr>
              <w:pStyle w:val="TableParagraph"/>
              <w:spacing w:line="235" w:lineRule="exact"/>
              <w:ind w:right="0"/>
              <w:jc w:val="right"/>
              <w:rPr>
                <w:rFonts w:ascii="宋体" w:hAnsi="宋体" w:cs="宋体" w:eastAsia="宋体" w:hint="default"/>
                <w:sz w:val="22"/>
                <w:szCs w:val="22"/>
              </w:rPr>
            </w:pPr>
            <w:r>
              <w:rPr>
                <w:rFonts w:ascii="Arial" w:hAnsi="Arial" w:cs="Arial" w:eastAsia="Arial" w:hint="default"/>
                <w:sz w:val="22"/>
                <w:szCs w:val="22"/>
              </w:rPr>
              <w:t>2012</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2052" w:type="dxa"/>
            <w:tcBorders>
              <w:top w:val="nil" w:sz="6" w:space="0" w:color="auto"/>
              <w:left w:val="nil" w:sz="6" w:space="0" w:color="auto"/>
              <w:bottom w:val="single" w:sz="6" w:space="0" w:color="000000"/>
              <w:right w:val="nil" w:sz="6" w:space="0" w:color="auto"/>
            </w:tcBorders>
          </w:tcPr>
          <w:p>
            <w:pPr>
              <w:pStyle w:val="TableParagraph"/>
              <w:spacing w:line="235" w:lineRule="exact"/>
              <w:ind w:right="53"/>
              <w:jc w:val="right"/>
              <w:rPr>
                <w:rFonts w:ascii="宋体" w:hAnsi="宋体" w:cs="宋体" w:eastAsia="宋体" w:hint="default"/>
                <w:sz w:val="22"/>
                <w:szCs w:val="22"/>
              </w:rPr>
            </w:pPr>
            <w:r>
              <w:rPr>
                <w:rFonts w:ascii="Arial" w:hAnsi="Arial" w:cs="Arial" w:eastAsia="Arial" w:hint="default"/>
                <w:sz w:val="22"/>
                <w:szCs w:val="22"/>
              </w:rPr>
              <w:t>2011</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615" w:hRule="exact"/>
        </w:trPr>
        <w:tc>
          <w:tcPr>
            <w:tcW w:w="49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21"/>
                <w:szCs w:val="21"/>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－营业外收入（注）</w:t>
            </w:r>
          </w:p>
        </w:tc>
        <w:tc>
          <w:tcPr>
            <w:tcW w:w="1926" w:type="dxa"/>
            <w:tcBorders>
              <w:top w:val="single" w:sz="6" w:space="0" w:color="000000"/>
              <w:left w:val="nil" w:sz="6" w:space="0" w:color="auto"/>
              <w:bottom w:val="single" w:sz="6" w:space="0" w:color="000000"/>
              <w:right w:val="nil" w:sz="6" w:space="0" w:color="auto"/>
            </w:tcBorders>
          </w:tcPr>
          <w:p>
            <w:pPr>
              <w:pStyle w:val="TableParagraph"/>
              <w:spacing w:line="240" w:lineRule="auto" w:before="6"/>
              <w:ind w:right="0"/>
              <w:jc w:val="left"/>
              <w:rPr>
                <w:rFonts w:ascii="黑体" w:hAnsi="黑体" w:cs="黑体" w:eastAsia="黑体" w:hint="default"/>
                <w:sz w:val="26"/>
                <w:szCs w:val="26"/>
              </w:rPr>
            </w:pPr>
          </w:p>
          <w:p>
            <w:pPr>
              <w:pStyle w:val="TableParagraph"/>
              <w:spacing w:line="240" w:lineRule="auto"/>
              <w:ind w:right="123"/>
              <w:jc w:val="right"/>
              <w:rPr>
                <w:rFonts w:ascii="Arial" w:hAnsi="Arial" w:cs="Arial" w:eastAsia="Arial" w:hint="default"/>
                <w:sz w:val="22"/>
                <w:szCs w:val="22"/>
              </w:rPr>
            </w:pPr>
            <w:r>
              <w:rPr>
                <w:rFonts w:ascii="Arial"/>
                <w:w w:val="95"/>
                <w:sz w:val="22"/>
              </w:rPr>
              <w:t>2,053</w:t>
            </w:r>
            <w:r>
              <w:rPr>
                <w:rFonts w:ascii="Arial"/>
                <w:sz w:val="22"/>
              </w:rPr>
            </w:r>
          </w:p>
        </w:tc>
        <w:tc>
          <w:tcPr>
            <w:tcW w:w="2052" w:type="dxa"/>
            <w:tcBorders>
              <w:top w:val="single" w:sz="6" w:space="0" w:color="000000"/>
              <w:left w:val="nil" w:sz="6" w:space="0" w:color="auto"/>
              <w:bottom w:val="single" w:sz="6" w:space="0" w:color="000000"/>
              <w:right w:val="nil" w:sz="6" w:space="0" w:color="auto"/>
            </w:tcBorders>
          </w:tcPr>
          <w:p>
            <w:pPr>
              <w:pStyle w:val="TableParagraph"/>
              <w:spacing w:line="240" w:lineRule="auto" w:before="6"/>
              <w:ind w:right="0"/>
              <w:jc w:val="left"/>
              <w:rPr>
                <w:rFonts w:ascii="黑体" w:hAnsi="黑体" w:cs="黑体" w:eastAsia="黑体" w:hint="default"/>
                <w:sz w:val="26"/>
                <w:szCs w:val="26"/>
              </w:rPr>
            </w:pPr>
          </w:p>
          <w:p>
            <w:pPr>
              <w:pStyle w:val="TableParagraph"/>
              <w:spacing w:line="240" w:lineRule="auto"/>
              <w:ind w:left="1347" w:right="0"/>
              <w:jc w:val="left"/>
              <w:rPr>
                <w:rFonts w:ascii="Arial" w:hAnsi="Arial" w:cs="Arial" w:eastAsia="Arial" w:hint="default"/>
                <w:sz w:val="22"/>
                <w:szCs w:val="22"/>
              </w:rPr>
            </w:pPr>
            <w:r>
              <w:rPr>
                <w:rFonts w:ascii="Arial"/>
                <w:sz w:val="22"/>
              </w:rPr>
              <w:t>1,874</w:t>
            </w:r>
          </w:p>
        </w:tc>
      </w:tr>
      <w:tr>
        <w:trPr>
          <w:trHeight w:val="328" w:hRule="exact"/>
        </w:trPr>
        <w:tc>
          <w:tcPr>
            <w:tcW w:w="4990" w:type="dxa"/>
            <w:tcBorders>
              <w:top w:val="nil" w:sz="6" w:space="0" w:color="auto"/>
              <w:left w:val="nil" w:sz="6" w:space="0" w:color="auto"/>
              <w:bottom w:val="nil" w:sz="6" w:space="0" w:color="auto"/>
              <w:right w:val="single" w:sz="6" w:space="0" w:color="000000"/>
            </w:tcBorders>
          </w:tcPr>
          <w:p>
            <w:pPr>
              <w:pStyle w:val="TableParagraph"/>
              <w:spacing w:line="275" w:lineRule="exact"/>
              <w:ind w:left="419" w:right="0"/>
              <w:jc w:val="left"/>
              <w:rPr>
                <w:rFonts w:ascii="宋体" w:hAnsi="宋体" w:cs="宋体" w:eastAsia="宋体" w:hint="default"/>
                <w:sz w:val="22"/>
                <w:szCs w:val="22"/>
              </w:rPr>
            </w:pPr>
            <w:r>
              <w:rPr>
                <w:rFonts w:ascii="宋体" w:hAnsi="宋体" w:cs="宋体" w:eastAsia="宋体" w:hint="default"/>
                <w:sz w:val="22"/>
                <w:szCs w:val="22"/>
              </w:rPr>
              <w:t>其中：非流动资产处置收益</w:t>
            </w:r>
          </w:p>
        </w:tc>
        <w:tc>
          <w:tcPr>
            <w:tcW w:w="19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5"/>
              <w:ind w:right="110"/>
              <w:jc w:val="right"/>
              <w:rPr>
                <w:rFonts w:ascii="Arial" w:hAnsi="Arial" w:cs="Arial" w:eastAsia="Arial" w:hint="default"/>
                <w:sz w:val="22"/>
                <w:szCs w:val="22"/>
              </w:rPr>
            </w:pPr>
            <w:r>
              <w:rPr>
                <w:rFonts w:ascii="Arial"/>
                <w:w w:val="95"/>
                <w:sz w:val="22"/>
              </w:rPr>
              <w:t>1,050</w:t>
            </w:r>
            <w:r>
              <w:rPr>
                <w:rFonts w:ascii="Arial"/>
                <w:sz w:val="22"/>
              </w:rPr>
            </w:r>
          </w:p>
        </w:tc>
        <w:tc>
          <w:tcPr>
            <w:tcW w:w="20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5"/>
              <w:ind w:right="235"/>
              <w:jc w:val="right"/>
              <w:rPr>
                <w:rFonts w:ascii="Arial" w:hAnsi="Arial" w:cs="Arial" w:eastAsia="Arial" w:hint="default"/>
                <w:sz w:val="22"/>
                <w:szCs w:val="22"/>
              </w:rPr>
            </w:pPr>
            <w:r>
              <w:rPr>
                <w:rFonts w:ascii="Arial"/>
                <w:w w:val="95"/>
                <w:sz w:val="22"/>
              </w:rPr>
              <w:t>1,174</w:t>
            </w:r>
            <w:r>
              <w:rPr>
                <w:rFonts w:ascii="Arial"/>
                <w:sz w:val="22"/>
              </w:rPr>
            </w:r>
          </w:p>
        </w:tc>
      </w:tr>
      <w:tr>
        <w:trPr>
          <w:trHeight w:val="323" w:hRule="exact"/>
        </w:trPr>
        <w:tc>
          <w:tcPr>
            <w:tcW w:w="4990" w:type="dxa"/>
            <w:tcBorders>
              <w:top w:val="nil" w:sz="6" w:space="0" w:color="auto"/>
              <w:left w:val="nil" w:sz="6" w:space="0" w:color="auto"/>
              <w:bottom w:val="nil" w:sz="6" w:space="0" w:color="auto"/>
              <w:right w:val="single" w:sz="6" w:space="0" w:color="000000"/>
            </w:tcBorders>
          </w:tcPr>
          <w:p>
            <w:pPr>
              <w:pStyle w:val="TableParagraph"/>
              <w:spacing w:line="247" w:lineRule="exact"/>
              <w:ind w:left="1080" w:right="0"/>
              <w:jc w:val="left"/>
              <w:rPr>
                <w:rFonts w:ascii="宋体" w:hAnsi="宋体" w:cs="宋体" w:eastAsia="宋体" w:hint="default"/>
                <w:sz w:val="22"/>
                <w:szCs w:val="22"/>
              </w:rPr>
            </w:pPr>
            <w:r>
              <w:rPr>
                <w:rFonts w:ascii="宋体" w:hAnsi="宋体" w:cs="宋体" w:eastAsia="宋体" w:hint="default"/>
                <w:sz w:val="22"/>
                <w:szCs w:val="22"/>
              </w:rPr>
              <w:t>计入当期损益的政府补助</w:t>
            </w:r>
          </w:p>
        </w:tc>
        <w:tc>
          <w:tcPr>
            <w:tcW w:w="1926" w:type="dxa"/>
            <w:tcBorders>
              <w:top w:val="nil" w:sz="6" w:space="0" w:color="auto"/>
              <w:left w:val="single" w:sz="6" w:space="0" w:color="000000"/>
              <w:bottom w:val="nil" w:sz="6" w:space="0" w:color="auto"/>
              <w:right w:val="single" w:sz="6" w:space="0" w:color="000000"/>
            </w:tcBorders>
          </w:tcPr>
          <w:p>
            <w:pPr>
              <w:pStyle w:val="TableParagraph"/>
              <w:spacing w:line="240" w:lineRule="auto" w:before="25"/>
              <w:ind w:right="110"/>
              <w:jc w:val="right"/>
              <w:rPr>
                <w:rFonts w:ascii="Arial" w:hAnsi="Arial" w:cs="Arial" w:eastAsia="Arial" w:hint="default"/>
                <w:sz w:val="22"/>
                <w:szCs w:val="22"/>
              </w:rPr>
            </w:pPr>
            <w:r>
              <w:rPr>
                <w:rFonts w:ascii="Arial"/>
                <w:w w:val="95"/>
                <w:sz w:val="22"/>
              </w:rPr>
              <w:t>123</w:t>
            </w:r>
            <w:r>
              <w:rPr>
                <w:rFonts w:ascii="Arial"/>
                <w:sz w:val="22"/>
              </w:rPr>
            </w:r>
          </w:p>
        </w:tc>
        <w:tc>
          <w:tcPr>
            <w:tcW w:w="2052" w:type="dxa"/>
            <w:tcBorders>
              <w:top w:val="nil" w:sz="6" w:space="0" w:color="auto"/>
              <w:left w:val="single" w:sz="6" w:space="0" w:color="000000"/>
              <w:bottom w:val="nil" w:sz="6" w:space="0" w:color="auto"/>
              <w:right w:val="single" w:sz="6" w:space="0" w:color="000000"/>
            </w:tcBorders>
          </w:tcPr>
          <w:p>
            <w:pPr>
              <w:pStyle w:val="TableParagraph"/>
              <w:spacing w:line="240" w:lineRule="auto" w:before="25"/>
              <w:ind w:right="235"/>
              <w:jc w:val="right"/>
              <w:rPr>
                <w:rFonts w:ascii="Arial" w:hAnsi="Arial" w:cs="Arial" w:eastAsia="Arial" w:hint="default"/>
                <w:sz w:val="22"/>
                <w:szCs w:val="22"/>
              </w:rPr>
            </w:pPr>
            <w:r>
              <w:rPr>
                <w:rFonts w:ascii="Arial"/>
                <w:w w:val="95"/>
                <w:sz w:val="22"/>
              </w:rPr>
              <w:t>118</w:t>
            </w:r>
            <w:r>
              <w:rPr>
                <w:rFonts w:ascii="Arial"/>
                <w:sz w:val="22"/>
              </w:rPr>
            </w:r>
          </w:p>
        </w:tc>
      </w:tr>
      <w:tr>
        <w:trPr>
          <w:trHeight w:val="309" w:hRule="exact"/>
        </w:trPr>
        <w:tc>
          <w:tcPr>
            <w:tcW w:w="4990" w:type="dxa"/>
            <w:tcBorders>
              <w:top w:val="nil" w:sz="6" w:space="0" w:color="auto"/>
              <w:left w:val="nil" w:sz="6" w:space="0" w:color="auto"/>
              <w:bottom w:val="nil" w:sz="6" w:space="0" w:color="auto"/>
              <w:right w:val="single" w:sz="6" w:space="0" w:color="000000"/>
            </w:tcBorders>
          </w:tcPr>
          <w:p>
            <w:pPr>
              <w:pStyle w:val="TableParagraph"/>
              <w:spacing w:line="269" w:lineRule="exact"/>
              <w:ind w:left="1080" w:right="0"/>
              <w:jc w:val="left"/>
              <w:rPr>
                <w:rFonts w:ascii="宋体" w:hAnsi="宋体" w:cs="宋体" w:eastAsia="宋体" w:hint="default"/>
                <w:sz w:val="22"/>
                <w:szCs w:val="22"/>
              </w:rPr>
            </w:pPr>
            <w:r>
              <w:rPr>
                <w:rFonts w:ascii="宋体" w:hAnsi="宋体" w:cs="宋体" w:eastAsia="宋体" w:hint="default"/>
                <w:sz w:val="22"/>
                <w:szCs w:val="22"/>
              </w:rPr>
              <w:t>其他营业外收入</w:t>
            </w:r>
          </w:p>
        </w:tc>
        <w:tc>
          <w:tcPr>
            <w:tcW w:w="19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7"/>
              <w:ind w:right="110"/>
              <w:jc w:val="right"/>
              <w:rPr>
                <w:rFonts w:ascii="Arial" w:hAnsi="Arial" w:cs="Arial" w:eastAsia="Arial" w:hint="default"/>
                <w:sz w:val="22"/>
                <w:szCs w:val="22"/>
              </w:rPr>
            </w:pPr>
            <w:r>
              <w:rPr>
                <w:rFonts w:ascii="Arial"/>
                <w:w w:val="95"/>
                <w:sz w:val="22"/>
              </w:rPr>
              <w:t>880</w:t>
            </w:r>
            <w:r>
              <w:rPr>
                <w:rFonts w:ascii="Arial"/>
                <w:sz w:val="22"/>
              </w:rPr>
            </w:r>
          </w:p>
        </w:tc>
        <w:tc>
          <w:tcPr>
            <w:tcW w:w="205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7"/>
              <w:ind w:right="235"/>
              <w:jc w:val="right"/>
              <w:rPr>
                <w:rFonts w:ascii="Arial" w:hAnsi="Arial" w:cs="Arial" w:eastAsia="Arial" w:hint="default"/>
                <w:sz w:val="22"/>
                <w:szCs w:val="22"/>
              </w:rPr>
            </w:pPr>
            <w:r>
              <w:rPr>
                <w:rFonts w:ascii="Arial"/>
                <w:w w:val="95"/>
                <w:sz w:val="22"/>
              </w:rPr>
              <w:t>582</w:t>
            </w:r>
            <w:r>
              <w:rPr>
                <w:rFonts w:ascii="Arial"/>
                <w:sz w:val="22"/>
              </w:rPr>
            </w:r>
          </w:p>
        </w:tc>
      </w:tr>
      <w:tr>
        <w:trPr>
          <w:trHeight w:val="316" w:hRule="exact"/>
        </w:trPr>
        <w:tc>
          <w:tcPr>
            <w:tcW w:w="4990" w:type="dxa"/>
            <w:tcBorders>
              <w:top w:val="nil" w:sz="6" w:space="0" w:color="auto"/>
              <w:left w:val="nil" w:sz="6" w:space="0" w:color="auto"/>
              <w:bottom w:val="nil" w:sz="6" w:space="0" w:color="auto"/>
              <w:right w:val="nil" w:sz="6" w:space="0" w:color="auto"/>
            </w:tcBorders>
          </w:tcPr>
          <w:p>
            <w:pPr>
              <w:pStyle w:val="TableParagraph"/>
              <w:spacing w:line="275" w:lineRule="exact"/>
              <w:ind w:left="200" w:right="0"/>
              <w:jc w:val="left"/>
              <w:rPr>
                <w:rFonts w:ascii="宋体" w:hAnsi="宋体" w:cs="宋体" w:eastAsia="宋体" w:hint="default"/>
                <w:sz w:val="22"/>
                <w:szCs w:val="22"/>
              </w:rPr>
            </w:pPr>
            <w:r>
              <w:rPr>
                <w:rFonts w:ascii="宋体" w:hAnsi="宋体" w:cs="宋体" w:eastAsia="宋体" w:hint="default"/>
                <w:sz w:val="22"/>
                <w:szCs w:val="22"/>
              </w:rPr>
              <w:t>－营业外支出（注）</w:t>
            </w:r>
          </w:p>
        </w:tc>
        <w:tc>
          <w:tcPr>
            <w:tcW w:w="1926"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right="50"/>
              <w:jc w:val="right"/>
              <w:rPr>
                <w:rFonts w:ascii="Arial" w:hAnsi="Arial" w:cs="Arial" w:eastAsia="Arial" w:hint="default"/>
                <w:sz w:val="22"/>
                <w:szCs w:val="22"/>
              </w:rPr>
            </w:pPr>
            <w:r>
              <w:rPr>
                <w:rFonts w:ascii="Arial"/>
                <w:w w:val="95"/>
                <w:sz w:val="22"/>
              </w:rPr>
              <w:t>(505)</w:t>
            </w:r>
            <w:r>
              <w:rPr>
                <w:rFonts w:ascii="Arial"/>
                <w:sz w:val="22"/>
              </w:rPr>
            </w:r>
          </w:p>
        </w:tc>
        <w:tc>
          <w:tcPr>
            <w:tcW w:w="2052"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right="78"/>
              <w:jc w:val="right"/>
              <w:rPr>
                <w:rFonts w:ascii="Arial" w:hAnsi="Arial" w:cs="Arial" w:eastAsia="Arial" w:hint="default"/>
                <w:sz w:val="22"/>
                <w:szCs w:val="22"/>
              </w:rPr>
            </w:pPr>
            <w:r>
              <w:rPr>
                <w:rFonts w:ascii="Arial"/>
                <w:w w:val="95"/>
                <w:sz w:val="22"/>
              </w:rPr>
              <w:t>(865)</w:t>
            </w:r>
            <w:r>
              <w:rPr>
                <w:rFonts w:ascii="Arial"/>
                <w:sz w:val="22"/>
              </w:rPr>
            </w:r>
          </w:p>
        </w:tc>
      </w:tr>
      <w:tr>
        <w:trPr>
          <w:trHeight w:val="328" w:hRule="exact"/>
        </w:trPr>
        <w:tc>
          <w:tcPr>
            <w:tcW w:w="4990" w:type="dxa"/>
            <w:tcBorders>
              <w:top w:val="nil" w:sz="6" w:space="0" w:color="auto"/>
              <w:left w:val="nil" w:sz="6" w:space="0" w:color="auto"/>
              <w:bottom w:val="nil" w:sz="6" w:space="0" w:color="auto"/>
              <w:right w:val="single" w:sz="6" w:space="0" w:color="000000"/>
            </w:tcBorders>
          </w:tcPr>
          <w:p>
            <w:pPr>
              <w:pStyle w:val="TableParagraph"/>
              <w:spacing w:line="275" w:lineRule="exact"/>
              <w:ind w:left="419" w:right="0"/>
              <w:jc w:val="left"/>
              <w:rPr>
                <w:rFonts w:ascii="宋体" w:hAnsi="宋体" w:cs="宋体" w:eastAsia="宋体" w:hint="default"/>
                <w:sz w:val="22"/>
                <w:szCs w:val="22"/>
              </w:rPr>
            </w:pPr>
            <w:r>
              <w:rPr>
                <w:rFonts w:ascii="宋体" w:hAnsi="宋体" w:cs="宋体" w:eastAsia="宋体" w:hint="default"/>
                <w:sz w:val="22"/>
                <w:szCs w:val="22"/>
              </w:rPr>
              <w:t>其中：非流动资产处置损失</w:t>
            </w:r>
          </w:p>
        </w:tc>
        <w:tc>
          <w:tcPr>
            <w:tcW w:w="19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5"/>
              <w:ind w:right="37"/>
              <w:jc w:val="right"/>
              <w:rPr>
                <w:rFonts w:ascii="Arial" w:hAnsi="Arial" w:cs="Arial" w:eastAsia="Arial" w:hint="default"/>
                <w:sz w:val="22"/>
                <w:szCs w:val="22"/>
              </w:rPr>
            </w:pPr>
            <w:r>
              <w:rPr>
                <w:rFonts w:ascii="Arial"/>
                <w:w w:val="95"/>
                <w:sz w:val="22"/>
              </w:rPr>
              <w:t>(419)</w:t>
            </w:r>
            <w:r>
              <w:rPr>
                <w:rFonts w:ascii="Arial"/>
                <w:sz w:val="22"/>
              </w:rPr>
            </w:r>
          </w:p>
        </w:tc>
        <w:tc>
          <w:tcPr>
            <w:tcW w:w="20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5"/>
              <w:ind w:right="163"/>
              <w:jc w:val="right"/>
              <w:rPr>
                <w:rFonts w:ascii="Arial" w:hAnsi="Arial" w:cs="Arial" w:eastAsia="Arial" w:hint="default"/>
                <w:sz w:val="22"/>
                <w:szCs w:val="22"/>
              </w:rPr>
            </w:pPr>
            <w:r>
              <w:rPr>
                <w:rFonts w:ascii="Arial"/>
                <w:w w:val="95"/>
                <w:sz w:val="22"/>
              </w:rPr>
              <w:t>(740)</w:t>
            </w:r>
            <w:r>
              <w:rPr>
                <w:rFonts w:ascii="Arial"/>
                <w:sz w:val="22"/>
              </w:rPr>
            </w:r>
          </w:p>
        </w:tc>
      </w:tr>
      <w:tr>
        <w:trPr>
          <w:trHeight w:val="287" w:hRule="exact"/>
        </w:trPr>
        <w:tc>
          <w:tcPr>
            <w:tcW w:w="4990" w:type="dxa"/>
            <w:tcBorders>
              <w:top w:val="nil" w:sz="6" w:space="0" w:color="auto"/>
              <w:left w:val="nil" w:sz="6" w:space="0" w:color="auto"/>
              <w:bottom w:val="nil" w:sz="6" w:space="0" w:color="auto"/>
              <w:right w:val="single" w:sz="6" w:space="0" w:color="000000"/>
            </w:tcBorders>
          </w:tcPr>
          <w:p>
            <w:pPr>
              <w:pStyle w:val="TableParagraph"/>
              <w:spacing w:line="247" w:lineRule="exact"/>
              <w:ind w:left="1072" w:right="0"/>
              <w:jc w:val="left"/>
              <w:rPr>
                <w:rFonts w:ascii="宋体" w:hAnsi="宋体" w:cs="宋体" w:eastAsia="宋体" w:hint="default"/>
                <w:sz w:val="22"/>
                <w:szCs w:val="22"/>
              </w:rPr>
            </w:pPr>
            <w:r>
              <w:rPr>
                <w:rFonts w:ascii="宋体" w:hAnsi="宋体" w:cs="宋体" w:eastAsia="宋体" w:hint="default"/>
                <w:sz w:val="22"/>
                <w:szCs w:val="22"/>
              </w:rPr>
              <w:t>其他营业外支出</w:t>
            </w:r>
          </w:p>
        </w:tc>
        <w:tc>
          <w:tcPr>
            <w:tcW w:w="19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5"/>
              <w:ind w:right="37"/>
              <w:jc w:val="right"/>
              <w:rPr>
                <w:rFonts w:ascii="Arial" w:hAnsi="Arial" w:cs="Arial" w:eastAsia="Arial" w:hint="default"/>
                <w:sz w:val="22"/>
                <w:szCs w:val="22"/>
              </w:rPr>
            </w:pPr>
            <w:r>
              <w:rPr>
                <w:rFonts w:ascii="Arial"/>
                <w:w w:val="95"/>
                <w:sz w:val="22"/>
              </w:rPr>
              <w:t>(86)</w:t>
            </w:r>
            <w:r>
              <w:rPr>
                <w:rFonts w:ascii="Arial"/>
                <w:sz w:val="22"/>
              </w:rPr>
            </w:r>
          </w:p>
        </w:tc>
        <w:tc>
          <w:tcPr>
            <w:tcW w:w="205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5"/>
              <w:ind w:right="162"/>
              <w:jc w:val="right"/>
              <w:rPr>
                <w:rFonts w:ascii="Arial" w:hAnsi="Arial" w:cs="Arial" w:eastAsia="Arial" w:hint="default"/>
                <w:sz w:val="22"/>
                <w:szCs w:val="22"/>
              </w:rPr>
            </w:pPr>
            <w:r>
              <w:rPr>
                <w:rFonts w:ascii="Arial"/>
                <w:w w:val="95"/>
                <w:sz w:val="22"/>
              </w:rPr>
              <w:t>(125)</w:t>
            </w:r>
            <w:r>
              <w:rPr>
                <w:rFonts w:ascii="Arial"/>
                <w:sz w:val="22"/>
              </w:rPr>
            </w:r>
          </w:p>
        </w:tc>
      </w:tr>
      <w:tr>
        <w:trPr>
          <w:trHeight w:val="478" w:hRule="exact"/>
        </w:trPr>
        <w:tc>
          <w:tcPr>
            <w:tcW w:w="4990" w:type="dxa"/>
            <w:tcBorders>
              <w:top w:val="nil" w:sz="6" w:space="0" w:color="auto"/>
              <w:left w:val="nil" w:sz="6" w:space="0" w:color="auto"/>
              <w:bottom w:val="nil" w:sz="6" w:space="0" w:color="auto"/>
              <w:right w:val="nil" w:sz="6" w:space="0" w:color="auto"/>
            </w:tcBorders>
          </w:tcPr>
          <w:p>
            <w:pPr>
              <w:pStyle w:val="TableParagraph"/>
              <w:spacing w:line="275"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926" w:type="dxa"/>
            <w:tcBorders>
              <w:top w:val="single" w:sz="6" w:space="0" w:color="000000"/>
              <w:left w:val="nil" w:sz="6" w:space="0" w:color="auto"/>
              <w:bottom w:val="nil" w:sz="6" w:space="0" w:color="auto"/>
              <w:right w:val="nil" w:sz="6" w:space="0" w:color="auto"/>
            </w:tcBorders>
          </w:tcPr>
          <w:p>
            <w:pPr>
              <w:pStyle w:val="TableParagraph"/>
              <w:spacing w:line="240" w:lineRule="auto" w:before="45"/>
              <w:ind w:right="124"/>
              <w:jc w:val="right"/>
              <w:rPr>
                <w:rFonts w:ascii="Arial" w:hAnsi="Arial" w:cs="Arial" w:eastAsia="Arial" w:hint="default"/>
                <w:sz w:val="22"/>
                <w:szCs w:val="22"/>
              </w:rPr>
            </w:pPr>
            <w:r>
              <w:rPr>
                <w:rFonts w:ascii="Arial"/>
                <w:w w:val="95"/>
                <w:sz w:val="22"/>
              </w:rPr>
              <w:t>1,548</w:t>
            </w:r>
            <w:r>
              <w:rPr>
                <w:rFonts w:ascii="Arial"/>
                <w:sz w:val="22"/>
              </w:rPr>
            </w:r>
          </w:p>
        </w:tc>
        <w:tc>
          <w:tcPr>
            <w:tcW w:w="2052" w:type="dxa"/>
            <w:tcBorders>
              <w:top w:val="single" w:sz="6" w:space="0" w:color="000000"/>
              <w:left w:val="nil" w:sz="6" w:space="0" w:color="auto"/>
              <w:bottom w:val="nil" w:sz="6" w:space="0" w:color="auto"/>
              <w:right w:val="nil" w:sz="6" w:space="0" w:color="auto"/>
            </w:tcBorders>
          </w:tcPr>
          <w:p>
            <w:pPr>
              <w:pStyle w:val="TableParagraph"/>
              <w:spacing w:line="240" w:lineRule="auto" w:before="45"/>
              <w:ind w:left="1347" w:right="0"/>
              <w:jc w:val="left"/>
              <w:rPr>
                <w:rFonts w:ascii="Arial" w:hAnsi="Arial" w:cs="Arial" w:eastAsia="Arial" w:hint="default"/>
                <w:sz w:val="22"/>
                <w:szCs w:val="22"/>
              </w:rPr>
            </w:pPr>
            <w:r>
              <w:rPr>
                <w:rFonts w:ascii="Arial"/>
                <w:sz w:val="22"/>
              </w:rPr>
              <w:t>1,009</w:t>
            </w:r>
          </w:p>
        </w:tc>
      </w:tr>
      <w:tr>
        <w:trPr>
          <w:trHeight w:val="458" w:hRule="exact"/>
        </w:trPr>
        <w:tc>
          <w:tcPr>
            <w:tcW w:w="4990"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00" w:right="0"/>
              <w:jc w:val="left"/>
              <w:rPr>
                <w:rFonts w:ascii="宋体" w:hAnsi="宋体" w:cs="宋体" w:eastAsia="宋体" w:hint="default"/>
                <w:sz w:val="22"/>
                <w:szCs w:val="22"/>
              </w:rPr>
            </w:pPr>
            <w:r>
              <w:rPr>
                <w:rFonts w:ascii="宋体" w:hAnsi="宋体" w:cs="宋体" w:eastAsia="宋体" w:hint="default"/>
                <w:sz w:val="22"/>
                <w:szCs w:val="22"/>
              </w:rPr>
              <w:t>－所得税影响数</w:t>
            </w:r>
          </w:p>
        </w:tc>
        <w:tc>
          <w:tcPr>
            <w:tcW w:w="1926" w:type="dxa"/>
            <w:tcBorders>
              <w:top w:val="nil" w:sz="6" w:space="0" w:color="auto"/>
              <w:left w:val="nil" w:sz="6" w:space="0" w:color="auto"/>
              <w:bottom w:val="nil" w:sz="6" w:space="0" w:color="auto"/>
              <w:right w:val="nil" w:sz="6" w:space="0" w:color="auto"/>
            </w:tcBorders>
          </w:tcPr>
          <w:p>
            <w:pPr>
              <w:pStyle w:val="TableParagraph"/>
              <w:tabs>
                <w:tab w:pos="1359" w:val="left" w:leader="none"/>
              </w:tabs>
              <w:spacing w:line="240" w:lineRule="auto" w:before="175"/>
              <w:ind w:right="5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(394)</w:t>
            </w:r>
            <w:r>
              <w:rPr>
                <w:rFonts w:ascii="Arial"/>
                <w:w w:val="95"/>
                <w:sz w:val="22"/>
              </w:rPr>
            </w:r>
            <w:r>
              <w:rPr>
                <w:rFonts w:ascii="Arial"/>
                <w:sz w:val="22"/>
              </w:rPr>
            </w:r>
          </w:p>
        </w:tc>
        <w:tc>
          <w:tcPr>
            <w:tcW w:w="2052" w:type="dxa"/>
            <w:tcBorders>
              <w:top w:val="nil" w:sz="6" w:space="0" w:color="auto"/>
              <w:left w:val="nil" w:sz="6" w:space="0" w:color="auto"/>
              <w:bottom w:val="nil" w:sz="6" w:space="0" w:color="auto"/>
              <w:right w:val="nil" w:sz="6" w:space="0" w:color="auto"/>
            </w:tcBorders>
          </w:tcPr>
          <w:p>
            <w:pPr>
              <w:pStyle w:val="TableParagraph"/>
              <w:tabs>
                <w:tab w:pos="1359" w:val="left" w:leader="none"/>
                <w:tab w:pos="1953" w:val="left" w:leader="none"/>
              </w:tabs>
              <w:spacing w:line="240" w:lineRule="auto" w:before="175"/>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(264)</w:t>
            </w:r>
            <w:r>
              <w:rPr>
                <w:rFonts w:ascii="Arial"/>
                <w:sz w:val="22"/>
                <w:u w:val="single" w:color="000000"/>
              </w:rPr>
              <w:tab/>
            </w:r>
            <w:r>
              <w:rPr>
                <w:rFonts w:ascii="Arial"/>
                <w:sz w:val="22"/>
              </w:rPr>
            </w:r>
          </w:p>
        </w:tc>
      </w:tr>
      <w:tr>
        <w:trPr>
          <w:trHeight w:val="450" w:hRule="exact"/>
        </w:trPr>
        <w:tc>
          <w:tcPr>
            <w:tcW w:w="4990"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24"/>
              <w:jc w:val="right"/>
              <w:rPr>
                <w:rFonts w:ascii="Arial" w:hAnsi="Arial" w:cs="Arial" w:eastAsia="Arial" w:hint="default"/>
                <w:sz w:val="22"/>
                <w:szCs w:val="22"/>
              </w:rPr>
            </w:pPr>
            <w:r>
              <w:rPr>
                <w:rFonts w:ascii="Arial"/>
                <w:w w:val="95"/>
                <w:sz w:val="22"/>
              </w:rPr>
              <w:t>1,154</w:t>
            </w:r>
            <w:r>
              <w:rPr>
                <w:rFonts w:ascii="Arial"/>
                <w:sz w:val="22"/>
              </w:rPr>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51"/>
              <w:jc w:val="right"/>
              <w:rPr>
                <w:rFonts w:ascii="Arial" w:hAnsi="Arial" w:cs="Arial" w:eastAsia="Arial" w:hint="default"/>
                <w:sz w:val="22"/>
                <w:szCs w:val="22"/>
              </w:rPr>
            </w:pPr>
            <w:r>
              <w:rPr>
                <w:rFonts w:ascii="Arial"/>
                <w:w w:val="95"/>
                <w:sz w:val="22"/>
              </w:rPr>
              <w:t>745</w:t>
            </w:r>
            <w:r>
              <w:rPr>
                <w:rFonts w:ascii="Arial"/>
                <w:sz w:val="22"/>
              </w:rPr>
            </w:r>
          </w:p>
        </w:tc>
      </w:tr>
      <w:tr>
        <w:trPr>
          <w:trHeight w:val="736" w:hRule="exact"/>
        </w:trPr>
        <w:tc>
          <w:tcPr>
            <w:tcW w:w="4990" w:type="dxa"/>
            <w:tcBorders>
              <w:top w:val="nil" w:sz="6" w:space="0" w:color="auto"/>
              <w:left w:val="nil" w:sz="6" w:space="0" w:color="auto"/>
              <w:bottom w:val="nil" w:sz="6" w:space="0" w:color="auto"/>
              <w:right w:val="nil" w:sz="6" w:space="0" w:color="auto"/>
            </w:tcBorders>
          </w:tcPr>
          <w:p>
            <w:pPr>
              <w:pStyle w:val="TableParagraph"/>
              <w:spacing w:line="286" w:lineRule="exact" w:before="129"/>
              <w:ind w:left="651" w:right="389" w:hanging="452"/>
              <w:jc w:val="left"/>
              <w:rPr>
                <w:rFonts w:ascii="宋体" w:hAnsi="宋体" w:cs="宋体" w:eastAsia="宋体" w:hint="default"/>
                <w:sz w:val="22"/>
                <w:szCs w:val="22"/>
              </w:rPr>
            </w:pPr>
            <w:r>
              <w:rPr>
                <w:rFonts w:ascii="宋体" w:hAnsi="宋体" w:cs="宋体" w:eastAsia="宋体" w:hint="default"/>
                <w:w w:val="95"/>
                <w:sz w:val="22"/>
                <w:szCs w:val="22"/>
              </w:rPr>
              <w:t>－同一控制下收购联通新时讯合并日前的当期</w:t>
            </w:r>
            <w:r>
              <w:rPr>
                <w:rFonts w:ascii="宋体" w:hAnsi="宋体" w:cs="宋体" w:eastAsia="宋体" w:hint="default"/>
                <w:spacing w:val="2"/>
                <w:w w:val="95"/>
                <w:sz w:val="22"/>
                <w:szCs w:val="22"/>
              </w:rPr>
              <w:t> </w:t>
            </w:r>
            <w:r>
              <w:rPr>
                <w:rFonts w:ascii="宋体" w:hAnsi="宋体" w:cs="宋体" w:eastAsia="宋体" w:hint="default"/>
                <w:sz w:val="22"/>
                <w:szCs w:val="22"/>
              </w:rPr>
              <w:t>净利润</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2"/>
                <w:szCs w:val="22"/>
              </w:rPr>
            </w:pPr>
          </w:p>
          <w:p>
            <w:pPr>
              <w:pStyle w:val="TableParagraph"/>
              <w:tabs>
                <w:tab w:pos="1727" w:val="left" w:leader="none"/>
                <w:tab w:pos="1926" w:val="left" w:leader="none"/>
              </w:tabs>
              <w:spacing w:line="240" w:lineRule="auto" w:before="165"/>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sz w:val="22"/>
                <w:u w:val="single" w:color="000000"/>
              </w:rPr>
              <w:tab/>
            </w:r>
            <w:r>
              <w:rPr>
                <w:rFonts w:ascii="Arial"/>
                <w:sz w:val="22"/>
              </w:rPr>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22"/>
                <w:szCs w:val="22"/>
              </w:rPr>
            </w:pPr>
          </w:p>
          <w:p>
            <w:pPr>
              <w:pStyle w:val="TableParagraph"/>
              <w:tabs>
                <w:tab w:pos="1677" w:val="left" w:leader="none"/>
                <w:tab w:pos="1953" w:val="left" w:leader="none"/>
              </w:tabs>
              <w:spacing w:line="240" w:lineRule="auto" w:before="165"/>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9</w:t>
            </w:r>
            <w:r>
              <w:rPr>
                <w:rFonts w:ascii="Arial"/>
                <w:sz w:val="22"/>
                <w:u w:val="single" w:color="000000"/>
              </w:rPr>
              <w:tab/>
            </w:r>
            <w:r>
              <w:rPr>
                <w:rFonts w:ascii="Arial"/>
                <w:sz w:val="22"/>
              </w:rPr>
            </w:r>
          </w:p>
        </w:tc>
      </w:tr>
      <w:tr>
        <w:trPr>
          <w:trHeight w:val="458" w:hRule="exact"/>
        </w:trPr>
        <w:tc>
          <w:tcPr>
            <w:tcW w:w="4990"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24"/>
              <w:jc w:val="right"/>
              <w:rPr>
                <w:rFonts w:ascii="Arial" w:hAnsi="Arial" w:cs="Arial" w:eastAsia="Arial" w:hint="default"/>
                <w:sz w:val="22"/>
                <w:szCs w:val="22"/>
              </w:rPr>
            </w:pPr>
            <w:r>
              <w:rPr>
                <w:rFonts w:ascii="Arial"/>
                <w:w w:val="95"/>
                <w:sz w:val="22"/>
              </w:rPr>
              <w:t>1,154</w:t>
            </w:r>
            <w:r>
              <w:rPr>
                <w:rFonts w:ascii="Arial"/>
                <w:sz w:val="22"/>
              </w:rPr>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51"/>
              <w:jc w:val="right"/>
              <w:rPr>
                <w:rFonts w:ascii="Arial" w:hAnsi="Arial" w:cs="Arial" w:eastAsia="Arial" w:hint="default"/>
                <w:sz w:val="22"/>
                <w:szCs w:val="22"/>
              </w:rPr>
            </w:pPr>
            <w:r>
              <w:rPr>
                <w:rFonts w:ascii="Arial"/>
                <w:w w:val="95"/>
                <w:sz w:val="22"/>
              </w:rPr>
              <w:t>754</w:t>
            </w:r>
            <w:r>
              <w:rPr>
                <w:rFonts w:ascii="Arial"/>
                <w:sz w:val="22"/>
              </w:rPr>
            </w:r>
          </w:p>
        </w:tc>
      </w:tr>
      <w:tr>
        <w:trPr>
          <w:trHeight w:val="607" w:hRule="exact"/>
        </w:trPr>
        <w:tc>
          <w:tcPr>
            <w:tcW w:w="4990"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00" w:right="0"/>
              <w:jc w:val="left"/>
              <w:rPr>
                <w:rFonts w:ascii="宋体" w:hAnsi="宋体" w:cs="宋体" w:eastAsia="宋体" w:hint="default"/>
                <w:sz w:val="22"/>
                <w:szCs w:val="22"/>
              </w:rPr>
            </w:pPr>
            <w:r>
              <w:rPr>
                <w:rFonts w:ascii="宋体" w:hAnsi="宋体" w:cs="宋体" w:eastAsia="宋体" w:hint="default"/>
                <w:sz w:val="22"/>
                <w:szCs w:val="22"/>
              </w:rPr>
              <w:t>－少数股东损益的影响</w:t>
            </w:r>
          </w:p>
        </w:tc>
        <w:tc>
          <w:tcPr>
            <w:tcW w:w="1926" w:type="dxa"/>
            <w:tcBorders>
              <w:top w:val="nil" w:sz="6" w:space="0" w:color="auto"/>
              <w:left w:val="nil" w:sz="6" w:space="0" w:color="auto"/>
              <w:bottom w:val="nil" w:sz="6" w:space="0" w:color="auto"/>
              <w:right w:val="nil" w:sz="6" w:space="0" w:color="auto"/>
            </w:tcBorders>
          </w:tcPr>
          <w:p>
            <w:pPr>
              <w:pStyle w:val="TableParagraph"/>
              <w:tabs>
                <w:tab w:pos="1359" w:val="left" w:leader="none"/>
              </w:tabs>
              <w:spacing w:line="240" w:lineRule="auto" w:before="175"/>
              <w:ind w:right="5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(763)</w:t>
            </w:r>
            <w:r>
              <w:rPr>
                <w:rFonts w:ascii="Arial"/>
                <w:w w:val="95"/>
                <w:sz w:val="22"/>
              </w:rPr>
            </w:r>
            <w:r>
              <w:rPr>
                <w:rFonts w:ascii="Arial"/>
                <w:sz w:val="22"/>
              </w:rPr>
            </w:r>
          </w:p>
        </w:tc>
        <w:tc>
          <w:tcPr>
            <w:tcW w:w="2052" w:type="dxa"/>
            <w:tcBorders>
              <w:top w:val="nil" w:sz="6" w:space="0" w:color="auto"/>
              <w:left w:val="nil" w:sz="6" w:space="0" w:color="auto"/>
              <w:bottom w:val="nil" w:sz="6" w:space="0" w:color="auto"/>
              <w:right w:val="nil" w:sz="6" w:space="0" w:color="auto"/>
            </w:tcBorders>
          </w:tcPr>
          <w:p>
            <w:pPr>
              <w:pStyle w:val="TableParagraph"/>
              <w:tabs>
                <w:tab w:pos="1359" w:val="left" w:leader="none"/>
                <w:tab w:pos="1953" w:val="left" w:leader="none"/>
              </w:tabs>
              <w:spacing w:line="240" w:lineRule="auto" w:before="175"/>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(498)</w:t>
            </w:r>
            <w:r>
              <w:rPr>
                <w:rFonts w:ascii="Arial"/>
                <w:sz w:val="22"/>
                <w:u w:val="single" w:color="000000"/>
              </w:rPr>
              <w:tab/>
            </w:r>
            <w:r>
              <w:rPr>
                <w:rFonts w:ascii="Arial"/>
                <w:sz w:val="22"/>
              </w:rPr>
            </w:r>
          </w:p>
        </w:tc>
      </w:tr>
      <w:tr>
        <w:trPr>
          <w:trHeight w:val="461" w:hRule="exact"/>
        </w:trPr>
        <w:tc>
          <w:tcPr>
            <w:tcW w:w="4990"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926" w:type="dxa"/>
            <w:tcBorders>
              <w:top w:val="nil" w:sz="6" w:space="0" w:color="auto"/>
              <w:left w:val="nil" w:sz="6" w:space="0" w:color="auto"/>
              <w:bottom w:val="single" w:sz="17" w:space="0" w:color="000000"/>
              <w:right w:val="nil" w:sz="6" w:space="0" w:color="auto"/>
            </w:tcBorders>
          </w:tcPr>
          <w:p>
            <w:pPr>
              <w:pStyle w:val="TableParagraph"/>
              <w:spacing w:line="240" w:lineRule="auto" w:before="182"/>
              <w:ind w:right="124"/>
              <w:jc w:val="right"/>
              <w:rPr>
                <w:rFonts w:ascii="Arial" w:hAnsi="Arial" w:cs="Arial" w:eastAsia="Arial" w:hint="default"/>
                <w:sz w:val="22"/>
                <w:szCs w:val="22"/>
              </w:rPr>
            </w:pPr>
            <w:r>
              <w:rPr>
                <w:rFonts w:ascii="Arial"/>
                <w:w w:val="95"/>
                <w:sz w:val="22"/>
              </w:rPr>
              <w:t>391</w:t>
            </w:r>
            <w:r>
              <w:rPr>
                <w:rFonts w:ascii="Arial"/>
                <w:sz w:val="22"/>
              </w:rPr>
            </w:r>
          </w:p>
        </w:tc>
        <w:tc>
          <w:tcPr>
            <w:tcW w:w="2052" w:type="dxa"/>
            <w:tcBorders>
              <w:top w:val="nil" w:sz="6" w:space="0" w:color="auto"/>
              <w:left w:val="nil" w:sz="6" w:space="0" w:color="auto"/>
              <w:bottom w:val="single" w:sz="17" w:space="0" w:color="000000"/>
              <w:right w:val="nil" w:sz="6" w:space="0" w:color="auto"/>
            </w:tcBorders>
          </w:tcPr>
          <w:p>
            <w:pPr>
              <w:pStyle w:val="TableParagraph"/>
              <w:spacing w:line="240" w:lineRule="auto" w:before="182"/>
              <w:ind w:right="151"/>
              <w:jc w:val="right"/>
              <w:rPr>
                <w:rFonts w:ascii="Arial" w:hAnsi="Arial" w:cs="Arial" w:eastAsia="Arial" w:hint="default"/>
                <w:sz w:val="22"/>
                <w:szCs w:val="22"/>
              </w:rPr>
            </w:pPr>
            <w:r>
              <w:rPr>
                <w:rFonts w:ascii="Arial"/>
                <w:w w:val="95"/>
                <w:sz w:val="22"/>
              </w:rPr>
              <w:t>256</w:t>
            </w:r>
            <w:r>
              <w:rPr>
                <w:rFonts w:ascii="Arial"/>
                <w:sz w:val="22"/>
              </w:rPr>
            </w:r>
          </w:p>
        </w:tc>
      </w:tr>
    </w:tbl>
    <w:p>
      <w:pPr>
        <w:spacing w:line="240" w:lineRule="auto" w:before="2"/>
        <w:rPr>
          <w:rFonts w:ascii="黑体" w:hAnsi="黑体" w:cs="黑体" w:eastAsia="黑体" w:hint="default"/>
          <w:sz w:val="14"/>
          <w:szCs w:val="14"/>
        </w:rPr>
      </w:pPr>
    </w:p>
    <w:p>
      <w:pPr>
        <w:pStyle w:val="BodyText"/>
        <w:spacing w:line="286" w:lineRule="exact" w:before="60"/>
        <w:ind w:left="1086" w:right="28" w:hanging="363"/>
        <w:jc w:val="left"/>
      </w:pPr>
      <w:r>
        <w:rPr>
          <w:spacing w:val="-3"/>
        </w:rPr>
        <w:t>注：该营业外收入和营业外支出不包括同一控制下企业合并被合并方在合并日前发生的营业</w:t>
      </w:r>
      <w:r>
        <w:rPr>
          <w:spacing w:val="-87"/>
        </w:rPr>
        <w:t> </w:t>
      </w:r>
      <w:r>
        <w:rPr>
          <w:spacing w:val="-87"/>
        </w:rPr>
      </w:r>
      <w:r>
        <w:rPr/>
        <w:t>外收入和营业外支出。</w:t>
      </w:r>
    </w:p>
    <w:p>
      <w:pPr>
        <w:spacing w:line="240" w:lineRule="auto" w:before="6"/>
        <w:rPr>
          <w:rFonts w:ascii="宋体" w:hAnsi="宋体" w:cs="宋体" w:eastAsia="宋体" w:hint="default"/>
          <w:sz w:val="19"/>
          <w:szCs w:val="19"/>
        </w:rPr>
      </w:pPr>
    </w:p>
    <w:p>
      <w:pPr>
        <w:pStyle w:val="BodyText"/>
        <w:spacing w:line="284" w:lineRule="exact"/>
        <w:ind w:left="1086" w:right="28"/>
        <w:jc w:val="left"/>
      </w:pPr>
      <w:r>
        <w:rPr>
          <w:spacing w:val="5"/>
        </w:rPr>
        <w:t>本年非经常性损益的增加主要是由于违约赔偿收入增加以及非流动资产处置损失减少</w:t>
      </w:r>
      <w:r>
        <w:rPr>
          <w:spacing w:val="-102"/>
        </w:rPr>
        <w:t> </w:t>
      </w:r>
      <w:r>
        <w:rPr>
          <w:spacing w:val="-102"/>
        </w:rPr>
      </w:r>
      <w:r>
        <w:rPr/>
        <w:t>所致。</w:t>
      </w:r>
    </w:p>
    <w:p>
      <w:pPr>
        <w:spacing w:line="240" w:lineRule="auto" w:before="3"/>
        <w:rPr>
          <w:rFonts w:ascii="宋体" w:hAnsi="宋体" w:cs="宋体" w:eastAsia="宋体" w:hint="default"/>
          <w:sz w:val="17"/>
          <w:szCs w:val="17"/>
        </w:rPr>
      </w:pPr>
    </w:p>
    <w:p>
      <w:pPr>
        <w:pStyle w:val="BodyText"/>
        <w:spacing w:line="240" w:lineRule="auto"/>
        <w:ind w:left="724" w:right="0"/>
        <w:jc w:val="both"/>
      </w:pPr>
      <w:r>
        <w:rPr/>
        <w:t>非经常性损益明细表编制基础</w:t>
      </w:r>
    </w:p>
    <w:p>
      <w:pPr>
        <w:spacing w:line="240" w:lineRule="auto" w:before="10"/>
        <w:rPr>
          <w:rFonts w:ascii="宋体" w:hAnsi="宋体" w:cs="宋体" w:eastAsia="宋体" w:hint="default"/>
          <w:sz w:val="19"/>
          <w:szCs w:val="19"/>
        </w:rPr>
      </w:pPr>
    </w:p>
    <w:p>
      <w:pPr>
        <w:pStyle w:val="BodyText"/>
        <w:spacing w:line="232" w:lineRule="auto"/>
        <w:ind w:left="724" w:right="200"/>
        <w:jc w:val="both"/>
      </w:pPr>
      <w:r>
        <w:rPr/>
        <w:t>根据《公开发行证券的公司信息披露解释性公告第</w:t>
      </w:r>
      <w:r>
        <w:rPr>
          <w:spacing w:val="-79"/>
        </w:rPr>
        <w:t> </w:t>
      </w:r>
      <w:r>
        <w:rPr>
          <w:rFonts w:ascii="Arial" w:hAnsi="Arial" w:cs="Arial" w:eastAsia="Arial" w:hint="default"/>
        </w:rPr>
        <w:t>1</w:t>
      </w:r>
      <w:r>
        <w:rPr>
          <w:rFonts w:ascii="Arial" w:hAnsi="Arial" w:cs="Arial" w:eastAsia="Arial" w:hint="default"/>
          <w:spacing w:val="-31"/>
        </w:rPr>
        <w:t> </w:t>
      </w:r>
      <w:r>
        <w:rPr/>
        <w:t>号—非经常性损益</w:t>
      </w:r>
      <w:r>
        <w:rPr>
          <w:rFonts w:ascii="Arial" w:hAnsi="Arial" w:cs="Arial" w:eastAsia="Arial" w:hint="default"/>
        </w:rPr>
        <w:t>[2008]</w:t>
      </w:r>
      <w:r>
        <w:rPr/>
        <w:t>》的规定，非</w:t>
      </w:r>
      <w:r>
        <w:rPr>
          <w:w w:val="99"/>
        </w:rPr>
        <w:t> </w:t>
      </w:r>
      <w:r>
        <w:rPr>
          <w:spacing w:val="-3"/>
        </w:rPr>
        <w:t>经常性损益是指与公司正常经营业务无直接关系，以及虽与正常经营业务相关，但由于其性</w:t>
      </w:r>
      <w:r>
        <w:rPr>
          <w:spacing w:val="-86"/>
        </w:rPr>
        <w:t> </w:t>
      </w:r>
      <w:r>
        <w:rPr>
          <w:spacing w:val="-86"/>
        </w:rPr>
      </w:r>
      <w:r>
        <w:rPr>
          <w:spacing w:val="-3"/>
        </w:rPr>
        <w:t>质特殊和偶发性，影响报表使用人对公司经营业绩和盈利作出正确判断的各项交易和事项产</w:t>
      </w:r>
      <w:r>
        <w:rPr>
          <w:spacing w:val="-87"/>
        </w:rPr>
        <w:t> </w:t>
      </w:r>
      <w:r>
        <w:rPr>
          <w:spacing w:val="-87"/>
        </w:rPr>
      </w:r>
      <w:r>
        <w:rPr/>
        <w:t>生的损益。</w:t>
      </w:r>
    </w:p>
    <w:p>
      <w:pPr>
        <w:spacing w:after="0" w:line="232" w:lineRule="auto"/>
        <w:jc w:val="both"/>
        <w:sectPr>
          <w:headerReference w:type="default" r:id="rId143"/>
          <w:pgSz w:w="11910" w:h="16840"/>
          <w:pgMar w:header="1184" w:footer="457" w:top="2280" w:bottom="640" w:left="1280" w:right="980"/>
        </w:sectPr>
      </w:pPr>
    </w:p>
    <w:p>
      <w:pPr>
        <w:spacing w:line="240" w:lineRule="auto" w:before="4"/>
        <w:rPr>
          <w:rFonts w:ascii="宋体" w:hAnsi="宋体" w:cs="宋体" w:eastAsia="宋体" w:hint="default"/>
          <w:sz w:val="18"/>
          <w:szCs w:val="18"/>
        </w:rPr>
      </w:pPr>
    </w:p>
    <w:p>
      <w:pPr>
        <w:pStyle w:val="BodyText"/>
        <w:spacing w:line="240" w:lineRule="auto" w:before="31"/>
        <w:ind w:left="104" w:right="110"/>
        <w:jc w:val="left"/>
        <w:rPr>
          <w:rFonts w:ascii="黑体" w:hAnsi="黑体" w:cs="黑体" w:eastAsia="黑体" w:hint="default"/>
        </w:rPr>
      </w:pPr>
      <w:r>
        <w:rPr>
          <w:rFonts w:ascii="黑体" w:hAnsi="黑体" w:cs="黑体" w:eastAsia="黑体" w:hint="default"/>
        </w:rPr>
        <w:t>二、财务报表差异调节表</w:t>
      </w:r>
    </w:p>
    <w:p>
      <w:pPr>
        <w:spacing w:line="240" w:lineRule="auto" w:before="13"/>
        <w:rPr>
          <w:rFonts w:ascii="黑体" w:hAnsi="黑体" w:cs="黑体" w:eastAsia="黑体" w:hint="default"/>
          <w:sz w:val="17"/>
          <w:szCs w:val="17"/>
        </w:rPr>
      </w:pPr>
    </w:p>
    <w:p>
      <w:pPr>
        <w:pStyle w:val="BodyText"/>
        <w:spacing w:line="284" w:lineRule="exact"/>
        <w:ind w:left="562" w:right="658"/>
        <w:jc w:val="left"/>
      </w:pPr>
      <w:r>
        <w:rPr/>
        <w:t>鉴于本公司的特殊架构，即通过联通 </w:t>
      </w:r>
      <w:r>
        <w:rPr>
          <w:rFonts w:ascii="Arial" w:hAnsi="Arial" w:cs="Arial" w:eastAsia="Arial" w:hint="default"/>
        </w:rPr>
        <w:t>BVI</w:t>
      </w:r>
      <w:r>
        <w:rPr>
          <w:rFonts w:ascii="Arial" w:hAnsi="Arial" w:cs="Arial" w:eastAsia="Arial" w:hint="default"/>
          <w:spacing w:val="23"/>
        </w:rPr>
        <w:t> </w:t>
      </w:r>
      <w:r>
        <w:rPr/>
        <w:t>公司间接持有联通红筹公司的股权，联通红筹公</w:t>
      </w:r>
      <w:r>
        <w:rPr>
          <w:w w:val="99"/>
        </w:rPr>
        <w:t> </w:t>
      </w:r>
      <w:r>
        <w:rPr>
          <w:spacing w:val="-3"/>
          <w:w w:val="99"/>
        </w:rPr>
        <w:t>司为在香港注册的有限公司。联通红筹公司按照国际</w:t>
      </w:r>
      <w:r>
        <w:rPr>
          <w:rFonts w:ascii="Arial" w:hAnsi="Arial" w:cs="Arial" w:eastAsia="Arial" w:hint="default"/>
          <w:spacing w:val="-3"/>
          <w:w w:val="99"/>
        </w:rPr>
        <w:t>/</w:t>
      </w:r>
      <w:r>
        <w:rPr>
          <w:spacing w:val="-3"/>
          <w:w w:val="99"/>
        </w:rPr>
        <w:t>香港财务报告准则编制了</w:t>
      </w:r>
      <w:r>
        <w:rPr>
          <w:spacing w:val="-49"/>
          <w:w w:val="99"/>
        </w:rPr>
        <w:t> </w:t>
      </w:r>
      <w:r>
        <w:rPr>
          <w:rFonts w:ascii="Arial" w:hAnsi="Arial" w:cs="Arial" w:eastAsia="Arial" w:hint="default"/>
          <w:w w:val="99"/>
        </w:rPr>
        <w:t>2012 </w:t>
      </w:r>
      <w:r>
        <w:rPr>
          <w:spacing w:val="-1"/>
          <w:w w:val="99"/>
        </w:rPr>
        <w:t>年度的</w:t>
      </w:r>
      <w:r>
        <w:rPr>
          <w:spacing w:val="-1"/>
        </w:rPr>
      </w:r>
    </w:p>
    <w:p>
      <w:pPr>
        <w:pStyle w:val="BodyText"/>
        <w:spacing w:line="286" w:lineRule="exact"/>
        <w:ind w:left="562" w:right="654"/>
        <w:jc w:val="left"/>
      </w:pPr>
      <w:r>
        <w:rPr/>
        <w:t>财务报告，并已经罗兵咸永道会计师事务所审阅，本集团按照财政部于</w:t>
      </w:r>
      <w:r>
        <w:rPr>
          <w:spacing w:val="-50"/>
        </w:rPr>
        <w:t> </w:t>
      </w:r>
      <w:r>
        <w:rPr>
          <w:rFonts w:ascii="Arial" w:hAnsi="Arial" w:cs="Arial" w:eastAsia="Arial" w:hint="default"/>
        </w:rPr>
        <w:t>2006</w:t>
      </w:r>
      <w:r>
        <w:rPr>
          <w:rFonts w:ascii="Arial" w:hAnsi="Arial" w:cs="Arial" w:eastAsia="Arial" w:hint="default"/>
          <w:spacing w:val="-2"/>
        </w:rPr>
        <w:t> </w:t>
      </w:r>
      <w:r>
        <w:rPr/>
        <w:t>年</w:t>
      </w:r>
      <w:r>
        <w:rPr>
          <w:spacing w:val="-51"/>
        </w:rPr>
        <w:t> </w:t>
      </w:r>
      <w:r>
        <w:rPr>
          <w:rFonts w:ascii="Arial" w:hAnsi="Arial" w:cs="Arial" w:eastAsia="Arial" w:hint="default"/>
        </w:rPr>
        <w:t>2</w:t>
      </w:r>
      <w:r>
        <w:rPr>
          <w:rFonts w:ascii="Arial" w:hAnsi="Arial" w:cs="Arial" w:eastAsia="Arial" w:hint="default"/>
          <w:spacing w:val="-2"/>
        </w:rPr>
        <w:t> </w:t>
      </w:r>
      <w:r>
        <w:rPr/>
        <w:t>月</w:t>
      </w:r>
      <w:r>
        <w:rPr>
          <w:spacing w:val="-51"/>
        </w:rPr>
        <w:t> </w:t>
      </w:r>
      <w:r>
        <w:rPr>
          <w:rFonts w:ascii="Arial" w:hAnsi="Arial" w:cs="Arial" w:eastAsia="Arial" w:hint="default"/>
        </w:rPr>
        <w:t>15</w:t>
      </w:r>
      <w:r>
        <w:rPr>
          <w:rFonts w:ascii="Arial" w:hAnsi="Arial" w:cs="Arial" w:eastAsia="Arial" w:hint="default"/>
          <w:spacing w:val="-2"/>
        </w:rPr>
        <w:t> </w:t>
      </w:r>
      <w:r>
        <w:rPr/>
        <w:t>日</w:t>
      </w:r>
      <w:r>
        <w:rPr>
          <w:w w:val="99"/>
        </w:rPr>
        <w:t> </w:t>
      </w:r>
      <w:r>
        <w:rPr>
          <w:spacing w:val="-3"/>
        </w:rPr>
        <w:t>颁布的企业会计准则（“中国会计准则”）编制合并财务报表，在适用中国会计准则前境内</w:t>
      </w:r>
    </w:p>
    <w:p>
      <w:pPr>
        <w:pStyle w:val="BodyText"/>
        <w:spacing w:line="284" w:lineRule="exact" w:before="1"/>
        <w:ind w:left="562" w:right="651"/>
        <w:jc w:val="left"/>
      </w:pPr>
      <w:r>
        <w:rPr/>
        <w:t>外会计准则仍存在差异。自</w:t>
      </w:r>
      <w:r>
        <w:rPr>
          <w:spacing w:val="-77"/>
        </w:rPr>
        <w:t> </w:t>
      </w:r>
      <w:r>
        <w:rPr>
          <w:rFonts w:ascii="Arial" w:hAnsi="Arial" w:cs="Arial" w:eastAsia="Arial" w:hint="default"/>
        </w:rPr>
        <w:t>2007</w:t>
      </w:r>
      <w:r>
        <w:rPr>
          <w:rFonts w:ascii="Arial" w:hAnsi="Arial" w:cs="Arial" w:eastAsia="Arial" w:hint="default"/>
          <w:spacing w:val="-28"/>
        </w:rPr>
        <w:t> </w:t>
      </w:r>
      <w:r>
        <w:rPr/>
        <w:t>年采用中国会计准则后，无新增重大会计准则差异。该等</w:t>
      </w:r>
      <w:r>
        <w:rPr>
          <w:w w:val="99"/>
        </w:rPr>
        <w:t> </w:t>
      </w:r>
      <w:r>
        <w:rPr/>
        <w:t>准则差异对本集团净利润和净资产的影响列示如下：</w:t>
      </w:r>
    </w:p>
    <w:p>
      <w:pPr>
        <w:spacing w:line="240" w:lineRule="auto" w:before="2"/>
        <w:rPr>
          <w:rFonts w:ascii="宋体" w:hAnsi="宋体" w:cs="宋体" w:eastAsia="宋体" w:hint="default"/>
          <w:sz w:val="18"/>
          <w:szCs w:val="18"/>
        </w:rPr>
      </w:pPr>
    </w:p>
    <w:tbl>
      <w:tblPr>
        <w:tblW w:w="0" w:type="auto"/>
        <w:jc w:val="left"/>
        <w:tblInd w:w="562" w:type="dxa"/>
        <w:tblLayout w:type="fixed"/>
        <w:tblCellMar>
          <w:top w:w="0" w:type="dxa"/>
          <w:left w:w="0" w:type="dxa"/>
          <w:bottom w:w="0" w:type="dxa"/>
          <w:right w:w="0" w:type="dxa"/>
        </w:tblCellMar>
        <w:tblLook w:val="01E0"/>
      </w:tblPr>
      <w:tblGrid>
        <w:gridCol w:w="4845"/>
        <w:gridCol w:w="475"/>
        <w:gridCol w:w="1244"/>
        <w:gridCol w:w="782"/>
        <w:gridCol w:w="992"/>
        <w:gridCol w:w="910"/>
      </w:tblGrid>
      <w:tr>
        <w:trPr>
          <w:trHeight w:val="192" w:hRule="exact"/>
        </w:trPr>
        <w:tc>
          <w:tcPr>
            <w:tcW w:w="4845"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single" w:sz="6" w:space="0" w:color="000000"/>
              <w:right w:val="nil" w:sz="6" w:space="0" w:color="auto"/>
            </w:tcBorders>
          </w:tcPr>
          <w:p>
            <w:pPr>
              <w:pStyle w:val="TableParagraph"/>
              <w:spacing w:line="160" w:lineRule="exact"/>
              <w:ind w:left="772" w:right="-8"/>
              <w:jc w:val="left"/>
              <w:rPr>
                <w:rFonts w:ascii="宋体" w:hAnsi="宋体" w:cs="宋体" w:eastAsia="宋体" w:hint="default"/>
                <w:sz w:val="16"/>
                <w:szCs w:val="16"/>
              </w:rPr>
            </w:pPr>
            <w:r>
              <w:rPr>
                <w:rFonts w:ascii="宋体" w:hAnsi="宋体" w:cs="宋体" w:eastAsia="宋体" w:hint="default"/>
                <w:w w:val="95"/>
                <w:sz w:val="16"/>
                <w:szCs w:val="16"/>
              </w:rPr>
              <w:t>净利润</w:t>
            </w:r>
            <w:r>
              <w:rPr>
                <w:rFonts w:ascii="宋体" w:hAnsi="宋体" w:cs="宋体" w:eastAsia="宋体" w:hint="default"/>
                <w:sz w:val="16"/>
                <w:szCs w:val="16"/>
              </w:rPr>
            </w:r>
          </w:p>
        </w:tc>
        <w:tc>
          <w:tcPr>
            <w:tcW w:w="782" w:type="dxa"/>
            <w:tcBorders>
              <w:top w:val="nil" w:sz="6" w:space="0" w:color="auto"/>
              <w:left w:val="nil" w:sz="6" w:space="0" w:color="auto"/>
              <w:bottom w:val="single" w:sz="6" w:space="0" w:color="000000"/>
              <w:right w:val="nil" w:sz="6" w:space="0" w:color="auto"/>
            </w:tcBorders>
          </w:tcPr>
          <w:p>
            <w:pPr/>
          </w:p>
        </w:tc>
        <w:tc>
          <w:tcPr>
            <w:tcW w:w="1902" w:type="dxa"/>
            <w:gridSpan w:val="2"/>
            <w:tcBorders>
              <w:top w:val="nil" w:sz="6" w:space="0" w:color="auto"/>
              <w:left w:val="nil" w:sz="6" w:space="0" w:color="auto"/>
              <w:bottom w:val="single" w:sz="6" w:space="0" w:color="000000"/>
              <w:right w:val="nil" w:sz="6" w:space="0" w:color="auto"/>
            </w:tcBorders>
          </w:tcPr>
          <w:p>
            <w:pPr>
              <w:pStyle w:val="TableParagraph"/>
              <w:spacing w:line="160" w:lineRule="exact"/>
              <w:ind w:left="79" w:right="0"/>
              <w:jc w:val="center"/>
              <w:rPr>
                <w:rFonts w:ascii="宋体" w:hAnsi="宋体" w:cs="宋体" w:eastAsia="宋体" w:hint="default"/>
                <w:sz w:val="16"/>
                <w:szCs w:val="16"/>
              </w:rPr>
            </w:pPr>
            <w:r>
              <w:rPr>
                <w:rFonts w:ascii="宋体" w:hAnsi="宋体" w:cs="宋体" w:eastAsia="宋体" w:hint="default"/>
                <w:sz w:val="16"/>
                <w:szCs w:val="16"/>
              </w:rPr>
              <w:t>净资产</w:t>
            </w:r>
          </w:p>
        </w:tc>
      </w:tr>
      <w:tr>
        <w:trPr>
          <w:trHeight w:val="430" w:hRule="exact"/>
        </w:trPr>
        <w:tc>
          <w:tcPr>
            <w:tcW w:w="4845" w:type="dxa"/>
            <w:tcBorders>
              <w:top w:val="nil" w:sz="6" w:space="0" w:color="auto"/>
              <w:left w:val="nil" w:sz="6" w:space="0" w:color="auto"/>
              <w:bottom w:val="single" w:sz="6" w:space="0" w:color="000000"/>
              <w:right w:val="nil" w:sz="6" w:space="0" w:color="auto"/>
            </w:tcBorders>
          </w:tcPr>
          <w:p>
            <w:pPr>
              <w:pStyle w:val="TableParagraph"/>
              <w:spacing w:line="188" w:lineRule="exact"/>
              <w:ind w:right="20"/>
              <w:jc w:val="center"/>
              <w:rPr>
                <w:rFonts w:ascii="宋体" w:hAnsi="宋体" w:cs="宋体" w:eastAsia="宋体" w:hint="default"/>
                <w:sz w:val="16"/>
                <w:szCs w:val="16"/>
              </w:rPr>
            </w:pPr>
            <w:r>
              <w:rPr>
                <w:rFonts w:ascii="宋体" w:hAnsi="宋体" w:cs="宋体" w:eastAsia="宋体" w:hint="default"/>
                <w:sz w:val="16"/>
                <w:szCs w:val="16"/>
              </w:rPr>
              <w:t>项目</w:t>
            </w:r>
          </w:p>
          <w:p>
            <w:pPr>
              <w:pStyle w:val="TableParagraph"/>
              <w:spacing w:line="208" w:lineRule="exact"/>
              <w:ind w:right="19"/>
              <w:jc w:val="center"/>
              <w:rPr>
                <w:rFonts w:ascii="宋体" w:hAnsi="宋体" w:cs="宋体" w:eastAsia="宋体" w:hint="default"/>
                <w:sz w:val="16"/>
                <w:szCs w:val="16"/>
              </w:rPr>
            </w:pPr>
            <w:r>
              <w:rPr>
                <w:rFonts w:ascii="宋体" w:hAnsi="宋体" w:cs="宋体" w:eastAsia="宋体" w:hint="default"/>
                <w:sz w:val="16"/>
                <w:szCs w:val="16"/>
              </w:rPr>
              <w:t>（单位：人民币百万元）</w:t>
            </w:r>
          </w:p>
        </w:tc>
        <w:tc>
          <w:tcPr>
            <w:tcW w:w="475" w:type="dxa"/>
            <w:tcBorders>
              <w:top w:val="nil" w:sz="6" w:space="0" w:color="auto"/>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6"/>
              <w:jc w:val="right"/>
              <w:rPr>
                <w:rFonts w:ascii="宋体" w:hAnsi="宋体" w:cs="宋体" w:eastAsia="宋体" w:hint="default"/>
                <w:sz w:val="16"/>
                <w:szCs w:val="16"/>
              </w:rPr>
            </w:pPr>
            <w:r>
              <w:rPr>
                <w:rFonts w:ascii="宋体" w:hAnsi="宋体" w:cs="宋体" w:eastAsia="宋体" w:hint="default"/>
                <w:w w:val="95"/>
                <w:sz w:val="16"/>
                <w:szCs w:val="16"/>
              </w:rPr>
              <w:t>注释</w:t>
            </w:r>
            <w:r>
              <w:rPr>
                <w:rFonts w:ascii="宋体" w:hAnsi="宋体" w:cs="宋体" w:eastAsia="宋体" w:hint="default"/>
                <w:sz w:val="16"/>
                <w:szCs w:val="16"/>
              </w:rPr>
            </w:r>
          </w:p>
        </w:tc>
        <w:tc>
          <w:tcPr>
            <w:tcW w:w="1244"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10" w:right="0"/>
              <w:jc w:val="left"/>
              <w:rPr>
                <w:rFonts w:ascii="宋体" w:hAnsi="宋体" w:cs="宋体" w:eastAsia="宋体" w:hint="default"/>
                <w:sz w:val="16"/>
                <w:szCs w:val="16"/>
              </w:rPr>
            </w:pPr>
            <w:r>
              <w:rPr>
                <w:rFonts w:ascii="Arial" w:hAnsi="Arial" w:cs="Arial" w:eastAsia="Arial" w:hint="default"/>
                <w:sz w:val="16"/>
                <w:szCs w:val="16"/>
              </w:rPr>
              <w:t>2012</w:t>
            </w:r>
            <w:r>
              <w:rPr>
                <w:rFonts w:ascii="Arial" w:hAnsi="Arial" w:cs="Arial" w:eastAsia="Arial" w:hint="default"/>
                <w:spacing w:val="-5"/>
                <w:sz w:val="16"/>
                <w:szCs w:val="16"/>
              </w:rPr>
              <w:t> </w:t>
            </w:r>
            <w:r>
              <w:rPr>
                <w:rFonts w:ascii="宋体" w:hAnsi="宋体" w:cs="宋体" w:eastAsia="宋体" w:hint="default"/>
                <w:sz w:val="16"/>
                <w:szCs w:val="16"/>
              </w:rPr>
              <w:t>年度</w:t>
            </w:r>
          </w:p>
        </w:tc>
        <w:tc>
          <w:tcPr>
            <w:tcW w:w="78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8" w:right="0"/>
              <w:jc w:val="left"/>
              <w:rPr>
                <w:rFonts w:ascii="宋体" w:hAnsi="宋体" w:cs="宋体" w:eastAsia="宋体" w:hint="default"/>
                <w:sz w:val="16"/>
                <w:szCs w:val="16"/>
              </w:rPr>
            </w:pPr>
            <w:r>
              <w:rPr>
                <w:rFonts w:ascii="Arial" w:hAnsi="Arial" w:cs="Arial" w:eastAsia="Arial" w:hint="default"/>
                <w:sz w:val="16"/>
                <w:szCs w:val="16"/>
              </w:rPr>
              <w:t>2011</w:t>
            </w:r>
            <w:r>
              <w:rPr>
                <w:rFonts w:ascii="Arial" w:hAnsi="Arial" w:cs="Arial" w:eastAsia="Arial" w:hint="default"/>
                <w:spacing w:val="-5"/>
                <w:sz w:val="16"/>
                <w:szCs w:val="16"/>
              </w:rPr>
              <w:t> </w:t>
            </w:r>
            <w:r>
              <w:rPr>
                <w:rFonts w:ascii="宋体" w:hAnsi="宋体" w:cs="宋体" w:eastAsia="宋体" w:hint="default"/>
                <w:sz w:val="16"/>
                <w:szCs w:val="16"/>
              </w:rPr>
              <w:t>年度</w:t>
            </w:r>
          </w:p>
        </w:tc>
        <w:tc>
          <w:tcPr>
            <w:tcW w:w="992" w:type="dxa"/>
            <w:tcBorders>
              <w:top w:val="single" w:sz="6" w:space="0" w:color="000000"/>
              <w:left w:val="nil" w:sz="6" w:space="0" w:color="auto"/>
              <w:bottom w:val="single" w:sz="6" w:space="0" w:color="000000"/>
              <w:right w:val="nil" w:sz="6" w:space="0" w:color="auto"/>
            </w:tcBorders>
          </w:tcPr>
          <w:p>
            <w:pPr>
              <w:pStyle w:val="TableParagraph"/>
              <w:spacing w:line="187" w:lineRule="exact"/>
              <w:ind w:left="361" w:right="0"/>
              <w:jc w:val="left"/>
              <w:rPr>
                <w:rFonts w:ascii="宋体" w:hAnsi="宋体" w:cs="宋体" w:eastAsia="宋体" w:hint="default"/>
                <w:sz w:val="16"/>
                <w:szCs w:val="16"/>
              </w:rPr>
            </w:pPr>
            <w:r>
              <w:rPr>
                <w:rFonts w:ascii="Arial" w:hAnsi="Arial" w:cs="Arial" w:eastAsia="Arial" w:hint="default"/>
                <w:sz w:val="16"/>
                <w:szCs w:val="16"/>
              </w:rPr>
              <w:t>2012</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left="121"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910" w:type="dxa"/>
            <w:tcBorders>
              <w:top w:val="single" w:sz="6" w:space="0" w:color="000000"/>
              <w:left w:val="nil" w:sz="6" w:space="0" w:color="auto"/>
              <w:bottom w:val="single" w:sz="6" w:space="0" w:color="000000"/>
              <w:right w:val="nil" w:sz="6" w:space="0" w:color="auto"/>
            </w:tcBorders>
          </w:tcPr>
          <w:p>
            <w:pPr>
              <w:pStyle w:val="TableParagraph"/>
              <w:spacing w:line="187" w:lineRule="exact"/>
              <w:ind w:left="316" w:right="0"/>
              <w:jc w:val="left"/>
              <w:rPr>
                <w:rFonts w:ascii="宋体" w:hAnsi="宋体" w:cs="宋体" w:eastAsia="宋体" w:hint="default"/>
                <w:sz w:val="16"/>
                <w:szCs w:val="16"/>
              </w:rPr>
            </w:pPr>
            <w:r>
              <w:rPr>
                <w:rFonts w:ascii="Arial" w:hAnsi="Arial" w:cs="Arial" w:eastAsia="Arial" w:hint="default"/>
                <w:sz w:val="16"/>
                <w:szCs w:val="16"/>
              </w:rPr>
              <w:t>2011</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left="76"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r>
      <w:tr>
        <w:trPr>
          <w:trHeight w:val="683" w:hRule="exact"/>
        </w:trPr>
        <w:tc>
          <w:tcPr>
            <w:tcW w:w="4845"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1"/>
              <w:ind w:right="0"/>
              <w:jc w:val="left"/>
              <w:rPr>
                <w:rFonts w:ascii="宋体" w:hAnsi="宋体" w:cs="宋体" w:eastAsia="宋体" w:hint="default"/>
                <w:sz w:val="16"/>
                <w:szCs w:val="16"/>
              </w:rPr>
            </w:pPr>
            <w:r>
              <w:rPr>
                <w:rFonts w:ascii="宋体" w:hAnsi="宋体" w:cs="宋体" w:eastAsia="宋体" w:hint="default"/>
                <w:sz w:val="16"/>
                <w:szCs w:val="16"/>
              </w:rPr>
              <w:t>本集团中国会计准则下的净利润</w:t>
            </w:r>
            <w:r>
              <w:rPr>
                <w:rFonts w:ascii="Arial" w:hAnsi="Arial" w:cs="Arial" w:eastAsia="Arial" w:hint="default"/>
                <w:sz w:val="16"/>
                <w:szCs w:val="16"/>
              </w:rPr>
              <w:t>/</w:t>
            </w:r>
            <w:r>
              <w:rPr>
                <w:rFonts w:ascii="宋体" w:hAnsi="宋体" w:cs="宋体" w:eastAsia="宋体" w:hint="default"/>
                <w:sz w:val="16"/>
                <w:szCs w:val="16"/>
              </w:rPr>
              <w:t>净资产</w:t>
            </w:r>
          </w:p>
        </w:tc>
        <w:tc>
          <w:tcPr>
            <w:tcW w:w="475" w:type="dxa"/>
            <w:tcBorders>
              <w:top w:val="single" w:sz="6" w:space="0" w:color="000000"/>
              <w:left w:val="nil" w:sz="6" w:space="0" w:color="auto"/>
              <w:bottom w:val="nil" w:sz="6" w:space="0" w:color="auto"/>
              <w:right w:val="nil" w:sz="6" w:space="0" w:color="auto"/>
            </w:tcBorders>
          </w:tcPr>
          <w:p>
            <w:pPr/>
          </w:p>
        </w:tc>
        <w:tc>
          <w:tcPr>
            <w:tcW w:w="1244"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81" w:right="0"/>
              <w:jc w:val="left"/>
              <w:rPr>
                <w:rFonts w:ascii="Arial" w:hAnsi="Arial" w:cs="Arial" w:eastAsia="Arial" w:hint="default"/>
                <w:sz w:val="16"/>
                <w:szCs w:val="16"/>
              </w:rPr>
            </w:pPr>
            <w:r>
              <w:rPr>
                <w:rFonts w:ascii="Arial"/>
                <w:sz w:val="16"/>
              </w:rPr>
              <w:t>7,025</w:t>
            </w:r>
          </w:p>
        </w:tc>
        <w:tc>
          <w:tcPr>
            <w:tcW w:w="782"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90" w:right="0"/>
              <w:jc w:val="left"/>
              <w:rPr>
                <w:rFonts w:ascii="Arial" w:hAnsi="Arial" w:cs="Arial" w:eastAsia="Arial" w:hint="default"/>
                <w:sz w:val="16"/>
                <w:szCs w:val="16"/>
              </w:rPr>
            </w:pPr>
            <w:r>
              <w:rPr>
                <w:rFonts w:ascii="Arial"/>
                <w:sz w:val="16"/>
              </w:rPr>
              <w:t>4,188</w:t>
            </w:r>
          </w:p>
        </w:tc>
        <w:tc>
          <w:tcPr>
            <w:tcW w:w="992"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83" w:right="0"/>
              <w:jc w:val="left"/>
              <w:rPr>
                <w:rFonts w:ascii="Arial" w:hAnsi="Arial" w:cs="Arial" w:eastAsia="Arial" w:hint="default"/>
                <w:sz w:val="16"/>
                <w:szCs w:val="16"/>
              </w:rPr>
            </w:pPr>
            <w:r>
              <w:rPr>
                <w:rFonts w:ascii="Arial"/>
                <w:sz w:val="16"/>
              </w:rPr>
              <w:t>212,234</w:t>
            </w:r>
          </w:p>
        </w:tc>
        <w:tc>
          <w:tcPr>
            <w:tcW w:w="910"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63" w:right="0"/>
              <w:jc w:val="left"/>
              <w:rPr>
                <w:rFonts w:ascii="Arial" w:hAnsi="Arial" w:cs="Arial" w:eastAsia="Arial" w:hint="default"/>
                <w:sz w:val="16"/>
                <w:szCs w:val="16"/>
              </w:rPr>
            </w:pPr>
            <w:r>
              <w:rPr>
                <w:rFonts w:ascii="Arial"/>
                <w:sz w:val="16"/>
              </w:rPr>
              <w:t>208,611</w:t>
            </w:r>
          </w:p>
        </w:tc>
      </w:tr>
      <w:tr>
        <w:trPr>
          <w:trHeight w:val="299" w:hRule="exact"/>
        </w:trPr>
        <w:tc>
          <w:tcPr>
            <w:tcW w:w="4845"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 w:right="0"/>
              <w:jc w:val="left"/>
              <w:rPr>
                <w:rFonts w:ascii="宋体" w:hAnsi="宋体" w:cs="宋体" w:eastAsia="宋体" w:hint="default"/>
                <w:sz w:val="16"/>
                <w:szCs w:val="16"/>
              </w:rPr>
            </w:pPr>
            <w:r>
              <w:rPr>
                <w:rFonts w:ascii="宋体" w:hAnsi="宋体" w:cs="宋体" w:eastAsia="宋体" w:hint="default"/>
                <w:sz w:val="16"/>
                <w:szCs w:val="16"/>
              </w:rPr>
              <w:t>加：本公司及联通</w:t>
            </w:r>
            <w:r>
              <w:rPr>
                <w:rFonts w:ascii="宋体" w:hAnsi="宋体" w:cs="宋体" w:eastAsia="宋体" w:hint="default"/>
                <w:spacing w:val="-43"/>
                <w:sz w:val="16"/>
                <w:szCs w:val="16"/>
              </w:rPr>
              <w:t> </w:t>
            </w:r>
            <w:r>
              <w:rPr>
                <w:rFonts w:ascii="Arial" w:hAnsi="Arial" w:cs="Arial" w:eastAsia="Arial" w:hint="default"/>
                <w:sz w:val="16"/>
                <w:szCs w:val="16"/>
              </w:rPr>
              <w:t>BVI</w:t>
            </w:r>
            <w:r>
              <w:rPr>
                <w:rFonts w:ascii="Arial" w:hAnsi="Arial" w:cs="Arial" w:eastAsia="Arial" w:hint="default"/>
                <w:spacing w:val="-8"/>
                <w:sz w:val="16"/>
                <w:szCs w:val="16"/>
              </w:rPr>
              <w:t> </w:t>
            </w:r>
            <w:r>
              <w:rPr>
                <w:rFonts w:ascii="宋体" w:hAnsi="宋体" w:cs="宋体" w:eastAsia="宋体" w:hint="default"/>
                <w:sz w:val="16"/>
                <w:szCs w:val="16"/>
              </w:rPr>
              <w:t>公司发生的（累计发生的）费用及所得税</w:t>
            </w:r>
          </w:p>
        </w:tc>
        <w:tc>
          <w:tcPr>
            <w:tcW w:w="475"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704" w:right="0"/>
              <w:jc w:val="left"/>
              <w:rPr>
                <w:rFonts w:ascii="Arial" w:hAnsi="Arial" w:cs="Arial" w:eastAsia="Arial" w:hint="default"/>
                <w:sz w:val="16"/>
                <w:szCs w:val="16"/>
              </w:rPr>
            </w:pPr>
            <w:r>
              <w:rPr>
                <w:rFonts w:ascii="Arial"/>
                <w:sz w:val="16"/>
              </w:rPr>
              <w:t>19</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89"/>
              <w:jc w:val="right"/>
              <w:rPr>
                <w:rFonts w:ascii="Arial" w:hAnsi="Arial" w:cs="Arial" w:eastAsia="Arial" w:hint="default"/>
                <w:sz w:val="16"/>
                <w:szCs w:val="16"/>
              </w:rPr>
            </w:pPr>
            <w:r>
              <w:rPr>
                <w:rFonts w:ascii="Arial"/>
                <w:w w:val="95"/>
                <w:sz w:val="16"/>
              </w:rPr>
              <w:t>10</w:t>
            </w:r>
            <w:r>
              <w:rPr>
                <w:rFonts w:ascii="Arial"/>
                <w:sz w:val="16"/>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28"/>
              <w:jc w:val="right"/>
              <w:rPr>
                <w:rFonts w:ascii="Arial" w:hAnsi="Arial" w:cs="Arial" w:eastAsia="Arial" w:hint="default"/>
                <w:sz w:val="16"/>
                <w:szCs w:val="16"/>
              </w:rPr>
            </w:pPr>
            <w:r>
              <w:rPr>
                <w:rFonts w:ascii="Arial"/>
                <w:w w:val="95"/>
                <w:sz w:val="16"/>
              </w:rPr>
              <w:t>155</w:t>
            </w:r>
            <w:r>
              <w:rPr>
                <w:rFonts w:ascii="Arial"/>
                <w:sz w:val="16"/>
              </w:rPr>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65"/>
              <w:jc w:val="right"/>
              <w:rPr>
                <w:rFonts w:ascii="Arial" w:hAnsi="Arial" w:cs="Arial" w:eastAsia="Arial" w:hint="default"/>
                <w:sz w:val="16"/>
                <w:szCs w:val="16"/>
              </w:rPr>
            </w:pPr>
            <w:r>
              <w:rPr>
                <w:rFonts w:ascii="Arial"/>
                <w:w w:val="95"/>
                <w:sz w:val="16"/>
              </w:rPr>
              <w:t>136</w:t>
            </w:r>
            <w:r>
              <w:rPr>
                <w:rFonts w:ascii="Arial"/>
                <w:sz w:val="16"/>
              </w:rPr>
            </w:r>
          </w:p>
        </w:tc>
      </w:tr>
      <w:tr>
        <w:trPr>
          <w:trHeight w:val="299" w:hRule="exact"/>
        </w:trPr>
        <w:tc>
          <w:tcPr>
            <w:tcW w:w="4845" w:type="dxa"/>
            <w:tcBorders>
              <w:top w:val="nil" w:sz="6" w:space="0" w:color="auto"/>
              <w:left w:val="nil" w:sz="6" w:space="0" w:color="auto"/>
              <w:bottom w:val="nil" w:sz="6" w:space="0" w:color="auto"/>
              <w:right w:val="nil" w:sz="6" w:space="0" w:color="auto"/>
            </w:tcBorders>
          </w:tcPr>
          <w:p>
            <w:pPr>
              <w:pStyle w:val="TableParagraph"/>
              <w:spacing w:line="174" w:lineRule="exact"/>
              <w:ind w:left="333" w:right="0"/>
              <w:jc w:val="left"/>
              <w:rPr>
                <w:rFonts w:ascii="宋体" w:hAnsi="宋体" w:cs="宋体" w:eastAsia="宋体" w:hint="default"/>
                <w:sz w:val="16"/>
                <w:szCs w:val="16"/>
              </w:rPr>
            </w:pPr>
            <w:r>
              <w:rPr>
                <w:rFonts w:ascii="宋体" w:hAnsi="宋体" w:cs="宋体" w:eastAsia="宋体" w:hint="default"/>
                <w:sz w:val="16"/>
                <w:szCs w:val="16"/>
              </w:rPr>
              <w:t>本公司宣派股利</w:t>
            </w:r>
          </w:p>
        </w:tc>
        <w:tc>
          <w:tcPr>
            <w:tcW w:w="475"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829" w:right="0"/>
              <w:jc w:val="left"/>
              <w:rPr>
                <w:rFonts w:ascii="Arial" w:hAnsi="Arial" w:cs="Arial" w:eastAsia="Arial" w:hint="default"/>
                <w:sz w:val="16"/>
                <w:szCs w:val="16"/>
              </w:rPr>
            </w:pPr>
            <w:r>
              <w:rPr>
                <w:rFonts w:ascii="Arial"/>
                <w:w w:val="99"/>
                <w:sz w:val="16"/>
              </w:rPr>
              <w:t>-</w:t>
            </w:r>
            <w:r>
              <w:rPr>
                <w:rFonts w:ascii="Arial"/>
                <w:sz w:val="16"/>
              </w:rPr>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7"/>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9"/>
              <w:jc w:val="right"/>
              <w:rPr>
                <w:rFonts w:ascii="Arial" w:hAnsi="Arial" w:cs="Arial" w:eastAsia="Arial" w:hint="default"/>
                <w:sz w:val="16"/>
                <w:szCs w:val="16"/>
              </w:rPr>
            </w:pPr>
            <w:r>
              <w:rPr>
                <w:rFonts w:ascii="Arial"/>
                <w:w w:val="95"/>
                <w:sz w:val="16"/>
              </w:rPr>
              <w:t>9,630</w:t>
            </w:r>
            <w:r>
              <w:rPr>
                <w:rFonts w:ascii="Arial"/>
                <w:sz w:val="16"/>
              </w:rPr>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6"/>
              <w:jc w:val="right"/>
              <w:rPr>
                <w:rFonts w:ascii="Arial" w:hAnsi="Arial" w:cs="Arial" w:eastAsia="Arial" w:hint="default"/>
                <w:sz w:val="16"/>
                <w:szCs w:val="16"/>
              </w:rPr>
            </w:pPr>
            <w:r>
              <w:rPr>
                <w:rFonts w:ascii="Arial"/>
                <w:w w:val="95"/>
                <w:sz w:val="16"/>
              </w:rPr>
              <w:t>8,920</w:t>
            </w:r>
            <w:r>
              <w:rPr>
                <w:rFonts w:ascii="Arial"/>
                <w:sz w:val="16"/>
              </w:rPr>
            </w:r>
          </w:p>
        </w:tc>
      </w:tr>
      <w:tr>
        <w:trPr>
          <w:trHeight w:val="299" w:hRule="exact"/>
        </w:trPr>
        <w:tc>
          <w:tcPr>
            <w:tcW w:w="4845"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 w:right="0"/>
              <w:jc w:val="left"/>
              <w:rPr>
                <w:rFonts w:ascii="宋体" w:hAnsi="宋体" w:cs="宋体" w:eastAsia="宋体" w:hint="default"/>
                <w:sz w:val="16"/>
                <w:szCs w:val="16"/>
              </w:rPr>
            </w:pPr>
            <w:r>
              <w:rPr>
                <w:rFonts w:ascii="宋体" w:hAnsi="宋体" w:cs="宋体" w:eastAsia="宋体" w:hint="default"/>
                <w:sz w:val="16"/>
                <w:szCs w:val="16"/>
              </w:rPr>
              <w:t>减：本公司其他四家发起单位注资</w:t>
            </w:r>
          </w:p>
        </w:tc>
        <w:tc>
          <w:tcPr>
            <w:tcW w:w="475"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829" w:right="0"/>
              <w:jc w:val="left"/>
              <w:rPr>
                <w:rFonts w:ascii="Arial" w:hAnsi="Arial" w:cs="Arial" w:eastAsia="Arial" w:hint="default"/>
                <w:sz w:val="16"/>
                <w:szCs w:val="16"/>
              </w:rPr>
            </w:pPr>
            <w:r>
              <w:rPr>
                <w:rFonts w:ascii="Arial"/>
                <w:w w:val="99"/>
                <w:sz w:val="16"/>
              </w:rPr>
              <w:t>-</w:t>
            </w:r>
            <w:r>
              <w:rPr>
                <w:rFonts w:ascii="Arial"/>
                <w:sz w:val="16"/>
              </w:rPr>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87"/>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75"/>
              <w:jc w:val="right"/>
              <w:rPr>
                <w:rFonts w:ascii="Arial" w:hAnsi="Arial" w:cs="Arial" w:eastAsia="Arial" w:hint="default"/>
                <w:sz w:val="16"/>
                <w:szCs w:val="16"/>
              </w:rPr>
            </w:pPr>
            <w:r>
              <w:rPr>
                <w:rFonts w:ascii="Arial"/>
                <w:w w:val="95"/>
                <w:sz w:val="16"/>
              </w:rPr>
              <w:t>(4)</w:t>
            </w:r>
            <w:r>
              <w:rPr>
                <w:rFonts w:ascii="Arial"/>
                <w:sz w:val="16"/>
              </w:rPr>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1"/>
              <w:jc w:val="right"/>
              <w:rPr>
                <w:rFonts w:ascii="Arial" w:hAnsi="Arial" w:cs="Arial" w:eastAsia="Arial" w:hint="default"/>
                <w:sz w:val="16"/>
                <w:szCs w:val="16"/>
              </w:rPr>
            </w:pPr>
            <w:r>
              <w:rPr>
                <w:rFonts w:ascii="Arial"/>
                <w:w w:val="95"/>
                <w:sz w:val="16"/>
              </w:rPr>
              <w:t>(4)</w:t>
            </w:r>
            <w:r>
              <w:rPr>
                <w:rFonts w:ascii="Arial"/>
                <w:sz w:val="16"/>
              </w:rPr>
            </w:r>
          </w:p>
        </w:tc>
      </w:tr>
      <w:tr>
        <w:trPr>
          <w:trHeight w:val="208" w:hRule="exact"/>
        </w:trPr>
        <w:tc>
          <w:tcPr>
            <w:tcW w:w="4845" w:type="dxa"/>
            <w:tcBorders>
              <w:top w:val="nil" w:sz="6" w:space="0" w:color="auto"/>
              <w:left w:val="nil" w:sz="6" w:space="0" w:color="auto"/>
              <w:bottom w:val="nil" w:sz="6" w:space="0" w:color="auto"/>
              <w:right w:val="nil" w:sz="6" w:space="0" w:color="auto"/>
            </w:tcBorders>
          </w:tcPr>
          <w:p>
            <w:pPr>
              <w:pStyle w:val="TableParagraph"/>
              <w:spacing w:line="174" w:lineRule="exact"/>
              <w:ind w:left="333" w:right="0"/>
              <w:jc w:val="left"/>
              <w:rPr>
                <w:rFonts w:ascii="宋体" w:hAnsi="宋体" w:cs="宋体" w:eastAsia="宋体" w:hint="default"/>
                <w:sz w:val="16"/>
                <w:szCs w:val="16"/>
              </w:rPr>
            </w:pPr>
            <w:r>
              <w:rPr>
                <w:rFonts w:ascii="宋体" w:hAnsi="宋体" w:cs="宋体" w:eastAsia="宋体" w:hint="default"/>
                <w:sz w:val="16"/>
                <w:szCs w:val="16"/>
              </w:rPr>
              <w:t>申购资金于冻结期间的利息收入</w:t>
            </w:r>
          </w:p>
        </w:tc>
        <w:tc>
          <w:tcPr>
            <w:tcW w:w="475"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829" w:right="0"/>
              <w:jc w:val="left"/>
              <w:rPr>
                <w:rFonts w:ascii="Arial" w:hAnsi="Arial" w:cs="Arial" w:eastAsia="Arial" w:hint="default"/>
                <w:sz w:val="16"/>
                <w:szCs w:val="16"/>
              </w:rPr>
            </w:pPr>
            <w:r>
              <w:rPr>
                <w:rFonts w:ascii="Arial"/>
                <w:w w:val="99"/>
                <w:sz w:val="16"/>
              </w:rPr>
              <w:t>-</w:t>
            </w:r>
            <w:r>
              <w:rPr>
                <w:rFonts w:ascii="Arial"/>
                <w:sz w:val="16"/>
              </w:rPr>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7"/>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5"/>
              <w:jc w:val="right"/>
              <w:rPr>
                <w:rFonts w:ascii="Arial" w:hAnsi="Arial" w:cs="Arial" w:eastAsia="Arial" w:hint="default"/>
                <w:sz w:val="16"/>
                <w:szCs w:val="16"/>
              </w:rPr>
            </w:pPr>
            <w:r>
              <w:rPr>
                <w:rFonts w:ascii="Arial"/>
                <w:w w:val="95"/>
                <w:sz w:val="16"/>
              </w:rPr>
              <w:t>(20)</w:t>
            </w:r>
            <w:r>
              <w:rPr>
                <w:rFonts w:ascii="Arial"/>
                <w:sz w:val="16"/>
              </w:rPr>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
              <w:jc w:val="right"/>
              <w:rPr>
                <w:rFonts w:ascii="Arial" w:hAnsi="Arial" w:cs="Arial" w:eastAsia="Arial" w:hint="default"/>
                <w:sz w:val="16"/>
                <w:szCs w:val="16"/>
              </w:rPr>
            </w:pPr>
            <w:r>
              <w:rPr>
                <w:rFonts w:ascii="Arial"/>
                <w:w w:val="95"/>
                <w:sz w:val="16"/>
              </w:rPr>
              <w:t>(20)</w:t>
            </w:r>
            <w:r>
              <w:rPr>
                <w:rFonts w:ascii="Arial"/>
                <w:sz w:val="16"/>
              </w:rPr>
            </w:r>
          </w:p>
        </w:tc>
      </w:tr>
      <w:tr>
        <w:trPr>
          <w:trHeight w:val="208" w:hRule="exact"/>
        </w:trPr>
        <w:tc>
          <w:tcPr>
            <w:tcW w:w="4845" w:type="dxa"/>
            <w:tcBorders>
              <w:top w:val="nil" w:sz="6" w:space="0" w:color="auto"/>
              <w:left w:val="nil" w:sz="6" w:space="0" w:color="auto"/>
              <w:bottom w:val="nil" w:sz="6" w:space="0" w:color="auto"/>
              <w:right w:val="nil" w:sz="6" w:space="0" w:color="auto"/>
            </w:tcBorders>
          </w:tcPr>
          <w:p>
            <w:pPr>
              <w:pStyle w:val="TableParagraph"/>
              <w:spacing w:line="185" w:lineRule="exact"/>
              <w:ind w:left="351" w:right="0"/>
              <w:jc w:val="left"/>
              <w:rPr>
                <w:rFonts w:ascii="宋体" w:hAnsi="宋体" w:cs="宋体" w:eastAsia="宋体" w:hint="default"/>
                <w:sz w:val="16"/>
                <w:szCs w:val="16"/>
              </w:rPr>
            </w:pPr>
            <w:r>
              <w:rPr>
                <w:rFonts w:ascii="宋体" w:hAnsi="宋体" w:cs="宋体" w:eastAsia="宋体" w:hint="default"/>
                <w:sz w:val="16"/>
                <w:szCs w:val="16"/>
              </w:rPr>
              <w:t>联通</w:t>
            </w:r>
            <w:r>
              <w:rPr>
                <w:rFonts w:ascii="宋体" w:hAnsi="宋体" w:cs="宋体" w:eastAsia="宋体" w:hint="default"/>
                <w:spacing w:val="-43"/>
                <w:sz w:val="16"/>
                <w:szCs w:val="16"/>
              </w:rPr>
              <w:t> </w:t>
            </w:r>
            <w:r>
              <w:rPr>
                <w:rFonts w:ascii="Arial" w:hAnsi="Arial" w:cs="Arial" w:eastAsia="Arial" w:hint="default"/>
                <w:sz w:val="16"/>
                <w:szCs w:val="16"/>
              </w:rPr>
              <w:t>BVI</w:t>
            </w:r>
            <w:r>
              <w:rPr>
                <w:rFonts w:ascii="Arial" w:hAnsi="Arial" w:cs="Arial" w:eastAsia="Arial" w:hint="default"/>
                <w:spacing w:val="-6"/>
                <w:sz w:val="16"/>
                <w:szCs w:val="16"/>
              </w:rPr>
              <w:t> </w:t>
            </w:r>
            <w:r>
              <w:rPr>
                <w:rFonts w:ascii="宋体" w:hAnsi="宋体" w:cs="宋体" w:eastAsia="宋体" w:hint="default"/>
                <w:sz w:val="16"/>
                <w:szCs w:val="16"/>
              </w:rPr>
              <w:t>公司宣派股利</w:t>
            </w:r>
          </w:p>
        </w:tc>
        <w:tc>
          <w:tcPr>
            <w:tcW w:w="475"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829" w:right="0"/>
              <w:jc w:val="left"/>
              <w:rPr>
                <w:rFonts w:ascii="Arial" w:hAnsi="Arial" w:cs="Arial" w:eastAsia="Arial" w:hint="default"/>
                <w:sz w:val="16"/>
                <w:szCs w:val="16"/>
              </w:rPr>
            </w:pPr>
            <w:r>
              <w:rPr>
                <w:rFonts w:ascii="Arial"/>
                <w:w w:val="99"/>
                <w:sz w:val="16"/>
              </w:rPr>
              <w:t>-</w:t>
            </w:r>
            <w:r>
              <w:rPr>
                <w:rFonts w:ascii="Arial"/>
                <w:sz w:val="16"/>
              </w:rPr>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7"/>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19" w:right="0"/>
              <w:jc w:val="left"/>
              <w:rPr>
                <w:rFonts w:ascii="Arial" w:hAnsi="Arial" w:cs="Arial" w:eastAsia="Arial" w:hint="default"/>
                <w:sz w:val="16"/>
                <w:szCs w:val="16"/>
              </w:rPr>
            </w:pPr>
            <w:r>
              <w:rPr>
                <w:rFonts w:ascii="Arial"/>
                <w:sz w:val="16"/>
              </w:rPr>
              <w:t>(10,337)</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3"/>
              <w:jc w:val="right"/>
              <w:rPr>
                <w:rFonts w:ascii="Arial" w:hAnsi="Arial" w:cs="Arial" w:eastAsia="Arial" w:hint="default"/>
                <w:sz w:val="16"/>
                <w:szCs w:val="16"/>
              </w:rPr>
            </w:pPr>
            <w:r>
              <w:rPr>
                <w:rFonts w:ascii="Arial"/>
                <w:w w:val="95"/>
                <w:sz w:val="16"/>
              </w:rPr>
              <w:t>(9,539)</w:t>
            </w:r>
            <w:r>
              <w:rPr>
                <w:rFonts w:ascii="Arial"/>
                <w:sz w:val="16"/>
              </w:rPr>
            </w:r>
          </w:p>
        </w:tc>
      </w:tr>
      <w:tr>
        <w:trPr>
          <w:trHeight w:val="307" w:hRule="exact"/>
        </w:trPr>
        <w:tc>
          <w:tcPr>
            <w:tcW w:w="4845" w:type="dxa"/>
            <w:tcBorders>
              <w:top w:val="nil" w:sz="6" w:space="0" w:color="auto"/>
              <w:left w:val="nil" w:sz="6" w:space="0" w:color="auto"/>
              <w:bottom w:val="nil" w:sz="6" w:space="0" w:color="auto"/>
              <w:right w:val="nil" w:sz="6" w:space="0" w:color="auto"/>
            </w:tcBorders>
          </w:tcPr>
          <w:p>
            <w:pPr>
              <w:pStyle w:val="TableParagraph"/>
              <w:spacing w:line="185" w:lineRule="exact"/>
              <w:ind w:left="351" w:right="0"/>
              <w:jc w:val="left"/>
              <w:rPr>
                <w:rFonts w:ascii="宋体" w:hAnsi="宋体" w:cs="宋体" w:eastAsia="宋体" w:hint="default"/>
                <w:sz w:val="16"/>
                <w:szCs w:val="16"/>
              </w:rPr>
            </w:pPr>
            <w:r>
              <w:rPr>
                <w:rFonts w:ascii="宋体" w:hAnsi="宋体" w:cs="宋体" w:eastAsia="宋体" w:hint="default"/>
                <w:sz w:val="16"/>
                <w:szCs w:val="16"/>
              </w:rPr>
              <w:t>联通</w:t>
            </w:r>
            <w:r>
              <w:rPr>
                <w:rFonts w:ascii="宋体" w:hAnsi="宋体" w:cs="宋体" w:eastAsia="宋体" w:hint="default"/>
                <w:spacing w:val="-43"/>
                <w:sz w:val="16"/>
                <w:szCs w:val="16"/>
              </w:rPr>
              <w:t> </w:t>
            </w:r>
            <w:r>
              <w:rPr>
                <w:rFonts w:ascii="Arial" w:hAnsi="Arial" w:cs="Arial" w:eastAsia="Arial" w:hint="default"/>
                <w:sz w:val="16"/>
                <w:szCs w:val="16"/>
              </w:rPr>
              <w:t>BVI</w:t>
            </w:r>
            <w:r>
              <w:rPr>
                <w:rFonts w:ascii="Arial" w:hAnsi="Arial" w:cs="Arial" w:eastAsia="Arial" w:hint="default"/>
                <w:spacing w:val="-6"/>
                <w:sz w:val="16"/>
                <w:szCs w:val="16"/>
              </w:rPr>
              <w:t> </w:t>
            </w:r>
            <w:r>
              <w:rPr>
                <w:rFonts w:ascii="宋体" w:hAnsi="宋体" w:cs="宋体" w:eastAsia="宋体" w:hint="default"/>
                <w:sz w:val="16"/>
                <w:szCs w:val="16"/>
              </w:rPr>
              <w:t>公司留存的联通红筹公司宣派的股利</w:t>
            </w:r>
          </w:p>
        </w:tc>
        <w:tc>
          <w:tcPr>
            <w:tcW w:w="1719" w:type="dxa"/>
            <w:gridSpan w:val="2"/>
            <w:tcBorders>
              <w:top w:val="nil" w:sz="6" w:space="0" w:color="auto"/>
              <w:left w:val="nil" w:sz="6" w:space="0" w:color="auto"/>
              <w:bottom w:val="nil" w:sz="6" w:space="0" w:color="auto"/>
              <w:right w:val="nil" w:sz="6" w:space="0" w:color="auto"/>
            </w:tcBorders>
          </w:tcPr>
          <w:p>
            <w:pPr>
              <w:pStyle w:val="TableParagraph"/>
              <w:tabs>
                <w:tab w:pos="1304" w:val="left" w:leader="none"/>
                <w:tab w:pos="2358" w:val="left" w:leader="none"/>
              </w:tabs>
              <w:spacing w:line="240" w:lineRule="auto" w:before="13"/>
              <w:ind w:left="475" w:right="-639"/>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w:t>
              <w:tab/>
            </w:r>
            <w:r>
              <w:rPr>
                <w:rFonts w:ascii="Arial"/>
                <w:sz w:val="16"/>
              </w:rPr>
            </w:r>
          </w:p>
        </w:tc>
        <w:tc>
          <w:tcPr>
            <w:tcW w:w="782" w:type="dxa"/>
            <w:tcBorders>
              <w:top w:val="nil" w:sz="6" w:space="0" w:color="auto"/>
              <w:left w:val="nil" w:sz="6" w:space="0" w:color="auto"/>
              <w:bottom w:val="nil" w:sz="6" w:space="0" w:color="auto"/>
              <w:right w:val="nil" w:sz="6" w:space="0" w:color="auto"/>
            </w:tcBorders>
          </w:tcPr>
          <w:p>
            <w:pPr>
              <w:pStyle w:val="TableParagraph"/>
              <w:tabs>
                <w:tab w:pos="142" w:val="left" w:leader="none"/>
              </w:tabs>
              <w:spacing w:line="240" w:lineRule="auto" w:before="13"/>
              <w:ind w:right="0"/>
              <w:jc w:val="right"/>
              <w:rPr>
                <w:rFonts w:ascii="Arial" w:hAnsi="Arial" w:cs="Arial" w:eastAsia="Arial" w:hint="default"/>
                <w:sz w:val="16"/>
                <w:szCs w:val="16"/>
              </w:rPr>
            </w:pPr>
            <w:r>
              <w:rPr>
                <w:rFonts w:ascii="Arial"/>
                <w:w w:val="99"/>
                <w:sz w:val="16"/>
              </w:rPr>
            </w:r>
            <w:r>
              <w:rPr>
                <w:rFonts w:ascii="Arial"/>
                <w:w w:val="95"/>
                <w:sz w:val="16"/>
                <w:u w:val="single" w:color="000000"/>
              </w:rPr>
              <w:t>-</w:t>
            </w:r>
            <w:r>
              <w:rPr>
                <w:rFonts w:ascii="Arial"/>
                <w:sz w:val="16"/>
                <w:u w:val="single" w:color="000000"/>
              </w:rPr>
              <w:tab/>
            </w:r>
            <w:r>
              <w:rPr>
                <w:rFonts w:ascii="Arial"/>
                <w:sz w:val="16"/>
              </w:rPr>
            </w:r>
          </w:p>
        </w:tc>
        <w:tc>
          <w:tcPr>
            <w:tcW w:w="992" w:type="dxa"/>
            <w:tcBorders>
              <w:top w:val="nil" w:sz="6" w:space="0" w:color="auto"/>
              <w:left w:val="nil" w:sz="6" w:space="0" w:color="auto"/>
              <w:bottom w:val="nil" w:sz="6" w:space="0" w:color="auto"/>
              <w:right w:val="nil" w:sz="6" w:space="0" w:color="auto"/>
            </w:tcBorders>
          </w:tcPr>
          <w:p>
            <w:pPr>
              <w:pStyle w:val="TableParagraph"/>
              <w:tabs>
                <w:tab w:pos="631" w:val="left" w:leader="none"/>
              </w:tabs>
              <w:spacing w:line="240" w:lineRule="auto" w:before="13"/>
              <w:ind w:left="80"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(16)</w:t>
            </w:r>
            <w:r>
              <w:rPr>
                <w:rFonts w:ascii="Arial"/>
                <w:sz w:val="16"/>
              </w:rPr>
            </w:r>
          </w:p>
        </w:tc>
        <w:tc>
          <w:tcPr>
            <w:tcW w:w="910" w:type="dxa"/>
            <w:tcBorders>
              <w:top w:val="nil" w:sz="6" w:space="0" w:color="auto"/>
              <w:left w:val="nil" w:sz="6" w:space="0" w:color="auto"/>
              <w:bottom w:val="nil" w:sz="6" w:space="0" w:color="auto"/>
              <w:right w:val="nil" w:sz="6" w:space="0" w:color="auto"/>
            </w:tcBorders>
          </w:tcPr>
          <w:p>
            <w:pPr>
              <w:pStyle w:val="TableParagraph"/>
              <w:tabs>
                <w:tab w:pos="611" w:val="left" w:leader="none"/>
              </w:tabs>
              <w:spacing w:line="240" w:lineRule="auto" w:before="13"/>
              <w:ind w:left="33"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(16)</w:t>
            </w:r>
            <w:r>
              <w:rPr>
                <w:rFonts w:ascii="Arial"/>
                <w:sz w:val="16"/>
              </w:rPr>
            </w:r>
          </w:p>
        </w:tc>
      </w:tr>
      <w:tr>
        <w:trPr>
          <w:trHeight w:val="387" w:hRule="exact"/>
        </w:trPr>
        <w:tc>
          <w:tcPr>
            <w:tcW w:w="484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0" w:right="0"/>
              <w:jc w:val="left"/>
              <w:rPr>
                <w:rFonts w:ascii="宋体" w:hAnsi="宋体" w:cs="宋体" w:eastAsia="宋体" w:hint="default"/>
                <w:sz w:val="16"/>
                <w:szCs w:val="16"/>
              </w:rPr>
            </w:pPr>
            <w:r>
              <w:rPr>
                <w:rFonts w:ascii="宋体" w:hAnsi="宋体" w:cs="宋体" w:eastAsia="宋体" w:hint="default"/>
                <w:sz w:val="16"/>
                <w:szCs w:val="16"/>
              </w:rPr>
              <w:t>联通红筹公司中国会计准则下的净利润</w:t>
            </w:r>
            <w:r>
              <w:rPr>
                <w:rFonts w:ascii="Arial" w:hAnsi="Arial" w:cs="Arial" w:eastAsia="Arial" w:hint="default"/>
                <w:sz w:val="16"/>
                <w:szCs w:val="16"/>
              </w:rPr>
              <w:t>/</w:t>
            </w:r>
            <w:r>
              <w:rPr>
                <w:rFonts w:ascii="宋体" w:hAnsi="宋体" w:cs="宋体" w:eastAsia="宋体" w:hint="default"/>
                <w:sz w:val="16"/>
                <w:szCs w:val="16"/>
              </w:rPr>
              <w:t>净资产</w:t>
            </w:r>
          </w:p>
        </w:tc>
        <w:tc>
          <w:tcPr>
            <w:tcW w:w="1719" w:type="dxa"/>
            <w:gridSpan w:val="2"/>
            <w:tcBorders>
              <w:top w:val="nil" w:sz="6" w:space="0" w:color="auto"/>
              <w:left w:val="nil" w:sz="6" w:space="0" w:color="auto"/>
              <w:bottom w:val="nil" w:sz="6" w:space="0" w:color="auto"/>
              <w:right w:val="nil" w:sz="6" w:space="0" w:color="auto"/>
            </w:tcBorders>
          </w:tcPr>
          <w:p>
            <w:pPr>
              <w:pStyle w:val="TableParagraph"/>
              <w:tabs>
                <w:tab w:pos="956" w:val="left" w:leader="none"/>
                <w:tab w:pos="2010" w:val="left" w:leader="none"/>
              </w:tabs>
              <w:spacing w:line="240" w:lineRule="auto" w:before="112"/>
              <w:ind w:left="475" w:right="-291"/>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7,044</w:t>
              <w:tab/>
            </w:r>
            <w:r>
              <w:rPr>
                <w:rFonts w:ascii="Arial"/>
                <w:sz w:val="16"/>
              </w:rPr>
            </w:r>
          </w:p>
        </w:tc>
        <w:tc>
          <w:tcPr>
            <w:tcW w:w="782" w:type="dxa"/>
            <w:tcBorders>
              <w:top w:val="nil" w:sz="6" w:space="0" w:color="auto"/>
              <w:left w:val="nil" w:sz="6" w:space="0" w:color="auto"/>
              <w:bottom w:val="nil" w:sz="6" w:space="0" w:color="auto"/>
              <w:right w:val="nil" w:sz="6" w:space="0" w:color="auto"/>
            </w:tcBorders>
          </w:tcPr>
          <w:p>
            <w:pPr>
              <w:pStyle w:val="TableParagraph"/>
              <w:tabs>
                <w:tab w:pos="490" w:val="left" w:leader="none"/>
              </w:tabs>
              <w:spacing w:line="240" w:lineRule="auto" w:before="112"/>
              <w:ind w:right="0"/>
              <w:jc w:val="right"/>
              <w:rPr>
                <w:rFonts w:ascii="Arial" w:hAnsi="Arial" w:cs="Arial" w:eastAsia="Arial" w:hint="default"/>
                <w:sz w:val="16"/>
                <w:szCs w:val="16"/>
              </w:rPr>
            </w:pPr>
            <w:r>
              <w:rPr>
                <w:rFonts w:ascii="Arial"/>
                <w:w w:val="99"/>
                <w:sz w:val="16"/>
              </w:rPr>
            </w:r>
            <w:r>
              <w:rPr>
                <w:rFonts w:ascii="Arial"/>
                <w:w w:val="95"/>
                <w:sz w:val="16"/>
                <w:u w:val="single" w:color="000000"/>
              </w:rPr>
              <w:t>4,198</w:t>
            </w:r>
            <w:r>
              <w:rPr>
                <w:rFonts w:ascii="Arial"/>
                <w:sz w:val="16"/>
                <w:u w:val="single" w:color="000000"/>
              </w:rPr>
              <w:tab/>
            </w:r>
            <w:r>
              <w:rPr>
                <w:rFonts w:ascii="Arial"/>
                <w:sz w:val="16"/>
              </w:rPr>
            </w:r>
          </w:p>
        </w:tc>
        <w:tc>
          <w:tcPr>
            <w:tcW w:w="992" w:type="dxa"/>
            <w:tcBorders>
              <w:top w:val="nil" w:sz="6" w:space="0" w:color="auto"/>
              <w:left w:val="nil" w:sz="6" w:space="0" w:color="auto"/>
              <w:bottom w:val="nil" w:sz="6" w:space="0" w:color="auto"/>
              <w:right w:val="nil" w:sz="6" w:space="0" w:color="auto"/>
            </w:tcBorders>
          </w:tcPr>
          <w:p>
            <w:pPr>
              <w:pStyle w:val="TableParagraph"/>
              <w:tabs>
                <w:tab w:pos="953" w:val="left" w:leader="none"/>
              </w:tabs>
              <w:spacing w:line="240" w:lineRule="auto" w:before="112"/>
              <w:ind w:left="80"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20"/>
                <w:sz w:val="16"/>
                <w:u w:val="single" w:color="000000"/>
              </w:rPr>
              <w:t> </w:t>
            </w:r>
            <w:r>
              <w:rPr>
                <w:rFonts w:ascii="Arial"/>
                <w:sz w:val="16"/>
                <w:u w:val="single" w:color="000000"/>
              </w:rPr>
              <w:t>211,642</w:t>
              <w:tab/>
            </w:r>
            <w:r>
              <w:rPr>
                <w:rFonts w:ascii="Arial"/>
                <w:sz w:val="16"/>
              </w:rPr>
            </w:r>
          </w:p>
        </w:tc>
        <w:tc>
          <w:tcPr>
            <w:tcW w:w="910" w:type="dxa"/>
            <w:tcBorders>
              <w:top w:val="nil" w:sz="6" w:space="0" w:color="auto"/>
              <w:left w:val="nil" w:sz="6" w:space="0" w:color="auto"/>
              <w:bottom w:val="nil" w:sz="6" w:space="0" w:color="auto"/>
              <w:right w:val="nil" w:sz="6" w:space="0" w:color="auto"/>
            </w:tcBorders>
          </w:tcPr>
          <w:p>
            <w:pPr>
              <w:pStyle w:val="TableParagraph"/>
              <w:tabs>
                <w:tab w:pos="909" w:val="left" w:leader="none"/>
              </w:tabs>
              <w:spacing w:line="240" w:lineRule="auto" w:before="112"/>
              <w:ind w:left="33"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8"/>
                <w:sz w:val="16"/>
                <w:u w:val="single" w:color="000000"/>
              </w:rPr>
              <w:t> </w:t>
            </w:r>
            <w:r>
              <w:rPr>
                <w:rFonts w:ascii="Arial"/>
                <w:sz w:val="16"/>
                <w:u w:val="single" w:color="000000"/>
              </w:rPr>
              <w:t>208,088</w:t>
              <w:tab/>
            </w:r>
            <w:r>
              <w:rPr>
                <w:rFonts w:ascii="Arial"/>
                <w:sz w:val="16"/>
              </w:rPr>
            </w:r>
          </w:p>
        </w:tc>
      </w:tr>
      <w:tr>
        <w:trPr>
          <w:trHeight w:val="281" w:hRule="exact"/>
        </w:trPr>
        <w:tc>
          <w:tcPr>
            <w:tcW w:w="484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0" w:right="0"/>
              <w:jc w:val="left"/>
              <w:rPr>
                <w:rFonts w:ascii="宋体" w:hAnsi="宋体" w:cs="宋体" w:eastAsia="宋体" w:hint="default"/>
                <w:sz w:val="16"/>
                <w:szCs w:val="16"/>
              </w:rPr>
            </w:pPr>
            <w:r>
              <w:rPr>
                <w:rFonts w:ascii="宋体" w:hAnsi="宋体" w:cs="宋体" w:eastAsia="宋体" w:hint="default"/>
                <w:sz w:val="16"/>
                <w:szCs w:val="16"/>
              </w:rPr>
              <w:t>国际</w:t>
            </w:r>
            <w:r>
              <w:rPr>
                <w:rFonts w:ascii="Arial" w:hAnsi="Arial" w:cs="Arial" w:eastAsia="Arial" w:hint="default"/>
                <w:sz w:val="16"/>
                <w:szCs w:val="16"/>
              </w:rPr>
              <w:t>/</w:t>
            </w:r>
            <w:r>
              <w:rPr>
                <w:rFonts w:ascii="宋体" w:hAnsi="宋体" w:cs="宋体" w:eastAsia="宋体" w:hint="default"/>
                <w:sz w:val="16"/>
                <w:szCs w:val="16"/>
              </w:rPr>
              <w:t>香港财务报告准则调整增加（减少）：</w:t>
            </w:r>
          </w:p>
        </w:tc>
        <w:tc>
          <w:tcPr>
            <w:tcW w:w="475"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910" w:type="dxa"/>
            <w:tcBorders>
              <w:top w:val="nil" w:sz="6" w:space="0" w:color="auto"/>
              <w:left w:val="nil" w:sz="6" w:space="0" w:color="auto"/>
              <w:bottom w:val="nil" w:sz="6" w:space="0" w:color="auto"/>
              <w:right w:val="nil" w:sz="6" w:space="0" w:color="auto"/>
            </w:tcBorders>
          </w:tcPr>
          <w:p>
            <w:pPr/>
          </w:p>
        </w:tc>
      </w:tr>
      <w:tr>
        <w:trPr>
          <w:trHeight w:val="421" w:hRule="exact"/>
        </w:trPr>
        <w:tc>
          <w:tcPr>
            <w:tcW w:w="4845" w:type="dxa"/>
            <w:tcBorders>
              <w:top w:val="nil" w:sz="6" w:space="0" w:color="auto"/>
              <w:left w:val="nil" w:sz="6" w:space="0" w:color="auto"/>
              <w:bottom w:val="nil" w:sz="6" w:space="0" w:color="auto"/>
              <w:right w:val="nil" w:sz="6" w:space="0" w:color="auto"/>
            </w:tcBorders>
          </w:tcPr>
          <w:p>
            <w:pPr>
              <w:pStyle w:val="TableParagraph"/>
              <w:spacing w:line="185" w:lineRule="exact"/>
              <w:ind w:left="161" w:right="0"/>
              <w:jc w:val="left"/>
              <w:rPr>
                <w:rFonts w:ascii="宋体" w:hAnsi="宋体" w:cs="宋体" w:eastAsia="宋体" w:hint="default"/>
                <w:sz w:val="16"/>
                <w:szCs w:val="16"/>
              </w:rPr>
            </w:pPr>
            <w:r>
              <w:rPr>
                <w:rFonts w:ascii="宋体" w:hAnsi="宋体" w:cs="宋体" w:eastAsia="宋体" w:hint="default"/>
                <w:sz w:val="16"/>
                <w:szCs w:val="16"/>
              </w:rPr>
              <w:t>—调整以前年度国际</w:t>
            </w:r>
            <w:r>
              <w:rPr>
                <w:rFonts w:ascii="Arial" w:hAnsi="Arial" w:cs="Arial" w:eastAsia="Arial" w:hint="default"/>
                <w:sz w:val="16"/>
                <w:szCs w:val="16"/>
              </w:rPr>
              <w:t>/</w:t>
            </w:r>
            <w:r>
              <w:rPr>
                <w:rFonts w:ascii="宋体" w:hAnsi="宋体" w:cs="宋体" w:eastAsia="宋体" w:hint="default"/>
                <w:sz w:val="16"/>
                <w:szCs w:val="16"/>
              </w:rPr>
              <w:t>香港财务报告准则下额外资本化利息对折旧</w:t>
            </w:r>
          </w:p>
          <w:p>
            <w:pPr>
              <w:pStyle w:val="TableParagraph"/>
              <w:spacing w:line="203" w:lineRule="exact"/>
              <w:ind w:left="495" w:right="0"/>
              <w:jc w:val="left"/>
              <w:rPr>
                <w:rFonts w:ascii="宋体" w:hAnsi="宋体" w:cs="宋体" w:eastAsia="宋体" w:hint="default"/>
                <w:sz w:val="16"/>
                <w:szCs w:val="16"/>
              </w:rPr>
            </w:pPr>
            <w:r>
              <w:rPr>
                <w:rFonts w:ascii="宋体" w:hAnsi="宋体" w:cs="宋体" w:eastAsia="宋体" w:hint="default"/>
                <w:sz w:val="16"/>
                <w:szCs w:val="16"/>
              </w:rPr>
              <w:t>的税后影响</w:t>
            </w: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48"/>
              <w:jc w:val="right"/>
              <w:rPr>
                <w:rFonts w:ascii="Arial" w:hAnsi="Arial" w:cs="Arial" w:eastAsia="Arial" w:hint="default"/>
                <w:sz w:val="16"/>
                <w:szCs w:val="16"/>
              </w:rPr>
            </w:pPr>
            <w:r>
              <w:rPr>
                <w:rFonts w:ascii="Arial"/>
                <w:spacing w:val="-1"/>
                <w:sz w:val="16"/>
              </w:rPr>
              <w:t>(1)</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62" w:right="0"/>
              <w:jc w:val="left"/>
              <w:rPr>
                <w:rFonts w:ascii="Arial" w:hAnsi="Arial" w:cs="Arial" w:eastAsia="Arial" w:hint="default"/>
                <w:sz w:val="16"/>
                <w:szCs w:val="16"/>
              </w:rPr>
            </w:pPr>
            <w:r>
              <w:rPr>
                <w:rFonts w:ascii="Arial"/>
                <w:sz w:val="16"/>
              </w:rPr>
              <w:t>(138)</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72" w:right="0"/>
              <w:jc w:val="left"/>
              <w:rPr>
                <w:rFonts w:ascii="Arial" w:hAnsi="Arial" w:cs="Arial" w:eastAsia="Arial" w:hint="default"/>
                <w:sz w:val="16"/>
                <w:szCs w:val="16"/>
              </w:rPr>
            </w:pPr>
            <w:r>
              <w:rPr>
                <w:rFonts w:ascii="Arial"/>
                <w:sz w:val="16"/>
              </w:rPr>
              <w:t>(175)</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28"/>
              <w:jc w:val="right"/>
              <w:rPr>
                <w:rFonts w:ascii="Arial" w:hAnsi="Arial" w:cs="Arial" w:eastAsia="Arial" w:hint="default"/>
                <w:sz w:val="16"/>
                <w:szCs w:val="16"/>
              </w:rPr>
            </w:pPr>
            <w:r>
              <w:rPr>
                <w:rFonts w:ascii="Arial"/>
                <w:w w:val="95"/>
                <w:sz w:val="16"/>
              </w:rPr>
              <w:t>436</w:t>
            </w:r>
            <w:r>
              <w:rPr>
                <w:rFonts w:ascii="Arial"/>
                <w:sz w:val="16"/>
              </w:rPr>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65"/>
              <w:jc w:val="right"/>
              <w:rPr>
                <w:rFonts w:ascii="Arial" w:hAnsi="Arial" w:cs="Arial" w:eastAsia="Arial" w:hint="default"/>
                <w:sz w:val="16"/>
                <w:szCs w:val="16"/>
              </w:rPr>
            </w:pPr>
            <w:r>
              <w:rPr>
                <w:rFonts w:ascii="Arial"/>
                <w:w w:val="95"/>
                <w:sz w:val="16"/>
              </w:rPr>
              <w:t>574</w:t>
            </w:r>
            <w:r>
              <w:rPr>
                <w:rFonts w:ascii="Arial"/>
                <w:sz w:val="16"/>
              </w:rPr>
            </w:r>
          </w:p>
        </w:tc>
      </w:tr>
      <w:tr>
        <w:trPr>
          <w:trHeight w:val="415" w:hRule="exact"/>
        </w:trPr>
        <w:tc>
          <w:tcPr>
            <w:tcW w:w="4845" w:type="dxa"/>
            <w:tcBorders>
              <w:top w:val="nil" w:sz="6" w:space="0" w:color="auto"/>
              <w:left w:val="nil" w:sz="6" w:space="0" w:color="auto"/>
              <w:bottom w:val="nil" w:sz="6" w:space="0" w:color="auto"/>
              <w:right w:val="nil" w:sz="6" w:space="0" w:color="auto"/>
            </w:tcBorders>
          </w:tcPr>
          <w:p>
            <w:pPr>
              <w:pStyle w:val="TableParagraph"/>
              <w:spacing w:line="173" w:lineRule="exact"/>
              <w:ind w:left="161" w:right="0"/>
              <w:jc w:val="left"/>
              <w:rPr>
                <w:rFonts w:ascii="宋体" w:hAnsi="宋体" w:cs="宋体" w:eastAsia="宋体" w:hint="default"/>
                <w:sz w:val="16"/>
                <w:szCs w:val="16"/>
              </w:rPr>
            </w:pPr>
            <w:r>
              <w:rPr>
                <w:rFonts w:ascii="宋体" w:hAnsi="宋体" w:cs="宋体" w:eastAsia="宋体" w:hint="default"/>
                <w:sz w:val="16"/>
                <w:szCs w:val="16"/>
              </w:rPr>
              <w:t>—调整以前年度原中国会计准则下因土地及房屋建筑物的评估对</w:t>
            </w:r>
          </w:p>
          <w:p>
            <w:pPr>
              <w:pStyle w:val="TableParagraph"/>
              <w:spacing w:line="208" w:lineRule="exact"/>
              <w:ind w:left="513" w:right="0"/>
              <w:jc w:val="left"/>
              <w:rPr>
                <w:rFonts w:ascii="宋体" w:hAnsi="宋体" w:cs="宋体" w:eastAsia="宋体" w:hint="default"/>
                <w:sz w:val="16"/>
                <w:szCs w:val="16"/>
              </w:rPr>
            </w:pPr>
            <w:r>
              <w:rPr>
                <w:rFonts w:ascii="宋体" w:hAnsi="宋体" w:cs="宋体" w:eastAsia="宋体" w:hint="default"/>
                <w:sz w:val="16"/>
                <w:szCs w:val="16"/>
              </w:rPr>
              <w:t>折旧及摊销的税后影响</w:t>
            </w: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48"/>
              <w:jc w:val="right"/>
              <w:rPr>
                <w:rFonts w:ascii="Arial" w:hAnsi="Arial" w:cs="Arial" w:eastAsia="Arial" w:hint="default"/>
                <w:sz w:val="16"/>
                <w:szCs w:val="16"/>
              </w:rPr>
            </w:pPr>
            <w:r>
              <w:rPr>
                <w:rFonts w:ascii="Arial"/>
                <w:spacing w:val="-1"/>
                <w:sz w:val="16"/>
              </w:rPr>
              <w:t>(2)</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15" w:right="0"/>
              <w:jc w:val="left"/>
              <w:rPr>
                <w:rFonts w:ascii="Arial" w:hAnsi="Arial" w:cs="Arial" w:eastAsia="Arial" w:hint="default"/>
                <w:sz w:val="16"/>
                <w:szCs w:val="16"/>
              </w:rPr>
            </w:pPr>
            <w:r>
              <w:rPr>
                <w:rFonts w:ascii="Arial"/>
                <w:sz w:val="16"/>
              </w:rPr>
              <w:t>190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25" w:right="0"/>
              <w:jc w:val="left"/>
              <w:rPr>
                <w:rFonts w:ascii="Arial" w:hAnsi="Arial" w:cs="Arial" w:eastAsia="Arial" w:hint="default"/>
                <w:sz w:val="16"/>
                <w:szCs w:val="16"/>
              </w:rPr>
            </w:pPr>
            <w:r>
              <w:rPr>
                <w:rFonts w:ascii="Arial"/>
                <w:sz w:val="16"/>
              </w:rPr>
              <w:t>203</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09" w:right="0"/>
              <w:jc w:val="left"/>
              <w:rPr>
                <w:rFonts w:ascii="Arial" w:hAnsi="Arial" w:cs="Arial" w:eastAsia="Arial" w:hint="default"/>
                <w:sz w:val="16"/>
                <w:szCs w:val="16"/>
              </w:rPr>
            </w:pPr>
            <w:r>
              <w:rPr>
                <w:rFonts w:ascii="Arial"/>
                <w:sz w:val="16"/>
              </w:rPr>
              <w:t>(5,398)</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2"/>
              <w:jc w:val="right"/>
              <w:rPr>
                <w:rFonts w:ascii="Arial" w:hAnsi="Arial" w:cs="Arial" w:eastAsia="Arial" w:hint="default"/>
                <w:sz w:val="16"/>
                <w:szCs w:val="16"/>
              </w:rPr>
            </w:pPr>
            <w:r>
              <w:rPr>
                <w:rFonts w:ascii="Arial"/>
                <w:spacing w:val="-1"/>
                <w:sz w:val="16"/>
              </w:rPr>
              <w:t>(5,588)</w:t>
            </w:r>
          </w:p>
        </w:tc>
      </w:tr>
      <w:tr>
        <w:trPr>
          <w:trHeight w:val="655" w:hRule="exact"/>
        </w:trPr>
        <w:tc>
          <w:tcPr>
            <w:tcW w:w="4845" w:type="dxa"/>
            <w:tcBorders>
              <w:top w:val="nil" w:sz="6" w:space="0" w:color="auto"/>
              <w:left w:val="nil" w:sz="6" w:space="0" w:color="auto"/>
              <w:bottom w:val="nil" w:sz="6" w:space="0" w:color="auto"/>
              <w:right w:val="nil" w:sz="6" w:space="0" w:color="auto"/>
            </w:tcBorders>
          </w:tcPr>
          <w:p>
            <w:pPr>
              <w:pStyle w:val="TableParagraph"/>
              <w:spacing w:line="179" w:lineRule="exact"/>
              <w:ind w:left="161" w:right="0"/>
              <w:jc w:val="left"/>
              <w:rPr>
                <w:rFonts w:ascii="宋体" w:hAnsi="宋体" w:cs="宋体" w:eastAsia="宋体" w:hint="default"/>
                <w:sz w:val="16"/>
                <w:szCs w:val="16"/>
              </w:rPr>
            </w:pPr>
            <w:r>
              <w:rPr>
                <w:rFonts w:ascii="宋体" w:hAnsi="宋体" w:cs="宋体" w:eastAsia="宋体" w:hint="default"/>
                <w:sz w:val="16"/>
                <w:szCs w:val="16"/>
              </w:rPr>
              <w:t>—因以前年度收购联通新世纪</w:t>
            </w:r>
            <w:r>
              <w:rPr>
                <w:rFonts w:ascii="宋体" w:hAnsi="宋体" w:cs="宋体" w:eastAsia="宋体" w:hint="default"/>
                <w:spacing w:val="-57"/>
                <w:sz w:val="16"/>
                <w:szCs w:val="16"/>
              </w:rPr>
              <w:t> </w:t>
            </w:r>
            <w:r>
              <w:rPr>
                <w:rFonts w:ascii="Arial" w:hAnsi="Arial" w:cs="Arial" w:eastAsia="Arial" w:hint="default"/>
                <w:sz w:val="16"/>
                <w:szCs w:val="16"/>
              </w:rPr>
              <w:t>BVI</w:t>
            </w:r>
            <w:r>
              <w:rPr>
                <w:rFonts w:ascii="Arial" w:hAnsi="Arial" w:cs="Arial" w:eastAsia="Arial" w:hint="default"/>
                <w:spacing w:val="-22"/>
                <w:sz w:val="16"/>
                <w:szCs w:val="16"/>
              </w:rPr>
              <w:t> </w:t>
            </w:r>
            <w:r>
              <w:rPr>
                <w:rFonts w:ascii="宋体" w:hAnsi="宋体" w:cs="宋体" w:eastAsia="宋体" w:hint="default"/>
                <w:sz w:val="16"/>
                <w:szCs w:val="16"/>
              </w:rPr>
              <w:t>和联通新世界</w:t>
            </w:r>
            <w:r>
              <w:rPr>
                <w:rFonts w:ascii="宋体" w:hAnsi="宋体" w:cs="宋体" w:eastAsia="宋体" w:hint="default"/>
                <w:spacing w:val="-57"/>
                <w:sz w:val="16"/>
                <w:szCs w:val="16"/>
              </w:rPr>
              <w:t> </w:t>
            </w:r>
            <w:r>
              <w:rPr>
                <w:rFonts w:ascii="Arial" w:hAnsi="Arial" w:cs="Arial" w:eastAsia="Arial" w:hint="default"/>
                <w:sz w:val="16"/>
                <w:szCs w:val="16"/>
              </w:rPr>
              <w:t>BVI</w:t>
            </w:r>
            <w:r>
              <w:rPr>
                <w:rFonts w:ascii="Arial" w:hAnsi="Arial" w:cs="Arial" w:eastAsia="Arial" w:hint="default"/>
                <w:spacing w:val="-21"/>
                <w:sz w:val="16"/>
                <w:szCs w:val="16"/>
              </w:rPr>
              <w:t> </w:t>
            </w:r>
            <w:r>
              <w:rPr>
                <w:rFonts w:ascii="宋体" w:hAnsi="宋体" w:cs="宋体" w:eastAsia="宋体" w:hint="default"/>
                <w:sz w:val="16"/>
                <w:szCs w:val="16"/>
              </w:rPr>
              <w:t>产生的股权投</w:t>
            </w:r>
          </w:p>
          <w:p>
            <w:pPr>
              <w:pStyle w:val="TableParagraph"/>
              <w:spacing w:line="208" w:lineRule="exact" w:before="14"/>
              <w:ind w:left="513" w:right="126"/>
              <w:jc w:val="left"/>
              <w:rPr>
                <w:rFonts w:ascii="宋体" w:hAnsi="宋体" w:cs="宋体" w:eastAsia="宋体" w:hint="default"/>
                <w:sz w:val="16"/>
                <w:szCs w:val="16"/>
              </w:rPr>
            </w:pPr>
            <w:r>
              <w:rPr>
                <w:rFonts w:ascii="宋体" w:hAnsi="宋体" w:cs="宋体" w:eastAsia="宋体" w:hint="default"/>
                <w:w w:val="95"/>
                <w:sz w:val="16"/>
                <w:szCs w:val="16"/>
              </w:rPr>
              <w:t>资差额、商誉及收购费用在中国会计准则与国际</w:t>
            </w:r>
            <w:r>
              <w:rPr>
                <w:rFonts w:ascii="Arial" w:hAnsi="Arial" w:cs="Arial" w:eastAsia="Arial" w:hint="default"/>
                <w:w w:val="95"/>
                <w:sz w:val="16"/>
                <w:szCs w:val="16"/>
              </w:rPr>
              <w:t>/</w:t>
            </w:r>
            <w:r>
              <w:rPr>
                <w:rFonts w:ascii="宋体" w:hAnsi="宋体" w:cs="宋体" w:eastAsia="宋体" w:hint="default"/>
                <w:w w:val="95"/>
                <w:sz w:val="16"/>
                <w:szCs w:val="16"/>
              </w:rPr>
              <w:t>香港财务报</w:t>
            </w:r>
            <w:r>
              <w:rPr>
                <w:rFonts w:ascii="宋体" w:hAnsi="宋体" w:cs="宋体" w:eastAsia="宋体" w:hint="default"/>
                <w:spacing w:val="54"/>
                <w:w w:val="95"/>
                <w:sz w:val="16"/>
                <w:szCs w:val="16"/>
              </w:rPr>
              <w:t> </w:t>
            </w:r>
            <w:r>
              <w:rPr>
                <w:rFonts w:ascii="宋体" w:hAnsi="宋体" w:cs="宋体" w:eastAsia="宋体" w:hint="default"/>
                <w:spacing w:val="54"/>
                <w:w w:val="95"/>
                <w:sz w:val="16"/>
                <w:szCs w:val="16"/>
              </w:rPr>
            </w:r>
            <w:r>
              <w:rPr>
                <w:rFonts w:ascii="宋体" w:hAnsi="宋体" w:cs="宋体" w:eastAsia="宋体" w:hint="default"/>
                <w:sz w:val="16"/>
                <w:szCs w:val="16"/>
              </w:rPr>
              <w:t>告准则下存在差异</w:t>
            </w: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48"/>
              <w:jc w:val="right"/>
              <w:rPr>
                <w:rFonts w:ascii="Arial" w:hAnsi="Arial" w:cs="Arial" w:eastAsia="Arial" w:hint="default"/>
                <w:sz w:val="16"/>
                <w:szCs w:val="16"/>
              </w:rPr>
            </w:pPr>
            <w:r>
              <w:rPr>
                <w:rFonts w:ascii="Arial"/>
                <w:spacing w:val="-1"/>
                <w:sz w:val="16"/>
              </w:rPr>
              <w:t>(3)</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829" w:right="0"/>
              <w:jc w:val="left"/>
              <w:rPr>
                <w:rFonts w:ascii="Arial" w:hAnsi="Arial" w:cs="Arial" w:eastAsia="Arial" w:hint="default"/>
                <w:sz w:val="16"/>
                <w:szCs w:val="16"/>
              </w:rPr>
            </w:pPr>
            <w:r>
              <w:rPr>
                <w:rFonts w:ascii="Arial"/>
                <w:w w:val="99"/>
                <w:sz w:val="16"/>
              </w:rPr>
              <w:t>-</w:t>
            </w:r>
            <w:r>
              <w:rPr>
                <w:rFonts w:ascii="Arial"/>
                <w:sz w:val="16"/>
              </w:rPr>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87"/>
              <w:jc w:val="right"/>
              <w:rPr>
                <w:rFonts w:ascii="Arial" w:hAnsi="Arial" w:cs="Arial" w:eastAsia="Arial" w:hint="default"/>
                <w:sz w:val="16"/>
                <w:szCs w:val="16"/>
              </w:rPr>
            </w:pPr>
            <w:r>
              <w:rPr>
                <w:rFonts w:ascii="Arial"/>
                <w:w w:val="99"/>
                <w:sz w:val="16"/>
              </w:rPr>
              <w:t>-</w:t>
            </w:r>
            <w:r>
              <w:rPr>
                <w:rFonts w:ascii="Arial"/>
                <w:sz w:val="16"/>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31"/>
              <w:jc w:val="right"/>
              <w:rPr>
                <w:rFonts w:ascii="Arial" w:hAnsi="Arial" w:cs="Arial" w:eastAsia="Arial" w:hint="default"/>
                <w:sz w:val="16"/>
                <w:szCs w:val="16"/>
              </w:rPr>
            </w:pPr>
            <w:r>
              <w:rPr>
                <w:rFonts w:ascii="Arial"/>
                <w:w w:val="95"/>
                <w:sz w:val="16"/>
              </w:rPr>
              <w:t>2,598</w:t>
            </w:r>
            <w:r>
              <w:rPr>
                <w:rFonts w:ascii="Arial"/>
                <w:sz w:val="16"/>
              </w:rPr>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66"/>
              <w:jc w:val="right"/>
              <w:rPr>
                <w:rFonts w:ascii="Arial" w:hAnsi="Arial" w:cs="Arial" w:eastAsia="Arial" w:hint="default"/>
                <w:sz w:val="16"/>
                <w:szCs w:val="16"/>
              </w:rPr>
            </w:pPr>
            <w:r>
              <w:rPr>
                <w:rFonts w:ascii="Arial"/>
                <w:w w:val="95"/>
                <w:sz w:val="16"/>
              </w:rPr>
              <w:t>2,598</w:t>
            </w:r>
            <w:r>
              <w:rPr>
                <w:rFonts w:ascii="Arial"/>
                <w:sz w:val="16"/>
              </w:rPr>
            </w:r>
          </w:p>
        </w:tc>
      </w:tr>
      <w:tr>
        <w:trPr>
          <w:trHeight w:val="340" w:hRule="exact"/>
        </w:trPr>
        <w:tc>
          <w:tcPr>
            <w:tcW w:w="4845" w:type="dxa"/>
            <w:tcBorders>
              <w:top w:val="nil" w:sz="6" w:space="0" w:color="auto"/>
              <w:left w:val="nil" w:sz="6" w:space="0" w:color="auto"/>
              <w:bottom w:val="nil" w:sz="6" w:space="0" w:color="auto"/>
              <w:right w:val="nil" w:sz="6" w:space="0" w:color="auto"/>
            </w:tcBorders>
          </w:tcPr>
          <w:p>
            <w:pPr>
              <w:pStyle w:val="TableParagraph"/>
              <w:spacing w:line="207" w:lineRule="exact"/>
              <w:ind w:left="177"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475"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tabs>
                <w:tab w:pos="829" w:val="left" w:leader="none"/>
                <w:tab w:pos="1882" w:val="left" w:leader="none"/>
              </w:tabs>
              <w:spacing w:line="240" w:lineRule="auto" w:before="46"/>
              <w:ind w:right="-639"/>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w:t>
              <w:tab/>
            </w:r>
            <w:r>
              <w:rPr>
                <w:rFonts w:ascii="Arial"/>
                <w:sz w:val="16"/>
              </w:rPr>
            </w:r>
          </w:p>
        </w:tc>
        <w:tc>
          <w:tcPr>
            <w:tcW w:w="782" w:type="dxa"/>
            <w:tcBorders>
              <w:top w:val="nil" w:sz="6" w:space="0" w:color="auto"/>
              <w:left w:val="nil" w:sz="6" w:space="0" w:color="auto"/>
              <w:bottom w:val="nil" w:sz="6" w:space="0" w:color="auto"/>
              <w:right w:val="nil" w:sz="6" w:space="0" w:color="auto"/>
            </w:tcBorders>
          </w:tcPr>
          <w:p>
            <w:pPr>
              <w:pStyle w:val="TableParagraph"/>
              <w:tabs>
                <w:tab w:pos="142" w:val="left" w:leader="none"/>
              </w:tabs>
              <w:spacing w:line="240" w:lineRule="auto" w:before="46"/>
              <w:ind w:right="0"/>
              <w:jc w:val="right"/>
              <w:rPr>
                <w:rFonts w:ascii="Arial" w:hAnsi="Arial" w:cs="Arial" w:eastAsia="Arial" w:hint="default"/>
                <w:sz w:val="16"/>
                <w:szCs w:val="16"/>
              </w:rPr>
            </w:pPr>
            <w:r>
              <w:rPr>
                <w:rFonts w:ascii="Arial"/>
                <w:w w:val="99"/>
                <w:sz w:val="16"/>
              </w:rPr>
            </w:r>
            <w:r>
              <w:rPr>
                <w:rFonts w:ascii="Arial"/>
                <w:w w:val="95"/>
                <w:sz w:val="16"/>
                <w:u w:val="single" w:color="000000"/>
              </w:rPr>
              <w:t>-</w:t>
            </w:r>
            <w:r>
              <w:rPr>
                <w:rFonts w:ascii="Arial"/>
                <w:sz w:val="16"/>
                <w:u w:val="single" w:color="000000"/>
              </w:rPr>
              <w:tab/>
            </w:r>
            <w:r>
              <w:rPr>
                <w:rFonts w:ascii="Arial"/>
                <w:sz w:val="16"/>
              </w:rPr>
            </w:r>
          </w:p>
        </w:tc>
        <w:tc>
          <w:tcPr>
            <w:tcW w:w="992" w:type="dxa"/>
            <w:tcBorders>
              <w:top w:val="nil" w:sz="6" w:space="0" w:color="auto"/>
              <w:left w:val="nil" w:sz="6" w:space="0" w:color="auto"/>
              <w:bottom w:val="nil" w:sz="6" w:space="0" w:color="auto"/>
              <w:right w:val="nil" w:sz="6" w:space="0" w:color="auto"/>
            </w:tcBorders>
          </w:tcPr>
          <w:p>
            <w:pPr>
              <w:pStyle w:val="TableParagraph"/>
              <w:tabs>
                <w:tab w:pos="595" w:val="left" w:leader="none"/>
                <w:tab w:pos="953" w:val="left" w:leader="none"/>
              </w:tabs>
              <w:spacing w:line="240" w:lineRule="auto" w:before="46"/>
              <w:ind w:left="80"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225</w:t>
              <w:tab/>
            </w:r>
            <w:r>
              <w:rPr>
                <w:rFonts w:ascii="Arial"/>
                <w:sz w:val="16"/>
              </w:rPr>
            </w:r>
          </w:p>
        </w:tc>
        <w:tc>
          <w:tcPr>
            <w:tcW w:w="910" w:type="dxa"/>
            <w:tcBorders>
              <w:top w:val="nil" w:sz="6" w:space="0" w:color="auto"/>
              <w:left w:val="nil" w:sz="6" w:space="0" w:color="auto"/>
              <w:bottom w:val="nil" w:sz="6" w:space="0" w:color="auto"/>
              <w:right w:val="nil" w:sz="6" w:space="0" w:color="auto"/>
            </w:tcBorders>
          </w:tcPr>
          <w:p>
            <w:pPr>
              <w:pStyle w:val="TableParagraph"/>
              <w:tabs>
                <w:tab w:pos="575" w:val="left" w:leader="none"/>
                <w:tab w:pos="909" w:val="left" w:leader="none"/>
              </w:tabs>
              <w:spacing w:line="240" w:lineRule="auto" w:before="46"/>
              <w:ind w:left="33"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225</w:t>
              <w:tab/>
            </w:r>
            <w:r>
              <w:rPr>
                <w:rFonts w:ascii="Arial"/>
                <w:sz w:val="16"/>
              </w:rPr>
            </w:r>
          </w:p>
        </w:tc>
      </w:tr>
      <w:tr>
        <w:trPr>
          <w:trHeight w:val="406" w:hRule="exact"/>
        </w:trPr>
        <w:tc>
          <w:tcPr>
            <w:tcW w:w="484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left"/>
              <w:rPr>
                <w:rFonts w:ascii="宋体" w:hAnsi="宋体" w:cs="宋体" w:eastAsia="宋体" w:hint="default"/>
                <w:sz w:val="16"/>
                <w:szCs w:val="16"/>
              </w:rPr>
            </w:pPr>
            <w:r>
              <w:rPr>
                <w:rFonts w:ascii="宋体" w:hAnsi="宋体" w:cs="宋体" w:eastAsia="宋体" w:hint="default"/>
                <w:sz w:val="16"/>
                <w:szCs w:val="16"/>
              </w:rPr>
              <w:t>调整小计</w:t>
            </w:r>
          </w:p>
        </w:tc>
        <w:tc>
          <w:tcPr>
            <w:tcW w:w="475"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tabs>
                <w:tab w:pos="704" w:val="left" w:leader="none"/>
                <w:tab w:pos="1757" w:val="left" w:leader="none"/>
              </w:tabs>
              <w:spacing w:line="240" w:lineRule="auto" w:before="111"/>
              <w:ind w:right="-515"/>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52</w:t>
              <w:tab/>
            </w:r>
            <w:r>
              <w:rPr>
                <w:rFonts w:ascii="Arial"/>
                <w:sz w:val="16"/>
              </w:rPr>
            </w:r>
          </w:p>
        </w:tc>
        <w:tc>
          <w:tcPr>
            <w:tcW w:w="782" w:type="dxa"/>
            <w:tcBorders>
              <w:top w:val="nil" w:sz="6" w:space="0" w:color="auto"/>
              <w:left w:val="nil" w:sz="6" w:space="0" w:color="auto"/>
              <w:bottom w:val="nil" w:sz="6" w:space="0" w:color="auto"/>
              <w:right w:val="nil" w:sz="6" w:space="0" w:color="auto"/>
            </w:tcBorders>
          </w:tcPr>
          <w:p>
            <w:pPr>
              <w:pStyle w:val="TableParagraph"/>
              <w:tabs>
                <w:tab w:pos="267" w:val="left" w:leader="none"/>
              </w:tabs>
              <w:spacing w:line="240" w:lineRule="auto" w:before="111"/>
              <w:ind w:right="0"/>
              <w:jc w:val="right"/>
              <w:rPr>
                <w:rFonts w:ascii="Arial" w:hAnsi="Arial" w:cs="Arial" w:eastAsia="Arial" w:hint="default"/>
                <w:sz w:val="16"/>
                <w:szCs w:val="16"/>
              </w:rPr>
            </w:pPr>
            <w:r>
              <w:rPr>
                <w:rFonts w:ascii="Arial"/>
                <w:w w:val="99"/>
                <w:sz w:val="16"/>
              </w:rPr>
            </w:r>
            <w:r>
              <w:rPr>
                <w:rFonts w:ascii="Arial"/>
                <w:w w:val="95"/>
                <w:sz w:val="16"/>
                <w:u w:val="single" w:color="000000"/>
              </w:rPr>
              <w:t>28</w:t>
            </w:r>
            <w:r>
              <w:rPr>
                <w:rFonts w:ascii="Arial"/>
                <w:sz w:val="16"/>
                <w:u w:val="single" w:color="000000"/>
              </w:rPr>
              <w:tab/>
            </w:r>
            <w:r>
              <w:rPr>
                <w:rFonts w:ascii="Arial"/>
                <w:sz w:val="16"/>
              </w:rPr>
            </w:r>
          </w:p>
        </w:tc>
        <w:tc>
          <w:tcPr>
            <w:tcW w:w="992" w:type="dxa"/>
            <w:tcBorders>
              <w:top w:val="nil" w:sz="6" w:space="0" w:color="auto"/>
              <w:left w:val="nil" w:sz="6" w:space="0" w:color="auto"/>
              <w:bottom w:val="nil" w:sz="6" w:space="0" w:color="auto"/>
              <w:right w:val="nil" w:sz="6" w:space="0" w:color="auto"/>
            </w:tcBorders>
          </w:tcPr>
          <w:p>
            <w:pPr>
              <w:pStyle w:val="TableParagraph"/>
              <w:tabs>
                <w:tab w:pos="409" w:val="left" w:leader="none"/>
              </w:tabs>
              <w:spacing w:line="240" w:lineRule="auto" w:before="111"/>
              <w:ind w:left="80"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(2,139)</w:t>
            </w:r>
            <w:r>
              <w:rPr>
                <w:rFonts w:ascii="Arial"/>
                <w:sz w:val="16"/>
              </w:rPr>
            </w:r>
          </w:p>
        </w:tc>
        <w:tc>
          <w:tcPr>
            <w:tcW w:w="910" w:type="dxa"/>
            <w:tcBorders>
              <w:top w:val="nil" w:sz="6" w:space="0" w:color="auto"/>
              <w:left w:val="nil" w:sz="6" w:space="0" w:color="auto"/>
              <w:bottom w:val="nil" w:sz="6" w:space="0" w:color="auto"/>
              <w:right w:val="nil" w:sz="6" w:space="0" w:color="auto"/>
            </w:tcBorders>
          </w:tcPr>
          <w:p>
            <w:pPr>
              <w:pStyle w:val="TableParagraph"/>
              <w:tabs>
                <w:tab w:pos="389" w:val="left" w:leader="none"/>
              </w:tabs>
              <w:spacing w:line="240" w:lineRule="auto" w:before="111"/>
              <w:ind w:left="33"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(2,191)</w:t>
            </w:r>
            <w:r>
              <w:rPr>
                <w:rFonts w:ascii="Arial"/>
                <w:sz w:val="16"/>
              </w:rPr>
            </w:r>
          </w:p>
        </w:tc>
      </w:tr>
      <w:tr>
        <w:trPr>
          <w:trHeight w:val="322" w:hRule="exact"/>
        </w:trPr>
        <w:tc>
          <w:tcPr>
            <w:tcW w:w="484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left"/>
              <w:rPr>
                <w:rFonts w:ascii="宋体" w:hAnsi="宋体" w:cs="宋体" w:eastAsia="宋体" w:hint="default"/>
                <w:sz w:val="16"/>
                <w:szCs w:val="16"/>
              </w:rPr>
            </w:pPr>
            <w:r>
              <w:rPr>
                <w:rFonts w:ascii="宋体" w:hAnsi="宋体" w:cs="宋体" w:eastAsia="宋体" w:hint="default"/>
                <w:sz w:val="16"/>
                <w:szCs w:val="16"/>
              </w:rPr>
              <w:t>联通红筹公司国际</w:t>
            </w:r>
            <w:r>
              <w:rPr>
                <w:rFonts w:ascii="Arial" w:hAnsi="Arial" w:cs="Arial" w:eastAsia="Arial" w:hint="default"/>
                <w:sz w:val="16"/>
                <w:szCs w:val="16"/>
              </w:rPr>
              <w:t>/</w:t>
            </w:r>
            <w:r>
              <w:rPr>
                <w:rFonts w:ascii="宋体" w:hAnsi="宋体" w:cs="宋体" w:eastAsia="宋体" w:hint="default"/>
                <w:sz w:val="16"/>
                <w:szCs w:val="16"/>
              </w:rPr>
              <w:t>香港财务报告准则下净利润</w:t>
            </w:r>
            <w:r>
              <w:rPr>
                <w:rFonts w:ascii="Arial" w:hAnsi="Arial" w:cs="Arial" w:eastAsia="Arial" w:hint="default"/>
                <w:sz w:val="16"/>
                <w:szCs w:val="16"/>
              </w:rPr>
              <w:t>/</w:t>
            </w:r>
            <w:r>
              <w:rPr>
                <w:rFonts w:ascii="宋体" w:hAnsi="宋体" w:cs="宋体" w:eastAsia="宋体" w:hint="default"/>
                <w:sz w:val="16"/>
                <w:szCs w:val="16"/>
              </w:rPr>
              <w:t>净资产</w:t>
            </w:r>
          </w:p>
        </w:tc>
        <w:tc>
          <w:tcPr>
            <w:tcW w:w="475"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left="481" w:right="0"/>
              <w:jc w:val="left"/>
              <w:rPr>
                <w:rFonts w:ascii="Arial" w:hAnsi="Arial" w:cs="Arial" w:eastAsia="Arial" w:hint="default"/>
                <w:sz w:val="16"/>
                <w:szCs w:val="16"/>
              </w:rPr>
            </w:pPr>
            <w:r>
              <w:rPr>
                <w:rFonts w:ascii="Arial"/>
                <w:sz w:val="16"/>
              </w:rPr>
              <w:t>7,096</w:t>
            </w:r>
          </w:p>
        </w:tc>
        <w:tc>
          <w:tcPr>
            <w:tcW w:w="782"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left="290" w:right="0"/>
              <w:jc w:val="left"/>
              <w:rPr>
                <w:rFonts w:ascii="Arial" w:hAnsi="Arial" w:cs="Arial" w:eastAsia="Arial" w:hint="default"/>
                <w:sz w:val="16"/>
                <w:szCs w:val="16"/>
              </w:rPr>
            </w:pPr>
            <w:r>
              <w:rPr>
                <w:rFonts w:ascii="Arial"/>
                <w:sz w:val="16"/>
              </w:rPr>
              <w:t>4,226</w:t>
            </w:r>
          </w:p>
        </w:tc>
        <w:tc>
          <w:tcPr>
            <w:tcW w:w="992"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left="283" w:right="0"/>
              <w:jc w:val="left"/>
              <w:rPr>
                <w:rFonts w:ascii="Arial" w:hAnsi="Arial" w:cs="Arial" w:eastAsia="Arial" w:hint="default"/>
                <w:sz w:val="16"/>
                <w:szCs w:val="16"/>
              </w:rPr>
            </w:pPr>
            <w:r>
              <w:rPr>
                <w:rFonts w:ascii="Arial"/>
                <w:sz w:val="16"/>
              </w:rPr>
              <w:t>209,503</w:t>
            </w:r>
          </w:p>
        </w:tc>
        <w:tc>
          <w:tcPr>
            <w:tcW w:w="910"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left="263" w:right="0"/>
              <w:jc w:val="left"/>
              <w:rPr>
                <w:rFonts w:ascii="Arial" w:hAnsi="Arial" w:cs="Arial" w:eastAsia="Arial" w:hint="default"/>
                <w:sz w:val="16"/>
                <w:szCs w:val="16"/>
              </w:rPr>
            </w:pPr>
            <w:r>
              <w:rPr>
                <w:rFonts w:ascii="Arial"/>
                <w:sz w:val="16"/>
              </w:rPr>
              <w:t>205,897</w:t>
            </w:r>
          </w:p>
        </w:tc>
      </w:tr>
    </w:tbl>
    <w:p>
      <w:pPr>
        <w:spacing w:line="240" w:lineRule="auto" w:before="8"/>
        <w:rPr>
          <w:rFonts w:ascii="宋体" w:hAnsi="宋体" w:cs="宋体" w:eastAsia="宋体" w:hint="default"/>
          <w:sz w:val="10"/>
          <w:szCs w:val="10"/>
        </w:rPr>
      </w:pPr>
    </w:p>
    <w:p>
      <w:pPr>
        <w:pStyle w:val="BodyText"/>
        <w:spacing w:line="410" w:lineRule="auto" w:before="31"/>
        <w:ind w:left="545" w:right="5843"/>
        <w:jc w:val="left"/>
      </w:pPr>
      <w:r>
        <w:rPr/>
        <w:t>财务报表差异调节表项目注释说明：</w:t>
      </w:r>
      <w:r>
        <w:rPr>
          <w:w w:val="99"/>
        </w:rPr>
        <w:t> </w:t>
      </w:r>
      <w:r>
        <w:rPr/>
        <w:t>注</w:t>
      </w:r>
      <w:r>
        <w:rPr>
          <w:spacing w:val="-58"/>
        </w:rPr>
        <w:t> </w:t>
      </w:r>
      <w:r>
        <w:rPr>
          <w:rFonts w:ascii="Arial" w:hAnsi="Arial" w:cs="Arial" w:eastAsia="Arial" w:hint="default"/>
        </w:rPr>
        <w:t>1</w:t>
      </w:r>
      <w:r>
        <w:rPr/>
        <w:t>：额外资本化利息及折旧的影响</w:t>
      </w:r>
    </w:p>
    <w:p>
      <w:pPr>
        <w:pStyle w:val="BodyText"/>
        <w:spacing w:line="295" w:lineRule="exact" w:before="14"/>
        <w:ind w:left="1148" w:right="0"/>
        <w:jc w:val="both"/>
      </w:pPr>
      <w:r>
        <w:rPr/>
        <w:t>本集团于</w:t>
      </w:r>
      <w:r>
        <w:rPr>
          <w:spacing w:val="-57"/>
        </w:rPr>
        <w:t> </w:t>
      </w:r>
      <w:r>
        <w:rPr>
          <w:rFonts w:ascii="Arial" w:hAnsi="Arial" w:cs="Arial" w:eastAsia="Arial" w:hint="default"/>
        </w:rPr>
        <w:t>2007</w:t>
      </w:r>
      <w:r>
        <w:rPr>
          <w:rFonts w:ascii="Arial" w:hAnsi="Arial" w:cs="Arial" w:eastAsia="Arial" w:hint="default"/>
          <w:spacing w:val="-8"/>
        </w:rPr>
        <w:t> </w:t>
      </w:r>
      <w:r>
        <w:rPr/>
        <w:t>年</w:t>
      </w:r>
      <w:r>
        <w:rPr>
          <w:spacing w:val="-57"/>
        </w:rPr>
        <w:t> </w:t>
      </w:r>
      <w:r>
        <w:rPr>
          <w:rFonts w:ascii="Arial" w:hAnsi="Arial" w:cs="Arial" w:eastAsia="Arial" w:hint="default"/>
        </w:rPr>
        <w:t>1</w:t>
      </w:r>
      <w:r>
        <w:rPr>
          <w:rFonts w:ascii="Arial" w:hAnsi="Arial" w:cs="Arial" w:eastAsia="Arial" w:hint="default"/>
          <w:spacing w:val="-8"/>
        </w:rPr>
        <w:t> </w:t>
      </w:r>
      <w:r>
        <w:rPr/>
        <w:t>月</w:t>
      </w:r>
      <w:r>
        <w:rPr>
          <w:spacing w:val="-57"/>
        </w:rPr>
        <w:t> </w:t>
      </w:r>
      <w:r>
        <w:rPr>
          <w:rFonts w:ascii="Arial" w:hAnsi="Arial" w:cs="Arial" w:eastAsia="Arial" w:hint="default"/>
        </w:rPr>
        <w:t>1</w:t>
      </w:r>
      <w:r>
        <w:rPr>
          <w:rFonts w:ascii="Arial" w:hAnsi="Arial" w:cs="Arial" w:eastAsia="Arial" w:hint="default"/>
          <w:spacing w:val="-8"/>
        </w:rPr>
        <w:t> </w:t>
      </w:r>
      <w:r>
        <w:rPr/>
        <w:t>日，根据《企业会计准则第</w:t>
      </w:r>
      <w:r>
        <w:rPr>
          <w:spacing w:val="-56"/>
        </w:rPr>
        <w:t> </w:t>
      </w:r>
      <w:r>
        <w:rPr>
          <w:rFonts w:ascii="Arial" w:hAnsi="Arial" w:cs="Arial" w:eastAsia="Arial" w:hint="default"/>
        </w:rPr>
        <w:t>38</w:t>
      </w:r>
      <w:r>
        <w:rPr>
          <w:rFonts w:ascii="Arial" w:hAnsi="Arial" w:cs="Arial" w:eastAsia="Arial" w:hint="default"/>
          <w:spacing w:val="-8"/>
        </w:rPr>
        <w:t> </w:t>
      </w:r>
      <w:r>
        <w:rPr/>
        <w:t>号—首次执行企业会计准则》</w:t>
      </w:r>
    </w:p>
    <w:p>
      <w:pPr>
        <w:pStyle w:val="BodyText"/>
        <w:spacing w:line="284" w:lineRule="exact" w:before="20"/>
        <w:ind w:left="1148" w:right="643"/>
        <w:jc w:val="both"/>
      </w:pPr>
      <w:r>
        <w:rPr/>
        <w:t>（“第 </w:t>
      </w:r>
      <w:r>
        <w:rPr>
          <w:rFonts w:ascii="Arial" w:hAnsi="Arial" w:cs="Arial" w:eastAsia="Arial" w:hint="default"/>
        </w:rPr>
        <w:t>38</w:t>
      </w:r>
      <w:r>
        <w:rPr>
          <w:rFonts w:ascii="Arial" w:hAnsi="Arial" w:cs="Arial" w:eastAsia="Arial" w:hint="default"/>
          <w:spacing w:val="8"/>
        </w:rPr>
        <w:t> </w:t>
      </w:r>
      <w:r>
        <w:rPr/>
        <w:t>号准则”）的要求，以未来适用法将原会计准则和制度下应直接费用化的</w:t>
      </w:r>
      <w:r>
        <w:rPr>
          <w:w w:val="99"/>
        </w:rPr>
        <w:t> </w:t>
      </w:r>
      <w:r>
        <w:rPr>
          <w:w w:val="95"/>
        </w:rPr>
        <w:t>一般借款费用按中国会计准则的要求在满足相关条件的前提下予以资本化，这与国际</w:t>
      </w:r>
      <w:r>
        <w:rPr/>
      </w:r>
    </w:p>
    <w:p>
      <w:pPr>
        <w:pStyle w:val="BodyText"/>
        <w:spacing w:line="286" w:lineRule="exact"/>
        <w:ind w:left="1148" w:right="640"/>
        <w:jc w:val="both"/>
      </w:pPr>
      <w:r>
        <w:rPr>
          <w:rFonts w:ascii="Arial" w:hAnsi="Arial" w:cs="Arial" w:eastAsia="Arial" w:hint="default"/>
          <w:spacing w:val="-3"/>
        </w:rPr>
        <w:t>/</w:t>
      </w:r>
      <w:r>
        <w:rPr>
          <w:spacing w:val="-3"/>
        </w:rPr>
        <w:t>香港财务报告准则已经一致。但在</w:t>
      </w:r>
      <w:r>
        <w:rPr>
          <w:spacing w:val="-55"/>
        </w:rPr>
        <w:t> </w:t>
      </w:r>
      <w:r>
        <w:rPr>
          <w:rFonts w:ascii="Arial" w:hAnsi="Arial" w:cs="Arial" w:eastAsia="Arial" w:hint="default"/>
        </w:rPr>
        <w:t>2007</w:t>
      </w:r>
      <w:r>
        <w:rPr>
          <w:rFonts w:ascii="Arial" w:hAnsi="Arial" w:cs="Arial" w:eastAsia="Arial" w:hint="default"/>
          <w:spacing w:val="-8"/>
        </w:rPr>
        <w:t> </w:t>
      </w:r>
      <w:r>
        <w:rPr/>
        <w:t>年</w:t>
      </w:r>
      <w:r>
        <w:rPr>
          <w:spacing w:val="-57"/>
        </w:rPr>
        <w:t> </w:t>
      </w:r>
      <w:r>
        <w:rPr>
          <w:rFonts w:ascii="Arial" w:hAnsi="Arial" w:cs="Arial" w:eastAsia="Arial" w:hint="default"/>
        </w:rPr>
        <w:t>1</w:t>
      </w:r>
      <w:r>
        <w:rPr>
          <w:rFonts w:ascii="Arial" w:hAnsi="Arial" w:cs="Arial" w:eastAsia="Arial" w:hint="default"/>
          <w:spacing w:val="-8"/>
        </w:rPr>
        <w:t> </w:t>
      </w:r>
      <w:r>
        <w:rPr/>
        <w:t>月</w:t>
      </w:r>
      <w:r>
        <w:rPr>
          <w:spacing w:val="-57"/>
        </w:rPr>
        <w:t> </w:t>
      </w:r>
      <w:r>
        <w:rPr>
          <w:rFonts w:ascii="Arial" w:hAnsi="Arial" w:cs="Arial" w:eastAsia="Arial" w:hint="default"/>
        </w:rPr>
        <w:t>1</w:t>
      </w:r>
      <w:r>
        <w:rPr>
          <w:rFonts w:ascii="Arial" w:hAnsi="Arial" w:cs="Arial" w:eastAsia="Arial" w:hint="default"/>
          <w:spacing w:val="-8"/>
        </w:rPr>
        <w:t> </w:t>
      </w:r>
      <w:r>
        <w:rPr>
          <w:spacing w:val="-3"/>
        </w:rPr>
        <w:t>日前，在国际</w:t>
      </w:r>
      <w:r>
        <w:rPr>
          <w:rFonts w:ascii="Arial" w:hAnsi="Arial" w:cs="Arial" w:eastAsia="Arial" w:hint="default"/>
          <w:spacing w:val="-3"/>
        </w:rPr>
        <w:t>/</w:t>
      </w:r>
      <w:r>
        <w:rPr>
          <w:spacing w:val="-3"/>
        </w:rPr>
        <w:t>香港财务报告准则下</w:t>
      </w:r>
      <w:r>
        <w:rPr>
          <w:w w:val="99"/>
        </w:rPr>
        <w:t> </w:t>
      </w:r>
      <w:r>
        <w:rPr>
          <w:spacing w:val="3"/>
        </w:rPr>
        <w:t>符合资本化条件的一般借款费用已经记入本集团国际</w:t>
      </w:r>
      <w:r>
        <w:rPr>
          <w:rFonts w:ascii="Arial" w:hAnsi="Arial" w:cs="Arial" w:eastAsia="Arial" w:hint="default"/>
          <w:spacing w:val="3"/>
        </w:rPr>
        <w:t>/</w:t>
      </w:r>
      <w:r>
        <w:rPr>
          <w:spacing w:val="3"/>
        </w:rPr>
        <w:t>香港财务报告准则下的在建工</w:t>
      </w:r>
      <w:r>
        <w:rPr>
          <w:spacing w:val="-93"/>
        </w:rPr>
        <w:t> </w:t>
      </w:r>
      <w:r>
        <w:rPr>
          <w:spacing w:val="-93"/>
        </w:rPr>
      </w:r>
      <w:r>
        <w:rPr>
          <w:w w:val="95"/>
        </w:rPr>
        <w:t>程成本并转入固定资产，由此导致这些固定资产的折旧及账面净值在中国会计准则和</w:t>
      </w:r>
      <w:r>
        <w:rPr>
          <w:spacing w:val="78"/>
          <w:w w:val="95"/>
        </w:rPr>
        <w:t> </w:t>
      </w:r>
      <w:r>
        <w:rPr>
          <w:spacing w:val="78"/>
          <w:w w:val="95"/>
        </w:rPr>
      </w:r>
      <w:r>
        <w:rPr/>
        <w:t>国际</w:t>
      </w:r>
      <w:r>
        <w:rPr>
          <w:rFonts w:ascii="Arial" w:hAnsi="Arial" w:cs="Arial" w:eastAsia="Arial" w:hint="default"/>
        </w:rPr>
        <w:t>/</w:t>
      </w:r>
      <w:r>
        <w:rPr/>
        <w:t>香港财务报告准则下不同。同时，该准则差异亦考虑了递延所得税的影响。</w:t>
      </w:r>
    </w:p>
    <w:p>
      <w:pPr>
        <w:spacing w:after="0" w:line="286" w:lineRule="exact"/>
        <w:jc w:val="both"/>
        <w:sectPr>
          <w:headerReference w:type="default" r:id="rId144"/>
          <w:pgSz w:w="11910" w:h="16840"/>
          <w:pgMar w:header="1328" w:footer="457" w:top="2300" w:bottom="640" w:left="1480" w:right="500"/>
        </w:sectPr>
      </w:pPr>
    </w:p>
    <w:p>
      <w:pPr>
        <w:spacing w:line="240" w:lineRule="auto" w:before="4"/>
        <w:rPr>
          <w:rFonts w:ascii="宋体" w:hAnsi="宋体" w:cs="宋体" w:eastAsia="宋体" w:hint="default"/>
          <w:sz w:val="18"/>
          <w:szCs w:val="18"/>
        </w:rPr>
      </w:pPr>
    </w:p>
    <w:p>
      <w:pPr>
        <w:pStyle w:val="BodyText"/>
        <w:spacing w:line="240" w:lineRule="auto" w:before="31"/>
        <w:ind w:left="104" w:right="213"/>
        <w:jc w:val="left"/>
        <w:rPr>
          <w:rFonts w:ascii="黑体" w:hAnsi="黑体" w:cs="黑体" w:eastAsia="黑体" w:hint="default"/>
        </w:rPr>
      </w:pPr>
      <w:r>
        <w:rPr>
          <w:rFonts w:ascii="黑体" w:hAnsi="黑体" w:cs="黑体" w:eastAsia="黑体" w:hint="default"/>
        </w:rPr>
        <w:t>二、财务报表差异调节表（续）</w:t>
      </w:r>
    </w:p>
    <w:p>
      <w:pPr>
        <w:spacing w:line="240" w:lineRule="auto" w:before="9"/>
        <w:rPr>
          <w:rFonts w:ascii="黑体" w:hAnsi="黑体" w:cs="黑体" w:eastAsia="黑体" w:hint="default"/>
          <w:sz w:val="15"/>
          <w:szCs w:val="15"/>
        </w:rPr>
      </w:pPr>
    </w:p>
    <w:p>
      <w:pPr>
        <w:pStyle w:val="BodyText"/>
        <w:spacing w:line="240" w:lineRule="auto"/>
        <w:ind w:left="545" w:right="213"/>
        <w:jc w:val="left"/>
      </w:pPr>
      <w:r>
        <w:rPr/>
        <w:t>财务报表差异调节表项目注释说明（续）：</w:t>
      </w:r>
    </w:p>
    <w:p>
      <w:pPr>
        <w:spacing w:line="240" w:lineRule="auto" w:before="2"/>
        <w:rPr>
          <w:rFonts w:ascii="宋体" w:hAnsi="宋体" w:cs="宋体" w:eastAsia="宋体" w:hint="default"/>
          <w:sz w:val="20"/>
          <w:szCs w:val="20"/>
        </w:rPr>
      </w:pPr>
    </w:p>
    <w:p>
      <w:pPr>
        <w:pStyle w:val="BodyText"/>
        <w:spacing w:line="240" w:lineRule="auto"/>
        <w:ind w:left="535" w:right="213"/>
        <w:jc w:val="left"/>
      </w:pPr>
      <w:r>
        <w:rPr/>
        <w:t>注</w:t>
      </w:r>
      <w:r>
        <w:rPr>
          <w:spacing w:val="-63"/>
        </w:rPr>
        <w:t> </w:t>
      </w:r>
      <w:r>
        <w:rPr>
          <w:rFonts w:ascii="Arial" w:hAnsi="Arial" w:cs="Arial" w:eastAsia="Arial" w:hint="default"/>
        </w:rPr>
        <w:t>2</w:t>
      </w:r>
      <w:r>
        <w:rPr/>
        <w:t>：因土地及房屋建筑物的评估对折旧及摊销的影响</w:t>
      </w:r>
    </w:p>
    <w:p>
      <w:pPr>
        <w:spacing w:line="240" w:lineRule="auto" w:before="0"/>
        <w:rPr>
          <w:rFonts w:ascii="宋体" w:hAnsi="宋体" w:cs="宋体" w:eastAsia="宋体" w:hint="default"/>
          <w:sz w:val="20"/>
          <w:szCs w:val="20"/>
        </w:rPr>
      </w:pPr>
    </w:p>
    <w:p>
      <w:pPr>
        <w:pStyle w:val="BodyText"/>
        <w:spacing w:line="286" w:lineRule="exact"/>
        <w:ind w:left="1176" w:right="214"/>
        <w:jc w:val="both"/>
      </w:pPr>
      <w:r>
        <w:rPr/>
        <w:t>在中国会计准则下，本集团所持有的土地及房屋建筑物在本集团改制重组上市以及后</w:t>
      </w:r>
      <w:r>
        <w:rPr>
          <w:spacing w:val="-75"/>
        </w:rPr>
        <w:t> </w:t>
      </w:r>
      <w:r>
        <w:rPr>
          <w:spacing w:val="-75"/>
        </w:rPr>
      </w:r>
      <w:r>
        <w:rPr>
          <w:w w:val="95"/>
        </w:rPr>
        <w:t>续同一控制下的企业合并收购过程中以评估后价值入账并计提折旧及摊销。在国际</w:t>
      </w:r>
      <w:r>
        <w:rPr>
          <w:rFonts w:ascii="Arial" w:hAnsi="Arial" w:cs="Arial" w:eastAsia="Arial" w:hint="default"/>
          <w:w w:val="95"/>
        </w:rPr>
        <w:t>/</w:t>
      </w:r>
      <w:r>
        <w:rPr>
          <w:w w:val="95"/>
        </w:rPr>
        <w:t>香</w:t>
      </w:r>
      <w:r>
        <w:rPr>
          <w:spacing w:val="78"/>
          <w:w w:val="95"/>
        </w:rPr>
        <w:t> </w:t>
      </w:r>
      <w:r>
        <w:rPr/>
        <w:t>港财务报告准则下，对于土地及房屋建筑物一直以历史成本确认并计提折旧，由此产</w:t>
      </w:r>
      <w:r>
        <w:rPr>
          <w:spacing w:val="-83"/>
        </w:rPr>
        <w:t> </w:t>
      </w:r>
      <w:r>
        <w:rPr>
          <w:spacing w:val="-83"/>
        </w:rPr>
      </w:r>
      <w:r>
        <w:rPr/>
        <w:t>生准则差异。该准则差异亦考虑递延所得税的影响。</w:t>
      </w:r>
    </w:p>
    <w:p>
      <w:pPr>
        <w:spacing w:line="240" w:lineRule="auto" w:before="3"/>
        <w:rPr>
          <w:rFonts w:ascii="宋体" w:hAnsi="宋体" w:cs="宋体" w:eastAsia="宋体" w:hint="default"/>
          <w:sz w:val="19"/>
          <w:szCs w:val="19"/>
        </w:rPr>
      </w:pPr>
    </w:p>
    <w:p>
      <w:pPr>
        <w:pStyle w:val="BodyText"/>
        <w:spacing w:line="286" w:lineRule="exact"/>
        <w:ind w:left="1176" w:right="213" w:hanging="640"/>
        <w:jc w:val="left"/>
      </w:pPr>
      <w:r>
        <w:rPr/>
        <w:t>注</w:t>
      </w:r>
      <w:r>
        <w:rPr>
          <w:spacing w:val="-53"/>
        </w:rPr>
        <w:t> </w:t>
      </w:r>
      <w:r>
        <w:rPr>
          <w:rFonts w:ascii="Arial" w:hAnsi="Arial" w:cs="Arial" w:eastAsia="Arial" w:hint="default"/>
        </w:rPr>
        <w:t>3</w:t>
      </w:r>
      <w:r>
        <w:rPr/>
        <w:t>：因以前年度收购联通新世纪</w:t>
      </w:r>
      <w:r>
        <w:rPr>
          <w:spacing w:val="-51"/>
        </w:rPr>
        <w:t> </w:t>
      </w:r>
      <w:r>
        <w:rPr>
          <w:rFonts w:ascii="Arial" w:hAnsi="Arial" w:cs="Arial" w:eastAsia="Arial" w:hint="default"/>
        </w:rPr>
        <w:t>BVI</w:t>
      </w:r>
      <w:r>
        <w:rPr>
          <w:rFonts w:ascii="Arial" w:hAnsi="Arial" w:cs="Arial" w:eastAsia="Arial" w:hint="default"/>
          <w:spacing w:val="-4"/>
        </w:rPr>
        <w:t> </w:t>
      </w:r>
      <w:r>
        <w:rPr/>
        <w:t>和联通新世界</w:t>
      </w:r>
      <w:r>
        <w:rPr>
          <w:spacing w:val="-53"/>
        </w:rPr>
        <w:t> </w:t>
      </w:r>
      <w:r>
        <w:rPr>
          <w:rFonts w:ascii="Arial" w:hAnsi="Arial" w:cs="Arial" w:eastAsia="Arial" w:hint="default"/>
        </w:rPr>
        <w:t>BVI</w:t>
      </w:r>
      <w:r>
        <w:rPr>
          <w:rFonts w:ascii="Arial" w:hAnsi="Arial" w:cs="Arial" w:eastAsia="Arial" w:hint="default"/>
          <w:spacing w:val="-3"/>
        </w:rPr>
        <w:t> </w:t>
      </w:r>
      <w:r>
        <w:rPr/>
        <w:t>产生的股权投资差额、商誉及收购</w:t>
      </w:r>
      <w:r>
        <w:rPr>
          <w:w w:val="99"/>
        </w:rPr>
        <w:t> </w:t>
      </w:r>
      <w:r>
        <w:rPr/>
        <w:t>费用在不同准则下的差异</w:t>
      </w:r>
    </w:p>
    <w:p>
      <w:pPr>
        <w:spacing w:line="240" w:lineRule="auto" w:before="3"/>
        <w:rPr>
          <w:rFonts w:ascii="宋体" w:hAnsi="宋体" w:cs="宋体" w:eastAsia="宋体" w:hint="default"/>
          <w:sz w:val="19"/>
          <w:szCs w:val="19"/>
        </w:rPr>
      </w:pPr>
    </w:p>
    <w:p>
      <w:pPr>
        <w:pStyle w:val="BodyText"/>
        <w:spacing w:line="286" w:lineRule="exact"/>
        <w:ind w:left="1176" w:right="213"/>
        <w:jc w:val="both"/>
        <w:rPr>
          <w:rFonts w:ascii="Arial" w:hAnsi="Arial" w:cs="Arial" w:eastAsia="Arial" w:hint="default"/>
        </w:rPr>
      </w:pPr>
      <w:r>
        <w:rPr/>
        <w:t>本公司分别于</w:t>
      </w:r>
      <w:r>
        <w:rPr>
          <w:spacing w:val="-51"/>
        </w:rPr>
        <w:t> </w:t>
      </w:r>
      <w:r>
        <w:rPr>
          <w:rFonts w:ascii="Arial" w:hAnsi="Arial" w:cs="Arial" w:eastAsia="Arial" w:hint="default"/>
        </w:rPr>
        <w:t>2002</w:t>
      </w:r>
      <w:r>
        <w:rPr>
          <w:rFonts w:ascii="Arial" w:hAnsi="Arial" w:cs="Arial" w:eastAsia="Arial" w:hint="default"/>
          <w:spacing w:val="-2"/>
        </w:rPr>
        <w:t> </w:t>
      </w:r>
      <w:r>
        <w:rPr/>
        <w:t>年</w:t>
      </w:r>
      <w:r>
        <w:rPr>
          <w:spacing w:val="-50"/>
        </w:rPr>
        <w:t> </w:t>
      </w:r>
      <w:r>
        <w:rPr>
          <w:rFonts w:ascii="Arial" w:hAnsi="Arial" w:cs="Arial" w:eastAsia="Arial" w:hint="default"/>
        </w:rPr>
        <w:t>12</w:t>
      </w:r>
      <w:r>
        <w:rPr>
          <w:rFonts w:ascii="Arial" w:hAnsi="Arial" w:cs="Arial" w:eastAsia="Arial" w:hint="default"/>
          <w:spacing w:val="-2"/>
        </w:rPr>
        <w:t> </w:t>
      </w:r>
      <w:r>
        <w:rPr/>
        <w:t>月</w:t>
      </w:r>
      <w:r>
        <w:rPr>
          <w:spacing w:val="-51"/>
        </w:rPr>
        <w:t> </w:t>
      </w:r>
      <w:r>
        <w:rPr>
          <w:rFonts w:ascii="Arial" w:hAnsi="Arial" w:cs="Arial" w:eastAsia="Arial" w:hint="default"/>
        </w:rPr>
        <w:t>31</w:t>
      </w:r>
      <w:r>
        <w:rPr>
          <w:rFonts w:ascii="Arial" w:hAnsi="Arial" w:cs="Arial" w:eastAsia="Arial" w:hint="default"/>
          <w:spacing w:val="-2"/>
        </w:rPr>
        <w:t> </w:t>
      </w:r>
      <w:r>
        <w:rPr/>
        <w:t>日和</w:t>
      </w:r>
      <w:r>
        <w:rPr>
          <w:spacing w:val="-51"/>
        </w:rPr>
        <w:t> </w:t>
      </w:r>
      <w:r>
        <w:rPr>
          <w:rFonts w:ascii="Arial" w:hAnsi="Arial" w:cs="Arial" w:eastAsia="Arial" w:hint="default"/>
        </w:rPr>
        <w:t>2003</w:t>
      </w:r>
      <w:r>
        <w:rPr>
          <w:rFonts w:ascii="Arial" w:hAnsi="Arial" w:cs="Arial" w:eastAsia="Arial" w:hint="default"/>
          <w:spacing w:val="-2"/>
        </w:rPr>
        <w:t> </w:t>
      </w:r>
      <w:r>
        <w:rPr/>
        <w:t>年</w:t>
      </w:r>
      <w:r>
        <w:rPr>
          <w:spacing w:val="-50"/>
        </w:rPr>
        <w:t> </w:t>
      </w:r>
      <w:r>
        <w:rPr>
          <w:rFonts w:ascii="Arial" w:hAnsi="Arial" w:cs="Arial" w:eastAsia="Arial" w:hint="default"/>
        </w:rPr>
        <w:t>12</w:t>
      </w:r>
      <w:r>
        <w:rPr>
          <w:rFonts w:ascii="Arial" w:hAnsi="Arial" w:cs="Arial" w:eastAsia="Arial" w:hint="default"/>
          <w:spacing w:val="-2"/>
        </w:rPr>
        <w:t> </w:t>
      </w:r>
      <w:r>
        <w:rPr/>
        <w:t>月</w:t>
      </w:r>
      <w:r>
        <w:rPr>
          <w:spacing w:val="-51"/>
        </w:rPr>
        <w:t> </w:t>
      </w:r>
      <w:r>
        <w:rPr>
          <w:rFonts w:ascii="Arial" w:hAnsi="Arial" w:cs="Arial" w:eastAsia="Arial" w:hint="default"/>
        </w:rPr>
        <w:t>31</w:t>
      </w:r>
      <w:r>
        <w:rPr>
          <w:rFonts w:ascii="Arial" w:hAnsi="Arial" w:cs="Arial" w:eastAsia="Arial" w:hint="default"/>
          <w:spacing w:val="-2"/>
        </w:rPr>
        <w:t> </w:t>
      </w:r>
      <w:r>
        <w:rPr/>
        <w:t>日间接通过联通红筹公司收购</w:t>
      </w:r>
      <w:r>
        <w:rPr>
          <w:w w:val="99"/>
        </w:rPr>
        <w:t> </w:t>
      </w:r>
      <w:r>
        <w:rPr/>
        <w:t>了联通新世纪</w:t>
      </w:r>
      <w:r>
        <w:rPr>
          <w:spacing w:val="-58"/>
        </w:rPr>
        <w:t> </w:t>
      </w:r>
      <w:r>
        <w:rPr>
          <w:rFonts w:ascii="Arial" w:hAnsi="Arial" w:cs="Arial" w:eastAsia="Arial" w:hint="default"/>
        </w:rPr>
        <w:t>BVI</w:t>
      </w:r>
      <w:r>
        <w:rPr>
          <w:rFonts w:ascii="Arial" w:hAnsi="Arial" w:cs="Arial" w:eastAsia="Arial" w:hint="default"/>
          <w:spacing w:val="-9"/>
        </w:rPr>
        <w:t> </w:t>
      </w:r>
      <w:r>
        <w:rPr/>
        <w:t>和联通新世界</w:t>
      </w:r>
      <w:r>
        <w:rPr>
          <w:spacing w:val="-58"/>
        </w:rPr>
        <w:t> </w:t>
      </w:r>
      <w:r>
        <w:rPr>
          <w:rFonts w:ascii="Arial" w:hAnsi="Arial" w:cs="Arial" w:eastAsia="Arial" w:hint="default"/>
        </w:rPr>
        <w:t>BVI</w:t>
      </w:r>
      <w:r>
        <w:rPr>
          <w:rFonts w:ascii="Arial" w:hAnsi="Arial" w:cs="Arial" w:eastAsia="Arial" w:hint="default"/>
          <w:spacing w:val="-10"/>
        </w:rPr>
        <w:t> </w:t>
      </w:r>
      <w:r>
        <w:rPr/>
        <w:t>的全部股权。在中国会计准则下，收购价与收购</w:t>
      </w:r>
      <w:r>
        <w:rPr>
          <w:w w:val="99"/>
        </w:rPr>
        <w:t> </w:t>
      </w:r>
      <w:r>
        <w:rPr/>
        <w:t>生效日被收购公司账面净资产值之间的差额确认为长期股权投资差额，并于</w:t>
      </w:r>
      <w:r>
        <w:rPr>
          <w:spacing w:val="-78"/>
        </w:rPr>
        <w:t> </w:t>
      </w:r>
      <w:r>
        <w:rPr>
          <w:rFonts w:ascii="Arial" w:hAnsi="Arial" w:cs="Arial" w:eastAsia="Arial" w:hint="default"/>
        </w:rPr>
        <w:t>2007</w:t>
      </w:r>
      <w:r>
        <w:rPr>
          <w:rFonts w:ascii="Arial" w:hAnsi="Arial" w:cs="Arial" w:eastAsia="Arial" w:hint="default"/>
          <w:spacing w:val="-31"/>
        </w:rPr>
        <w:t> </w:t>
      </w:r>
      <w:r>
        <w:rPr/>
        <w:t>年</w:t>
      </w:r>
      <w:r>
        <w:rPr>
          <w:spacing w:val="-81"/>
        </w:rPr>
        <w:t> </w:t>
      </w:r>
      <w:r>
        <w:rPr>
          <w:rFonts w:ascii="Arial" w:hAnsi="Arial" w:cs="Arial" w:eastAsia="Arial" w:hint="default"/>
        </w:rPr>
        <w:t>1</w:t>
      </w:r>
    </w:p>
    <w:p>
      <w:pPr>
        <w:pStyle w:val="BodyText"/>
        <w:spacing w:line="225" w:lineRule="auto"/>
        <w:ind w:left="1176" w:right="107"/>
        <w:jc w:val="both"/>
      </w:pPr>
      <w:r>
        <w:rPr/>
        <w:t>月 </w:t>
      </w:r>
      <w:r>
        <w:rPr>
          <w:rFonts w:ascii="Arial" w:hAnsi="Arial" w:cs="Arial" w:eastAsia="Arial" w:hint="default"/>
        </w:rPr>
        <w:t>1</w:t>
      </w:r>
      <w:r>
        <w:rPr>
          <w:rFonts w:ascii="Arial" w:hAnsi="Arial" w:cs="Arial" w:eastAsia="Arial" w:hint="default"/>
          <w:spacing w:val="-29"/>
        </w:rPr>
        <w:t> </w:t>
      </w:r>
      <w:r>
        <w:rPr/>
        <w:t>日将尚未摊销的长期股权投资差额调整留存收益，减少本集团的净资产。而在国</w:t>
      </w:r>
      <w:r>
        <w:rPr>
          <w:w w:val="99"/>
        </w:rPr>
        <w:t> </w:t>
      </w:r>
      <w:r>
        <w:rPr/>
        <w:t>际</w:t>
      </w:r>
      <w:r>
        <w:rPr>
          <w:rFonts w:ascii="Arial" w:hAnsi="Arial" w:cs="Arial" w:eastAsia="Arial" w:hint="default"/>
        </w:rPr>
        <w:t>/</w:t>
      </w:r>
      <w:r>
        <w:rPr/>
        <w:t>香港财务报告准则下，收购价与收购生效日被收购公司资产及负债的公允价值之间</w:t>
      </w:r>
      <w:r>
        <w:rPr>
          <w:w w:val="99"/>
        </w:rPr>
        <w:t> </w:t>
      </w:r>
      <w:r>
        <w:rPr>
          <w:spacing w:val="-2"/>
        </w:rPr>
        <w:t>的差额确认为商誉记入资产且不进行摊销，而是每年或当有减值迹象时进行减值测试。</w:t>
      </w:r>
    </w:p>
    <w:p>
      <w:pPr>
        <w:spacing w:line="240" w:lineRule="auto" w:before="4"/>
        <w:rPr>
          <w:rFonts w:ascii="宋体" w:hAnsi="宋体" w:cs="宋体" w:eastAsia="宋体" w:hint="default"/>
          <w:sz w:val="19"/>
          <w:szCs w:val="19"/>
        </w:rPr>
      </w:pPr>
    </w:p>
    <w:p>
      <w:pPr>
        <w:pStyle w:val="BodyText"/>
        <w:spacing w:line="295" w:lineRule="exact"/>
        <w:ind w:left="1176" w:right="0"/>
        <w:jc w:val="both"/>
      </w:pPr>
      <w:r>
        <w:rPr/>
        <w:t>除收购价外，本集团支付与上述收购直接相关的其他费用分别约人民币 </w:t>
      </w:r>
      <w:r>
        <w:rPr>
          <w:rFonts w:ascii="Arial" w:hAnsi="Arial" w:cs="Arial" w:eastAsia="Arial" w:hint="default"/>
        </w:rPr>
        <w:t>1.09 </w:t>
      </w:r>
      <w:r>
        <w:rPr>
          <w:rFonts w:ascii="Arial" w:hAnsi="Arial" w:cs="Arial" w:eastAsia="Arial" w:hint="default"/>
          <w:spacing w:val="41"/>
        </w:rPr>
        <w:t> </w:t>
      </w:r>
      <w:r>
        <w:rPr/>
        <w:t>亿元和</w:t>
      </w:r>
    </w:p>
    <w:p>
      <w:pPr>
        <w:pStyle w:val="BodyText"/>
        <w:spacing w:line="225" w:lineRule="auto" w:before="6"/>
        <w:ind w:left="1176" w:right="0"/>
        <w:jc w:val="left"/>
      </w:pPr>
      <w:r>
        <w:rPr>
          <w:rFonts w:ascii="Arial" w:hAnsi="Arial" w:cs="Arial" w:eastAsia="Arial" w:hint="default"/>
        </w:rPr>
        <w:t>4,938 </w:t>
      </w:r>
      <w:r>
        <w:rPr>
          <w:spacing w:val="-7"/>
        </w:rPr>
        <w:t>万元。在中国会计准则下，发生的交易费用作为期间费用，于发生之时计入损益。</w:t>
      </w:r>
      <w:r>
        <w:rPr>
          <w:spacing w:val="-102"/>
        </w:rPr>
        <w:t> </w:t>
      </w:r>
      <w:r>
        <w:rPr>
          <w:spacing w:val="-102"/>
        </w:rPr>
      </w:r>
      <w:r>
        <w:rPr/>
        <w:t>于国际</w:t>
      </w:r>
      <w:r>
        <w:rPr>
          <w:rFonts w:ascii="Arial" w:hAnsi="Arial" w:cs="Arial" w:eastAsia="Arial" w:hint="default"/>
        </w:rPr>
        <w:t>/</w:t>
      </w:r>
      <w:r>
        <w:rPr/>
        <w:t>香港财务报告准则下，该等费用作为收购成本的一部分，随同收购成本一并予</w:t>
      </w:r>
      <w:r>
        <w:rPr>
          <w:w w:val="99"/>
        </w:rPr>
        <w:t> </w:t>
      </w:r>
      <w:r>
        <w:rPr/>
        <w:t>以资本化并于合并时计入商誉。</w:t>
      </w:r>
    </w:p>
    <w:p>
      <w:pPr>
        <w:spacing w:line="240" w:lineRule="auto" w:before="6"/>
        <w:rPr>
          <w:rFonts w:ascii="宋体" w:hAnsi="宋体" w:cs="宋体" w:eastAsia="宋体" w:hint="default"/>
          <w:sz w:val="17"/>
          <w:szCs w:val="17"/>
        </w:rPr>
      </w:pPr>
    </w:p>
    <w:p>
      <w:pPr>
        <w:pStyle w:val="BodyText"/>
        <w:spacing w:line="240" w:lineRule="auto"/>
        <w:ind w:left="104" w:right="213"/>
        <w:jc w:val="left"/>
        <w:rPr>
          <w:rFonts w:ascii="黑体" w:hAnsi="黑体" w:cs="黑体" w:eastAsia="黑体" w:hint="default"/>
        </w:rPr>
      </w:pPr>
      <w:r>
        <w:rPr>
          <w:rFonts w:ascii="黑体" w:hAnsi="黑体" w:cs="黑体" w:eastAsia="黑体" w:hint="default"/>
        </w:rPr>
        <w:t>三、计算净资产收益率及每股收益</w:t>
      </w:r>
    </w:p>
    <w:p>
      <w:pPr>
        <w:spacing w:line="240" w:lineRule="auto" w:before="12"/>
        <w:rPr>
          <w:rFonts w:ascii="黑体" w:hAnsi="黑体" w:cs="黑体" w:eastAsia="黑体" w:hint="default"/>
          <w:sz w:val="17"/>
          <w:szCs w:val="17"/>
        </w:rPr>
      </w:pPr>
    </w:p>
    <w:tbl>
      <w:tblPr>
        <w:tblW w:w="0" w:type="auto"/>
        <w:jc w:val="left"/>
        <w:tblInd w:w="546" w:type="dxa"/>
        <w:tblLayout w:type="fixed"/>
        <w:tblCellMar>
          <w:top w:w="0" w:type="dxa"/>
          <w:left w:w="0" w:type="dxa"/>
          <w:bottom w:w="0" w:type="dxa"/>
          <w:right w:w="0" w:type="dxa"/>
        </w:tblCellMar>
        <w:tblLook w:val="01E0"/>
      </w:tblPr>
      <w:tblGrid>
        <w:gridCol w:w="2044"/>
        <w:gridCol w:w="1157"/>
        <w:gridCol w:w="1138"/>
        <w:gridCol w:w="1103"/>
        <w:gridCol w:w="1103"/>
        <w:gridCol w:w="1122"/>
        <w:gridCol w:w="1190"/>
      </w:tblGrid>
      <w:tr>
        <w:trPr>
          <w:trHeight w:val="300" w:hRule="exact"/>
        </w:trPr>
        <w:tc>
          <w:tcPr>
            <w:tcW w:w="2044" w:type="dxa"/>
            <w:vMerge w:val="restart"/>
            <w:tcBorders>
              <w:top w:val="single" w:sz="6" w:space="0" w:color="000000"/>
              <w:left w:val="single" w:sz="6" w:space="0" w:color="000000"/>
              <w:right w:val="single" w:sz="6" w:space="0" w:color="000000"/>
            </w:tcBorders>
          </w:tcPr>
          <w:p>
            <w:pPr/>
          </w:p>
        </w:tc>
        <w:tc>
          <w:tcPr>
            <w:tcW w:w="2294" w:type="dxa"/>
            <w:gridSpan w:val="2"/>
            <w:vMerge w:val="restart"/>
            <w:tcBorders>
              <w:top w:val="single" w:sz="6" w:space="0" w:color="000000"/>
              <w:left w:val="single" w:sz="6" w:space="0" w:color="000000"/>
              <w:right w:val="single" w:sz="6" w:space="0" w:color="000000"/>
            </w:tcBorders>
          </w:tcPr>
          <w:p>
            <w:pPr>
              <w:pStyle w:val="TableParagraph"/>
              <w:spacing w:line="240" w:lineRule="auto" w:before="24"/>
              <w:ind w:left="9" w:right="0"/>
              <w:jc w:val="center"/>
              <w:rPr>
                <w:rFonts w:ascii="宋体" w:hAnsi="宋体" w:cs="宋体" w:eastAsia="宋体" w:hint="default"/>
                <w:sz w:val="20"/>
                <w:szCs w:val="20"/>
              </w:rPr>
            </w:pPr>
            <w:r>
              <w:rPr>
                <w:rFonts w:ascii="宋体" w:hAnsi="宋体" w:cs="宋体" w:eastAsia="宋体" w:hint="default"/>
                <w:sz w:val="20"/>
                <w:szCs w:val="20"/>
              </w:rPr>
              <w:t>加权平均净资产收益率</w:t>
            </w:r>
          </w:p>
          <w:p>
            <w:pPr>
              <w:pStyle w:val="TableParagraph"/>
              <w:spacing w:line="240" w:lineRule="auto" w:before="26"/>
              <w:ind w:left="9" w:right="0"/>
              <w:jc w:val="center"/>
              <w:rPr>
                <w:rFonts w:ascii="Arial" w:hAnsi="Arial" w:cs="Arial" w:eastAsia="Arial" w:hint="default"/>
                <w:sz w:val="20"/>
                <w:szCs w:val="20"/>
              </w:rPr>
            </w:pPr>
            <w:r>
              <w:rPr>
                <w:rFonts w:ascii="Arial"/>
                <w:sz w:val="20"/>
              </w:rPr>
              <w:t>(%)</w:t>
            </w:r>
          </w:p>
        </w:tc>
        <w:tc>
          <w:tcPr>
            <w:tcW w:w="4518" w:type="dxa"/>
            <w:gridSpan w:val="4"/>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每股收益</w:t>
            </w:r>
          </w:p>
        </w:tc>
      </w:tr>
      <w:tr>
        <w:trPr>
          <w:trHeight w:val="315" w:hRule="exact"/>
        </w:trPr>
        <w:tc>
          <w:tcPr>
            <w:tcW w:w="2044" w:type="dxa"/>
            <w:vMerge/>
            <w:tcBorders>
              <w:left w:val="single" w:sz="6" w:space="0" w:color="000000"/>
              <w:right w:val="single" w:sz="6" w:space="0" w:color="000000"/>
            </w:tcBorders>
          </w:tcPr>
          <w:p>
            <w:pPr/>
          </w:p>
        </w:tc>
        <w:tc>
          <w:tcPr>
            <w:tcW w:w="2294" w:type="dxa"/>
            <w:gridSpan w:val="2"/>
            <w:vMerge/>
            <w:tcBorders>
              <w:left w:val="single" w:sz="6" w:space="0" w:color="000000"/>
              <w:bottom w:val="single" w:sz="6" w:space="0" w:color="000000"/>
              <w:right w:val="single" w:sz="6" w:space="0" w:color="000000"/>
            </w:tcBorders>
          </w:tcPr>
          <w:p>
            <w:pPr/>
          </w:p>
        </w:tc>
        <w:tc>
          <w:tcPr>
            <w:tcW w:w="22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495" w:right="0"/>
              <w:jc w:val="left"/>
              <w:rPr>
                <w:rFonts w:ascii="宋体" w:hAnsi="宋体" w:cs="宋体" w:eastAsia="宋体" w:hint="default"/>
                <w:sz w:val="20"/>
                <w:szCs w:val="20"/>
              </w:rPr>
            </w:pPr>
            <w:r>
              <w:rPr>
                <w:rFonts w:ascii="宋体" w:hAnsi="宋体" w:cs="宋体" w:eastAsia="宋体" w:hint="default"/>
                <w:sz w:val="20"/>
                <w:szCs w:val="20"/>
              </w:rPr>
              <w:t>基本每股收益</w:t>
            </w:r>
          </w:p>
        </w:tc>
        <w:tc>
          <w:tcPr>
            <w:tcW w:w="23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548" w:right="0"/>
              <w:jc w:val="left"/>
              <w:rPr>
                <w:rFonts w:ascii="宋体" w:hAnsi="宋体" w:cs="宋体" w:eastAsia="宋体" w:hint="default"/>
                <w:sz w:val="20"/>
                <w:szCs w:val="20"/>
              </w:rPr>
            </w:pPr>
            <w:r>
              <w:rPr>
                <w:rFonts w:ascii="宋体" w:hAnsi="宋体" w:cs="宋体" w:eastAsia="宋体" w:hint="default"/>
                <w:sz w:val="20"/>
                <w:szCs w:val="20"/>
              </w:rPr>
              <w:t>稀释每股收益</w:t>
            </w:r>
          </w:p>
        </w:tc>
      </w:tr>
      <w:tr>
        <w:trPr>
          <w:trHeight w:val="316" w:hRule="exact"/>
        </w:trPr>
        <w:tc>
          <w:tcPr>
            <w:tcW w:w="2044" w:type="dxa"/>
            <w:vMerge/>
            <w:tcBorders>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年度</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3"/>
              <w:jc w:val="righ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年度</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60" w:right="0"/>
              <w:jc w:val="center"/>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年度</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3"/>
              <w:jc w:val="righ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年度</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年度</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3"/>
              <w:jc w:val="righ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年度</w:t>
            </w:r>
          </w:p>
        </w:tc>
      </w:tr>
      <w:tr>
        <w:trPr>
          <w:trHeight w:val="534" w:hRule="exact"/>
        </w:trPr>
        <w:tc>
          <w:tcPr>
            <w:tcW w:w="204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sz w:val="20"/>
                <w:szCs w:val="20"/>
              </w:rPr>
              <w:t>归属于母公司普通股</w:t>
            </w:r>
          </w:p>
          <w:p>
            <w:pPr>
              <w:pStyle w:val="TableParagraph"/>
              <w:spacing w:line="261" w:lineRule="exact"/>
              <w:ind w:left="289" w:right="0"/>
              <w:jc w:val="left"/>
              <w:rPr>
                <w:rFonts w:ascii="宋体" w:hAnsi="宋体" w:cs="宋体" w:eastAsia="宋体" w:hint="default"/>
                <w:sz w:val="20"/>
                <w:szCs w:val="20"/>
              </w:rPr>
            </w:pPr>
            <w:r>
              <w:rPr>
                <w:rFonts w:ascii="宋体" w:hAnsi="宋体" w:cs="宋体" w:eastAsia="宋体" w:hint="default"/>
                <w:sz w:val="20"/>
                <w:szCs w:val="20"/>
              </w:rPr>
              <w:t>股东的净利润</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21"/>
                <w:szCs w:val="21"/>
              </w:rPr>
            </w:pPr>
          </w:p>
          <w:p>
            <w:pPr>
              <w:pStyle w:val="TableParagraph"/>
              <w:spacing w:line="240" w:lineRule="auto"/>
              <w:ind w:right="98"/>
              <w:jc w:val="right"/>
              <w:rPr>
                <w:rFonts w:ascii="Arial" w:hAnsi="Arial" w:cs="Arial" w:eastAsia="Arial" w:hint="default"/>
                <w:sz w:val="20"/>
                <w:szCs w:val="20"/>
              </w:rPr>
            </w:pPr>
            <w:r>
              <w:rPr>
                <w:rFonts w:ascii="Arial"/>
                <w:spacing w:val="-1"/>
                <w:sz w:val="20"/>
              </w:rPr>
              <w:t>3.31</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21"/>
                <w:szCs w:val="21"/>
              </w:rPr>
            </w:pPr>
          </w:p>
          <w:p>
            <w:pPr>
              <w:pStyle w:val="TableParagraph"/>
              <w:spacing w:line="240" w:lineRule="auto"/>
              <w:ind w:right="97"/>
              <w:jc w:val="right"/>
              <w:rPr>
                <w:rFonts w:ascii="Arial" w:hAnsi="Arial" w:cs="Arial" w:eastAsia="Arial" w:hint="default"/>
                <w:sz w:val="20"/>
                <w:szCs w:val="20"/>
              </w:rPr>
            </w:pPr>
            <w:r>
              <w:rPr>
                <w:rFonts w:ascii="Arial"/>
                <w:spacing w:val="-1"/>
                <w:sz w:val="20"/>
              </w:rPr>
              <w:t>1.99</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21"/>
                <w:szCs w:val="21"/>
              </w:rPr>
            </w:pPr>
          </w:p>
          <w:p>
            <w:pPr>
              <w:pStyle w:val="TableParagraph"/>
              <w:spacing w:line="240" w:lineRule="auto"/>
              <w:ind w:left="276" w:right="0"/>
              <w:jc w:val="center"/>
              <w:rPr>
                <w:rFonts w:ascii="Arial" w:hAnsi="Arial" w:cs="Arial" w:eastAsia="Arial" w:hint="default"/>
                <w:sz w:val="20"/>
                <w:szCs w:val="20"/>
              </w:rPr>
            </w:pPr>
            <w:r>
              <w:rPr>
                <w:rFonts w:ascii="Arial"/>
                <w:sz w:val="20"/>
              </w:rPr>
              <w:t>0.1117</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21"/>
                <w:szCs w:val="21"/>
              </w:rPr>
            </w:pPr>
          </w:p>
          <w:p>
            <w:pPr>
              <w:pStyle w:val="TableParagraph"/>
              <w:spacing w:line="240" w:lineRule="auto"/>
              <w:ind w:right="97"/>
              <w:jc w:val="right"/>
              <w:rPr>
                <w:rFonts w:ascii="Arial" w:hAnsi="Arial" w:cs="Arial" w:eastAsia="Arial" w:hint="default"/>
                <w:sz w:val="20"/>
                <w:szCs w:val="20"/>
              </w:rPr>
            </w:pPr>
            <w:r>
              <w:rPr>
                <w:rFonts w:ascii="Arial"/>
                <w:sz w:val="20"/>
              </w:rPr>
              <w:t>0.0666</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21"/>
                <w:szCs w:val="21"/>
              </w:rPr>
            </w:pPr>
          </w:p>
          <w:p>
            <w:pPr>
              <w:pStyle w:val="TableParagraph"/>
              <w:spacing w:line="240" w:lineRule="auto"/>
              <w:ind w:right="98"/>
              <w:jc w:val="right"/>
              <w:rPr>
                <w:rFonts w:ascii="Arial" w:hAnsi="Arial" w:cs="Arial" w:eastAsia="Arial" w:hint="default"/>
                <w:sz w:val="20"/>
                <w:szCs w:val="20"/>
              </w:rPr>
            </w:pPr>
            <w:r>
              <w:rPr>
                <w:rFonts w:ascii="Arial"/>
                <w:spacing w:val="-1"/>
                <w:sz w:val="20"/>
              </w:rPr>
              <w:t>0.1099</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21"/>
                <w:szCs w:val="21"/>
              </w:rPr>
            </w:pPr>
          </w:p>
          <w:p>
            <w:pPr>
              <w:pStyle w:val="TableParagraph"/>
              <w:spacing w:line="240" w:lineRule="auto"/>
              <w:ind w:right="96"/>
              <w:jc w:val="right"/>
              <w:rPr>
                <w:rFonts w:ascii="Arial" w:hAnsi="Arial" w:cs="Arial" w:eastAsia="Arial" w:hint="default"/>
                <w:sz w:val="20"/>
                <w:szCs w:val="20"/>
              </w:rPr>
            </w:pPr>
            <w:r>
              <w:rPr>
                <w:rFonts w:ascii="Arial"/>
                <w:spacing w:val="-1"/>
                <w:sz w:val="20"/>
              </w:rPr>
              <w:t>0.0660</w:t>
            </w:r>
          </w:p>
        </w:tc>
      </w:tr>
      <w:tr>
        <w:trPr>
          <w:trHeight w:val="792" w:hRule="exact"/>
        </w:trPr>
        <w:tc>
          <w:tcPr>
            <w:tcW w:w="2044"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289" w:right="0" w:hanging="189"/>
              <w:jc w:val="left"/>
              <w:rPr>
                <w:rFonts w:ascii="宋体" w:hAnsi="宋体" w:cs="宋体" w:eastAsia="宋体" w:hint="default"/>
                <w:sz w:val="20"/>
                <w:szCs w:val="20"/>
              </w:rPr>
            </w:pPr>
            <w:r>
              <w:rPr>
                <w:rFonts w:ascii="宋体" w:hAnsi="宋体" w:cs="宋体" w:eastAsia="宋体" w:hint="default"/>
                <w:sz w:val="20"/>
                <w:szCs w:val="20"/>
              </w:rPr>
              <w:t>扣除非经常性损益后</w:t>
            </w:r>
          </w:p>
          <w:p>
            <w:pPr>
              <w:pStyle w:val="TableParagraph"/>
              <w:spacing w:line="240" w:lineRule="auto"/>
              <w:ind w:left="289" w:right="137"/>
              <w:jc w:val="left"/>
              <w:rPr>
                <w:rFonts w:ascii="宋体" w:hAnsi="宋体" w:cs="宋体" w:eastAsia="宋体" w:hint="default"/>
                <w:sz w:val="20"/>
                <w:szCs w:val="20"/>
              </w:rPr>
            </w:pPr>
            <w:r>
              <w:rPr>
                <w:rFonts w:ascii="宋体" w:hAnsi="宋体" w:cs="宋体" w:eastAsia="宋体" w:hint="default"/>
                <w:sz w:val="20"/>
                <w:szCs w:val="20"/>
              </w:rPr>
              <w:t>归属于母公司普通</w:t>
            </w:r>
            <w:r>
              <w:rPr>
                <w:rFonts w:ascii="宋体" w:hAnsi="宋体" w:cs="宋体" w:eastAsia="宋体" w:hint="default"/>
                <w:w w:val="100"/>
                <w:sz w:val="20"/>
                <w:szCs w:val="20"/>
              </w:rPr>
              <w:t> </w:t>
            </w:r>
            <w:r>
              <w:rPr>
                <w:rFonts w:ascii="宋体" w:hAnsi="宋体" w:cs="宋体" w:eastAsia="宋体" w:hint="default"/>
                <w:sz w:val="20"/>
                <w:szCs w:val="20"/>
              </w:rPr>
              <w:t>股股东的净利润</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9"/>
              <w:ind w:right="0"/>
              <w:jc w:val="left"/>
              <w:rPr>
                <w:rFonts w:ascii="黑体" w:hAnsi="黑体" w:cs="黑体" w:eastAsia="黑体" w:hint="default"/>
                <w:sz w:val="21"/>
                <w:szCs w:val="21"/>
              </w:rPr>
            </w:pPr>
          </w:p>
          <w:p>
            <w:pPr>
              <w:pStyle w:val="TableParagraph"/>
              <w:spacing w:line="240" w:lineRule="auto"/>
              <w:ind w:right="98"/>
              <w:jc w:val="right"/>
              <w:rPr>
                <w:rFonts w:ascii="Arial" w:hAnsi="Arial" w:cs="Arial" w:eastAsia="Arial" w:hint="default"/>
                <w:sz w:val="20"/>
                <w:szCs w:val="20"/>
              </w:rPr>
            </w:pPr>
            <w:r>
              <w:rPr>
                <w:rFonts w:ascii="Arial"/>
                <w:spacing w:val="-1"/>
                <w:sz w:val="20"/>
              </w:rPr>
              <w:t>2.76</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9"/>
              <w:ind w:right="0"/>
              <w:jc w:val="left"/>
              <w:rPr>
                <w:rFonts w:ascii="黑体" w:hAnsi="黑体" w:cs="黑体" w:eastAsia="黑体" w:hint="default"/>
                <w:sz w:val="21"/>
                <w:szCs w:val="21"/>
              </w:rPr>
            </w:pPr>
          </w:p>
          <w:p>
            <w:pPr>
              <w:pStyle w:val="TableParagraph"/>
              <w:spacing w:line="240" w:lineRule="auto"/>
              <w:ind w:right="97"/>
              <w:jc w:val="right"/>
              <w:rPr>
                <w:rFonts w:ascii="Arial" w:hAnsi="Arial" w:cs="Arial" w:eastAsia="Arial" w:hint="default"/>
                <w:sz w:val="20"/>
                <w:szCs w:val="20"/>
              </w:rPr>
            </w:pPr>
            <w:r>
              <w:rPr>
                <w:rFonts w:ascii="Arial"/>
                <w:sz w:val="20"/>
              </w:rPr>
              <w:t>1.63</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9"/>
              <w:ind w:right="0"/>
              <w:jc w:val="left"/>
              <w:rPr>
                <w:rFonts w:ascii="黑体" w:hAnsi="黑体" w:cs="黑体" w:eastAsia="黑体" w:hint="default"/>
                <w:sz w:val="21"/>
                <w:szCs w:val="21"/>
              </w:rPr>
            </w:pPr>
          </w:p>
          <w:p>
            <w:pPr>
              <w:pStyle w:val="TableParagraph"/>
              <w:spacing w:line="240" w:lineRule="auto"/>
              <w:ind w:left="275" w:right="0"/>
              <w:jc w:val="center"/>
              <w:rPr>
                <w:rFonts w:ascii="Arial" w:hAnsi="Arial" w:cs="Arial" w:eastAsia="Arial" w:hint="default"/>
                <w:sz w:val="20"/>
                <w:szCs w:val="20"/>
              </w:rPr>
            </w:pPr>
            <w:r>
              <w:rPr>
                <w:rFonts w:ascii="Arial"/>
                <w:sz w:val="20"/>
              </w:rPr>
              <w:t>0.0933</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9"/>
              <w:ind w:right="0"/>
              <w:jc w:val="left"/>
              <w:rPr>
                <w:rFonts w:ascii="黑体" w:hAnsi="黑体" w:cs="黑体" w:eastAsia="黑体" w:hint="default"/>
                <w:sz w:val="21"/>
                <w:szCs w:val="21"/>
              </w:rPr>
            </w:pPr>
          </w:p>
          <w:p>
            <w:pPr>
              <w:pStyle w:val="TableParagraph"/>
              <w:spacing w:line="240" w:lineRule="auto"/>
              <w:ind w:right="97"/>
              <w:jc w:val="right"/>
              <w:rPr>
                <w:rFonts w:ascii="Arial" w:hAnsi="Arial" w:cs="Arial" w:eastAsia="Arial" w:hint="default"/>
                <w:sz w:val="20"/>
                <w:szCs w:val="20"/>
              </w:rPr>
            </w:pPr>
            <w:r>
              <w:rPr>
                <w:rFonts w:ascii="Arial"/>
                <w:sz w:val="20"/>
              </w:rPr>
              <w:t>0.0546</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9"/>
              <w:ind w:right="0"/>
              <w:jc w:val="left"/>
              <w:rPr>
                <w:rFonts w:ascii="黑体" w:hAnsi="黑体" w:cs="黑体" w:eastAsia="黑体" w:hint="default"/>
                <w:sz w:val="21"/>
                <w:szCs w:val="21"/>
              </w:rPr>
            </w:pPr>
          </w:p>
          <w:p>
            <w:pPr>
              <w:pStyle w:val="TableParagraph"/>
              <w:spacing w:line="240" w:lineRule="auto"/>
              <w:ind w:right="98"/>
              <w:jc w:val="right"/>
              <w:rPr>
                <w:rFonts w:ascii="Arial" w:hAnsi="Arial" w:cs="Arial" w:eastAsia="Arial" w:hint="default"/>
                <w:sz w:val="20"/>
                <w:szCs w:val="20"/>
              </w:rPr>
            </w:pPr>
            <w:r>
              <w:rPr>
                <w:rFonts w:ascii="Arial"/>
                <w:spacing w:val="-1"/>
                <w:sz w:val="20"/>
              </w:rPr>
              <w:t>0.0923</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9"/>
              <w:ind w:right="0"/>
              <w:jc w:val="left"/>
              <w:rPr>
                <w:rFonts w:ascii="黑体" w:hAnsi="黑体" w:cs="黑体" w:eastAsia="黑体" w:hint="default"/>
                <w:sz w:val="21"/>
                <w:szCs w:val="21"/>
              </w:rPr>
            </w:pPr>
          </w:p>
          <w:p>
            <w:pPr>
              <w:pStyle w:val="TableParagraph"/>
              <w:spacing w:line="240" w:lineRule="auto"/>
              <w:ind w:right="96"/>
              <w:jc w:val="right"/>
              <w:rPr>
                <w:rFonts w:ascii="Arial" w:hAnsi="Arial" w:cs="Arial" w:eastAsia="Arial" w:hint="default"/>
                <w:sz w:val="20"/>
                <w:szCs w:val="20"/>
              </w:rPr>
            </w:pPr>
            <w:r>
              <w:rPr>
                <w:rFonts w:ascii="Arial"/>
                <w:sz w:val="20"/>
              </w:rPr>
              <w:t>0.0541</w:t>
            </w:r>
          </w:p>
        </w:tc>
      </w:tr>
    </w:tbl>
    <w:p>
      <w:pPr>
        <w:spacing w:after="0" w:line="240" w:lineRule="auto"/>
        <w:jc w:val="right"/>
        <w:rPr>
          <w:rFonts w:ascii="Arial" w:hAnsi="Arial" w:cs="Arial" w:eastAsia="Arial" w:hint="default"/>
          <w:sz w:val="20"/>
          <w:szCs w:val="20"/>
        </w:rPr>
        <w:sectPr>
          <w:headerReference w:type="default" r:id="rId145"/>
          <w:pgSz w:w="11910" w:h="16840"/>
          <w:pgMar w:header="1328" w:footer="457" w:top="2300" w:bottom="640" w:left="1480" w:right="840"/>
        </w:sectPr>
      </w:pPr>
    </w:p>
    <w:p>
      <w:pPr>
        <w:spacing w:line="240" w:lineRule="auto" w:before="4"/>
        <w:rPr>
          <w:rFonts w:ascii="黑体" w:hAnsi="黑体" w:cs="黑体" w:eastAsia="黑体" w:hint="default"/>
          <w:sz w:val="18"/>
          <w:szCs w:val="18"/>
        </w:rPr>
      </w:pPr>
    </w:p>
    <w:p>
      <w:pPr>
        <w:pStyle w:val="BodyText"/>
        <w:spacing w:line="240" w:lineRule="auto" w:before="31"/>
        <w:ind w:left="124" w:right="2774"/>
        <w:jc w:val="left"/>
        <w:rPr>
          <w:rFonts w:ascii="黑体" w:hAnsi="黑体" w:cs="黑体" w:eastAsia="黑体" w:hint="default"/>
        </w:rPr>
      </w:pPr>
      <w:r>
        <w:rPr>
          <w:rFonts w:ascii="黑体" w:hAnsi="黑体" w:cs="黑体" w:eastAsia="黑体" w:hint="default"/>
        </w:rPr>
        <w:t>三、计算净资产收益率及每股收益（续）</w:t>
      </w:r>
    </w:p>
    <w:p>
      <w:pPr>
        <w:spacing w:line="240" w:lineRule="auto" w:before="5"/>
        <w:rPr>
          <w:rFonts w:ascii="黑体" w:hAnsi="黑体" w:cs="黑体" w:eastAsia="黑体" w:hint="default"/>
          <w:sz w:val="20"/>
          <w:szCs w:val="20"/>
        </w:rPr>
      </w:pPr>
    </w:p>
    <w:p>
      <w:pPr>
        <w:pStyle w:val="BodyText"/>
        <w:spacing w:line="240" w:lineRule="auto"/>
        <w:ind w:left="582" w:right="0"/>
        <w:jc w:val="both"/>
      </w:pPr>
      <w:r>
        <w:rPr/>
        <w:t>上述财务指标的计算方法：</w:t>
      </w:r>
    </w:p>
    <w:p>
      <w:pPr>
        <w:pStyle w:val="BodyText"/>
        <w:spacing w:line="240" w:lineRule="auto" w:before="197"/>
        <w:ind w:left="109" w:right="2774"/>
        <w:jc w:val="left"/>
      </w:pPr>
      <w:r>
        <w:rPr>
          <w:rFonts w:ascii="Arial" w:hAnsi="Arial" w:cs="Arial" w:eastAsia="Arial" w:hint="default"/>
        </w:rPr>
        <w:t>(a) </w:t>
      </w:r>
      <w:r>
        <w:rPr>
          <w:rFonts w:ascii="Arial" w:hAnsi="Arial" w:cs="Arial" w:eastAsia="Arial" w:hint="default"/>
          <w:spacing w:val="59"/>
        </w:rPr>
        <w:t> </w:t>
      </w:r>
      <w:r>
        <w:rPr/>
        <w:t>加权平均净资产收益率</w:t>
      </w:r>
      <w:r>
        <w:rPr>
          <w:rFonts w:ascii="Arial" w:hAnsi="Arial" w:cs="Arial" w:eastAsia="Arial" w:hint="default"/>
        </w:rPr>
        <w:t>(ROE)</w:t>
      </w:r>
      <w:r>
        <w:rPr/>
        <w:t>的计算公式如下：</w:t>
      </w:r>
    </w:p>
    <w:p>
      <w:pPr>
        <w:spacing w:line="240" w:lineRule="auto" w:before="6"/>
        <w:rPr>
          <w:rFonts w:ascii="宋体" w:hAnsi="宋体" w:cs="宋体" w:eastAsia="宋体" w:hint="default"/>
          <w:sz w:val="20"/>
          <w:szCs w:val="20"/>
        </w:rPr>
      </w:pPr>
    </w:p>
    <w:p>
      <w:pPr>
        <w:pStyle w:val="BodyText"/>
        <w:spacing w:line="240" w:lineRule="auto"/>
        <w:ind w:left="484" w:right="2774" w:firstLine="2160"/>
        <w:jc w:val="left"/>
        <w:rPr>
          <w:rFonts w:ascii="Arial" w:hAnsi="Arial" w:cs="Arial" w:eastAsia="Arial" w:hint="default"/>
        </w:rPr>
      </w:pPr>
      <w:r>
        <w:rPr>
          <w:rFonts w:ascii="Arial" w:hAnsi="Arial" w:cs="Arial" w:eastAsia="Arial" w:hint="default"/>
        </w:rPr>
        <w:t>P</w:t>
      </w:r>
      <w:r>
        <w:rPr>
          <w:rFonts w:ascii="Arial" w:hAnsi="Arial" w:cs="Arial" w:eastAsia="Arial" w:hint="default"/>
          <w:w w:val="99"/>
        </w:rPr>
        <w:t> </w:t>
      </w:r>
      <w:r>
        <w:rPr>
          <w:rFonts w:ascii="Arial" w:hAnsi="Arial" w:cs="Arial" w:eastAsia="Arial" w:hint="default"/>
          <w:w w:val="95"/>
        </w:rPr>
        <w:t>ROE=</w:t>
      </w:r>
      <w:r>
        <w:rPr>
          <w:rFonts w:ascii="Arial" w:hAnsi="Arial" w:cs="Arial" w:eastAsia="Arial" w:hint="default"/>
          <w:w w:val="95"/>
        </w:rPr>
        <w:t>——————————————————————</w:t>
      </w:r>
      <w:r>
        <w:rPr>
          <w:rFonts w:ascii="Arial" w:hAnsi="Arial" w:cs="Arial" w:eastAsia="Arial" w:hint="default"/>
        </w:rPr>
      </w:r>
    </w:p>
    <w:p>
      <w:pPr>
        <w:pStyle w:val="BodyText"/>
        <w:spacing w:line="240" w:lineRule="auto"/>
        <w:ind w:left="1384" w:right="2774"/>
        <w:jc w:val="left"/>
        <w:rPr>
          <w:rFonts w:ascii="Arial" w:hAnsi="Arial" w:cs="Arial" w:eastAsia="Arial" w:hint="default"/>
        </w:rPr>
      </w:pPr>
      <w:r>
        <w:rPr>
          <w:rFonts w:ascii="Arial" w:hAnsi="Arial" w:cs="Arial" w:eastAsia="Arial" w:hint="default"/>
        </w:rPr>
        <w:t>E0+NP÷2+Ei×Mi÷M0-Ej×Mj÷M0±Ek×Mk÷M0</w:t>
      </w:r>
    </w:p>
    <w:p>
      <w:pPr>
        <w:spacing w:line="240" w:lineRule="auto" w:before="4"/>
        <w:rPr>
          <w:rFonts w:ascii="Arial" w:hAnsi="Arial" w:cs="Arial" w:eastAsia="Arial" w:hint="default"/>
          <w:sz w:val="20"/>
          <w:szCs w:val="20"/>
        </w:rPr>
      </w:pPr>
    </w:p>
    <w:p>
      <w:pPr>
        <w:pStyle w:val="BodyText"/>
        <w:spacing w:line="225" w:lineRule="auto"/>
        <w:ind w:left="492" w:right="147"/>
        <w:jc w:val="both"/>
      </w:pPr>
      <w:r>
        <w:rPr/>
        <w:t>其中：</w:t>
      </w:r>
      <w:r>
        <w:rPr>
          <w:rFonts w:ascii="Arial" w:hAnsi="Arial" w:cs="Arial" w:eastAsia="Arial" w:hint="default"/>
        </w:rPr>
        <w:t>P</w:t>
      </w:r>
      <w:r>
        <w:rPr>
          <w:rFonts w:ascii="Arial" w:hAnsi="Arial" w:cs="Arial" w:eastAsia="Arial" w:hint="default"/>
          <w:spacing w:val="-14"/>
        </w:rPr>
        <w:t> </w:t>
      </w:r>
      <w:r>
        <w:rPr/>
        <w:t>分别对应于归属于母公司普通股股东的净利润、扣除非经常性损益后归属于母公司</w:t>
      </w:r>
      <w:r>
        <w:rPr>
          <w:w w:val="99"/>
        </w:rPr>
        <w:t> </w:t>
      </w:r>
      <w:r>
        <w:rPr/>
        <w:t>普通股股东的净利润；</w:t>
      </w:r>
      <w:r>
        <w:rPr>
          <w:rFonts w:ascii="Arial" w:hAnsi="Arial" w:cs="Arial" w:eastAsia="Arial" w:hint="default"/>
        </w:rPr>
        <w:t>NP</w:t>
      </w:r>
      <w:r>
        <w:rPr>
          <w:rFonts w:ascii="Arial" w:hAnsi="Arial" w:cs="Arial" w:eastAsia="Arial" w:hint="default"/>
          <w:spacing w:val="-29"/>
        </w:rPr>
        <w:t> </w:t>
      </w:r>
      <w:r>
        <w:rPr/>
        <w:t>为归属于母公司普通股股东的净利润；</w:t>
      </w:r>
      <w:r>
        <w:rPr>
          <w:rFonts w:ascii="Arial" w:hAnsi="Arial" w:cs="Arial" w:eastAsia="Arial" w:hint="default"/>
        </w:rPr>
        <w:t>E0</w:t>
      </w:r>
      <w:r>
        <w:rPr>
          <w:rFonts w:ascii="Arial" w:hAnsi="Arial" w:cs="Arial" w:eastAsia="Arial" w:hint="default"/>
          <w:spacing w:val="-28"/>
        </w:rPr>
        <w:t> </w:t>
      </w:r>
      <w:r>
        <w:rPr/>
        <w:t>为归属于母公司普通股</w:t>
      </w:r>
      <w:r>
        <w:rPr>
          <w:w w:val="99"/>
        </w:rPr>
        <w:t> </w:t>
      </w:r>
      <w:r>
        <w:rPr>
          <w:spacing w:val="-3"/>
        </w:rPr>
        <w:t>股东的期初净资产；</w:t>
      </w:r>
      <w:r>
        <w:rPr>
          <w:rFonts w:ascii="Arial" w:hAnsi="Arial" w:cs="Arial" w:eastAsia="Arial" w:hint="default"/>
          <w:spacing w:val="-3"/>
        </w:rPr>
        <w:t>Ei</w:t>
      </w:r>
      <w:r>
        <w:rPr>
          <w:rFonts w:ascii="Arial" w:hAnsi="Arial" w:cs="Arial" w:eastAsia="Arial" w:hint="default"/>
          <w:spacing w:val="-26"/>
        </w:rPr>
        <w:t> </w:t>
      </w:r>
      <w:r>
        <w:rPr/>
        <w:t>为报告期发行新股或债转股等新增的、归属于母公司普通股股东的净</w:t>
      </w:r>
      <w:r>
        <w:rPr>
          <w:w w:val="99"/>
        </w:rPr>
        <w:t> </w:t>
      </w:r>
      <w:r>
        <w:rPr/>
        <w:t>资产；</w:t>
      </w:r>
      <w:r>
        <w:rPr>
          <w:rFonts w:ascii="Arial" w:hAnsi="Arial" w:cs="Arial" w:eastAsia="Arial" w:hint="default"/>
        </w:rPr>
        <w:t>Ej </w:t>
      </w:r>
      <w:r>
        <w:rPr/>
        <w:t>为报告期回购或现金分红等减少的、归属于母公司普通股股东的净资产；</w:t>
      </w:r>
      <w:r>
        <w:rPr>
          <w:rFonts w:ascii="Arial" w:hAnsi="Arial" w:cs="Arial" w:eastAsia="Arial" w:hint="default"/>
        </w:rPr>
        <w:t>M0</w:t>
      </w:r>
      <w:r>
        <w:rPr>
          <w:rFonts w:ascii="Arial" w:hAnsi="Arial" w:cs="Arial" w:eastAsia="Arial" w:hint="default"/>
          <w:spacing w:val="8"/>
        </w:rPr>
        <w:t> </w:t>
      </w:r>
      <w:r>
        <w:rPr/>
        <w:t>为报</w:t>
      </w:r>
      <w:r>
        <w:rPr>
          <w:spacing w:val="-2"/>
          <w:w w:val="99"/>
        </w:rPr>
        <w:t> </w:t>
      </w:r>
      <w:r>
        <w:rPr/>
        <w:t>告期月份数；</w:t>
      </w:r>
      <w:r>
        <w:rPr>
          <w:rFonts w:ascii="Arial" w:hAnsi="Arial" w:cs="Arial" w:eastAsia="Arial" w:hint="default"/>
        </w:rPr>
        <w:t>Mi </w:t>
      </w:r>
      <w:r>
        <w:rPr/>
        <w:t>为新增净资产下一月份起至报告期期末的月份数；</w:t>
      </w:r>
      <w:r>
        <w:rPr>
          <w:rFonts w:ascii="Arial" w:hAnsi="Arial" w:cs="Arial" w:eastAsia="Arial" w:hint="default"/>
        </w:rPr>
        <w:t>Mj</w:t>
      </w:r>
      <w:r>
        <w:rPr>
          <w:rFonts w:ascii="Arial" w:hAnsi="Arial" w:cs="Arial" w:eastAsia="Arial" w:hint="default"/>
          <w:spacing w:val="47"/>
        </w:rPr>
        <w:t> </w:t>
      </w:r>
      <w:r>
        <w:rPr/>
        <w:t>为减少净资产下一月</w:t>
      </w:r>
      <w:r>
        <w:rPr>
          <w:w w:val="99"/>
        </w:rPr>
        <w:t> </w:t>
      </w:r>
      <w:r>
        <w:rPr/>
        <w:t>份起至报告期期末的月份数；</w:t>
      </w:r>
      <w:r>
        <w:rPr>
          <w:rFonts w:ascii="Arial" w:hAnsi="Arial" w:cs="Arial" w:eastAsia="Arial" w:hint="default"/>
        </w:rPr>
        <w:t>Ek </w:t>
      </w:r>
      <w:r>
        <w:rPr/>
        <w:t>为因其他交易或事项引起的净资产增减变动；</w:t>
      </w:r>
      <w:r>
        <w:rPr>
          <w:rFonts w:ascii="Arial" w:hAnsi="Arial" w:cs="Arial" w:eastAsia="Arial" w:hint="default"/>
        </w:rPr>
        <w:t>Mk</w:t>
      </w:r>
      <w:r>
        <w:rPr>
          <w:rFonts w:ascii="Arial" w:hAnsi="Arial" w:cs="Arial" w:eastAsia="Arial" w:hint="default"/>
          <w:spacing w:val="-35"/>
        </w:rPr>
        <w:t> </w:t>
      </w:r>
      <w:r>
        <w:rPr/>
        <w:t>为发生其</w:t>
      </w:r>
      <w:r>
        <w:rPr>
          <w:w w:val="99"/>
        </w:rPr>
        <w:t> </w:t>
      </w:r>
      <w:r>
        <w:rPr/>
        <w:t>他净资产增减变动下一月份起至报告期期末的月份数。</w:t>
      </w:r>
    </w:p>
    <w:p>
      <w:pPr>
        <w:spacing w:line="240" w:lineRule="auto" w:before="4"/>
        <w:rPr>
          <w:rFonts w:ascii="宋体" w:hAnsi="宋体" w:cs="宋体" w:eastAsia="宋体" w:hint="default"/>
          <w:sz w:val="19"/>
          <w:szCs w:val="19"/>
        </w:rPr>
      </w:pPr>
    </w:p>
    <w:p>
      <w:pPr>
        <w:pStyle w:val="BodyText"/>
        <w:spacing w:line="240" w:lineRule="auto"/>
        <w:ind w:left="124" w:right="2774"/>
        <w:jc w:val="left"/>
        <w:rPr>
          <w:rFonts w:ascii="Arial" w:hAnsi="Arial" w:cs="Arial" w:eastAsia="Arial" w:hint="default"/>
        </w:rPr>
      </w:pPr>
      <w:r>
        <w:rPr>
          <w:rFonts w:ascii="Arial" w:hAnsi="Arial" w:cs="Arial" w:eastAsia="Arial" w:hint="default"/>
        </w:rPr>
        <w:t>(b)</w:t>
      </w:r>
      <w:r>
        <w:rPr>
          <w:rFonts w:ascii="Arial" w:hAnsi="Arial" w:cs="Arial" w:eastAsia="Arial" w:hint="default"/>
          <w:spacing w:val="31"/>
        </w:rPr>
        <w:t> </w:t>
      </w:r>
      <w:r>
        <w:rPr/>
        <w:t>基本每股收益</w:t>
      </w:r>
      <w:r>
        <w:rPr>
          <w:rFonts w:ascii="Arial" w:hAnsi="Arial" w:cs="Arial" w:eastAsia="Arial" w:hint="default"/>
        </w:rPr>
        <w:t>(EPS)</w:t>
      </w:r>
      <w:r>
        <w:rPr/>
        <w:t>可参照如下公式计算</w:t>
      </w:r>
      <w:r>
        <w:rPr>
          <w:rFonts w:ascii="Arial" w:hAnsi="Arial" w:cs="Arial" w:eastAsia="Arial" w:hint="default"/>
        </w:rPr>
        <w:t>:</w:t>
      </w:r>
    </w:p>
    <w:p>
      <w:pPr>
        <w:spacing w:line="240" w:lineRule="auto" w:before="3"/>
        <w:rPr>
          <w:rFonts w:ascii="Arial" w:hAnsi="Arial" w:cs="Arial" w:eastAsia="Arial" w:hint="default"/>
          <w:sz w:val="23"/>
          <w:szCs w:val="23"/>
        </w:rPr>
      </w:pPr>
    </w:p>
    <w:p>
      <w:pPr>
        <w:pStyle w:val="BodyText"/>
        <w:spacing w:line="240" w:lineRule="auto"/>
        <w:ind w:left="511" w:right="2774" w:firstLine="2132"/>
        <w:jc w:val="left"/>
        <w:rPr>
          <w:rFonts w:ascii="Arial" w:hAnsi="Arial" w:cs="Arial" w:eastAsia="Arial" w:hint="default"/>
        </w:rPr>
      </w:pPr>
      <w:r>
        <w:rPr>
          <w:rFonts w:ascii="Arial" w:hAnsi="Arial" w:cs="Arial" w:eastAsia="Arial" w:hint="default"/>
        </w:rPr>
        <w:t>P</w:t>
      </w:r>
      <w:r>
        <w:rPr>
          <w:rFonts w:ascii="Arial" w:hAnsi="Arial" w:cs="Arial" w:eastAsia="Arial" w:hint="default"/>
          <w:w w:val="99"/>
        </w:rPr>
        <w:t> </w:t>
      </w:r>
      <w:r>
        <w:rPr>
          <w:rFonts w:ascii="Arial" w:hAnsi="Arial" w:cs="Arial" w:eastAsia="Arial" w:hint="default"/>
          <w:w w:val="95"/>
        </w:rPr>
        <w:t>EPS=</w:t>
      </w:r>
      <w:r>
        <w:rPr>
          <w:rFonts w:ascii="Arial" w:hAnsi="Arial" w:cs="Arial" w:eastAsia="Arial" w:hint="default"/>
          <w:w w:val="95"/>
        </w:rPr>
        <w:t>————————————————</w:t>
      </w:r>
      <w:r>
        <w:rPr>
          <w:rFonts w:ascii="Arial" w:hAnsi="Arial" w:cs="Arial" w:eastAsia="Arial" w:hint="default"/>
        </w:rPr>
      </w:r>
    </w:p>
    <w:p>
      <w:pPr>
        <w:pStyle w:val="BodyText"/>
        <w:spacing w:line="240" w:lineRule="auto"/>
        <w:ind w:left="1384" w:right="2774"/>
        <w:jc w:val="left"/>
        <w:rPr>
          <w:rFonts w:ascii="Arial" w:hAnsi="Arial" w:cs="Arial" w:eastAsia="Arial" w:hint="default"/>
        </w:rPr>
      </w:pPr>
      <w:r>
        <w:rPr>
          <w:rFonts w:ascii="Arial" w:hAnsi="Arial" w:cs="Arial" w:eastAsia="Arial" w:hint="default"/>
        </w:rPr>
        <w:t>S0+S1+Si×Mi÷M0-Sj×Mj÷M0-Sk</w:t>
      </w:r>
    </w:p>
    <w:p>
      <w:pPr>
        <w:spacing w:line="240" w:lineRule="auto" w:before="4"/>
        <w:rPr>
          <w:rFonts w:ascii="Arial" w:hAnsi="Arial" w:cs="Arial" w:eastAsia="Arial" w:hint="default"/>
          <w:sz w:val="20"/>
          <w:szCs w:val="20"/>
        </w:rPr>
      </w:pPr>
    </w:p>
    <w:p>
      <w:pPr>
        <w:pStyle w:val="BodyText"/>
        <w:spacing w:line="225" w:lineRule="auto"/>
        <w:ind w:left="492" w:right="105"/>
        <w:jc w:val="both"/>
      </w:pPr>
      <w:r>
        <w:rPr/>
        <w:t>其中：</w:t>
      </w:r>
      <w:r>
        <w:rPr>
          <w:rFonts w:ascii="Arial" w:hAnsi="Arial" w:cs="Arial" w:eastAsia="Arial" w:hint="default"/>
        </w:rPr>
        <w:t>P</w:t>
      </w:r>
      <w:r>
        <w:rPr>
          <w:rFonts w:ascii="Arial" w:hAnsi="Arial" w:cs="Arial" w:eastAsia="Arial" w:hint="default"/>
          <w:spacing w:val="-11"/>
        </w:rPr>
        <w:t> </w:t>
      </w:r>
      <w:r>
        <w:rPr/>
        <w:t>为归属于母公司普通股股东的净利润或扣除非经常性损益后归属于母公司普通股股</w:t>
      </w:r>
      <w:r>
        <w:rPr>
          <w:w w:val="99"/>
        </w:rPr>
        <w:t> </w:t>
      </w:r>
      <w:r>
        <w:rPr/>
        <w:t>东的净利润；</w:t>
      </w:r>
      <w:r>
        <w:rPr>
          <w:rFonts w:ascii="Arial" w:hAnsi="Arial" w:cs="Arial" w:eastAsia="Arial" w:hint="default"/>
        </w:rPr>
        <w:t>S </w:t>
      </w:r>
      <w:r>
        <w:rPr/>
        <w:t>为发行在外的普通股加权平均数；</w:t>
      </w:r>
      <w:r>
        <w:rPr>
          <w:rFonts w:ascii="Arial" w:hAnsi="Arial" w:cs="Arial" w:eastAsia="Arial" w:hint="default"/>
        </w:rPr>
        <w:t>S0 </w:t>
      </w:r>
      <w:r>
        <w:rPr/>
        <w:t>为期初股份总数；</w:t>
      </w:r>
      <w:r>
        <w:rPr>
          <w:rFonts w:ascii="Arial" w:hAnsi="Arial" w:cs="Arial" w:eastAsia="Arial" w:hint="default"/>
        </w:rPr>
        <w:t>S1</w:t>
      </w:r>
      <w:r>
        <w:rPr>
          <w:rFonts w:ascii="Arial" w:hAnsi="Arial" w:cs="Arial" w:eastAsia="Arial" w:hint="default"/>
          <w:spacing w:val="-14"/>
        </w:rPr>
        <w:t> </w:t>
      </w:r>
      <w:r>
        <w:rPr/>
        <w:t>为报告期因公积</w:t>
      </w:r>
      <w:r>
        <w:rPr>
          <w:w w:val="99"/>
        </w:rPr>
        <w:t> </w:t>
      </w:r>
      <w:r>
        <w:rPr/>
        <w:t>金转增股本或股票股利分配等增加股份数；</w:t>
      </w:r>
      <w:r>
        <w:rPr>
          <w:rFonts w:ascii="Arial" w:hAnsi="Arial" w:cs="Arial" w:eastAsia="Arial" w:hint="default"/>
        </w:rPr>
        <w:t>Si</w:t>
      </w:r>
      <w:r>
        <w:rPr>
          <w:rFonts w:ascii="Arial" w:hAnsi="Arial" w:cs="Arial" w:eastAsia="Arial" w:hint="default"/>
          <w:spacing w:val="-17"/>
        </w:rPr>
        <w:t> </w:t>
      </w:r>
      <w:r>
        <w:rPr/>
        <w:t>为报告期因发行新股或债转股等增加股份数；</w:t>
      </w:r>
      <w:r>
        <w:rPr>
          <w:w w:val="99"/>
        </w:rPr>
        <w:t> </w:t>
      </w:r>
      <w:r>
        <w:rPr>
          <w:rFonts w:ascii="Arial" w:hAnsi="Arial" w:cs="Arial" w:eastAsia="Arial" w:hint="default"/>
        </w:rPr>
        <w:t>Sj </w:t>
      </w:r>
      <w:r>
        <w:rPr/>
        <w:t>为报告期因回购等减少股份数；</w:t>
      </w:r>
      <w:r>
        <w:rPr>
          <w:rFonts w:ascii="Arial" w:hAnsi="Arial" w:cs="Arial" w:eastAsia="Arial" w:hint="default"/>
        </w:rPr>
        <w:t>Sk </w:t>
      </w:r>
      <w:r>
        <w:rPr/>
        <w:t>为报告期缩股数；</w:t>
      </w:r>
      <w:r>
        <w:rPr>
          <w:rFonts w:ascii="Arial" w:hAnsi="Arial" w:cs="Arial" w:eastAsia="Arial" w:hint="default"/>
        </w:rPr>
        <w:t>M0 </w:t>
      </w:r>
      <w:r>
        <w:rPr/>
        <w:t>报告期月份数；</w:t>
      </w:r>
      <w:r>
        <w:rPr>
          <w:rFonts w:ascii="Arial" w:hAnsi="Arial" w:cs="Arial" w:eastAsia="Arial" w:hint="default"/>
        </w:rPr>
        <w:t>Mi</w:t>
      </w:r>
      <w:r>
        <w:rPr>
          <w:rFonts w:ascii="Arial" w:hAnsi="Arial" w:cs="Arial" w:eastAsia="Arial" w:hint="default"/>
          <w:spacing w:val="59"/>
        </w:rPr>
        <w:t> </w:t>
      </w:r>
      <w:r>
        <w:rPr/>
        <w:t>为增加股份</w:t>
      </w:r>
      <w:r>
        <w:rPr>
          <w:w w:val="99"/>
        </w:rPr>
        <w:t> </w:t>
      </w:r>
      <w:r>
        <w:rPr/>
        <w:t>下一月份起至报告期期末的月份数；</w:t>
      </w:r>
      <w:r>
        <w:rPr>
          <w:rFonts w:ascii="Arial" w:hAnsi="Arial" w:cs="Arial" w:eastAsia="Arial" w:hint="default"/>
        </w:rPr>
        <w:t>Mj</w:t>
      </w:r>
      <w:r>
        <w:rPr>
          <w:rFonts w:ascii="Arial" w:hAnsi="Arial" w:cs="Arial" w:eastAsia="Arial" w:hint="default"/>
          <w:spacing w:val="-18"/>
        </w:rPr>
        <w:t> </w:t>
      </w:r>
      <w:r>
        <w:rPr/>
        <w:t>为减少股份下一月份起至报告期期末的月份数。</w:t>
      </w:r>
    </w:p>
    <w:p>
      <w:pPr>
        <w:spacing w:line="240" w:lineRule="auto" w:before="3"/>
        <w:rPr>
          <w:rFonts w:ascii="宋体" w:hAnsi="宋体" w:cs="宋体" w:eastAsia="宋体" w:hint="default"/>
          <w:sz w:val="18"/>
          <w:szCs w:val="18"/>
        </w:rPr>
      </w:pPr>
    </w:p>
    <w:p>
      <w:pPr>
        <w:pStyle w:val="BodyText"/>
        <w:spacing w:line="240" w:lineRule="auto"/>
        <w:ind w:left="124" w:right="2774"/>
        <w:jc w:val="left"/>
      </w:pPr>
      <w:r>
        <w:rPr>
          <w:rFonts w:ascii="Arial" w:hAnsi="Arial" w:cs="Arial" w:eastAsia="Arial" w:hint="default"/>
        </w:rPr>
        <w:t>(c)</w:t>
      </w:r>
      <w:r>
        <w:rPr>
          <w:rFonts w:ascii="Arial" w:hAnsi="Arial" w:cs="Arial" w:eastAsia="Arial" w:hint="default"/>
          <w:spacing w:val="40"/>
        </w:rPr>
        <w:t> </w:t>
      </w:r>
      <w:r>
        <w:rPr/>
        <w:t>稀释每股收益的计算公式参照如下所述公式计算：</w:t>
      </w:r>
    </w:p>
    <w:p>
      <w:pPr>
        <w:spacing w:line="240" w:lineRule="auto" w:before="2"/>
        <w:rPr>
          <w:rFonts w:ascii="宋体" w:hAnsi="宋体" w:cs="宋体" w:eastAsia="宋体" w:hint="default"/>
          <w:sz w:val="18"/>
          <w:szCs w:val="18"/>
        </w:rPr>
      </w:pPr>
    </w:p>
    <w:p>
      <w:pPr>
        <w:pStyle w:val="BodyText"/>
        <w:spacing w:line="237" w:lineRule="auto"/>
        <w:ind w:left="492" w:right="148"/>
        <w:jc w:val="both"/>
      </w:pPr>
      <w:r>
        <w:rPr>
          <w:spacing w:val="-1"/>
        </w:rPr>
        <w:t>母公司存在稀释性潜在普通股的，应当分别调整归属于普通股股东的报告期净利润和发行在</w:t>
      </w:r>
      <w:r>
        <w:rPr>
          <w:spacing w:val="-101"/>
        </w:rPr>
        <w:t> </w:t>
      </w:r>
      <w:r>
        <w:rPr>
          <w:spacing w:val="-101"/>
        </w:rPr>
      </w:r>
      <w:r>
        <w:rPr>
          <w:spacing w:val="-1"/>
        </w:rPr>
        <w:t>外普通股加权平均数，并据以计算稀释每股收益。在发行可转换债券、股份期权、认股权证</w:t>
      </w:r>
      <w:r>
        <w:rPr>
          <w:spacing w:val="-101"/>
        </w:rPr>
        <w:t> </w:t>
      </w:r>
      <w:r>
        <w:rPr>
          <w:spacing w:val="-101"/>
        </w:rPr>
      </w:r>
      <w:r>
        <w:rPr/>
        <w:t>等稀释性潜在普通股情况下，稀释每股收益可参照如下公式计算：</w:t>
      </w:r>
    </w:p>
    <w:p>
      <w:pPr>
        <w:spacing w:line="240" w:lineRule="auto" w:before="6"/>
        <w:rPr>
          <w:rFonts w:ascii="宋体" w:hAnsi="宋体" w:cs="宋体" w:eastAsia="宋体" w:hint="default"/>
          <w:sz w:val="17"/>
          <w:szCs w:val="17"/>
        </w:rPr>
      </w:pPr>
    </w:p>
    <w:p>
      <w:pPr>
        <w:pStyle w:val="BodyText"/>
        <w:spacing w:line="294" w:lineRule="exact"/>
        <w:ind w:left="492" w:right="0"/>
        <w:jc w:val="both"/>
        <w:rPr>
          <w:rFonts w:ascii="Arial" w:hAnsi="Arial" w:cs="Arial" w:eastAsia="Arial" w:hint="default"/>
        </w:rPr>
      </w:pPr>
      <w:r>
        <w:rPr>
          <w:spacing w:val="2"/>
        </w:rPr>
        <w:t>稀释每股收益</w:t>
      </w:r>
      <w:r>
        <w:rPr>
          <w:rFonts w:ascii="Arial" w:hAnsi="Arial" w:cs="Arial" w:eastAsia="Arial" w:hint="default"/>
          <w:spacing w:val="2"/>
        </w:rPr>
        <w:t>=[P+</w:t>
      </w:r>
      <w:r>
        <w:rPr>
          <w:spacing w:val="2"/>
        </w:rPr>
        <w:t>（已确认为费用的稀释性潜在普通股利息</w:t>
      </w:r>
      <w:r>
        <w:rPr>
          <w:rFonts w:ascii="Arial" w:hAnsi="Arial" w:cs="Arial" w:eastAsia="Arial" w:hint="default"/>
          <w:spacing w:val="2"/>
        </w:rPr>
        <w:t>-</w:t>
      </w:r>
      <w:r>
        <w:rPr>
          <w:spacing w:val="2"/>
        </w:rPr>
        <w:t>转换费用）</w:t>
      </w:r>
      <w:r>
        <w:rPr>
          <w:rFonts w:ascii="Arial" w:hAnsi="Arial" w:cs="Arial" w:eastAsia="Arial" w:hint="default"/>
          <w:spacing w:val="2"/>
        </w:rPr>
        <w:t>×</w:t>
      </w:r>
      <w:r>
        <w:rPr>
          <w:spacing w:val="2"/>
        </w:rPr>
        <w:t>（</w:t>
      </w:r>
      <w:r>
        <w:rPr>
          <w:rFonts w:ascii="Arial" w:hAnsi="Arial" w:cs="Arial" w:eastAsia="Arial" w:hint="default"/>
          <w:spacing w:val="2"/>
        </w:rPr>
        <w:t>1-</w:t>
      </w:r>
      <w:r>
        <w:rPr>
          <w:spacing w:val="2"/>
        </w:rPr>
        <w:t>所得税率）</w:t>
      </w:r>
      <w:r>
        <w:rPr>
          <w:rFonts w:ascii="Arial" w:hAnsi="Arial" w:cs="Arial" w:eastAsia="Arial" w:hint="default"/>
          <w:spacing w:val="2"/>
        </w:rPr>
        <w:t>]/</w:t>
      </w:r>
      <w:r>
        <w:rPr>
          <w:rFonts w:ascii="Arial" w:hAnsi="Arial" w:cs="Arial" w:eastAsia="Arial" w:hint="default"/>
        </w:rPr>
      </w:r>
    </w:p>
    <w:p>
      <w:pPr>
        <w:pStyle w:val="BodyText"/>
        <w:spacing w:line="286" w:lineRule="exact" w:before="18"/>
        <w:ind w:left="492" w:right="150"/>
        <w:jc w:val="both"/>
      </w:pPr>
      <w:r>
        <w:rPr>
          <w:spacing w:val="-1"/>
        </w:rPr>
        <w:t>（</w:t>
      </w:r>
      <w:r>
        <w:rPr>
          <w:rFonts w:ascii="Arial" w:hAnsi="Arial" w:cs="Arial" w:eastAsia="Arial" w:hint="default"/>
          <w:spacing w:val="-1"/>
        </w:rPr>
        <w:t>S0+S1+Si×Mi÷M0-Sj×Mj÷M0-Sk+</w:t>
      </w:r>
      <w:r>
        <w:rPr>
          <w:spacing w:val="-1"/>
        </w:rPr>
        <w:t>认股权证、股份期权、可转换债券等增加的普通股加权</w:t>
      </w:r>
      <w:r>
        <w:rPr>
          <w:spacing w:val="-79"/>
        </w:rPr>
        <w:t> </w:t>
      </w:r>
      <w:r>
        <w:rPr>
          <w:spacing w:val="-79"/>
        </w:rPr>
      </w:r>
      <w:r>
        <w:rPr/>
        <w:t>平均数）</w:t>
      </w:r>
    </w:p>
    <w:p>
      <w:pPr>
        <w:spacing w:line="240" w:lineRule="auto" w:before="6"/>
        <w:rPr>
          <w:rFonts w:ascii="宋体" w:hAnsi="宋体" w:cs="宋体" w:eastAsia="宋体" w:hint="default"/>
          <w:sz w:val="17"/>
          <w:szCs w:val="17"/>
        </w:rPr>
      </w:pPr>
    </w:p>
    <w:p>
      <w:pPr>
        <w:pStyle w:val="BodyText"/>
        <w:spacing w:line="286" w:lineRule="exact"/>
        <w:ind w:left="492" w:right="150"/>
        <w:jc w:val="both"/>
      </w:pPr>
      <w:r>
        <w:rPr/>
        <w:t>其中，</w:t>
      </w:r>
      <w:r>
        <w:rPr>
          <w:rFonts w:ascii="Arial" w:hAnsi="Arial" w:cs="Arial" w:eastAsia="Arial" w:hint="default"/>
        </w:rPr>
        <w:t>P</w:t>
      </w:r>
      <w:r>
        <w:rPr>
          <w:rFonts w:ascii="Arial" w:hAnsi="Arial" w:cs="Arial" w:eastAsia="Arial" w:hint="default"/>
          <w:spacing w:val="-15"/>
        </w:rPr>
        <w:t> </w:t>
      </w:r>
      <w:r>
        <w:rPr/>
        <w:t>为归属于母公司普通股股东的净利润或扣除非经常性损益后归属于母公司普通股股</w:t>
      </w:r>
      <w:r>
        <w:rPr>
          <w:w w:val="99"/>
        </w:rPr>
        <w:t> </w:t>
      </w:r>
      <w:r>
        <w:rPr>
          <w:spacing w:val="-1"/>
        </w:rPr>
        <w:t>东的净利润。母公司在计算稀释每股收益时，应考虑所有稀释性潜在普通股的影响，直至稀</w:t>
      </w:r>
      <w:r>
        <w:rPr>
          <w:spacing w:val="-101"/>
        </w:rPr>
        <w:t> </w:t>
      </w:r>
      <w:r>
        <w:rPr>
          <w:spacing w:val="-101"/>
        </w:rPr>
      </w:r>
      <w:r>
        <w:rPr>
          <w:spacing w:val="-1"/>
        </w:rPr>
        <w:t>释每股收益达到最小。对于子公司发行能够转换成其普通股的稀释性潜在普通股，不仅应当</w:t>
      </w:r>
      <w:r>
        <w:rPr>
          <w:spacing w:val="-100"/>
        </w:rPr>
        <w:t> </w:t>
      </w:r>
      <w:r>
        <w:rPr>
          <w:spacing w:val="-100"/>
        </w:rPr>
      </w:r>
      <w:r>
        <w:rPr/>
        <w:t>包括在其稀释每股收益的计算中，而且还应当包括在合并稀释每股收益的计算中。</w:t>
      </w:r>
    </w:p>
    <w:p>
      <w:pPr>
        <w:spacing w:after="0" w:line="286" w:lineRule="exact"/>
        <w:jc w:val="both"/>
        <w:sectPr>
          <w:headerReference w:type="default" r:id="rId146"/>
          <w:pgSz w:w="11910" w:h="16840"/>
          <w:pgMar w:header="1328" w:footer="457" w:top="2300" w:bottom="640" w:left="1460" w:right="1020"/>
        </w:sectPr>
      </w:pPr>
    </w:p>
    <w:p>
      <w:pPr>
        <w:spacing w:line="240" w:lineRule="auto" w:before="4"/>
        <w:rPr>
          <w:rFonts w:ascii="宋体" w:hAnsi="宋体" w:cs="宋体" w:eastAsia="宋体" w:hint="default"/>
          <w:sz w:val="18"/>
          <w:szCs w:val="18"/>
        </w:rPr>
      </w:pPr>
    </w:p>
    <w:p>
      <w:pPr>
        <w:pStyle w:val="BodyText"/>
        <w:spacing w:line="240" w:lineRule="auto" w:before="31"/>
        <w:ind w:left="109" w:right="110"/>
        <w:jc w:val="left"/>
        <w:rPr>
          <w:rFonts w:ascii="黑体" w:hAnsi="黑体" w:cs="黑体" w:eastAsia="黑体" w:hint="default"/>
        </w:rPr>
      </w:pPr>
      <w:r>
        <w:rPr>
          <w:rFonts w:ascii="黑体" w:hAnsi="黑体" w:cs="黑体" w:eastAsia="黑体" w:hint="default"/>
        </w:rPr>
        <w:t>四、财务报表数据变动项目分析</w:t>
      </w:r>
    </w:p>
    <w:p>
      <w:pPr>
        <w:spacing w:line="240" w:lineRule="auto" w:before="8"/>
        <w:rPr>
          <w:rFonts w:ascii="黑体" w:hAnsi="黑体" w:cs="黑体" w:eastAsia="黑体" w:hint="default"/>
          <w:sz w:val="18"/>
          <w:szCs w:val="18"/>
        </w:rPr>
      </w:pPr>
    </w:p>
    <w:p>
      <w:pPr>
        <w:pStyle w:val="BodyText"/>
        <w:spacing w:line="225" w:lineRule="auto"/>
        <w:ind w:left="555" w:right="110"/>
        <w:jc w:val="left"/>
      </w:pPr>
      <w:r>
        <w:rPr/>
        <w:t>财务报表数据变动幅度达</w:t>
      </w:r>
      <w:r>
        <w:rPr>
          <w:spacing w:val="-58"/>
        </w:rPr>
        <w:t> </w:t>
      </w:r>
      <w:r>
        <w:rPr>
          <w:rFonts w:ascii="Arial" w:hAnsi="Arial" w:cs="Arial" w:eastAsia="Arial" w:hint="default"/>
        </w:rPr>
        <w:t>30%</w:t>
      </w:r>
      <w:r>
        <w:rPr/>
        <w:t>（含</w:t>
      </w:r>
      <w:r>
        <w:rPr>
          <w:spacing w:val="-58"/>
        </w:rPr>
        <w:t> </w:t>
      </w:r>
      <w:r>
        <w:rPr>
          <w:rFonts w:ascii="Arial" w:hAnsi="Arial" w:cs="Arial" w:eastAsia="Arial" w:hint="default"/>
        </w:rPr>
        <w:t>30%</w:t>
      </w:r>
      <w:r>
        <w:rPr/>
        <w:t>）以上，或占本集团报表日资产总额</w:t>
      </w:r>
      <w:r>
        <w:rPr>
          <w:spacing w:val="-58"/>
        </w:rPr>
        <w:t> </w:t>
      </w:r>
      <w:r>
        <w:rPr>
          <w:rFonts w:ascii="Arial" w:hAnsi="Arial" w:cs="Arial" w:eastAsia="Arial" w:hint="default"/>
        </w:rPr>
        <w:t>5%</w:t>
      </w:r>
      <w:r>
        <w:rPr/>
        <w:t>（含</w:t>
      </w:r>
      <w:r>
        <w:rPr>
          <w:spacing w:val="-59"/>
        </w:rPr>
        <w:t> </w:t>
      </w:r>
      <w:r>
        <w:rPr>
          <w:rFonts w:ascii="Arial" w:hAnsi="Arial" w:cs="Arial" w:eastAsia="Arial" w:hint="default"/>
        </w:rPr>
        <w:t>5%</w:t>
      </w:r>
      <w:r>
        <w:rPr/>
        <w:t>）</w:t>
      </w:r>
      <w:r>
        <w:rPr>
          <w:w w:val="99"/>
        </w:rPr>
        <w:t> </w:t>
      </w:r>
      <w:r>
        <w:rPr/>
        <w:t>或报告期利润总额</w:t>
      </w:r>
      <w:r>
        <w:rPr>
          <w:spacing w:val="-61"/>
        </w:rPr>
        <w:t> </w:t>
      </w:r>
      <w:r>
        <w:rPr>
          <w:rFonts w:ascii="Arial" w:hAnsi="Arial" w:cs="Arial" w:eastAsia="Arial" w:hint="default"/>
        </w:rPr>
        <w:t>10%</w:t>
      </w:r>
      <w:r>
        <w:rPr/>
        <w:t>（含</w:t>
      </w:r>
      <w:r>
        <w:rPr>
          <w:spacing w:val="-62"/>
        </w:rPr>
        <w:t> </w:t>
      </w:r>
      <w:r>
        <w:rPr>
          <w:rFonts w:ascii="Arial" w:hAnsi="Arial" w:cs="Arial" w:eastAsia="Arial" w:hint="default"/>
        </w:rPr>
        <w:t>10%</w:t>
      </w:r>
      <w:r>
        <w:rPr/>
        <w:t>）以上的项目详见如下分析，此等分析不作为财务报表的</w:t>
      </w:r>
      <w:r>
        <w:rPr>
          <w:w w:val="99"/>
        </w:rPr>
        <w:t> </w:t>
      </w:r>
      <w:r>
        <w:rPr/>
        <w:t>一部分。</w:t>
      </w:r>
    </w:p>
    <w:p>
      <w:pPr>
        <w:spacing w:line="240" w:lineRule="auto" w:before="8"/>
        <w:rPr>
          <w:rFonts w:ascii="宋体" w:hAnsi="宋体" w:cs="宋体" w:eastAsia="宋体" w:hint="default"/>
          <w:sz w:val="22"/>
          <w:szCs w:val="22"/>
        </w:rPr>
      </w:pPr>
    </w:p>
    <w:tbl>
      <w:tblPr>
        <w:tblW w:w="0" w:type="auto"/>
        <w:jc w:val="left"/>
        <w:tblInd w:w="565" w:type="dxa"/>
        <w:tblLayout w:type="fixed"/>
        <w:tblCellMar>
          <w:top w:w="0" w:type="dxa"/>
          <w:left w:w="0" w:type="dxa"/>
          <w:bottom w:w="0" w:type="dxa"/>
          <w:right w:w="0" w:type="dxa"/>
        </w:tblCellMar>
        <w:tblLook w:val="01E0"/>
      </w:tblPr>
      <w:tblGrid>
        <w:gridCol w:w="2294"/>
        <w:gridCol w:w="898"/>
        <w:gridCol w:w="1515"/>
        <w:gridCol w:w="1918"/>
        <w:gridCol w:w="1044"/>
        <w:gridCol w:w="1034"/>
      </w:tblGrid>
      <w:tr>
        <w:trPr>
          <w:trHeight w:val="230"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00" w:lineRule="exact"/>
              <w:ind w:right="0"/>
              <w:jc w:val="left"/>
              <w:rPr>
                <w:rFonts w:ascii="黑体" w:hAnsi="黑体" w:cs="黑体" w:eastAsia="黑体" w:hint="default"/>
                <w:sz w:val="20"/>
                <w:szCs w:val="20"/>
              </w:rPr>
            </w:pPr>
            <w:r>
              <w:rPr>
                <w:rFonts w:ascii="黑体" w:hAnsi="黑体" w:cs="黑体" w:eastAsia="黑体" w:hint="default"/>
                <w:sz w:val="20"/>
                <w:szCs w:val="20"/>
              </w:rPr>
              <w:t>资产负债表项目</w:t>
            </w:r>
          </w:p>
        </w:tc>
        <w:tc>
          <w:tcPr>
            <w:tcW w:w="898" w:type="dxa"/>
            <w:tcBorders>
              <w:top w:val="nil" w:sz="6" w:space="0" w:color="auto"/>
              <w:left w:val="nil" w:sz="6" w:space="0" w:color="auto"/>
              <w:bottom w:val="nil" w:sz="6" w:space="0" w:color="auto"/>
              <w:right w:val="nil" w:sz="6" w:space="0" w:color="auto"/>
            </w:tcBorders>
          </w:tcPr>
          <w:p>
            <w:pPr/>
          </w:p>
        </w:tc>
        <w:tc>
          <w:tcPr>
            <w:tcW w:w="1515" w:type="dxa"/>
            <w:tcBorders>
              <w:top w:val="nil" w:sz="6" w:space="0" w:color="auto"/>
              <w:left w:val="nil" w:sz="6" w:space="0" w:color="auto"/>
              <w:bottom w:val="nil" w:sz="6" w:space="0" w:color="auto"/>
              <w:right w:val="nil" w:sz="6" w:space="0" w:color="auto"/>
            </w:tcBorders>
          </w:tcPr>
          <w:p>
            <w:pPr/>
          </w:p>
        </w:tc>
        <w:tc>
          <w:tcPr>
            <w:tcW w:w="1918"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r>
      <w:tr>
        <w:trPr>
          <w:trHeight w:val="266" w:hRule="exact"/>
        </w:trPr>
        <w:tc>
          <w:tcPr>
            <w:tcW w:w="2294"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
        </w:tc>
        <w:tc>
          <w:tcPr>
            <w:tcW w:w="1515" w:type="dxa"/>
            <w:vMerge w:val="restart"/>
            <w:tcBorders>
              <w:top w:val="nil" w:sz="6" w:space="0" w:color="auto"/>
              <w:left w:val="nil" w:sz="6" w:space="0" w:color="auto"/>
              <w:right w:val="nil" w:sz="6" w:space="0" w:color="auto"/>
            </w:tcBorders>
          </w:tcPr>
          <w:p>
            <w:pPr>
              <w:pStyle w:val="TableParagraph"/>
              <w:spacing w:line="250" w:lineRule="exact"/>
              <w:ind w:left="703"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p>
          <w:p>
            <w:pPr>
              <w:pStyle w:val="TableParagraph"/>
              <w:spacing w:line="268" w:lineRule="exact"/>
              <w:ind w:left="403"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1918" w:type="dxa"/>
            <w:vMerge w:val="restart"/>
            <w:tcBorders>
              <w:top w:val="nil" w:sz="6" w:space="0" w:color="auto"/>
              <w:left w:val="nil" w:sz="6" w:space="0" w:color="auto"/>
              <w:right w:val="nil" w:sz="6" w:space="0" w:color="auto"/>
            </w:tcBorders>
          </w:tcPr>
          <w:p>
            <w:pPr>
              <w:pStyle w:val="TableParagraph"/>
              <w:spacing w:line="250" w:lineRule="exact"/>
              <w:ind w:left="1061"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p>
          <w:p>
            <w:pPr>
              <w:pStyle w:val="TableParagraph"/>
              <w:spacing w:line="268" w:lineRule="exact"/>
              <w:ind w:left="761"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2078" w:type="dxa"/>
            <w:gridSpan w:val="2"/>
            <w:tcBorders>
              <w:top w:val="nil" w:sz="6" w:space="0" w:color="auto"/>
              <w:left w:val="nil" w:sz="6" w:space="0" w:color="auto"/>
              <w:bottom w:val="single" w:sz="6" w:space="0" w:color="000000"/>
              <w:right w:val="nil" w:sz="6" w:space="0" w:color="auto"/>
            </w:tcBorders>
          </w:tcPr>
          <w:p>
            <w:pPr>
              <w:pStyle w:val="TableParagraph"/>
              <w:spacing w:line="230" w:lineRule="exact"/>
              <w:ind w:left="138" w:right="0"/>
              <w:jc w:val="left"/>
              <w:rPr>
                <w:rFonts w:ascii="宋体" w:hAnsi="宋体" w:cs="宋体" w:eastAsia="宋体" w:hint="default"/>
                <w:sz w:val="20"/>
                <w:szCs w:val="20"/>
              </w:rPr>
            </w:pPr>
            <w:r>
              <w:rPr>
                <w:rFonts w:ascii="宋体" w:hAnsi="宋体" w:cs="宋体" w:eastAsia="宋体" w:hint="default"/>
                <w:sz w:val="20"/>
                <w:szCs w:val="20"/>
              </w:rPr>
              <w:t>差异变动金额及幅度</w:t>
            </w:r>
          </w:p>
        </w:tc>
      </w:tr>
      <w:tr>
        <w:trPr>
          <w:trHeight w:val="275" w:hRule="exact"/>
        </w:trPr>
        <w:tc>
          <w:tcPr>
            <w:tcW w:w="2294" w:type="dxa"/>
            <w:tcBorders>
              <w:top w:val="nil" w:sz="6" w:space="0" w:color="auto"/>
              <w:left w:val="nil" w:sz="6" w:space="0" w:color="auto"/>
              <w:bottom w:val="single" w:sz="6" w:space="0" w:color="000000"/>
              <w:right w:val="nil" w:sz="6" w:space="0" w:color="auto"/>
            </w:tcBorders>
          </w:tcPr>
          <w:p>
            <w:pPr>
              <w:pStyle w:val="TableParagraph"/>
              <w:spacing w:line="237" w:lineRule="exact"/>
              <w:ind w:right="0"/>
              <w:jc w:val="left"/>
              <w:rPr>
                <w:rFonts w:ascii="宋体" w:hAnsi="宋体" w:cs="宋体" w:eastAsia="宋体" w:hint="default"/>
                <w:sz w:val="20"/>
                <w:szCs w:val="20"/>
              </w:rPr>
            </w:pPr>
            <w:r>
              <w:rPr>
                <w:rFonts w:ascii="宋体" w:hAnsi="宋体" w:cs="宋体" w:eastAsia="宋体" w:hint="default"/>
                <w:sz w:val="20"/>
                <w:szCs w:val="20"/>
              </w:rPr>
              <w:t>（单位：人民币百万元）</w:t>
            </w:r>
          </w:p>
        </w:tc>
        <w:tc>
          <w:tcPr>
            <w:tcW w:w="898" w:type="dxa"/>
            <w:tcBorders>
              <w:top w:val="nil" w:sz="6" w:space="0" w:color="auto"/>
              <w:left w:val="nil" w:sz="6" w:space="0" w:color="auto"/>
              <w:bottom w:val="single" w:sz="6" w:space="0" w:color="000000"/>
              <w:right w:val="nil" w:sz="6" w:space="0" w:color="auto"/>
            </w:tcBorders>
          </w:tcPr>
          <w:p>
            <w:pPr>
              <w:pStyle w:val="TableParagraph"/>
              <w:spacing w:line="237" w:lineRule="exact"/>
              <w:ind w:left="93" w:right="0"/>
              <w:jc w:val="left"/>
              <w:rPr>
                <w:rFonts w:ascii="宋体" w:hAnsi="宋体" w:cs="宋体" w:eastAsia="宋体" w:hint="default"/>
                <w:sz w:val="20"/>
                <w:szCs w:val="20"/>
              </w:rPr>
            </w:pPr>
            <w:r>
              <w:rPr>
                <w:rFonts w:ascii="宋体" w:hAnsi="宋体" w:cs="宋体" w:eastAsia="宋体" w:hint="default"/>
                <w:sz w:val="20"/>
                <w:szCs w:val="20"/>
              </w:rPr>
              <w:t>附注</w:t>
            </w:r>
          </w:p>
        </w:tc>
        <w:tc>
          <w:tcPr>
            <w:tcW w:w="1515" w:type="dxa"/>
            <w:vMerge/>
            <w:tcBorders>
              <w:left w:val="nil" w:sz="6" w:space="0" w:color="auto"/>
              <w:bottom w:val="single" w:sz="6" w:space="0" w:color="000000"/>
              <w:right w:val="nil" w:sz="6" w:space="0" w:color="auto"/>
            </w:tcBorders>
          </w:tcPr>
          <w:p>
            <w:pPr/>
          </w:p>
        </w:tc>
        <w:tc>
          <w:tcPr>
            <w:tcW w:w="1918" w:type="dxa"/>
            <w:vMerge/>
            <w:tcBorders>
              <w:left w:val="nil" w:sz="6" w:space="0" w:color="auto"/>
              <w:bottom w:val="single" w:sz="6" w:space="0" w:color="000000"/>
              <w:right w:val="nil" w:sz="6" w:space="0" w:color="auto"/>
            </w:tcBorders>
          </w:tcPr>
          <w:p>
            <w:pPr/>
          </w:p>
        </w:tc>
        <w:tc>
          <w:tcPr>
            <w:tcW w:w="1044" w:type="dxa"/>
            <w:tcBorders>
              <w:top w:val="single" w:sz="6" w:space="0" w:color="000000"/>
              <w:left w:val="nil" w:sz="6" w:space="0" w:color="auto"/>
              <w:bottom w:val="single" w:sz="6" w:space="0" w:color="000000"/>
              <w:right w:val="nil" w:sz="6" w:space="0" w:color="auto"/>
            </w:tcBorders>
          </w:tcPr>
          <w:p>
            <w:pPr>
              <w:pStyle w:val="TableParagraph"/>
              <w:spacing w:line="230" w:lineRule="exact"/>
              <w:ind w:left="16" w:right="0"/>
              <w:jc w:val="left"/>
              <w:rPr>
                <w:rFonts w:ascii="宋体" w:hAnsi="宋体" w:cs="宋体" w:eastAsia="宋体" w:hint="default"/>
                <w:sz w:val="20"/>
                <w:szCs w:val="20"/>
              </w:rPr>
            </w:pPr>
            <w:r>
              <w:rPr>
                <w:rFonts w:ascii="宋体" w:hAnsi="宋体" w:cs="宋体" w:eastAsia="宋体" w:hint="default"/>
                <w:spacing w:val="-15"/>
                <w:sz w:val="20"/>
                <w:szCs w:val="20"/>
              </w:rPr>
              <w:t>增加（减少</w:t>
            </w:r>
          </w:p>
        </w:tc>
        <w:tc>
          <w:tcPr>
            <w:tcW w:w="1034" w:type="dxa"/>
            <w:tcBorders>
              <w:top w:val="single" w:sz="6" w:space="0" w:color="000000"/>
              <w:left w:val="nil" w:sz="6" w:space="0" w:color="auto"/>
              <w:bottom w:val="single" w:sz="6" w:space="0" w:color="000000"/>
              <w:right w:val="nil" w:sz="6" w:space="0" w:color="auto"/>
            </w:tcBorders>
          </w:tcPr>
          <w:p>
            <w:pPr>
              <w:pStyle w:val="TableParagraph"/>
              <w:spacing w:line="240" w:lineRule="auto" w:before="27"/>
              <w:ind w:right="105"/>
              <w:jc w:val="right"/>
              <w:rPr>
                <w:rFonts w:ascii="Arial" w:hAnsi="Arial" w:cs="Arial" w:eastAsia="Arial" w:hint="default"/>
                <w:sz w:val="20"/>
                <w:szCs w:val="20"/>
              </w:rPr>
            </w:pPr>
            <w:r>
              <w:rPr>
                <w:rFonts w:ascii="Arial"/>
                <w:w w:val="100"/>
                <w:sz w:val="20"/>
              </w:rPr>
              <w:t>%</w:t>
            </w:r>
          </w:p>
        </w:tc>
      </w:tr>
      <w:tr>
        <w:trPr>
          <w:trHeight w:val="706" w:hRule="exact"/>
        </w:trPr>
        <w:tc>
          <w:tcPr>
            <w:tcW w:w="2294"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898"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170" w:right="0"/>
              <w:jc w:val="left"/>
              <w:rPr>
                <w:rFonts w:ascii="Arial" w:hAnsi="Arial" w:cs="Arial" w:eastAsia="Arial" w:hint="default"/>
                <w:sz w:val="20"/>
                <w:szCs w:val="20"/>
              </w:rPr>
            </w:pPr>
            <w:r>
              <w:rPr>
                <w:rFonts w:ascii="Arial"/>
                <w:sz w:val="20"/>
              </w:rPr>
              <w:t>(1)</w:t>
            </w:r>
          </w:p>
        </w:tc>
        <w:tc>
          <w:tcPr>
            <w:tcW w:w="1515"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137"/>
              <w:jc w:val="right"/>
              <w:rPr>
                <w:rFonts w:ascii="Arial" w:hAnsi="Arial" w:cs="Arial" w:eastAsia="Arial" w:hint="default"/>
                <w:sz w:val="20"/>
                <w:szCs w:val="20"/>
              </w:rPr>
            </w:pPr>
            <w:r>
              <w:rPr>
                <w:rFonts w:ascii="Arial"/>
                <w:spacing w:val="-1"/>
                <w:sz w:val="20"/>
              </w:rPr>
              <w:t>5,419</w:t>
            </w:r>
          </w:p>
        </w:tc>
        <w:tc>
          <w:tcPr>
            <w:tcW w:w="1918"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186"/>
              <w:jc w:val="right"/>
              <w:rPr>
                <w:rFonts w:ascii="Arial" w:hAnsi="Arial" w:cs="Arial" w:eastAsia="Arial" w:hint="default"/>
                <w:sz w:val="20"/>
                <w:szCs w:val="20"/>
              </w:rPr>
            </w:pPr>
            <w:r>
              <w:rPr>
                <w:rFonts w:ascii="Arial"/>
                <w:spacing w:val="-1"/>
                <w:sz w:val="20"/>
              </w:rPr>
              <w:t>1,925</w:t>
            </w:r>
          </w:p>
        </w:tc>
        <w:tc>
          <w:tcPr>
            <w:tcW w:w="1044"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385" w:right="0"/>
              <w:jc w:val="left"/>
              <w:rPr>
                <w:rFonts w:ascii="Arial" w:hAnsi="Arial" w:cs="Arial" w:eastAsia="Arial" w:hint="default"/>
                <w:sz w:val="20"/>
                <w:szCs w:val="20"/>
              </w:rPr>
            </w:pPr>
            <w:r>
              <w:rPr>
                <w:rFonts w:ascii="Arial"/>
                <w:sz w:val="20"/>
              </w:rPr>
              <w:t>3,494</w:t>
            </w:r>
          </w:p>
        </w:tc>
        <w:tc>
          <w:tcPr>
            <w:tcW w:w="1034"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50"/>
              <w:jc w:val="right"/>
              <w:rPr>
                <w:rFonts w:ascii="Arial" w:hAnsi="Arial" w:cs="Arial" w:eastAsia="Arial" w:hint="default"/>
                <w:sz w:val="20"/>
                <w:szCs w:val="20"/>
              </w:rPr>
            </w:pPr>
            <w:r>
              <w:rPr>
                <w:rFonts w:ascii="Arial"/>
                <w:spacing w:val="-1"/>
                <w:sz w:val="20"/>
              </w:rPr>
              <w:t>181.5%</w:t>
            </w:r>
          </w:p>
        </w:tc>
      </w:tr>
      <w:tr>
        <w:trPr>
          <w:trHeight w:val="402"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70" w:right="0"/>
              <w:jc w:val="left"/>
              <w:rPr>
                <w:rFonts w:ascii="Arial" w:hAnsi="Arial" w:cs="Arial" w:eastAsia="Arial" w:hint="default"/>
                <w:sz w:val="20"/>
                <w:szCs w:val="20"/>
              </w:rPr>
            </w:pPr>
            <w:r>
              <w:rPr>
                <w:rFonts w:ascii="Arial"/>
                <w:sz w:val="20"/>
              </w:rPr>
              <w:t>(2)</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37"/>
              <w:jc w:val="right"/>
              <w:rPr>
                <w:rFonts w:ascii="Arial" w:hAnsi="Arial" w:cs="Arial" w:eastAsia="Arial" w:hint="default"/>
                <w:sz w:val="20"/>
                <w:szCs w:val="20"/>
              </w:rPr>
            </w:pPr>
            <w:r>
              <w:rPr>
                <w:rFonts w:ascii="Arial"/>
                <w:spacing w:val="-1"/>
                <w:sz w:val="20"/>
              </w:rPr>
              <w:t>367,281</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86"/>
              <w:jc w:val="right"/>
              <w:rPr>
                <w:rFonts w:ascii="Arial" w:hAnsi="Arial" w:cs="Arial" w:eastAsia="Arial" w:hint="default"/>
                <w:sz w:val="20"/>
                <w:szCs w:val="20"/>
              </w:rPr>
            </w:pPr>
            <w:r>
              <w:rPr>
                <w:rFonts w:ascii="Arial"/>
                <w:spacing w:val="-1"/>
                <w:sz w:val="20"/>
              </w:rPr>
              <w:t>325,436</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73" w:right="0"/>
              <w:jc w:val="left"/>
              <w:rPr>
                <w:rFonts w:ascii="Arial" w:hAnsi="Arial" w:cs="Arial" w:eastAsia="Arial" w:hint="default"/>
                <w:sz w:val="20"/>
                <w:szCs w:val="20"/>
              </w:rPr>
            </w:pPr>
            <w:r>
              <w:rPr>
                <w:rFonts w:ascii="Arial"/>
                <w:sz w:val="20"/>
              </w:rPr>
              <w:t>41,845</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1"/>
              <w:jc w:val="right"/>
              <w:rPr>
                <w:rFonts w:ascii="Arial" w:hAnsi="Arial" w:cs="Arial" w:eastAsia="Arial" w:hint="default"/>
                <w:sz w:val="20"/>
                <w:szCs w:val="20"/>
              </w:rPr>
            </w:pPr>
            <w:r>
              <w:rPr>
                <w:rFonts w:ascii="Arial"/>
                <w:sz w:val="20"/>
              </w:rPr>
              <w:t>12.9%</w:t>
            </w:r>
          </w:p>
        </w:tc>
      </w:tr>
      <w:tr>
        <w:trPr>
          <w:trHeight w:val="416"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70" w:right="0"/>
              <w:jc w:val="left"/>
              <w:rPr>
                <w:rFonts w:ascii="Arial" w:hAnsi="Arial" w:cs="Arial" w:eastAsia="Arial" w:hint="default"/>
                <w:sz w:val="20"/>
                <w:szCs w:val="20"/>
              </w:rPr>
            </w:pPr>
            <w:r>
              <w:rPr>
                <w:rFonts w:ascii="Arial"/>
                <w:sz w:val="20"/>
              </w:rPr>
              <w:t>(2)</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37"/>
              <w:jc w:val="right"/>
              <w:rPr>
                <w:rFonts w:ascii="Arial" w:hAnsi="Arial" w:cs="Arial" w:eastAsia="Arial" w:hint="default"/>
                <w:sz w:val="20"/>
                <w:szCs w:val="20"/>
              </w:rPr>
            </w:pPr>
            <w:r>
              <w:rPr>
                <w:rFonts w:ascii="Arial"/>
                <w:sz w:val="20"/>
              </w:rPr>
              <w:t>59,935</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86"/>
              <w:jc w:val="right"/>
              <w:rPr>
                <w:rFonts w:ascii="Arial" w:hAnsi="Arial" w:cs="Arial" w:eastAsia="Arial" w:hint="default"/>
                <w:sz w:val="20"/>
                <w:szCs w:val="20"/>
              </w:rPr>
            </w:pPr>
            <w:r>
              <w:rPr>
                <w:rFonts w:ascii="Arial"/>
                <w:sz w:val="20"/>
              </w:rPr>
              <w:t>52,329</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85" w:right="0"/>
              <w:jc w:val="left"/>
              <w:rPr>
                <w:rFonts w:ascii="Arial" w:hAnsi="Arial" w:cs="Arial" w:eastAsia="Arial" w:hint="default"/>
                <w:sz w:val="20"/>
                <w:szCs w:val="20"/>
              </w:rPr>
            </w:pPr>
            <w:r>
              <w:rPr>
                <w:rFonts w:ascii="Arial"/>
                <w:sz w:val="20"/>
              </w:rPr>
              <w:t>7,606</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1"/>
              <w:jc w:val="right"/>
              <w:rPr>
                <w:rFonts w:ascii="Arial" w:hAnsi="Arial" w:cs="Arial" w:eastAsia="Arial" w:hint="default"/>
                <w:sz w:val="20"/>
                <w:szCs w:val="20"/>
              </w:rPr>
            </w:pPr>
            <w:r>
              <w:rPr>
                <w:rFonts w:ascii="Arial"/>
                <w:spacing w:val="-1"/>
                <w:sz w:val="20"/>
              </w:rPr>
              <w:t>14.5%</w:t>
            </w:r>
          </w:p>
        </w:tc>
      </w:tr>
      <w:tr>
        <w:trPr>
          <w:trHeight w:val="428"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70" w:right="0"/>
              <w:jc w:val="left"/>
              <w:rPr>
                <w:rFonts w:ascii="Arial" w:hAnsi="Arial" w:cs="Arial" w:eastAsia="Arial" w:hint="default"/>
                <w:sz w:val="20"/>
                <w:szCs w:val="20"/>
              </w:rPr>
            </w:pPr>
            <w:r>
              <w:rPr>
                <w:rFonts w:ascii="Arial"/>
                <w:sz w:val="20"/>
              </w:rPr>
              <w:t>(3)</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37"/>
              <w:jc w:val="right"/>
              <w:rPr>
                <w:rFonts w:ascii="Arial" w:hAnsi="Arial" w:cs="Arial" w:eastAsia="Arial" w:hint="default"/>
                <w:sz w:val="20"/>
                <w:szCs w:val="20"/>
              </w:rPr>
            </w:pPr>
            <w:r>
              <w:rPr>
                <w:rFonts w:ascii="Arial"/>
                <w:spacing w:val="-1"/>
                <w:sz w:val="20"/>
              </w:rPr>
              <w:t>5,058</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86"/>
              <w:jc w:val="right"/>
              <w:rPr>
                <w:rFonts w:ascii="Arial" w:hAnsi="Arial" w:cs="Arial" w:eastAsia="Arial" w:hint="default"/>
                <w:sz w:val="20"/>
                <w:szCs w:val="20"/>
              </w:rPr>
            </w:pPr>
            <w:r>
              <w:rPr>
                <w:rFonts w:ascii="Arial"/>
                <w:sz w:val="20"/>
              </w:rPr>
              <w:t>3,711</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85" w:right="0"/>
              <w:jc w:val="left"/>
              <w:rPr>
                <w:rFonts w:ascii="Arial" w:hAnsi="Arial" w:cs="Arial" w:eastAsia="Arial" w:hint="default"/>
                <w:sz w:val="20"/>
                <w:szCs w:val="20"/>
              </w:rPr>
            </w:pPr>
            <w:r>
              <w:rPr>
                <w:rFonts w:ascii="Arial"/>
                <w:sz w:val="20"/>
              </w:rPr>
              <w:t>1,347</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1"/>
              <w:jc w:val="right"/>
              <w:rPr>
                <w:rFonts w:ascii="Arial" w:hAnsi="Arial" w:cs="Arial" w:eastAsia="Arial" w:hint="default"/>
                <w:sz w:val="20"/>
                <w:szCs w:val="20"/>
              </w:rPr>
            </w:pPr>
            <w:r>
              <w:rPr>
                <w:rFonts w:ascii="Arial"/>
                <w:spacing w:val="-1"/>
                <w:sz w:val="20"/>
              </w:rPr>
              <w:t>36.3%</w:t>
            </w:r>
          </w:p>
        </w:tc>
      </w:tr>
      <w:tr>
        <w:trPr>
          <w:trHeight w:val="430"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70" w:right="0"/>
              <w:jc w:val="left"/>
              <w:rPr>
                <w:rFonts w:ascii="Arial" w:hAnsi="Arial" w:cs="Arial" w:eastAsia="Arial" w:hint="default"/>
                <w:sz w:val="20"/>
                <w:szCs w:val="20"/>
              </w:rPr>
            </w:pPr>
            <w:r>
              <w:rPr>
                <w:rFonts w:ascii="Arial"/>
                <w:sz w:val="20"/>
              </w:rPr>
              <w:t>(4)</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37"/>
              <w:jc w:val="right"/>
              <w:rPr>
                <w:rFonts w:ascii="Arial" w:hAnsi="Arial" w:cs="Arial" w:eastAsia="Arial" w:hint="default"/>
                <w:sz w:val="20"/>
                <w:szCs w:val="20"/>
              </w:rPr>
            </w:pPr>
            <w:r>
              <w:rPr>
                <w:rFonts w:ascii="Arial"/>
                <w:sz w:val="20"/>
              </w:rPr>
              <w:t>69,175</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86"/>
              <w:jc w:val="right"/>
              <w:rPr>
                <w:rFonts w:ascii="Arial" w:hAnsi="Arial" w:cs="Arial" w:eastAsia="Arial" w:hint="default"/>
                <w:sz w:val="20"/>
                <w:szCs w:val="20"/>
              </w:rPr>
            </w:pPr>
            <w:r>
              <w:rPr>
                <w:rFonts w:ascii="Arial"/>
                <w:sz w:val="20"/>
              </w:rPr>
              <w:t>32,322</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273" w:right="0"/>
              <w:jc w:val="left"/>
              <w:rPr>
                <w:rFonts w:ascii="Arial" w:hAnsi="Arial" w:cs="Arial" w:eastAsia="Arial" w:hint="default"/>
                <w:sz w:val="20"/>
                <w:szCs w:val="20"/>
              </w:rPr>
            </w:pPr>
            <w:r>
              <w:rPr>
                <w:rFonts w:ascii="Arial"/>
                <w:sz w:val="20"/>
              </w:rPr>
              <w:t>36,853</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0"/>
              <w:jc w:val="right"/>
              <w:rPr>
                <w:rFonts w:ascii="Arial" w:hAnsi="Arial" w:cs="Arial" w:eastAsia="Arial" w:hint="default"/>
                <w:sz w:val="20"/>
                <w:szCs w:val="20"/>
              </w:rPr>
            </w:pPr>
            <w:r>
              <w:rPr>
                <w:rFonts w:ascii="Arial"/>
                <w:sz w:val="20"/>
              </w:rPr>
              <w:t>114.0%</w:t>
            </w:r>
          </w:p>
        </w:tc>
      </w:tr>
      <w:tr>
        <w:trPr>
          <w:trHeight w:val="428"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70" w:right="0"/>
              <w:jc w:val="left"/>
              <w:rPr>
                <w:rFonts w:ascii="Arial" w:hAnsi="Arial" w:cs="Arial" w:eastAsia="Arial" w:hint="default"/>
                <w:sz w:val="20"/>
                <w:szCs w:val="20"/>
              </w:rPr>
            </w:pPr>
            <w:r>
              <w:rPr>
                <w:rFonts w:ascii="Arial"/>
                <w:sz w:val="20"/>
              </w:rPr>
              <w:t>(5)</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37"/>
              <w:jc w:val="right"/>
              <w:rPr>
                <w:rFonts w:ascii="Arial" w:hAnsi="Arial" w:cs="Arial" w:eastAsia="Arial" w:hint="default"/>
                <w:sz w:val="20"/>
                <w:szCs w:val="20"/>
              </w:rPr>
            </w:pPr>
            <w:r>
              <w:rPr>
                <w:rFonts w:ascii="Arial"/>
                <w:spacing w:val="-1"/>
                <w:sz w:val="20"/>
              </w:rPr>
              <w:t>103,512</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86"/>
              <w:jc w:val="right"/>
              <w:rPr>
                <w:rFonts w:ascii="Arial" w:hAnsi="Arial" w:cs="Arial" w:eastAsia="Arial" w:hint="default"/>
                <w:sz w:val="20"/>
                <w:szCs w:val="20"/>
              </w:rPr>
            </w:pPr>
            <w:r>
              <w:rPr>
                <w:rFonts w:ascii="Arial"/>
                <w:sz w:val="20"/>
              </w:rPr>
              <w:t>91,139</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73" w:right="0"/>
              <w:jc w:val="left"/>
              <w:rPr>
                <w:rFonts w:ascii="Arial" w:hAnsi="Arial" w:cs="Arial" w:eastAsia="Arial" w:hint="default"/>
                <w:sz w:val="20"/>
                <w:szCs w:val="20"/>
              </w:rPr>
            </w:pPr>
            <w:r>
              <w:rPr>
                <w:rFonts w:ascii="Arial"/>
                <w:sz w:val="20"/>
              </w:rPr>
              <w:t>12,373</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1"/>
              <w:jc w:val="right"/>
              <w:rPr>
                <w:rFonts w:ascii="Arial" w:hAnsi="Arial" w:cs="Arial" w:eastAsia="Arial" w:hint="default"/>
                <w:sz w:val="20"/>
                <w:szCs w:val="20"/>
              </w:rPr>
            </w:pPr>
            <w:r>
              <w:rPr>
                <w:rFonts w:ascii="Arial"/>
                <w:sz w:val="20"/>
              </w:rPr>
              <w:t>13.6%</w:t>
            </w:r>
          </w:p>
        </w:tc>
      </w:tr>
      <w:tr>
        <w:trPr>
          <w:trHeight w:val="430"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70" w:right="0"/>
              <w:jc w:val="left"/>
              <w:rPr>
                <w:rFonts w:ascii="Arial" w:hAnsi="Arial" w:cs="Arial" w:eastAsia="Arial" w:hint="default"/>
                <w:sz w:val="20"/>
                <w:szCs w:val="20"/>
              </w:rPr>
            </w:pPr>
            <w:r>
              <w:rPr>
                <w:rFonts w:ascii="Arial"/>
                <w:sz w:val="20"/>
              </w:rPr>
              <w:t>(6)</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37"/>
              <w:jc w:val="right"/>
              <w:rPr>
                <w:rFonts w:ascii="Arial" w:hAnsi="Arial" w:cs="Arial" w:eastAsia="Arial" w:hint="default"/>
                <w:sz w:val="20"/>
                <w:szCs w:val="20"/>
              </w:rPr>
            </w:pPr>
            <w:r>
              <w:rPr>
                <w:rFonts w:ascii="Arial"/>
                <w:spacing w:val="-1"/>
                <w:sz w:val="20"/>
              </w:rPr>
              <w:t>43,083</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86"/>
              <w:jc w:val="right"/>
              <w:rPr>
                <w:rFonts w:ascii="Arial" w:hAnsi="Arial" w:cs="Arial" w:eastAsia="Arial" w:hint="default"/>
                <w:sz w:val="20"/>
                <w:szCs w:val="20"/>
              </w:rPr>
            </w:pPr>
            <w:r>
              <w:rPr>
                <w:rFonts w:ascii="Arial"/>
                <w:sz w:val="20"/>
              </w:rPr>
              <w:t>36,621</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85" w:right="0"/>
              <w:jc w:val="left"/>
              <w:rPr>
                <w:rFonts w:ascii="Arial" w:hAnsi="Arial" w:cs="Arial" w:eastAsia="Arial" w:hint="default"/>
                <w:sz w:val="20"/>
                <w:szCs w:val="20"/>
              </w:rPr>
            </w:pPr>
            <w:r>
              <w:rPr>
                <w:rFonts w:ascii="Arial"/>
                <w:sz w:val="20"/>
              </w:rPr>
              <w:t>6,462</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1"/>
              <w:jc w:val="right"/>
              <w:rPr>
                <w:rFonts w:ascii="Arial" w:hAnsi="Arial" w:cs="Arial" w:eastAsia="Arial" w:hint="default"/>
                <w:sz w:val="20"/>
                <w:szCs w:val="20"/>
              </w:rPr>
            </w:pPr>
            <w:r>
              <w:rPr>
                <w:rFonts w:ascii="Arial"/>
                <w:spacing w:val="-1"/>
                <w:sz w:val="20"/>
              </w:rPr>
              <w:t>17.6%</w:t>
            </w:r>
          </w:p>
        </w:tc>
      </w:tr>
      <w:tr>
        <w:trPr>
          <w:trHeight w:val="428"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70" w:right="0"/>
              <w:jc w:val="left"/>
              <w:rPr>
                <w:rFonts w:ascii="Arial" w:hAnsi="Arial" w:cs="Arial" w:eastAsia="Arial" w:hint="default"/>
                <w:sz w:val="20"/>
                <w:szCs w:val="20"/>
              </w:rPr>
            </w:pPr>
            <w:r>
              <w:rPr>
                <w:rFonts w:ascii="Arial"/>
                <w:sz w:val="20"/>
              </w:rPr>
              <w:t>(7)</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37"/>
              <w:jc w:val="right"/>
              <w:rPr>
                <w:rFonts w:ascii="Arial" w:hAnsi="Arial" w:cs="Arial" w:eastAsia="Arial" w:hint="default"/>
                <w:sz w:val="20"/>
                <w:szCs w:val="20"/>
              </w:rPr>
            </w:pPr>
            <w:r>
              <w:rPr>
                <w:rFonts w:ascii="Arial"/>
                <w:spacing w:val="-1"/>
                <w:sz w:val="20"/>
              </w:rPr>
              <w:t>32,193</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86"/>
              <w:jc w:val="right"/>
              <w:rPr>
                <w:rFonts w:ascii="Arial" w:hAnsi="Arial" w:cs="Arial" w:eastAsia="Arial" w:hint="default"/>
                <w:sz w:val="20"/>
                <w:szCs w:val="20"/>
              </w:rPr>
            </w:pPr>
            <w:r>
              <w:rPr>
                <w:rFonts w:ascii="Arial"/>
                <w:sz w:val="20"/>
              </w:rPr>
              <w:t>128</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73" w:right="0"/>
              <w:jc w:val="left"/>
              <w:rPr>
                <w:rFonts w:ascii="Arial" w:hAnsi="Arial" w:cs="Arial" w:eastAsia="Arial" w:hint="default"/>
                <w:sz w:val="20"/>
                <w:szCs w:val="20"/>
              </w:rPr>
            </w:pPr>
            <w:r>
              <w:rPr>
                <w:rFonts w:ascii="Arial"/>
                <w:sz w:val="20"/>
              </w:rPr>
              <w:t>32,065</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1"/>
              <w:jc w:val="right"/>
              <w:rPr>
                <w:rFonts w:ascii="Arial" w:hAnsi="Arial" w:cs="Arial" w:eastAsia="Arial" w:hint="default"/>
                <w:sz w:val="20"/>
                <w:szCs w:val="20"/>
              </w:rPr>
            </w:pPr>
            <w:r>
              <w:rPr>
                <w:rFonts w:ascii="Arial"/>
                <w:spacing w:val="-1"/>
                <w:sz w:val="20"/>
              </w:rPr>
              <w:t>25050.8%</w:t>
            </w:r>
          </w:p>
        </w:tc>
      </w:tr>
      <w:tr>
        <w:trPr>
          <w:trHeight w:val="327"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70" w:right="0"/>
              <w:jc w:val="left"/>
              <w:rPr>
                <w:rFonts w:ascii="Arial" w:hAnsi="Arial" w:cs="Arial" w:eastAsia="Arial" w:hint="default"/>
                <w:sz w:val="20"/>
                <w:szCs w:val="20"/>
              </w:rPr>
            </w:pPr>
            <w:r>
              <w:rPr>
                <w:rFonts w:ascii="Arial"/>
                <w:sz w:val="20"/>
              </w:rPr>
              <w:t>(7)</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37"/>
              <w:jc w:val="right"/>
              <w:rPr>
                <w:rFonts w:ascii="Arial" w:hAnsi="Arial" w:cs="Arial" w:eastAsia="Arial" w:hint="default"/>
                <w:sz w:val="20"/>
                <w:szCs w:val="20"/>
              </w:rPr>
            </w:pPr>
            <w:r>
              <w:rPr>
                <w:rFonts w:ascii="Arial"/>
                <w:spacing w:val="-1"/>
                <w:sz w:val="20"/>
              </w:rPr>
              <w:t>2,000</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86"/>
              <w:jc w:val="right"/>
              <w:rPr>
                <w:rFonts w:ascii="Arial" w:hAnsi="Arial" w:cs="Arial" w:eastAsia="Arial" w:hint="default"/>
                <w:sz w:val="20"/>
                <w:szCs w:val="20"/>
              </w:rPr>
            </w:pPr>
            <w:r>
              <w:rPr>
                <w:rFonts w:ascii="Arial"/>
                <w:sz w:val="20"/>
              </w:rPr>
              <w:t>33,118</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206" w:right="0"/>
              <w:jc w:val="left"/>
              <w:rPr>
                <w:rFonts w:ascii="Arial" w:hAnsi="Arial" w:cs="Arial" w:eastAsia="Arial" w:hint="default"/>
                <w:sz w:val="20"/>
                <w:szCs w:val="20"/>
              </w:rPr>
            </w:pPr>
            <w:r>
              <w:rPr>
                <w:rFonts w:ascii="Arial"/>
                <w:sz w:val="20"/>
              </w:rPr>
              <w:t>(31,118)</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0"/>
              <w:jc w:val="right"/>
              <w:rPr>
                <w:rFonts w:ascii="Arial" w:hAnsi="Arial" w:cs="Arial" w:eastAsia="Arial" w:hint="default"/>
                <w:sz w:val="20"/>
                <w:szCs w:val="20"/>
              </w:rPr>
            </w:pPr>
            <w:r>
              <w:rPr>
                <w:rFonts w:ascii="Arial"/>
                <w:spacing w:val="-1"/>
                <w:sz w:val="20"/>
              </w:rPr>
              <w:t>-94.0%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tbl>
      <w:tblPr>
        <w:tblW w:w="0" w:type="auto"/>
        <w:jc w:val="left"/>
        <w:tblInd w:w="565" w:type="dxa"/>
        <w:tblLayout w:type="fixed"/>
        <w:tblCellMar>
          <w:top w:w="0" w:type="dxa"/>
          <w:left w:w="0" w:type="dxa"/>
          <w:bottom w:w="0" w:type="dxa"/>
          <w:right w:w="0" w:type="dxa"/>
        </w:tblCellMar>
        <w:tblLook w:val="01E0"/>
      </w:tblPr>
      <w:tblGrid>
        <w:gridCol w:w="2296"/>
        <w:gridCol w:w="898"/>
        <w:gridCol w:w="1513"/>
        <w:gridCol w:w="1918"/>
        <w:gridCol w:w="1134"/>
        <w:gridCol w:w="944"/>
      </w:tblGrid>
      <w:tr>
        <w:trPr>
          <w:trHeight w:val="230" w:hRule="exact"/>
        </w:trPr>
        <w:tc>
          <w:tcPr>
            <w:tcW w:w="2296" w:type="dxa"/>
            <w:tcBorders>
              <w:top w:val="nil" w:sz="6" w:space="0" w:color="auto"/>
              <w:left w:val="nil" w:sz="6" w:space="0" w:color="auto"/>
              <w:bottom w:val="nil" w:sz="6" w:space="0" w:color="auto"/>
              <w:right w:val="nil" w:sz="6" w:space="0" w:color="auto"/>
            </w:tcBorders>
          </w:tcPr>
          <w:p>
            <w:pPr>
              <w:pStyle w:val="TableParagraph"/>
              <w:spacing w:line="200" w:lineRule="exact"/>
              <w:ind w:right="0"/>
              <w:jc w:val="left"/>
              <w:rPr>
                <w:rFonts w:ascii="黑体" w:hAnsi="黑体" w:cs="黑体" w:eastAsia="黑体" w:hint="default"/>
                <w:sz w:val="20"/>
                <w:szCs w:val="20"/>
              </w:rPr>
            </w:pPr>
            <w:r>
              <w:rPr>
                <w:rFonts w:ascii="黑体" w:hAnsi="黑体" w:cs="黑体" w:eastAsia="黑体" w:hint="default"/>
                <w:sz w:val="20"/>
                <w:szCs w:val="20"/>
              </w:rPr>
              <w:t>利润表及现金流量表项目</w:t>
            </w:r>
          </w:p>
        </w:tc>
        <w:tc>
          <w:tcPr>
            <w:tcW w:w="898"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1918"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
        </w:tc>
      </w:tr>
      <w:tr>
        <w:trPr>
          <w:trHeight w:val="266" w:hRule="exact"/>
        </w:trPr>
        <w:tc>
          <w:tcPr>
            <w:tcW w:w="2296"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
        </w:tc>
        <w:tc>
          <w:tcPr>
            <w:tcW w:w="1513" w:type="dxa"/>
            <w:vMerge w:val="restart"/>
            <w:tcBorders>
              <w:top w:val="nil" w:sz="6" w:space="0" w:color="auto"/>
              <w:left w:val="nil" w:sz="6" w:space="0" w:color="auto"/>
              <w:right w:val="nil" w:sz="6" w:space="0" w:color="auto"/>
            </w:tcBorders>
          </w:tcPr>
          <w:p>
            <w:pPr>
              <w:pStyle w:val="TableParagraph"/>
              <w:spacing w:line="250" w:lineRule="exact"/>
              <w:ind w:left="701" w:right="0"/>
              <w:jc w:val="left"/>
              <w:rPr>
                <w:rFonts w:ascii="宋体" w:hAnsi="宋体" w:cs="宋体" w:eastAsia="宋体" w:hint="default"/>
                <w:sz w:val="20"/>
                <w:szCs w:val="20"/>
              </w:rPr>
            </w:pPr>
            <w:r>
              <w:rPr>
                <w:rFonts w:ascii="Arial" w:hAnsi="Arial" w:cs="Arial" w:eastAsia="Arial" w:hint="default"/>
                <w:sz w:val="20"/>
                <w:szCs w:val="20"/>
              </w:rPr>
              <w:t>2012</w:t>
            </w:r>
            <w:r>
              <w:rPr>
                <w:rFonts w:ascii="Arial" w:hAnsi="Arial" w:cs="Arial" w:eastAsia="Arial" w:hint="default"/>
                <w:spacing w:val="-6"/>
                <w:sz w:val="20"/>
                <w:szCs w:val="20"/>
              </w:rPr>
              <w:t> </w:t>
            </w:r>
            <w:r>
              <w:rPr>
                <w:rFonts w:ascii="宋体" w:hAnsi="宋体" w:cs="宋体" w:eastAsia="宋体" w:hint="default"/>
                <w:sz w:val="20"/>
                <w:szCs w:val="20"/>
              </w:rPr>
              <w:t>年</w:t>
            </w:r>
          </w:p>
          <w:p>
            <w:pPr>
              <w:pStyle w:val="TableParagraph"/>
              <w:spacing w:line="268" w:lineRule="exact"/>
              <w:ind w:left="401"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1918" w:type="dxa"/>
            <w:vMerge w:val="restart"/>
            <w:tcBorders>
              <w:top w:val="nil" w:sz="6" w:space="0" w:color="auto"/>
              <w:left w:val="nil" w:sz="6" w:space="0" w:color="auto"/>
              <w:right w:val="nil" w:sz="6" w:space="0" w:color="auto"/>
            </w:tcBorders>
          </w:tcPr>
          <w:p>
            <w:pPr>
              <w:pStyle w:val="TableParagraph"/>
              <w:spacing w:line="250" w:lineRule="exact"/>
              <w:ind w:left="1079"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p>
          <w:p>
            <w:pPr>
              <w:pStyle w:val="TableParagraph"/>
              <w:spacing w:line="268" w:lineRule="exact"/>
              <w:ind w:left="779"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2078" w:type="dxa"/>
            <w:gridSpan w:val="2"/>
            <w:tcBorders>
              <w:top w:val="nil" w:sz="6" w:space="0" w:color="auto"/>
              <w:left w:val="nil" w:sz="6" w:space="0" w:color="auto"/>
              <w:bottom w:val="single" w:sz="6" w:space="0" w:color="000000"/>
              <w:right w:val="nil" w:sz="6" w:space="0" w:color="auto"/>
            </w:tcBorders>
          </w:tcPr>
          <w:p>
            <w:pPr>
              <w:pStyle w:val="TableParagraph"/>
              <w:spacing w:line="230" w:lineRule="exact"/>
              <w:ind w:left="138" w:right="0"/>
              <w:jc w:val="left"/>
              <w:rPr>
                <w:rFonts w:ascii="宋体" w:hAnsi="宋体" w:cs="宋体" w:eastAsia="宋体" w:hint="default"/>
                <w:sz w:val="20"/>
                <w:szCs w:val="20"/>
              </w:rPr>
            </w:pPr>
            <w:r>
              <w:rPr>
                <w:rFonts w:ascii="宋体" w:hAnsi="宋体" w:cs="宋体" w:eastAsia="宋体" w:hint="default"/>
                <w:sz w:val="20"/>
                <w:szCs w:val="20"/>
              </w:rPr>
              <w:t>差异变动金额及幅度</w:t>
            </w:r>
          </w:p>
        </w:tc>
      </w:tr>
      <w:tr>
        <w:trPr>
          <w:trHeight w:val="275" w:hRule="exact"/>
        </w:trPr>
        <w:tc>
          <w:tcPr>
            <w:tcW w:w="2296" w:type="dxa"/>
            <w:tcBorders>
              <w:top w:val="nil" w:sz="6" w:space="0" w:color="auto"/>
              <w:left w:val="nil" w:sz="6" w:space="0" w:color="auto"/>
              <w:bottom w:val="single" w:sz="6" w:space="0" w:color="000000"/>
              <w:right w:val="nil" w:sz="6" w:space="0" w:color="auto"/>
            </w:tcBorders>
          </w:tcPr>
          <w:p>
            <w:pPr>
              <w:pStyle w:val="TableParagraph"/>
              <w:spacing w:line="237" w:lineRule="exact"/>
              <w:ind w:right="0"/>
              <w:jc w:val="left"/>
              <w:rPr>
                <w:rFonts w:ascii="宋体" w:hAnsi="宋体" w:cs="宋体" w:eastAsia="宋体" w:hint="default"/>
                <w:sz w:val="20"/>
                <w:szCs w:val="20"/>
              </w:rPr>
            </w:pPr>
            <w:r>
              <w:rPr>
                <w:rFonts w:ascii="宋体" w:hAnsi="宋体" w:cs="宋体" w:eastAsia="宋体" w:hint="default"/>
                <w:sz w:val="20"/>
                <w:szCs w:val="20"/>
              </w:rPr>
              <w:t>（单位：人民币百万元）</w:t>
            </w:r>
          </w:p>
        </w:tc>
        <w:tc>
          <w:tcPr>
            <w:tcW w:w="898" w:type="dxa"/>
            <w:tcBorders>
              <w:top w:val="nil" w:sz="6" w:space="0" w:color="auto"/>
              <w:left w:val="nil" w:sz="6" w:space="0" w:color="auto"/>
              <w:bottom w:val="single" w:sz="6" w:space="0" w:color="000000"/>
              <w:right w:val="nil" w:sz="6" w:space="0" w:color="auto"/>
            </w:tcBorders>
          </w:tcPr>
          <w:p>
            <w:pPr>
              <w:pStyle w:val="TableParagraph"/>
              <w:spacing w:line="237" w:lineRule="exact"/>
              <w:ind w:left="95" w:right="0"/>
              <w:jc w:val="left"/>
              <w:rPr>
                <w:rFonts w:ascii="宋体" w:hAnsi="宋体" w:cs="宋体" w:eastAsia="宋体" w:hint="default"/>
                <w:sz w:val="20"/>
                <w:szCs w:val="20"/>
              </w:rPr>
            </w:pPr>
            <w:r>
              <w:rPr>
                <w:rFonts w:ascii="宋体" w:hAnsi="宋体" w:cs="宋体" w:eastAsia="宋体" w:hint="default"/>
                <w:sz w:val="20"/>
                <w:szCs w:val="20"/>
              </w:rPr>
              <w:t>附注</w:t>
            </w:r>
          </w:p>
        </w:tc>
        <w:tc>
          <w:tcPr>
            <w:tcW w:w="1513" w:type="dxa"/>
            <w:vMerge/>
            <w:tcBorders>
              <w:left w:val="nil" w:sz="6" w:space="0" w:color="auto"/>
              <w:bottom w:val="single" w:sz="6" w:space="0" w:color="000000"/>
              <w:right w:val="nil" w:sz="6" w:space="0" w:color="auto"/>
            </w:tcBorders>
          </w:tcPr>
          <w:p>
            <w:pPr/>
          </w:p>
        </w:tc>
        <w:tc>
          <w:tcPr>
            <w:tcW w:w="1918" w:type="dxa"/>
            <w:vMerge/>
            <w:tcBorders>
              <w:left w:val="nil" w:sz="6" w:space="0" w:color="auto"/>
              <w:bottom w:val="single" w:sz="6" w:space="0" w:color="000000"/>
              <w:right w:val="nil" w:sz="6" w:space="0" w:color="auto"/>
            </w:tcBorders>
          </w:tcPr>
          <w:p>
            <w:pPr/>
          </w:p>
        </w:tc>
        <w:tc>
          <w:tcPr>
            <w:tcW w:w="1134" w:type="dxa"/>
            <w:tcBorders>
              <w:top w:val="single" w:sz="6" w:space="0" w:color="000000"/>
              <w:left w:val="nil" w:sz="6" w:space="0" w:color="auto"/>
              <w:bottom w:val="nil" w:sz="6" w:space="0" w:color="auto"/>
              <w:right w:val="nil" w:sz="6" w:space="0" w:color="auto"/>
            </w:tcBorders>
          </w:tcPr>
          <w:p>
            <w:pPr>
              <w:pStyle w:val="TableParagraph"/>
              <w:spacing w:line="230" w:lineRule="exact"/>
              <w:ind w:left="16" w:right="0"/>
              <w:jc w:val="left"/>
              <w:rPr>
                <w:rFonts w:ascii="宋体" w:hAnsi="宋体" w:cs="宋体" w:eastAsia="宋体" w:hint="default"/>
                <w:sz w:val="20"/>
                <w:szCs w:val="20"/>
              </w:rPr>
            </w:pPr>
            <w:r>
              <w:rPr>
                <w:rFonts w:ascii="宋体" w:hAnsi="宋体" w:cs="宋体" w:eastAsia="宋体" w:hint="default"/>
                <w:w w:val="100"/>
                <w:sz w:val="20"/>
                <w:szCs w:val="20"/>
              </w:rPr>
              <w:t>增</w:t>
            </w:r>
            <w:r>
              <w:rPr>
                <w:rFonts w:ascii="宋体" w:hAnsi="宋体" w:cs="宋体" w:eastAsia="宋体" w:hint="default"/>
                <w:spacing w:val="-83"/>
                <w:w w:val="100"/>
                <w:sz w:val="20"/>
                <w:szCs w:val="20"/>
              </w:rPr>
              <w:t>加</w:t>
            </w:r>
            <w:r>
              <w:rPr>
                <w:rFonts w:ascii="宋体" w:hAnsi="宋体" w:cs="宋体" w:eastAsia="宋体" w:hint="default"/>
                <w:spacing w:val="-2"/>
                <w:w w:val="100"/>
                <w:sz w:val="20"/>
                <w:szCs w:val="20"/>
              </w:rPr>
              <w:t>（</w:t>
            </w:r>
            <w:r>
              <w:rPr>
                <w:rFonts w:ascii="宋体" w:hAnsi="宋体" w:cs="宋体" w:eastAsia="宋体" w:hint="default"/>
                <w:w w:val="100"/>
                <w:sz w:val="20"/>
                <w:szCs w:val="20"/>
              </w:rPr>
              <w:t>减</w:t>
            </w:r>
            <w:r>
              <w:rPr>
                <w:rFonts w:ascii="宋体" w:hAnsi="宋体" w:cs="宋体" w:eastAsia="宋体" w:hint="default"/>
                <w:spacing w:val="-2"/>
                <w:w w:val="100"/>
                <w:sz w:val="20"/>
                <w:szCs w:val="20"/>
              </w:rPr>
              <w:t>少</w:t>
            </w:r>
            <w:r>
              <w:rPr>
                <w:rFonts w:ascii="宋体" w:hAnsi="宋体" w:cs="宋体" w:eastAsia="宋体" w:hint="default"/>
                <w:w w:val="100"/>
                <w:sz w:val="20"/>
                <w:szCs w:val="20"/>
              </w:rPr>
              <w:t>）</w:t>
            </w:r>
          </w:p>
        </w:tc>
        <w:tc>
          <w:tcPr>
            <w:tcW w:w="944" w:type="dxa"/>
            <w:tcBorders>
              <w:top w:val="single" w:sz="6" w:space="0" w:color="000000"/>
              <w:left w:val="nil" w:sz="6" w:space="0" w:color="auto"/>
              <w:bottom w:val="single" w:sz="6" w:space="0" w:color="000000"/>
              <w:right w:val="nil" w:sz="6" w:space="0" w:color="auto"/>
            </w:tcBorders>
          </w:tcPr>
          <w:p>
            <w:pPr>
              <w:pStyle w:val="TableParagraph"/>
              <w:spacing w:line="240" w:lineRule="auto" w:before="27"/>
              <w:ind w:right="92"/>
              <w:jc w:val="right"/>
              <w:rPr>
                <w:rFonts w:ascii="Arial" w:hAnsi="Arial" w:cs="Arial" w:eastAsia="Arial" w:hint="default"/>
                <w:sz w:val="20"/>
                <w:szCs w:val="20"/>
              </w:rPr>
            </w:pPr>
            <w:r>
              <w:rPr>
                <w:rFonts w:ascii="Arial"/>
                <w:w w:val="100"/>
                <w:sz w:val="20"/>
              </w:rPr>
              <w:t>%</w:t>
            </w:r>
          </w:p>
        </w:tc>
      </w:tr>
      <w:tr>
        <w:trPr>
          <w:trHeight w:val="564" w:hRule="exact"/>
        </w:trPr>
        <w:tc>
          <w:tcPr>
            <w:tcW w:w="2296"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898"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73" w:right="0"/>
              <w:jc w:val="left"/>
              <w:rPr>
                <w:rFonts w:ascii="Arial" w:hAnsi="Arial" w:cs="Arial" w:eastAsia="Arial" w:hint="default"/>
                <w:sz w:val="20"/>
                <w:szCs w:val="20"/>
              </w:rPr>
            </w:pPr>
            <w:r>
              <w:rPr>
                <w:rFonts w:ascii="Arial"/>
                <w:sz w:val="20"/>
              </w:rPr>
              <w:t>(8)</w:t>
            </w:r>
          </w:p>
        </w:tc>
        <w:tc>
          <w:tcPr>
            <w:tcW w:w="1513"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38"/>
              <w:jc w:val="right"/>
              <w:rPr>
                <w:rFonts w:ascii="Arial" w:hAnsi="Arial" w:cs="Arial" w:eastAsia="Arial" w:hint="default"/>
                <w:sz w:val="20"/>
                <w:szCs w:val="20"/>
              </w:rPr>
            </w:pPr>
            <w:r>
              <w:rPr>
                <w:rFonts w:ascii="Arial"/>
                <w:spacing w:val="-1"/>
                <w:sz w:val="20"/>
              </w:rPr>
              <w:t>256,265</w:t>
            </w:r>
            <w:r>
              <w:rPr>
                <w:rFonts w:ascii="Arial"/>
                <w:sz w:val="20"/>
              </w:rPr>
            </w:r>
          </w:p>
        </w:tc>
        <w:tc>
          <w:tcPr>
            <w:tcW w:w="1918"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6"/>
              <w:jc w:val="right"/>
              <w:rPr>
                <w:rFonts w:ascii="Arial" w:hAnsi="Arial" w:cs="Arial" w:eastAsia="Arial" w:hint="default"/>
                <w:sz w:val="20"/>
                <w:szCs w:val="20"/>
              </w:rPr>
            </w:pPr>
            <w:r>
              <w:rPr>
                <w:rFonts w:ascii="Arial"/>
                <w:spacing w:val="-1"/>
                <w:sz w:val="20"/>
              </w:rPr>
              <w:t>215,519</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42" w:right="0"/>
              <w:jc w:val="left"/>
              <w:rPr>
                <w:rFonts w:ascii="Arial" w:hAnsi="Arial" w:cs="Arial" w:eastAsia="Arial" w:hint="default"/>
                <w:sz w:val="20"/>
                <w:szCs w:val="20"/>
              </w:rPr>
            </w:pPr>
            <w:r>
              <w:rPr>
                <w:rFonts w:ascii="Arial"/>
                <w:sz w:val="20"/>
              </w:rPr>
              <w:t>40,746</w:t>
            </w:r>
          </w:p>
        </w:tc>
        <w:tc>
          <w:tcPr>
            <w:tcW w:w="944"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0"/>
              <w:jc w:val="right"/>
              <w:rPr>
                <w:rFonts w:ascii="Arial" w:hAnsi="Arial" w:cs="Arial" w:eastAsia="Arial" w:hint="default"/>
                <w:sz w:val="20"/>
                <w:szCs w:val="20"/>
              </w:rPr>
            </w:pPr>
            <w:r>
              <w:rPr>
                <w:rFonts w:ascii="Arial"/>
                <w:sz w:val="20"/>
              </w:rPr>
              <w:t>18.9%</w:t>
            </w:r>
          </w:p>
        </w:tc>
      </w:tr>
      <w:tr>
        <w:trPr>
          <w:trHeight w:val="372" w:hRule="exact"/>
        </w:trPr>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73" w:right="0"/>
              <w:jc w:val="left"/>
              <w:rPr>
                <w:rFonts w:ascii="Arial" w:hAnsi="Arial" w:cs="Arial" w:eastAsia="Arial" w:hint="default"/>
                <w:sz w:val="20"/>
                <w:szCs w:val="20"/>
              </w:rPr>
            </w:pPr>
            <w:r>
              <w:rPr>
                <w:rFonts w:ascii="Arial"/>
                <w:sz w:val="20"/>
              </w:rPr>
              <w:t>(9)</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1"/>
              <w:jc w:val="right"/>
              <w:rPr>
                <w:rFonts w:ascii="Arial" w:hAnsi="Arial" w:cs="Arial" w:eastAsia="Arial" w:hint="default"/>
                <w:sz w:val="20"/>
                <w:szCs w:val="20"/>
              </w:rPr>
            </w:pPr>
            <w:r>
              <w:rPr>
                <w:rFonts w:ascii="Arial"/>
                <w:spacing w:val="-1"/>
                <w:sz w:val="20"/>
              </w:rPr>
              <w:t>(179,108)</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21"/>
              <w:jc w:val="right"/>
              <w:rPr>
                <w:rFonts w:ascii="Arial" w:hAnsi="Arial" w:cs="Arial" w:eastAsia="Arial" w:hint="default"/>
                <w:sz w:val="20"/>
                <w:szCs w:val="20"/>
              </w:rPr>
            </w:pPr>
            <w:r>
              <w:rPr>
                <w:rFonts w:ascii="Arial"/>
                <w:spacing w:val="-1"/>
                <w:sz w:val="20"/>
              </w:rPr>
              <w:t>(154,414)</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75" w:right="0"/>
              <w:jc w:val="left"/>
              <w:rPr>
                <w:rFonts w:ascii="Arial" w:hAnsi="Arial" w:cs="Arial" w:eastAsia="Arial" w:hint="default"/>
                <w:sz w:val="20"/>
                <w:szCs w:val="20"/>
              </w:rPr>
            </w:pPr>
            <w:r>
              <w:rPr>
                <w:rFonts w:ascii="Arial"/>
                <w:sz w:val="20"/>
              </w:rPr>
              <w:t>(24,694)</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0"/>
              <w:jc w:val="right"/>
              <w:rPr>
                <w:rFonts w:ascii="Arial" w:hAnsi="Arial" w:cs="Arial" w:eastAsia="Arial" w:hint="default"/>
                <w:sz w:val="20"/>
                <w:szCs w:val="20"/>
              </w:rPr>
            </w:pPr>
            <w:r>
              <w:rPr>
                <w:rFonts w:ascii="Arial"/>
                <w:sz w:val="20"/>
              </w:rPr>
              <w:t>16.0%</w:t>
            </w:r>
          </w:p>
        </w:tc>
      </w:tr>
      <w:tr>
        <w:trPr>
          <w:trHeight w:val="388" w:hRule="exact"/>
        </w:trPr>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73" w:right="0"/>
              <w:jc w:val="left"/>
              <w:rPr>
                <w:rFonts w:ascii="Arial" w:hAnsi="Arial" w:cs="Arial" w:eastAsia="Arial" w:hint="default"/>
                <w:sz w:val="20"/>
                <w:szCs w:val="20"/>
              </w:rPr>
            </w:pPr>
            <w:r>
              <w:rPr>
                <w:rFonts w:ascii="Arial"/>
                <w:sz w:val="20"/>
              </w:rPr>
              <w:t>(8)</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71"/>
              <w:jc w:val="right"/>
              <w:rPr>
                <w:rFonts w:ascii="Arial" w:hAnsi="Arial" w:cs="Arial" w:eastAsia="Arial" w:hint="default"/>
                <w:sz w:val="20"/>
                <w:szCs w:val="20"/>
              </w:rPr>
            </w:pPr>
            <w:r>
              <w:rPr>
                <w:rFonts w:ascii="Arial"/>
                <w:spacing w:val="-1"/>
                <w:sz w:val="20"/>
              </w:rPr>
              <w:t>(7,339)</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21"/>
              <w:jc w:val="right"/>
              <w:rPr>
                <w:rFonts w:ascii="Arial" w:hAnsi="Arial" w:cs="Arial" w:eastAsia="Arial" w:hint="default"/>
                <w:sz w:val="20"/>
                <w:szCs w:val="20"/>
              </w:rPr>
            </w:pPr>
            <w:r>
              <w:rPr>
                <w:rFonts w:ascii="Arial"/>
                <w:spacing w:val="-1"/>
                <w:sz w:val="20"/>
              </w:rPr>
              <w:t>(6,352)</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2"/>
              <w:ind w:left="453" w:right="0"/>
              <w:jc w:val="left"/>
              <w:rPr>
                <w:rFonts w:ascii="Arial" w:hAnsi="Arial" w:cs="Arial" w:eastAsia="Arial" w:hint="default"/>
                <w:sz w:val="20"/>
                <w:szCs w:val="20"/>
              </w:rPr>
            </w:pPr>
            <w:r>
              <w:rPr>
                <w:rFonts w:ascii="Arial"/>
                <w:sz w:val="20"/>
              </w:rPr>
              <w:t>(987)</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0"/>
              <w:jc w:val="right"/>
              <w:rPr>
                <w:rFonts w:ascii="Arial" w:hAnsi="Arial" w:cs="Arial" w:eastAsia="Arial" w:hint="default"/>
                <w:sz w:val="20"/>
                <w:szCs w:val="20"/>
              </w:rPr>
            </w:pPr>
            <w:r>
              <w:rPr>
                <w:rFonts w:ascii="Arial"/>
                <w:spacing w:val="-1"/>
                <w:sz w:val="20"/>
              </w:rPr>
              <w:t>15.5%</w:t>
            </w:r>
          </w:p>
        </w:tc>
      </w:tr>
      <w:tr>
        <w:trPr>
          <w:trHeight w:val="401" w:hRule="exact"/>
        </w:trPr>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73" w:right="0"/>
              <w:jc w:val="left"/>
              <w:rPr>
                <w:rFonts w:ascii="Arial" w:hAnsi="Arial" w:cs="Arial" w:eastAsia="Arial" w:hint="default"/>
                <w:sz w:val="20"/>
                <w:szCs w:val="20"/>
              </w:rPr>
            </w:pPr>
            <w:r>
              <w:rPr>
                <w:rFonts w:ascii="Arial"/>
                <w:sz w:val="20"/>
              </w:rPr>
              <w:t>(8)</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2"/>
              <w:jc w:val="right"/>
              <w:rPr>
                <w:rFonts w:ascii="Arial" w:hAnsi="Arial" w:cs="Arial" w:eastAsia="Arial" w:hint="default"/>
                <w:sz w:val="20"/>
                <w:szCs w:val="20"/>
              </w:rPr>
            </w:pPr>
            <w:r>
              <w:rPr>
                <w:rFonts w:ascii="Arial"/>
                <w:spacing w:val="-1"/>
                <w:sz w:val="20"/>
              </w:rPr>
              <w:t>(35,037)</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21"/>
              <w:jc w:val="right"/>
              <w:rPr>
                <w:rFonts w:ascii="Arial" w:hAnsi="Arial" w:cs="Arial" w:eastAsia="Arial" w:hint="default"/>
                <w:sz w:val="20"/>
                <w:szCs w:val="20"/>
              </w:rPr>
            </w:pPr>
            <w:r>
              <w:rPr>
                <w:rFonts w:ascii="Arial"/>
                <w:spacing w:val="-1"/>
                <w:sz w:val="20"/>
              </w:rPr>
              <w:t>(28,751)</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86" w:right="0"/>
              <w:jc w:val="left"/>
              <w:rPr>
                <w:rFonts w:ascii="Arial" w:hAnsi="Arial" w:cs="Arial" w:eastAsia="Arial" w:hint="default"/>
                <w:sz w:val="20"/>
                <w:szCs w:val="20"/>
              </w:rPr>
            </w:pPr>
            <w:r>
              <w:rPr>
                <w:rFonts w:ascii="Arial"/>
                <w:sz w:val="20"/>
              </w:rPr>
              <w:t>(6,286)</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0"/>
              <w:jc w:val="right"/>
              <w:rPr>
                <w:rFonts w:ascii="Arial" w:hAnsi="Arial" w:cs="Arial" w:eastAsia="Arial" w:hint="default"/>
                <w:sz w:val="20"/>
                <w:szCs w:val="20"/>
              </w:rPr>
            </w:pPr>
            <w:r>
              <w:rPr>
                <w:rFonts w:ascii="Arial"/>
                <w:sz w:val="20"/>
              </w:rPr>
              <w:t>21.9%</w:t>
            </w:r>
          </w:p>
        </w:tc>
      </w:tr>
      <w:tr>
        <w:trPr>
          <w:trHeight w:val="402" w:hRule="exact"/>
        </w:trPr>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17" w:right="0"/>
              <w:jc w:val="left"/>
              <w:rPr>
                <w:rFonts w:ascii="Arial" w:hAnsi="Arial" w:cs="Arial" w:eastAsia="Arial" w:hint="default"/>
                <w:sz w:val="20"/>
                <w:szCs w:val="20"/>
              </w:rPr>
            </w:pPr>
            <w:r>
              <w:rPr>
                <w:rFonts w:ascii="Arial"/>
                <w:sz w:val="20"/>
              </w:rPr>
              <w:t>(10)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1"/>
              <w:jc w:val="right"/>
              <w:rPr>
                <w:rFonts w:ascii="Arial" w:hAnsi="Arial" w:cs="Arial" w:eastAsia="Arial" w:hint="default"/>
                <w:sz w:val="20"/>
                <w:szCs w:val="20"/>
              </w:rPr>
            </w:pPr>
            <w:r>
              <w:rPr>
                <w:rFonts w:ascii="Arial"/>
                <w:spacing w:val="-1"/>
                <w:sz w:val="20"/>
              </w:rPr>
              <w:t>(20,491)</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21"/>
              <w:jc w:val="right"/>
              <w:rPr>
                <w:rFonts w:ascii="Arial" w:hAnsi="Arial" w:cs="Arial" w:eastAsia="Arial" w:hint="default"/>
                <w:sz w:val="20"/>
                <w:szCs w:val="20"/>
              </w:rPr>
            </w:pPr>
            <w:r>
              <w:rPr>
                <w:rFonts w:ascii="Arial"/>
                <w:spacing w:val="-1"/>
                <w:sz w:val="20"/>
              </w:rPr>
              <w:t>(18,200)</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6" w:right="0"/>
              <w:jc w:val="left"/>
              <w:rPr>
                <w:rFonts w:ascii="Arial" w:hAnsi="Arial" w:cs="Arial" w:eastAsia="Arial" w:hint="default"/>
                <w:sz w:val="20"/>
                <w:szCs w:val="20"/>
              </w:rPr>
            </w:pPr>
            <w:r>
              <w:rPr>
                <w:rFonts w:ascii="Arial"/>
                <w:sz w:val="20"/>
              </w:rPr>
              <w:t>(2,291)</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0"/>
              <w:jc w:val="right"/>
              <w:rPr>
                <w:rFonts w:ascii="Arial" w:hAnsi="Arial" w:cs="Arial" w:eastAsia="Arial" w:hint="default"/>
                <w:sz w:val="20"/>
                <w:szCs w:val="20"/>
              </w:rPr>
            </w:pPr>
            <w:r>
              <w:rPr>
                <w:rFonts w:ascii="Arial"/>
                <w:sz w:val="20"/>
              </w:rPr>
              <w:t>12.6%</w:t>
            </w:r>
          </w:p>
        </w:tc>
      </w:tr>
      <w:tr>
        <w:trPr>
          <w:trHeight w:val="401" w:hRule="exact"/>
        </w:trPr>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17" w:right="0"/>
              <w:jc w:val="left"/>
              <w:rPr>
                <w:rFonts w:ascii="Arial" w:hAnsi="Arial" w:cs="Arial" w:eastAsia="Arial" w:hint="default"/>
                <w:sz w:val="20"/>
                <w:szCs w:val="20"/>
              </w:rPr>
            </w:pPr>
            <w:r>
              <w:rPr>
                <w:rFonts w:ascii="Arial"/>
                <w:sz w:val="20"/>
              </w:rPr>
              <w:t>(11)</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1"/>
              <w:jc w:val="right"/>
              <w:rPr>
                <w:rFonts w:ascii="Arial" w:hAnsi="Arial" w:cs="Arial" w:eastAsia="Arial" w:hint="default"/>
                <w:sz w:val="20"/>
                <w:szCs w:val="20"/>
              </w:rPr>
            </w:pPr>
            <w:r>
              <w:rPr>
                <w:rFonts w:ascii="Arial"/>
                <w:spacing w:val="-1"/>
                <w:sz w:val="20"/>
              </w:rPr>
              <w:t>(3,417)</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21"/>
              <w:jc w:val="right"/>
              <w:rPr>
                <w:rFonts w:ascii="Arial" w:hAnsi="Arial" w:cs="Arial" w:eastAsia="Arial" w:hint="default"/>
                <w:sz w:val="20"/>
                <w:szCs w:val="20"/>
              </w:rPr>
            </w:pPr>
            <w:r>
              <w:rPr>
                <w:rFonts w:ascii="Arial"/>
                <w:spacing w:val="-1"/>
                <w:sz w:val="20"/>
              </w:rPr>
              <w:t>(1,243)</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86" w:right="0"/>
              <w:jc w:val="left"/>
              <w:rPr>
                <w:rFonts w:ascii="Arial" w:hAnsi="Arial" w:cs="Arial" w:eastAsia="Arial" w:hint="default"/>
                <w:sz w:val="20"/>
                <w:szCs w:val="20"/>
              </w:rPr>
            </w:pPr>
            <w:r>
              <w:rPr>
                <w:rFonts w:ascii="Arial"/>
                <w:sz w:val="20"/>
              </w:rPr>
              <w:t>(2,174)</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9"/>
              <w:jc w:val="right"/>
              <w:rPr>
                <w:rFonts w:ascii="Arial" w:hAnsi="Arial" w:cs="Arial" w:eastAsia="Arial" w:hint="default"/>
                <w:sz w:val="20"/>
                <w:szCs w:val="20"/>
              </w:rPr>
            </w:pPr>
            <w:r>
              <w:rPr>
                <w:rFonts w:ascii="Arial"/>
                <w:spacing w:val="-1"/>
                <w:sz w:val="20"/>
              </w:rPr>
              <w:t>174.9%</w:t>
            </w:r>
          </w:p>
        </w:tc>
      </w:tr>
      <w:tr>
        <w:trPr>
          <w:trHeight w:val="402" w:hRule="exact"/>
        </w:trPr>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17" w:right="0"/>
              <w:jc w:val="left"/>
              <w:rPr>
                <w:rFonts w:ascii="Arial" w:hAnsi="Arial" w:cs="Arial" w:eastAsia="Arial" w:hint="default"/>
                <w:sz w:val="20"/>
                <w:szCs w:val="20"/>
              </w:rPr>
            </w:pPr>
            <w:r>
              <w:rPr>
                <w:rFonts w:ascii="Arial"/>
                <w:sz w:val="20"/>
              </w:rPr>
              <w:t>(12)</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1"/>
              <w:jc w:val="right"/>
              <w:rPr>
                <w:rFonts w:ascii="Arial" w:hAnsi="Arial" w:cs="Arial" w:eastAsia="Arial" w:hint="default"/>
                <w:sz w:val="20"/>
                <w:szCs w:val="20"/>
              </w:rPr>
            </w:pPr>
            <w:r>
              <w:rPr>
                <w:rFonts w:ascii="Arial"/>
                <w:spacing w:val="-1"/>
                <w:sz w:val="20"/>
              </w:rPr>
              <w:t>(2,519)</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21"/>
              <w:jc w:val="right"/>
              <w:rPr>
                <w:rFonts w:ascii="Arial" w:hAnsi="Arial" w:cs="Arial" w:eastAsia="Arial" w:hint="default"/>
                <w:sz w:val="20"/>
                <w:szCs w:val="20"/>
              </w:rPr>
            </w:pPr>
            <w:r>
              <w:rPr>
                <w:rFonts w:ascii="Arial"/>
                <w:spacing w:val="-1"/>
                <w:sz w:val="20"/>
              </w:rPr>
              <w:t>(1,476)</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6" w:right="0"/>
              <w:jc w:val="left"/>
              <w:rPr>
                <w:rFonts w:ascii="Arial" w:hAnsi="Arial" w:cs="Arial" w:eastAsia="Arial" w:hint="default"/>
                <w:sz w:val="20"/>
                <w:szCs w:val="20"/>
              </w:rPr>
            </w:pPr>
            <w:r>
              <w:rPr>
                <w:rFonts w:ascii="Arial"/>
                <w:sz w:val="20"/>
              </w:rPr>
              <w:t>(1,043)</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0"/>
              <w:jc w:val="right"/>
              <w:rPr>
                <w:rFonts w:ascii="Arial" w:hAnsi="Arial" w:cs="Arial" w:eastAsia="Arial" w:hint="default"/>
                <w:sz w:val="20"/>
                <w:szCs w:val="20"/>
              </w:rPr>
            </w:pPr>
            <w:r>
              <w:rPr>
                <w:rFonts w:ascii="Arial"/>
                <w:spacing w:val="-1"/>
                <w:sz w:val="20"/>
              </w:rPr>
              <w:t>70.7%</w:t>
            </w:r>
          </w:p>
        </w:tc>
      </w:tr>
      <w:tr>
        <w:trPr>
          <w:trHeight w:val="571" w:hRule="exact"/>
        </w:trPr>
        <w:tc>
          <w:tcPr>
            <w:tcW w:w="2296" w:type="dxa"/>
            <w:tcBorders>
              <w:top w:val="nil" w:sz="6" w:space="0" w:color="auto"/>
              <w:left w:val="nil" w:sz="6" w:space="0" w:color="auto"/>
              <w:bottom w:val="nil" w:sz="6" w:space="0" w:color="auto"/>
              <w:right w:val="nil" w:sz="6" w:space="0" w:color="auto"/>
            </w:tcBorders>
          </w:tcPr>
          <w:p>
            <w:pPr>
              <w:pStyle w:val="TableParagraph"/>
              <w:spacing w:line="260" w:lineRule="exact" w:before="53"/>
              <w:ind w:left="198" w:right="93" w:hanging="198"/>
              <w:jc w:val="left"/>
              <w:rPr>
                <w:rFonts w:ascii="宋体" w:hAnsi="宋体" w:cs="宋体" w:eastAsia="宋体" w:hint="default"/>
                <w:sz w:val="20"/>
                <w:szCs w:val="20"/>
              </w:rPr>
            </w:pPr>
            <w:r>
              <w:rPr>
                <w:rFonts w:ascii="宋体" w:hAnsi="宋体" w:cs="宋体" w:eastAsia="宋体" w:hint="default"/>
                <w:spacing w:val="-1"/>
                <w:sz w:val="20"/>
                <w:szCs w:val="20"/>
              </w:rPr>
              <w:t>筹资活动产生的现金流量</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净额</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17" w:right="0"/>
              <w:jc w:val="left"/>
              <w:rPr>
                <w:rFonts w:ascii="Arial" w:hAnsi="Arial" w:cs="Arial" w:eastAsia="Arial" w:hint="default"/>
                <w:sz w:val="20"/>
                <w:szCs w:val="20"/>
              </w:rPr>
            </w:pPr>
            <w:r>
              <w:rPr>
                <w:rFonts w:ascii="Arial"/>
                <w:sz w:val="20"/>
              </w:rPr>
              <w:t>(13)</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37"/>
              <w:jc w:val="right"/>
              <w:rPr>
                <w:rFonts w:ascii="Arial" w:hAnsi="Arial" w:cs="Arial" w:eastAsia="Arial" w:hint="default"/>
                <w:sz w:val="20"/>
                <w:szCs w:val="20"/>
              </w:rPr>
            </w:pPr>
            <w:r>
              <w:rPr>
                <w:rFonts w:ascii="Arial"/>
                <w:sz w:val="20"/>
              </w:rPr>
              <w:t>27,648</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86"/>
              <w:jc w:val="right"/>
              <w:rPr>
                <w:rFonts w:ascii="Arial" w:hAnsi="Arial" w:cs="Arial" w:eastAsia="Arial" w:hint="default"/>
                <w:sz w:val="20"/>
                <w:szCs w:val="20"/>
              </w:rPr>
            </w:pPr>
            <w:r>
              <w:rPr>
                <w:rFonts w:ascii="Arial"/>
                <w:sz w:val="20"/>
              </w:rPr>
              <w:t>5,800</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42" w:right="0"/>
              <w:jc w:val="left"/>
              <w:rPr>
                <w:rFonts w:ascii="Arial" w:hAnsi="Arial" w:cs="Arial" w:eastAsia="Arial" w:hint="default"/>
                <w:sz w:val="20"/>
                <w:szCs w:val="20"/>
              </w:rPr>
            </w:pPr>
            <w:r>
              <w:rPr>
                <w:rFonts w:ascii="Arial"/>
                <w:sz w:val="20"/>
              </w:rPr>
              <w:t>21,848</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39"/>
              <w:jc w:val="right"/>
              <w:rPr>
                <w:rFonts w:ascii="Arial" w:hAnsi="Arial" w:cs="Arial" w:eastAsia="Arial" w:hint="default"/>
                <w:sz w:val="20"/>
                <w:szCs w:val="20"/>
              </w:rPr>
            </w:pPr>
            <w:r>
              <w:rPr>
                <w:rFonts w:ascii="Arial"/>
                <w:spacing w:val="-1"/>
                <w:sz w:val="20"/>
              </w:rPr>
              <w:t>376.7%</w:t>
            </w:r>
          </w:p>
        </w:tc>
      </w:tr>
    </w:tbl>
    <w:p>
      <w:pPr>
        <w:spacing w:after="0" w:line="240" w:lineRule="auto"/>
        <w:jc w:val="right"/>
        <w:rPr>
          <w:rFonts w:ascii="Arial" w:hAnsi="Arial" w:cs="Arial" w:eastAsia="Arial" w:hint="default"/>
          <w:sz w:val="20"/>
          <w:szCs w:val="20"/>
        </w:rPr>
        <w:sectPr>
          <w:headerReference w:type="default" r:id="rId147"/>
          <w:pgSz w:w="11910" w:h="16840"/>
          <w:pgMar w:header="1328" w:footer="457" w:top="2300" w:bottom="640" w:left="1460" w:right="1000"/>
        </w:sectPr>
      </w:pPr>
    </w:p>
    <w:p>
      <w:pPr>
        <w:spacing w:line="240" w:lineRule="auto" w:before="4"/>
        <w:rPr>
          <w:rFonts w:ascii="宋体" w:hAnsi="宋体" w:cs="宋体" w:eastAsia="宋体" w:hint="default"/>
          <w:sz w:val="18"/>
          <w:szCs w:val="18"/>
        </w:rPr>
      </w:pPr>
    </w:p>
    <w:p>
      <w:pPr>
        <w:pStyle w:val="BodyText"/>
        <w:spacing w:line="240" w:lineRule="auto" w:before="31"/>
        <w:ind w:left="109" w:right="0"/>
        <w:jc w:val="left"/>
        <w:rPr>
          <w:rFonts w:ascii="黑体" w:hAnsi="黑体" w:cs="黑体" w:eastAsia="黑体" w:hint="default"/>
        </w:rPr>
      </w:pPr>
      <w:r>
        <w:rPr>
          <w:rFonts w:ascii="黑体" w:hAnsi="黑体" w:cs="黑体" w:eastAsia="黑体" w:hint="default"/>
        </w:rPr>
        <w:t>四、财务报表数据变动项目分析（续）</w:t>
      </w:r>
    </w:p>
    <w:p>
      <w:pPr>
        <w:spacing w:line="240" w:lineRule="auto" w:before="2"/>
        <w:rPr>
          <w:rFonts w:ascii="黑体" w:hAnsi="黑体" w:cs="黑体" w:eastAsia="黑体" w:hint="default"/>
          <w:sz w:val="19"/>
          <w:szCs w:val="19"/>
        </w:rPr>
      </w:pPr>
    </w:p>
    <w:p>
      <w:pPr>
        <w:pStyle w:val="BodyText"/>
        <w:spacing w:line="240" w:lineRule="auto"/>
        <w:ind w:left="109" w:right="0"/>
        <w:jc w:val="left"/>
      </w:pPr>
      <w:r>
        <w:rPr/>
        <w:t>附注：</w:t>
      </w:r>
    </w:p>
    <w:p>
      <w:pPr>
        <w:spacing w:line="240" w:lineRule="auto" w:before="3"/>
        <w:rPr>
          <w:rFonts w:ascii="宋体" w:hAnsi="宋体" w:cs="宋体" w:eastAsia="宋体" w:hint="default"/>
          <w:sz w:val="19"/>
          <w:szCs w:val="19"/>
        </w:rPr>
      </w:pPr>
    </w:p>
    <w:p>
      <w:pPr>
        <w:pStyle w:val="BodyText"/>
        <w:spacing w:line="240" w:lineRule="auto"/>
        <w:ind w:left="115" w:right="0"/>
        <w:jc w:val="left"/>
      </w:pPr>
      <w:r>
        <w:rPr>
          <w:rFonts w:ascii="Arial" w:hAnsi="Arial" w:cs="Arial" w:eastAsia="Arial" w:hint="default"/>
        </w:rPr>
        <w:t>(1) </w:t>
      </w:r>
      <w:r>
        <w:rPr>
          <w:rFonts w:ascii="Arial" w:hAnsi="Arial" w:cs="Arial" w:eastAsia="Arial" w:hint="default"/>
          <w:spacing w:val="25"/>
        </w:rPr>
        <w:t> </w:t>
      </w:r>
      <w:r>
        <w:rPr/>
        <w:t>其他应收款的增加主要是由于应收合约用户通信终端款的增加所致。</w:t>
      </w:r>
    </w:p>
    <w:p>
      <w:pPr>
        <w:spacing w:line="240" w:lineRule="auto" w:before="0"/>
        <w:rPr>
          <w:rFonts w:ascii="宋体" w:hAnsi="宋体" w:cs="宋体" w:eastAsia="宋体" w:hint="default"/>
          <w:sz w:val="20"/>
          <w:szCs w:val="20"/>
        </w:rPr>
      </w:pPr>
    </w:p>
    <w:p>
      <w:pPr>
        <w:pStyle w:val="BodyText"/>
        <w:spacing w:line="286" w:lineRule="exact"/>
        <w:ind w:left="529" w:right="0" w:hanging="414"/>
        <w:jc w:val="left"/>
      </w:pPr>
      <w:r>
        <w:rPr>
          <w:rFonts w:ascii="Arial" w:hAnsi="Arial" w:cs="Arial" w:eastAsia="Arial" w:hint="default"/>
        </w:rPr>
        <w:t>(2)</w:t>
      </w:r>
      <w:r>
        <w:rPr>
          <w:rFonts w:ascii="Arial" w:hAnsi="Arial" w:cs="Arial" w:eastAsia="Arial" w:hint="default"/>
          <w:spacing w:val="14"/>
        </w:rPr>
        <w:t> </w:t>
      </w:r>
      <w:r>
        <w:rPr>
          <w:spacing w:val="2"/>
        </w:rPr>
        <w:t>固定资产和在建工程的增加主要是由于本年资本性支出的增加及联通新时空资产收购转入所</w:t>
      </w:r>
      <w:r>
        <w:rPr>
          <w:w w:val="99"/>
        </w:rPr>
        <w:t> </w:t>
      </w:r>
      <w:r>
        <w:rPr/>
        <w:t>致。</w:t>
      </w:r>
    </w:p>
    <w:p>
      <w:pPr>
        <w:spacing w:line="240" w:lineRule="auto" w:before="3"/>
        <w:rPr>
          <w:rFonts w:ascii="宋体" w:hAnsi="宋体" w:cs="宋体" w:eastAsia="宋体" w:hint="default"/>
          <w:sz w:val="19"/>
          <w:szCs w:val="19"/>
        </w:rPr>
      </w:pPr>
    </w:p>
    <w:p>
      <w:pPr>
        <w:pStyle w:val="BodyText"/>
        <w:spacing w:line="286" w:lineRule="exact"/>
        <w:ind w:left="529" w:right="0" w:hanging="414"/>
        <w:jc w:val="left"/>
      </w:pPr>
      <w:r>
        <w:rPr>
          <w:rFonts w:ascii="Arial" w:hAnsi="Arial" w:cs="Arial" w:eastAsia="Arial" w:hint="default"/>
        </w:rPr>
        <w:t>(3)</w:t>
      </w:r>
      <w:r>
        <w:rPr>
          <w:rFonts w:ascii="Arial" w:hAnsi="Arial" w:cs="Arial" w:eastAsia="Arial" w:hint="default"/>
          <w:spacing w:val="14"/>
        </w:rPr>
        <w:t> </w:t>
      </w:r>
      <w:r>
        <w:rPr>
          <w:spacing w:val="2"/>
        </w:rPr>
        <w:t>递延所得税资产的增加主要是由于联通新时空资产收购转入及与可供出售金融资产公允价值</w:t>
      </w:r>
      <w:r>
        <w:rPr>
          <w:w w:val="99"/>
        </w:rPr>
        <w:t> </w:t>
      </w:r>
      <w:r>
        <w:rPr/>
        <w:t>变动相关的递延所得税资产增加所致。</w:t>
      </w:r>
    </w:p>
    <w:p>
      <w:pPr>
        <w:spacing w:line="240" w:lineRule="auto" w:before="2"/>
        <w:rPr>
          <w:rFonts w:ascii="宋体" w:hAnsi="宋体" w:cs="宋体" w:eastAsia="宋体" w:hint="default"/>
          <w:sz w:val="17"/>
          <w:szCs w:val="17"/>
        </w:rPr>
      </w:pPr>
    </w:p>
    <w:p>
      <w:pPr>
        <w:pStyle w:val="BodyText"/>
        <w:spacing w:line="240" w:lineRule="auto"/>
        <w:ind w:left="115" w:right="0"/>
        <w:jc w:val="left"/>
      </w:pPr>
      <w:r>
        <w:rPr>
          <w:rFonts w:ascii="Arial" w:hAnsi="Arial" w:cs="Arial" w:eastAsia="Arial" w:hint="default"/>
        </w:rPr>
        <w:t>(4) </w:t>
      </w:r>
      <w:r>
        <w:rPr>
          <w:rFonts w:ascii="Arial" w:hAnsi="Arial" w:cs="Arial" w:eastAsia="Arial" w:hint="default"/>
          <w:spacing w:val="20"/>
        </w:rPr>
        <w:t> </w:t>
      </w:r>
      <w:r>
        <w:rPr/>
        <w:t>短期借款的增加主要是由于本年新增的短期借款金额超过偿还借款的金额所致。</w:t>
      </w:r>
    </w:p>
    <w:p>
      <w:pPr>
        <w:spacing w:line="240" w:lineRule="auto" w:before="12"/>
        <w:rPr>
          <w:rFonts w:ascii="宋体" w:hAnsi="宋体" w:cs="宋体" w:eastAsia="宋体" w:hint="default"/>
          <w:sz w:val="17"/>
          <w:szCs w:val="17"/>
        </w:rPr>
      </w:pPr>
    </w:p>
    <w:p>
      <w:pPr>
        <w:pStyle w:val="BodyText"/>
        <w:spacing w:line="240" w:lineRule="auto"/>
        <w:ind w:left="115" w:right="0"/>
        <w:jc w:val="left"/>
      </w:pPr>
      <w:r>
        <w:rPr>
          <w:rFonts w:ascii="Arial" w:hAnsi="Arial" w:cs="Arial" w:eastAsia="Arial" w:hint="default"/>
        </w:rPr>
        <w:t>(5) </w:t>
      </w:r>
      <w:r>
        <w:rPr>
          <w:rFonts w:ascii="Arial" w:hAnsi="Arial" w:cs="Arial" w:eastAsia="Arial" w:hint="default"/>
          <w:spacing w:val="21"/>
        </w:rPr>
        <w:t> </w:t>
      </w:r>
      <w:r>
        <w:rPr/>
        <w:t>应付账款的增加主要是由于与资本性支出相关的应付工程设备款增加所致。</w:t>
      </w:r>
    </w:p>
    <w:p>
      <w:pPr>
        <w:spacing w:line="240" w:lineRule="auto" w:before="13"/>
        <w:rPr>
          <w:rFonts w:ascii="宋体" w:hAnsi="宋体" w:cs="宋体" w:eastAsia="宋体" w:hint="default"/>
          <w:sz w:val="17"/>
          <w:szCs w:val="17"/>
        </w:rPr>
      </w:pPr>
    </w:p>
    <w:p>
      <w:pPr>
        <w:pStyle w:val="BodyText"/>
        <w:spacing w:line="240" w:lineRule="auto"/>
        <w:ind w:left="115" w:right="0"/>
        <w:jc w:val="left"/>
      </w:pPr>
      <w:r>
        <w:rPr>
          <w:rFonts w:ascii="Arial" w:hAnsi="Arial" w:cs="Arial" w:eastAsia="Arial" w:hint="default"/>
        </w:rPr>
        <w:t>(6) </w:t>
      </w:r>
      <w:r>
        <w:rPr>
          <w:rFonts w:ascii="Arial" w:hAnsi="Arial" w:cs="Arial" w:eastAsia="Arial" w:hint="default"/>
          <w:spacing w:val="24"/>
        </w:rPr>
        <w:t> </w:t>
      </w:r>
      <w:r>
        <w:rPr/>
        <w:t>预收款项的增加主要是由于本年用户预存款增加所致。</w:t>
      </w:r>
    </w:p>
    <w:p>
      <w:pPr>
        <w:spacing w:line="240" w:lineRule="auto" w:before="12"/>
        <w:rPr>
          <w:rFonts w:ascii="宋体" w:hAnsi="宋体" w:cs="宋体" w:eastAsia="宋体" w:hint="default"/>
          <w:sz w:val="17"/>
          <w:szCs w:val="17"/>
        </w:rPr>
      </w:pPr>
    </w:p>
    <w:p>
      <w:pPr>
        <w:pStyle w:val="BodyText"/>
        <w:spacing w:line="295" w:lineRule="exact"/>
        <w:ind w:left="115" w:right="0"/>
        <w:jc w:val="left"/>
        <w:rPr>
          <w:rFonts w:ascii="Arial" w:hAnsi="Arial" w:cs="Arial" w:eastAsia="Arial" w:hint="default"/>
        </w:rPr>
      </w:pPr>
      <w:r>
        <w:rPr>
          <w:rFonts w:ascii="Arial" w:hAnsi="Arial" w:cs="Arial" w:eastAsia="Arial" w:hint="default"/>
        </w:rPr>
        <w:t>(7)  </w:t>
      </w:r>
      <w:r>
        <w:rPr/>
        <w:t>一年内到期的非流动负债的增加以及应付债券的减少主要是因为 </w:t>
      </w:r>
      <w:r>
        <w:rPr>
          <w:rFonts w:ascii="Arial" w:hAnsi="Arial" w:cs="Arial" w:eastAsia="Arial" w:hint="default"/>
        </w:rPr>
        <w:t>2008 </w:t>
      </w:r>
      <w:r>
        <w:rPr/>
        <w:t>年公司债券以及</w:t>
      </w:r>
      <w:r>
        <w:rPr>
          <w:spacing w:val="-58"/>
        </w:rPr>
        <w:t> </w:t>
      </w:r>
      <w:r>
        <w:rPr>
          <w:rFonts w:ascii="Arial" w:hAnsi="Arial" w:cs="Arial" w:eastAsia="Arial" w:hint="default"/>
        </w:rPr>
        <w:t>2010</w:t>
      </w:r>
    </w:p>
    <w:p>
      <w:pPr>
        <w:pStyle w:val="BodyText"/>
        <w:spacing w:line="286" w:lineRule="exact"/>
        <w:ind w:left="529" w:right="0"/>
        <w:jc w:val="left"/>
      </w:pPr>
      <w:r>
        <w:rPr/>
        <w:t>年第一期和第二期中期票据将于</w:t>
      </w:r>
      <w:r>
        <w:rPr>
          <w:spacing w:val="-61"/>
        </w:rPr>
        <w:t> </w:t>
      </w:r>
      <w:r>
        <w:rPr>
          <w:rFonts w:ascii="Arial" w:hAnsi="Arial" w:cs="Arial" w:eastAsia="Arial" w:hint="default"/>
        </w:rPr>
        <w:t>2013</w:t>
      </w:r>
      <w:r>
        <w:rPr>
          <w:rFonts w:ascii="Arial" w:hAnsi="Arial" w:cs="Arial" w:eastAsia="Arial" w:hint="default"/>
          <w:spacing w:val="-12"/>
        </w:rPr>
        <w:t> </w:t>
      </w:r>
      <w:r>
        <w:rPr/>
        <w:t>年到期以及亿迅公司发行的</w:t>
      </w:r>
      <w:r>
        <w:rPr>
          <w:spacing w:val="-60"/>
        </w:rPr>
        <w:t> </w:t>
      </w:r>
      <w:r>
        <w:rPr>
          <w:rFonts w:ascii="Arial" w:hAnsi="Arial" w:cs="Arial" w:eastAsia="Arial" w:hint="default"/>
        </w:rPr>
        <w:t>2010</w:t>
      </w:r>
      <w:r>
        <w:rPr>
          <w:rFonts w:ascii="Arial" w:hAnsi="Arial" w:cs="Arial" w:eastAsia="Arial" w:hint="default"/>
          <w:spacing w:val="-12"/>
        </w:rPr>
        <w:t> </w:t>
      </w:r>
      <w:r>
        <w:rPr/>
        <w:t>年可转换债券的债券</w:t>
      </w:r>
    </w:p>
    <w:p>
      <w:pPr>
        <w:pStyle w:val="BodyText"/>
        <w:spacing w:line="286" w:lineRule="exact" w:before="19"/>
        <w:ind w:left="529" w:right="99"/>
        <w:jc w:val="left"/>
      </w:pPr>
      <w:r>
        <w:rPr/>
        <w:t>持有人有权选择于</w:t>
      </w:r>
      <w:r>
        <w:rPr>
          <w:spacing w:val="-39"/>
        </w:rPr>
        <w:t> </w:t>
      </w:r>
      <w:r>
        <w:rPr>
          <w:rFonts w:ascii="Arial" w:hAnsi="Arial" w:cs="Arial" w:eastAsia="Arial" w:hint="default"/>
        </w:rPr>
        <w:t>2013</w:t>
      </w:r>
      <w:r>
        <w:rPr>
          <w:rFonts w:ascii="Arial" w:hAnsi="Arial" w:cs="Arial" w:eastAsia="Arial" w:hint="default"/>
          <w:spacing w:val="9"/>
        </w:rPr>
        <w:t> </w:t>
      </w:r>
      <w:r>
        <w:rPr/>
        <w:t>年</w:t>
      </w:r>
      <w:r>
        <w:rPr>
          <w:spacing w:val="-40"/>
        </w:rPr>
        <w:t> </w:t>
      </w:r>
      <w:r>
        <w:rPr>
          <w:rFonts w:ascii="Arial" w:hAnsi="Arial" w:cs="Arial" w:eastAsia="Arial" w:hint="default"/>
        </w:rPr>
        <w:t>10</w:t>
      </w:r>
      <w:r>
        <w:rPr>
          <w:rFonts w:ascii="Arial" w:hAnsi="Arial" w:cs="Arial" w:eastAsia="Arial" w:hint="default"/>
          <w:spacing w:val="9"/>
        </w:rPr>
        <w:t> </w:t>
      </w:r>
      <w:r>
        <w:rPr/>
        <w:t>月</w:t>
      </w:r>
      <w:r>
        <w:rPr>
          <w:spacing w:val="-40"/>
        </w:rPr>
        <w:t> </w:t>
      </w:r>
      <w:r>
        <w:rPr>
          <w:rFonts w:ascii="Arial" w:hAnsi="Arial" w:cs="Arial" w:eastAsia="Arial" w:hint="default"/>
        </w:rPr>
        <w:t>18</w:t>
      </w:r>
      <w:r>
        <w:rPr>
          <w:rFonts w:ascii="Arial" w:hAnsi="Arial" w:cs="Arial" w:eastAsia="Arial" w:hint="default"/>
          <w:spacing w:val="9"/>
        </w:rPr>
        <w:t> </w:t>
      </w:r>
      <w:r>
        <w:rPr/>
        <w:t>日按本金连同应计而未支付的利息赎回可转换债券，故</w:t>
      </w:r>
      <w:r>
        <w:rPr>
          <w:spacing w:val="1"/>
          <w:w w:val="99"/>
        </w:rPr>
        <w:t> </w:t>
      </w:r>
      <w:r>
        <w:rPr/>
        <w:t>从应付债券转入一年内到期的非流动负债所致。</w:t>
      </w:r>
    </w:p>
    <w:p>
      <w:pPr>
        <w:spacing w:line="240" w:lineRule="auto" w:before="3"/>
        <w:rPr>
          <w:rFonts w:ascii="宋体" w:hAnsi="宋体" w:cs="宋体" w:eastAsia="宋体" w:hint="default"/>
          <w:sz w:val="19"/>
          <w:szCs w:val="19"/>
        </w:rPr>
      </w:pPr>
    </w:p>
    <w:p>
      <w:pPr>
        <w:pStyle w:val="BodyText"/>
        <w:spacing w:line="286" w:lineRule="exact"/>
        <w:ind w:left="529" w:right="0" w:hanging="414"/>
        <w:jc w:val="left"/>
      </w:pPr>
      <w:r>
        <w:rPr>
          <w:rFonts w:ascii="Arial" w:hAnsi="Arial" w:cs="Arial" w:eastAsia="Arial" w:hint="default"/>
          <w:w w:val="99"/>
        </w:rPr>
        <w:t>(8) </w:t>
      </w:r>
      <w:r>
        <w:rPr>
          <w:spacing w:val="-3"/>
          <w:w w:val="99"/>
        </w:rPr>
        <w:t>营业收入、营业税金及附加及销售费用的增加主要是由于本年公司业务特别是</w:t>
      </w:r>
      <w:r>
        <w:rPr>
          <w:w w:val="99"/>
        </w:rPr>
        <w:t> </w:t>
      </w:r>
      <w:r>
        <w:rPr>
          <w:rFonts w:ascii="Arial" w:hAnsi="Arial" w:cs="Arial" w:eastAsia="Arial" w:hint="default"/>
          <w:w w:val="99"/>
        </w:rPr>
        <w:t>3G</w:t>
      </w:r>
      <w:r>
        <w:rPr>
          <w:rFonts w:ascii="Arial" w:hAnsi="Arial" w:cs="Arial" w:eastAsia="Arial" w:hint="default"/>
          <w:spacing w:val="-24"/>
          <w:w w:val="99"/>
        </w:rPr>
        <w:t> </w:t>
      </w:r>
      <w:r>
        <w:rPr>
          <w:w w:val="99"/>
        </w:rPr>
        <w:t>业务的总体 </w:t>
      </w:r>
      <w:r>
        <w:rPr/>
        <w:t>增长以及</w:t>
      </w:r>
      <w:r>
        <w:rPr>
          <w:spacing w:val="-58"/>
        </w:rPr>
        <w:t> </w:t>
      </w:r>
      <w:r>
        <w:rPr>
          <w:rFonts w:ascii="Arial" w:hAnsi="Arial" w:cs="Arial" w:eastAsia="Arial" w:hint="default"/>
        </w:rPr>
        <w:t>3G</w:t>
      </w:r>
      <w:r>
        <w:rPr>
          <w:rFonts w:ascii="Arial" w:hAnsi="Arial" w:cs="Arial" w:eastAsia="Arial" w:hint="default"/>
          <w:spacing w:val="-10"/>
        </w:rPr>
        <w:t> </w:t>
      </w:r>
      <w:r>
        <w:rPr/>
        <w:t>业务促销活动增加所致。</w:t>
      </w:r>
    </w:p>
    <w:p>
      <w:pPr>
        <w:spacing w:line="240" w:lineRule="auto" w:before="2"/>
        <w:rPr>
          <w:rFonts w:ascii="宋体" w:hAnsi="宋体" w:cs="宋体" w:eastAsia="宋体" w:hint="default"/>
          <w:sz w:val="17"/>
          <w:szCs w:val="17"/>
        </w:rPr>
      </w:pPr>
    </w:p>
    <w:p>
      <w:pPr>
        <w:pStyle w:val="BodyText"/>
        <w:spacing w:line="240" w:lineRule="auto"/>
        <w:ind w:left="115" w:right="0"/>
        <w:jc w:val="left"/>
      </w:pPr>
      <w:r>
        <w:rPr>
          <w:rFonts w:ascii="Arial" w:hAnsi="Arial" w:cs="Arial" w:eastAsia="Arial" w:hint="default"/>
        </w:rPr>
        <w:t>(9) </w:t>
      </w:r>
      <w:r>
        <w:rPr>
          <w:rFonts w:ascii="Arial" w:hAnsi="Arial" w:cs="Arial" w:eastAsia="Arial" w:hint="default"/>
          <w:spacing w:val="19"/>
        </w:rPr>
        <w:t> </w:t>
      </w:r>
      <w:r>
        <w:rPr/>
        <w:t>营业成本增加主要是由于销售通信产品成本、网络运行及支撑成本及折旧费增加所致。</w:t>
      </w:r>
    </w:p>
    <w:p>
      <w:pPr>
        <w:spacing w:line="240" w:lineRule="auto" w:before="12"/>
        <w:rPr>
          <w:rFonts w:ascii="宋体" w:hAnsi="宋体" w:cs="宋体" w:eastAsia="宋体" w:hint="default"/>
          <w:sz w:val="17"/>
          <w:szCs w:val="17"/>
        </w:rPr>
      </w:pPr>
    </w:p>
    <w:p>
      <w:pPr>
        <w:pStyle w:val="BodyText"/>
        <w:spacing w:line="240" w:lineRule="auto"/>
        <w:ind w:left="115" w:right="0"/>
        <w:jc w:val="left"/>
      </w:pPr>
      <w:r>
        <w:rPr>
          <w:rFonts w:ascii="Arial" w:hAnsi="Arial" w:cs="Arial" w:eastAsia="Arial" w:hint="default"/>
        </w:rPr>
        <w:t>(10)</w:t>
      </w:r>
      <w:r>
        <w:rPr>
          <w:rFonts w:ascii="Arial" w:hAnsi="Arial" w:cs="Arial" w:eastAsia="Arial" w:hint="default"/>
          <w:spacing w:val="-40"/>
        </w:rPr>
        <w:t> </w:t>
      </w:r>
      <w:r>
        <w:rPr/>
        <w:t>管理费用的增加主要是由于本年人工成本及办公设备折旧费上升所致。</w:t>
      </w:r>
    </w:p>
    <w:p>
      <w:pPr>
        <w:spacing w:line="240" w:lineRule="auto" w:before="2"/>
        <w:rPr>
          <w:rFonts w:ascii="宋体" w:hAnsi="宋体" w:cs="宋体" w:eastAsia="宋体" w:hint="default"/>
          <w:sz w:val="20"/>
          <w:szCs w:val="20"/>
        </w:rPr>
      </w:pPr>
    </w:p>
    <w:p>
      <w:pPr>
        <w:pStyle w:val="BodyText"/>
        <w:spacing w:line="286" w:lineRule="exact"/>
        <w:ind w:left="619" w:right="0" w:hanging="504"/>
        <w:jc w:val="left"/>
      </w:pPr>
      <w:r>
        <w:rPr>
          <w:rFonts w:ascii="Arial" w:hAnsi="Arial" w:cs="Arial" w:eastAsia="Arial" w:hint="default"/>
        </w:rPr>
        <w:t>(11) </w:t>
      </w:r>
      <w:r>
        <w:rPr/>
        <w:t>财务费用的增加主要是由于本年带息负债增加导致利息支出相应增加以及本年因汇率变动导</w:t>
      </w:r>
      <w:r>
        <w:rPr>
          <w:spacing w:val="-75"/>
        </w:rPr>
        <w:t> </w:t>
      </w:r>
      <w:r>
        <w:rPr>
          <w:spacing w:val="-75"/>
        </w:rPr>
      </w:r>
      <w:r>
        <w:rPr/>
        <w:t>致的汇兑收益减少所致。</w:t>
      </w:r>
    </w:p>
    <w:p>
      <w:pPr>
        <w:spacing w:line="240" w:lineRule="auto" w:before="1"/>
        <w:rPr>
          <w:rFonts w:ascii="宋体" w:hAnsi="宋体" w:cs="宋体" w:eastAsia="宋体" w:hint="default"/>
          <w:sz w:val="17"/>
          <w:szCs w:val="17"/>
        </w:rPr>
      </w:pPr>
    </w:p>
    <w:p>
      <w:pPr>
        <w:pStyle w:val="BodyText"/>
        <w:spacing w:line="240" w:lineRule="auto"/>
        <w:ind w:left="115" w:right="0"/>
        <w:jc w:val="left"/>
      </w:pPr>
      <w:r>
        <w:rPr>
          <w:rFonts w:ascii="Arial" w:hAnsi="Arial" w:cs="Arial" w:eastAsia="Arial" w:hint="default"/>
        </w:rPr>
        <w:t>(12)</w:t>
      </w:r>
      <w:r>
        <w:rPr>
          <w:rFonts w:ascii="Arial" w:hAnsi="Arial" w:cs="Arial" w:eastAsia="Arial" w:hint="default"/>
          <w:spacing w:val="-38"/>
        </w:rPr>
        <w:t> </w:t>
      </w:r>
      <w:r>
        <w:rPr/>
        <w:t>所得税费用的增加主要是由于本年利润总额较去年上升所致。</w:t>
      </w:r>
    </w:p>
    <w:p>
      <w:pPr>
        <w:spacing w:line="240" w:lineRule="auto" w:before="2"/>
        <w:rPr>
          <w:rFonts w:ascii="宋体" w:hAnsi="宋体" w:cs="宋体" w:eastAsia="宋体" w:hint="default"/>
          <w:sz w:val="20"/>
          <w:szCs w:val="20"/>
        </w:rPr>
      </w:pPr>
    </w:p>
    <w:p>
      <w:pPr>
        <w:pStyle w:val="BodyText"/>
        <w:spacing w:line="286" w:lineRule="exact"/>
        <w:ind w:left="529" w:right="105" w:hanging="414"/>
        <w:jc w:val="left"/>
      </w:pPr>
      <w:r>
        <w:rPr>
          <w:rFonts w:ascii="Arial" w:hAnsi="Arial" w:cs="Arial" w:eastAsia="Arial" w:hint="default"/>
        </w:rPr>
        <w:t>(13)</w:t>
      </w:r>
      <w:r>
        <w:rPr>
          <w:rFonts w:ascii="Arial" w:hAnsi="Arial" w:cs="Arial" w:eastAsia="Arial" w:hint="default"/>
          <w:spacing w:val="-44"/>
        </w:rPr>
        <w:t> </w:t>
      </w:r>
      <w:r>
        <w:rPr>
          <w:spacing w:val="2"/>
        </w:rPr>
        <w:t>筹资活动产生的现金流量净额增加主要由于本年因发行债券及取得借款收到的现金较去年增</w:t>
      </w:r>
      <w:r>
        <w:rPr>
          <w:w w:val="99"/>
        </w:rPr>
        <w:t> </w:t>
      </w:r>
      <w:r>
        <w:rPr/>
        <w:t>加所致。</w:t>
      </w:r>
    </w:p>
    <w:p>
      <w:pPr>
        <w:spacing w:after="0" w:line="286" w:lineRule="exact"/>
        <w:jc w:val="left"/>
        <w:sectPr>
          <w:headerReference w:type="default" r:id="rId148"/>
          <w:pgSz w:w="11910" w:h="16840"/>
          <w:pgMar w:header="1328" w:footer="457" w:top="2300" w:bottom="640" w:left="1460" w:right="920"/>
        </w:sectPr>
      </w:pPr>
    </w:p>
    <w:p>
      <w:pPr>
        <w:spacing w:before="17"/>
        <w:ind w:left="144" w:right="2774" w:firstLine="0"/>
        <w:jc w:val="left"/>
        <w:rPr>
          <w:rFonts w:ascii="宋体" w:hAnsi="宋体" w:cs="宋体" w:eastAsia="宋体" w:hint="default"/>
          <w:sz w:val="18"/>
          <w:szCs w:val="18"/>
        </w:rPr>
      </w:pPr>
      <w:r>
        <w:rPr>
          <w:rFonts w:ascii="宋体" w:hAnsi="宋体" w:cs="宋体" w:eastAsia="宋体" w:hint="default"/>
          <w:sz w:val="18"/>
          <w:szCs w:val="18"/>
        </w:rPr>
        <w:t>中国联合网络通信股份有限公司</w:t>
      </w:r>
      <w:r>
        <w:rPr>
          <w:rFonts w:ascii="宋体" w:hAnsi="宋体" w:cs="宋体" w:eastAsia="宋体" w:hint="default"/>
          <w:spacing w:val="-46"/>
          <w:sz w:val="18"/>
          <w:szCs w:val="18"/>
        </w:rPr>
        <w:t> </w:t>
      </w:r>
      <w:r>
        <w:rPr>
          <w:rFonts w:ascii="Arial" w:hAnsi="Arial" w:cs="Arial" w:eastAsia="Arial" w:hint="default"/>
          <w:sz w:val="18"/>
          <w:szCs w:val="18"/>
        </w:rPr>
        <w:t>2012</w:t>
      </w:r>
      <w:r>
        <w:rPr>
          <w:rFonts w:ascii="Arial" w:hAnsi="Arial" w:cs="Arial" w:eastAsia="Arial" w:hint="default"/>
          <w:spacing w:val="-7"/>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2"/>
          <w:szCs w:val="2"/>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0pt;height:.5pt;mso-position-horizontal-relative:char;mso-position-vertical-relative:line" coordorigin="0,0" coordsize="9200,10">
            <v:group style="position:absolute;left:5;top:5;width:9191;height:2" coordorigin="5,5" coordsize="9191,2">
              <v:shape style="position:absolute;left:5;top:5;width:9191;height:2" coordorigin="5,5" coordsize="9191,0" path="m5,5l9195,5e" filled="false" stroked="true" strokeweight=".48pt" strokecolor="#000000">
                <v:path arrowok="t"/>
              </v:shape>
            </v:group>
          </v:group>
        </w:pict>
      </w:r>
      <w:r>
        <w:rPr>
          <w:rFonts w:ascii="宋体" w:hAnsi="宋体" w:cs="宋体" w:eastAsia="宋体" w:hint="default"/>
          <w:sz w:val="2"/>
          <w:szCs w:val="2"/>
        </w:rPr>
      </w:r>
    </w:p>
    <w:p>
      <w:pPr>
        <w:pStyle w:val="Heading1"/>
        <w:spacing w:line="240" w:lineRule="auto" w:before="111"/>
        <w:ind w:left="3222" w:right="3233"/>
        <w:jc w:val="center"/>
        <w:rPr>
          <w:b w:val="0"/>
          <w:bCs w:val="0"/>
        </w:rPr>
      </w:pPr>
      <w:bookmarkStart w:name="_TOC_250000" w:id="11"/>
      <w:r>
        <w:rPr/>
        <w:t>第十一节</w:t>
      </w:r>
      <w:r>
        <w:rPr>
          <w:spacing w:val="-20"/>
        </w:rPr>
        <w:t> </w:t>
      </w:r>
      <w:r>
        <w:rPr/>
        <w:t>备查文件目录</w:t>
      </w:r>
      <w:bookmarkEnd w:id="11"/>
      <w:r>
        <w:rPr>
          <w:b w:val="0"/>
          <w:bCs w:val="0"/>
        </w:rPr>
      </w:r>
    </w:p>
    <w:p>
      <w:pPr>
        <w:spacing w:line="240" w:lineRule="auto" w:before="11"/>
        <w:rPr>
          <w:rFonts w:ascii="宋体" w:hAnsi="宋体" w:cs="宋体" w:eastAsia="宋体" w:hint="default"/>
          <w:b/>
          <w:bCs/>
          <w:sz w:val="19"/>
          <w:szCs w:val="19"/>
        </w:rPr>
      </w:pPr>
    </w:p>
    <w:p>
      <w:pPr>
        <w:pStyle w:val="BodyText"/>
        <w:spacing w:line="240" w:lineRule="auto"/>
        <w:ind w:left="144" w:right="0"/>
        <w:jc w:val="left"/>
      </w:pPr>
      <w:r>
        <w:rPr>
          <w:rFonts w:ascii="Arial" w:hAnsi="Arial" w:cs="Arial" w:eastAsia="Arial" w:hint="default"/>
        </w:rPr>
        <w:t>1</w:t>
      </w:r>
      <w:r>
        <w:rPr/>
        <w:t>、载有法定代表人、主管会计工作负责人、会计机构负责人签名并盖章的会计报表</w:t>
      </w:r>
    </w:p>
    <w:p>
      <w:pPr>
        <w:pStyle w:val="BodyText"/>
        <w:spacing w:line="240" w:lineRule="auto" w:before="39"/>
        <w:ind w:left="144" w:right="0"/>
        <w:jc w:val="left"/>
      </w:pPr>
      <w:r>
        <w:rPr>
          <w:rFonts w:ascii="Arial" w:hAnsi="Arial" w:cs="Arial" w:eastAsia="Arial" w:hint="default"/>
        </w:rPr>
        <w:t>2</w:t>
      </w:r>
      <w:r>
        <w:rPr/>
        <w:t>、载有会计师事务所盖章、注册会计师签名并盖章的审计报告原件</w:t>
      </w:r>
    </w:p>
    <w:p>
      <w:pPr>
        <w:pStyle w:val="BodyText"/>
        <w:spacing w:line="240" w:lineRule="auto" w:before="38"/>
        <w:ind w:left="144" w:right="0"/>
        <w:jc w:val="left"/>
      </w:pPr>
      <w:r>
        <w:rPr>
          <w:rFonts w:ascii="Arial" w:hAnsi="Arial" w:cs="Arial" w:eastAsia="Arial" w:hint="default"/>
        </w:rPr>
        <w:t>3</w:t>
      </w:r>
      <w:r>
        <w:rPr/>
        <w:t>、报告期内在中国证监会指定报纸上公开披露的所有公司文件的正本及公告的原稿</w:t>
      </w:r>
    </w:p>
    <w:p>
      <w:pPr>
        <w:pStyle w:val="BodyText"/>
        <w:spacing w:line="240" w:lineRule="auto" w:before="38"/>
        <w:ind w:left="144" w:right="2774"/>
        <w:jc w:val="left"/>
      </w:pPr>
      <w:r>
        <w:rPr>
          <w:rFonts w:ascii="Arial" w:hAnsi="Arial" w:cs="Arial" w:eastAsia="Arial" w:hint="default"/>
        </w:rPr>
        <w:t>4</w:t>
      </w:r>
      <w:r>
        <w:rPr/>
        <w:t>、联通红筹公司</w:t>
      </w:r>
      <w:r>
        <w:rPr>
          <w:spacing w:val="-58"/>
        </w:rPr>
        <w:t> </w:t>
      </w:r>
      <w:r>
        <w:rPr>
          <w:rFonts w:ascii="Arial" w:hAnsi="Arial" w:cs="Arial" w:eastAsia="Arial" w:hint="default"/>
        </w:rPr>
        <w:t>2012</w:t>
      </w:r>
      <w:r>
        <w:rPr>
          <w:rFonts w:ascii="Arial" w:hAnsi="Arial" w:cs="Arial" w:eastAsia="Arial" w:hint="default"/>
          <w:spacing w:val="-10"/>
        </w:rPr>
        <w:t> </w:t>
      </w:r>
      <w:r>
        <w:rPr/>
        <w:t>年度业绩公告</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300" w:lineRule="auto" w:before="194"/>
        <w:ind w:left="6194" w:right="153" w:firstLine="1539"/>
        <w:jc w:val="right"/>
      </w:pPr>
      <w:r>
        <w:rPr>
          <w:w w:val="95"/>
        </w:rPr>
        <w:t>董事长：常小兵</w:t>
      </w:r>
      <w:r>
        <w:rPr>
          <w:w w:val="99"/>
        </w:rPr>
        <w:t> </w:t>
      </w:r>
      <w:r>
        <w:rPr>
          <w:w w:val="95"/>
        </w:rPr>
        <w:t>中国联合网络通信股份有限公司</w:t>
      </w:r>
      <w:r>
        <w:rPr/>
      </w:r>
    </w:p>
    <w:p>
      <w:pPr>
        <w:pStyle w:val="BodyText"/>
        <w:spacing w:line="240" w:lineRule="auto" w:before="17"/>
        <w:ind w:left="0" w:right="152"/>
        <w:jc w:val="right"/>
      </w:pPr>
      <w:r>
        <w:rPr>
          <w:rFonts w:ascii="Arial" w:hAnsi="Arial" w:cs="Arial" w:eastAsia="Arial" w:hint="default"/>
        </w:rPr>
        <w:t>2013</w:t>
      </w:r>
      <w:r>
        <w:rPr>
          <w:rFonts w:ascii="Arial" w:hAnsi="Arial" w:cs="Arial" w:eastAsia="Arial" w:hint="default"/>
          <w:spacing w:val="-7"/>
        </w:rPr>
        <w:t> </w:t>
      </w:r>
      <w:r>
        <w:rPr/>
        <w:t>年</w:t>
      </w:r>
      <w:r>
        <w:rPr>
          <w:spacing w:val="-56"/>
        </w:rPr>
        <w:t> </w:t>
      </w:r>
      <w:r>
        <w:rPr>
          <w:rFonts w:ascii="Arial" w:hAnsi="Arial" w:cs="Arial" w:eastAsia="Arial" w:hint="default"/>
        </w:rPr>
        <w:t>3</w:t>
      </w:r>
      <w:r>
        <w:rPr>
          <w:rFonts w:ascii="Arial" w:hAnsi="Arial" w:cs="Arial" w:eastAsia="Arial" w:hint="default"/>
          <w:spacing w:val="-7"/>
        </w:rPr>
        <w:t> </w:t>
      </w:r>
      <w:r>
        <w:rPr/>
        <w:t>月</w:t>
      </w:r>
      <w:r>
        <w:rPr>
          <w:spacing w:val="-56"/>
        </w:rPr>
        <w:t> </w:t>
      </w:r>
      <w:r>
        <w:rPr>
          <w:rFonts w:ascii="Arial" w:hAnsi="Arial" w:cs="Arial" w:eastAsia="Arial" w:hint="default"/>
        </w:rPr>
        <w:t>21</w:t>
      </w:r>
      <w:r>
        <w:rPr>
          <w:rFonts w:ascii="Arial" w:hAnsi="Arial" w:cs="Arial" w:eastAsia="Arial" w:hint="default"/>
          <w:spacing w:val="-7"/>
        </w:rPr>
        <w:t> </w:t>
      </w:r>
      <w:r>
        <w:rPr/>
        <w:t>日</w:t>
      </w:r>
    </w:p>
    <w:sectPr>
      <w:headerReference w:type="default" r:id="rId149"/>
      <w:pgSz w:w="11910" w:h="16840"/>
      <w:pgMar w:header="0" w:footer="457" w:top="660" w:bottom="640" w:left="144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宋体">
    <w:altName w:val="宋体"/>
    <w:charset w:val="86"/>
    <w:family w:val="auto"/>
    <w:pitch w:val="variable"/>
  </w:font>
  <w:font w:name="Symbol">
    <w:altName w:val="Symbol"/>
    <w:charset w:val="2"/>
    <w:family w:val="roman"/>
    <w:pitch w:val="variable"/>
  </w:font>
  <w:font w:name="Cambria">
    <w:altName w:val="Cambria"/>
    <w:charset w:val="0"/>
    <w:family w:val="roman"/>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459991pt;margin-top:793.422729pt;width:16.25pt;height:13pt;mso-position-horizontal-relative:page;mso-position-vertical-relative:page;z-index:-853216"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799988pt;margin-top:560.862732pt;width:16.25pt;height:13pt;mso-position-horizontal-relative:page;mso-position-vertical-relative:page;z-index:-853072"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60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380005pt;margin-top:801.042725pt;width:20.65pt;height:13pt;mso-position-horizontal-relative:page;mso-position-vertical-relative:page;z-index:-853048" type="#_x0000_t202" filled="false" stroked="false">
          <v:textbox inset="0,0,0,0">
            <w:txbxContent>
              <w:p>
                <w:pPr>
                  <w:pStyle w:val="BodyText"/>
                  <w:spacing w:line="245" w:lineRule="exact"/>
                  <w:ind w:left="127"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61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8.160004pt;margin-top:561.522766pt;width:16.25pt;height:13pt;mso-position-horizontal-relative:page;mso-position-vertical-relative:page;z-index:-850384"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93</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440002pt;margin-top:807.822754pt;width:16.25pt;height:13pt;mso-position-horizontal-relative:page;mso-position-vertical-relative:page;z-index:-850168"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96</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380005pt;margin-top:807.822754pt;width:20.4pt;height:13pt;mso-position-horizontal-relative:page;mso-position-vertical-relative:page;z-index:-849856" type="#_x0000_t202" filled="false" stroked="false">
          <v:textbox inset="0,0,0,0">
            <w:txbxContent>
              <w:p>
                <w:pPr>
                  <w:pStyle w:val="BodyText"/>
                  <w:spacing w:line="245" w:lineRule="exact"/>
                  <w:ind w:right="0"/>
                  <w:jc w:val="left"/>
                  <w:rPr>
                    <w:rFonts w:ascii="Arial" w:hAnsi="Arial" w:cs="Arial" w:eastAsia="Arial" w:hint="default"/>
                  </w:rPr>
                </w:pPr>
                <w:r>
                  <w:rPr>
                    <w:rFonts w:ascii="Arial"/>
                  </w:rPr>
                  <w:t>100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320007pt;margin-top:807.822754pt;width:22.4pt;height:13pt;mso-position-horizontal-relative:page;mso-position-vertical-relative:page;z-index:-849760"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101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5.100006pt;margin-top:561.522766pt;width:22.4pt;height:13pt;mso-position-horizontal-relative:page;mso-position-vertical-relative:page;z-index:-848800"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110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320007pt;margin-top:807.822754pt;width:22.4pt;height:13pt;mso-position-horizontal-relative:page;mso-position-vertical-relative:page;z-index:-848704"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112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140015pt;margin-top:807.822754pt;width:23.5pt;height:13pt;mso-position-horizontal-relative:page;mso-position-vertical-relative:page;z-index:-848608" type="#_x0000_t202" filled="false" stroked="false">
          <v:textbox inset="0,0,0,0">
            <w:txbxContent>
              <w:p>
                <w:pPr>
                  <w:pStyle w:val="BodyText"/>
                  <w:spacing w:line="245" w:lineRule="exact"/>
                  <w:ind w:left="43"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115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239990pt;margin-top:806.142761pt;width:14.25pt;height:13pt;mso-position-horizontal-relative:page;mso-position-vertical-relative:page;z-index:-853192" type="#_x0000_t202" filled="false" stroked="false">
          <v:textbox inset="0,0,0,0">
            <w:txbxContent>
              <w:p>
                <w:pPr>
                  <w:pStyle w:val="BodyText"/>
                  <w:spacing w:line="245" w:lineRule="exact"/>
                  <w:ind w:right="0"/>
                  <w:jc w:val="left"/>
                  <w:rPr>
                    <w:rFonts w:ascii="Arial" w:hAnsi="Arial" w:cs="Arial" w:eastAsia="Arial" w:hint="default"/>
                  </w:rPr>
                </w:pPr>
                <w:r>
                  <w:rPr>
                    <w:rFonts w:ascii="Arial"/>
                  </w:rPr>
                  <w:t>55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239990pt;margin-top:793.422729pt;width:26.65pt;height:13pt;mso-position-horizontal-relative:page;mso-position-vertical-relative:page;z-index:-853168"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56</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619995pt;margin-top:793.422729pt;width:16.25pt;height:13pt;mso-position-horizontal-relative:page;mso-position-vertical-relative:page;z-index:-853144"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57</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619995pt;margin-top:793.422729pt;width:16.25pt;height:13pt;mso-position-horizontal-relative:page;mso-position-vertical-relative:page;z-index:-853120" type="#_x0000_t202" filled="false" stroked="false">
          <v:textbox inset="0,0,0,0">
            <w:txbxContent>
              <w:p>
                <w:pPr>
                  <w:pStyle w:val="BodyText"/>
                  <w:spacing w:line="245"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58</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799988pt;margin-top:560.862732pt;width:16.25pt;height:13.35pt;mso-position-horizontal-relative:page;mso-position-vertical-relative:page;z-index:-853096" type="#_x0000_t202" filled="false" stroked="false">
          <v:textbox inset="0,0,0,0">
            <w:txbxContent>
              <w:p>
                <w:pPr>
                  <w:pStyle w:val="BodyText"/>
                  <w:spacing w:line="252"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59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820pt;margin-top:55.439983pt;width:477.45pt;height:.1pt;mso-position-horizontal-relative:page;mso-position-vertical-relative:page;z-index:-853312" coordorigin="1496,1109" coordsize="9549,2">
          <v:shape style="position:absolute;left:1496;top:1109;width:9549;height:2" coordorigin="1496,1109" coordsize="9549,0" path="m1496,1109l11045,1109e" filled="false" stroked="true" strokeweight=".48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75.320pt;margin-top:42.805607pt;width:197.6pt;height:11.45pt;mso-position-horizontal-relative:page;mso-position-vertical-relative:page;z-index:-853288"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中国联合网络通信股份有限公司</w:t>
                </w:r>
                <w:r>
                  <w:rPr>
                    <w:rFonts w:ascii="宋体" w:hAnsi="宋体" w:cs="宋体" w:eastAsia="宋体" w:hint="default"/>
                    <w:spacing w:val="-46"/>
                    <w:sz w:val="18"/>
                    <w:szCs w:val="18"/>
                  </w:rPr>
                  <w:t> </w:t>
                </w:r>
                <w:r>
                  <w:rPr>
                    <w:rFonts w:ascii="Arial" w:hAnsi="Arial" w:cs="Arial" w:eastAsia="Arial" w:hint="default"/>
                    <w:sz w:val="18"/>
                    <w:szCs w:val="18"/>
                  </w:rPr>
                  <w:t>2012</w:t>
                </w:r>
                <w:r>
                  <w:rPr>
                    <w:rFonts w:ascii="Arial" w:hAnsi="Arial" w:cs="Arial" w:eastAsia="Arial" w:hint="default"/>
                    <w:spacing w:val="-7"/>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577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5752"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56.450pt;height:13pt;mso-position-horizontal-relative:page;mso-position-vertical-relative:page;z-index:-84572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七</w:t>
                  <w:tab/>
                </w:r>
                <w:r>
                  <w:rPr>
                    <w:rFonts w:ascii="黑体" w:hAnsi="黑体" w:cs="黑体" w:eastAsia="黑体" w:hint="default"/>
                  </w:rPr>
                  <w:t>关联方关系及其交易（续）</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570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5680"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56.450pt;height:13pt;mso-position-horizontal-relative:page;mso-position-vertical-relative:page;z-index:-845656"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七</w:t>
                  <w:tab/>
                </w:r>
                <w:r>
                  <w:rPr>
                    <w:rFonts w:ascii="黑体" w:hAnsi="黑体" w:cs="黑体" w:eastAsia="黑体" w:hint="default"/>
                  </w:rPr>
                  <w:t>关联方关系及其交易（续）</w:t>
                </w:r>
              </w:p>
            </w:txbxContent>
          </v:textbox>
          <w10:wrap type="none"/>
        </v:shape>
      </w:pict>
    </w:r>
    <w:r>
      <w:rPr/>
      <w:pict>
        <v:shape style="position:absolute;margin-left:68.120003pt;margin-top:167.464050pt;width:187.9pt;height:13.55pt;mso-position-horizontal-relative:page;mso-position-vertical-relative:page;z-index:-845632" type="#_x0000_t202" filled="false" stroked="false">
          <v:textbox inset="0,0,0,0">
            <w:txbxContent>
              <w:p>
                <w:pPr>
                  <w:pStyle w:val="BodyText"/>
                  <w:spacing w:line="255" w:lineRule="exact"/>
                  <w:ind w:right="0"/>
                  <w:jc w:val="left"/>
                </w:pPr>
                <w:r>
                  <w:rPr>
                    <w:rFonts w:ascii="Arial" w:hAnsi="Arial" w:cs="Arial" w:eastAsia="Arial" w:hint="default"/>
                  </w:rPr>
                  <w:t>5</w:t>
                </w:r>
                <w:r>
                  <w:rPr/>
                  <w:t>、</w:t>
                </w:r>
                <w:r>
                  <w:rPr>
                    <w:spacing w:val="-41"/>
                  </w:rPr>
                  <w:t> </w:t>
                </w:r>
                <w:r>
                  <w:rPr/>
                  <w:t>关联方应收、应付款项余额（续）</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560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558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6.739998pt;margin-top:140.584061pt;width:200.25pt;height:13pt;mso-position-horizontal-relative:page;mso-position-vertical-relative:page;z-index:-845560" type="#_x0000_t202" filled="false" stroked="false">
          <v:textbox inset="0,0,0,0">
            <w:txbxContent>
              <w:p>
                <w:pPr>
                  <w:pStyle w:val="BodyText"/>
                  <w:tabs>
                    <w:tab w:pos="465" w:val="left" w:leader="none"/>
                  </w:tabs>
                  <w:spacing w:line="240" w:lineRule="exact"/>
                  <w:ind w:right="0"/>
                  <w:jc w:val="left"/>
                  <w:rPr>
                    <w:rFonts w:ascii="黑体" w:hAnsi="黑体" w:cs="黑体" w:eastAsia="黑体" w:hint="default"/>
                  </w:rPr>
                </w:pPr>
                <w:r>
                  <w:rPr>
                    <w:rFonts w:ascii="黑体" w:hAnsi="黑体" w:cs="黑体" w:eastAsia="黑体" w:hint="default"/>
                    <w:w w:val="95"/>
                  </w:rPr>
                  <w:t>八</w:t>
                  <w:tab/>
                </w:r>
                <w:r>
                  <w:rPr>
                    <w:rFonts w:ascii="黑体" w:hAnsi="黑体" w:cs="黑体" w:eastAsia="黑体" w:hint="default"/>
                  </w:rPr>
                  <w:t>与境内主要电信运营商的交易（续）</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553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5512"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548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546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544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541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539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5368"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419998pt;margin-top:140.584061pt;width:230.25pt;height:13pt;mso-position-horizontal-relative:page;mso-position-vertical-relative:page;z-index:-84534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十六</w:t>
                </w:r>
                <w:r>
                  <w:rPr>
                    <w:rFonts w:ascii="黑体" w:hAnsi="黑体" w:cs="黑体" w:eastAsia="黑体" w:hint="default"/>
                    <w:spacing w:val="48"/>
                  </w:rPr>
                  <w:t> </w:t>
                </w:r>
                <w:r>
                  <w:rPr>
                    <w:rFonts w:ascii="黑体" w:hAnsi="黑体" w:cs="黑体" w:eastAsia="黑体" w:hint="default"/>
                  </w:rPr>
                  <w:t>本公司个别财务报表主要项目注释（续）</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532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529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419998pt;margin-top:140.584061pt;width:230.25pt;height:13pt;mso-position-horizontal-relative:page;mso-position-vertical-relative:page;z-index:-84527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十六</w:t>
                </w:r>
                <w:r>
                  <w:rPr>
                    <w:rFonts w:ascii="黑体" w:hAnsi="黑体" w:cs="黑体" w:eastAsia="黑体" w:hint="default"/>
                    <w:spacing w:val="48"/>
                  </w:rPr>
                  <w:t> </w:t>
                </w:r>
                <w:r>
                  <w:rPr>
                    <w:rFonts w:ascii="黑体" w:hAnsi="黑体" w:cs="黑体" w:eastAsia="黑体" w:hint="default"/>
                  </w:rPr>
                  <w:t>本公司个别财务报表主要项目注释（续）</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8.199997pt;margin-top:65.404053pt;width:155.9pt;height:13pt;mso-position-horizontal-relative:page;mso-position-vertical-relative:page;z-index:-84524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8.199997pt;margin-top:88.864052pt;width:51.2pt;height:27.8pt;mso-position-horizontal-relative:page;mso-position-vertical-relative:page;z-index:-845224"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补充资料</w:t>
                </w:r>
              </w:p>
              <w:p>
                <w:pPr>
                  <w:pStyle w:val="BodyText"/>
                  <w:spacing w:line="302"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8.199997pt;margin-top:65.404053pt;width:155.9pt;height:13pt;mso-position-horizontal-relative:page;mso-position-vertical-relative:page;z-index:-84520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8.199997pt;margin-top:88.864052pt;width:51.2pt;height:27.8pt;mso-position-horizontal-relative:page;mso-position-vertical-relative:page;z-index:-845176"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补充资料</w:t>
                </w:r>
              </w:p>
              <w:p>
                <w:pPr>
                  <w:pStyle w:val="BodyText"/>
                  <w:spacing w:line="302"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8.199997pt;margin-top:65.404053pt;width:155.9pt;height:13pt;mso-position-horizontal-relative:page;mso-position-vertical-relative:page;z-index:-84515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8.199997pt;margin-top:88.864052pt;width:51.2pt;height:27.8pt;mso-position-horizontal-relative:page;mso-position-vertical-relative:page;z-index:-845128"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补充资料</w:t>
                </w:r>
              </w:p>
              <w:p>
                <w:pPr>
                  <w:pStyle w:val="BodyText"/>
                  <w:spacing w:line="302"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8.199997pt;margin-top:65.404053pt;width:155.9pt;height:13pt;mso-position-horizontal-relative:page;mso-position-vertical-relative:page;z-index:-84510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8.199997pt;margin-top:88.864052pt;width:51.2pt;height:27.8pt;mso-position-horizontal-relative:page;mso-position-vertical-relative:page;z-index:-845080"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补充资料</w:t>
                </w:r>
              </w:p>
              <w:p>
                <w:pPr>
                  <w:pStyle w:val="BodyText"/>
                  <w:spacing w:line="302"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8.199997pt;margin-top:65.404053pt;width:155.9pt;height:13pt;mso-position-horizontal-relative:page;mso-position-vertical-relative:page;z-index:-84505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8.199997pt;margin-top:88.864052pt;width:51.2pt;height:27.8pt;mso-position-horizontal-relative:page;mso-position-vertical-relative:page;z-index:-84503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补充资料</w:t>
                </w:r>
              </w:p>
              <w:p>
                <w:pPr>
                  <w:pStyle w:val="BodyText"/>
                  <w:spacing w:line="302"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txbxContent>
          </v:textbox>
          <w10:wrap type="none"/>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8.199997pt;margin-top:65.404053pt;width:155.9pt;height:13pt;mso-position-horizontal-relative:page;mso-position-vertical-relative:page;z-index:-84500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8.199997pt;margin-top:88.864052pt;width:51.2pt;height:27.8pt;mso-position-horizontal-relative:page;mso-position-vertical-relative:page;z-index:-844984"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补充资料</w:t>
                </w:r>
              </w:p>
              <w:p>
                <w:pPr>
                  <w:pStyle w:val="BodyText"/>
                  <w:spacing w:line="302"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txbxContent>
          </v:textbox>
          <w10:wrap type="none"/>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4055pt;width:155.9pt;height:13pt;mso-position-horizontal-relative:page;mso-position-vertical-relative:page;z-index:-85302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4058pt;width:199.95pt;height:27.3pt;mso-position-horizontal-relative:page;mso-position-vertical-relative:page;z-index:-853000" type="#_x0000_t202" filled="false" stroked="false">
          <v:textbox inset="0,0,0,0">
            <w:txbxContent>
              <w:p>
                <w:pPr>
                  <w:pStyle w:val="BodyText"/>
                  <w:spacing w:line="246"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12"/>
                  </w:rPr>
                  <w:t> </w:t>
                </w:r>
                <w:r>
                  <w:rPr>
                    <w:rFonts w:ascii="黑体" w:hAnsi="黑体" w:cs="黑体" w:eastAsia="黑体" w:hint="default"/>
                  </w:rPr>
                  <w:t>年度公司股东权益变动表</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4055pt;width:155.9pt;height:13pt;mso-position-horizontal-relative:page;mso-position-vertical-relative:page;z-index:-85297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4058pt;width:199.95pt;height:27.3pt;mso-position-horizontal-relative:page;mso-position-vertical-relative:page;z-index:-852952" type="#_x0000_t202" filled="false" stroked="false">
          <v:textbox inset="0,0,0,0">
            <w:txbxContent>
              <w:p>
                <w:pPr>
                  <w:pStyle w:val="BodyText"/>
                  <w:spacing w:line="246"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12"/>
                  </w:rPr>
                  <w:t> </w:t>
                </w:r>
                <w:r>
                  <w:rPr>
                    <w:rFonts w:ascii="黑体" w:hAnsi="黑体" w:cs="黑体" w:eastAsia="黑体" w:hint="default"/>
                  </w:rPr>
                  <w:t>年度公司股东权益变动表</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4055pt;width:155.9pt;height:13pt;mso-position-horizontal-relative:page;mso-position-vertical-relative:page;z-index:-85292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4058pt;width:199.95pt;height:41.5pt;mso-position-horizontal-relative:page;mso-position-vertical-relative:page;z-index:-852904"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406pt;width:178.4pt;height:13pt;mso-position-horizontal-relative:page;mso-position-vertical-relative:page;z-index:-85288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4055pt;width:155.9pt;height:13pt;mso-position-horizontal-relative:page;mso-position-vertical-relative:page;z-index:-85285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4058pt;width:199.95pt;height:41.5pt;mso-position-horizontal-relative:page;mso-position-vertical-relative:page;z-index:-85283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406pt;width:178.4pt;height:13pt;mso-position-horizontal-relative:page;mso-position-vertical-relative:page;z-index:-85280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4055pt;width:155.9pt;height:13pt;mso-position-horizontal-relative:page;mso-position-vertical-relative:page;z-index:-85278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4058pt;width:199.95pt;height:41.5pt;mso-position-horizontal-relative:page;mso-position-vertical-relative:page;z-index:-852760"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406pt;width:178.4pt;height:13pt;mso-position-horizontal-relative:page;mso-position-vertical-relative:page;z-index:-852736"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4055pt;width:155.9pt;height:13pt;mso-position-horizontal-relative:page;mso-position-vertical-relative:page;z-index:-85271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4058pt;width:199.95pt;height:41.5pt;mso-position-horizontal-relative:page;mso-position-vertical-relative:page;z-index:-852688"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406pt;width:178.4pt;height:13pt;mso-position-horizontal-relative:page;mso-position-vertical-relative:page;z-index:-85266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r>
      <w:rPr/>
      <w:pict>
        <v:shape style="position:absolute;margin-left:76.940002pt;margin-top:154.024048pt;width:99.9pt;height:13.55pt;mso-position-horizontal-relative:page;mso-position-vertical-relative:page;z-index:-852640" type="#_x0000_t202" filled="false" stroked="false">
          <v:textbox inset="0,0,0,0">
            <w:txbxContent>
              <w:p>
                <w:pPr>
                  <w:pStyle w:val="BodyText"/>
                  <w:spacing w:line="255" w:lineRule="exact"/>
                  <w:ind w:right="0"/>
                  <w:jc w:val="left"/>
                </w:pPr>
                <w:r>
                  <w:rPr>
                    <w:rFonts w:ascii="Arial" w:hAnsi="Arial" w:cs="Arial" w:eastAsia="Arial" w:hint="default"/>
                  </w:rPr>
                  <w:t>9</w:t>
                </w:r>
                <w:r>
                  <w:rPr/>
                  <w:t>、</w:t>
                </w:r>
                <w:r>
                  <w:rPr>
                    <w:spacing w:val="-38"/>
                  </w:rPr>
                  <w:t> </w:t>
                </w:r>
                <w:r>
                  <w:rPr/>
                  <w:t>金融工具（续）</w:t>
                </w:r>
              </w:p>
            </w:txbxContent>
          </v:textbox>
          <w10:wrap type="none"/>
        </v:shape>
      </w:pict>
    </w:r>
    <w:r>
      <w:rPr/>
      <w:pict>
        <v:shape style="position:absolute;margin-left:76.940002pt;margin-top:178.044052pt;width:99.85pt;height:13.55pt;mso-position-horizontal-relative:page;mso-position-vertical-relative:page;z-index:-852616" type="#_x0000_t202" filled="false" stroked="false">
          <v:textbox inset="0,0,0,0">
            <w:txbxContent>
              <w:p>
                <w:pPr>
                  <w:pStyle w:val="BodyText"/>
                  <w:spacing w:line="255" w:lineRule="exact"/>
                  <w:ind w:right="0"/>
                  <w:jc w:val="left"/>
                </w:pPr>
                <w:r>
                  <w:rPr>
                    <w:rFonts w:ascii="Arial" w:hAnsi="Arial" w:cs="Arial" w:eastAsia="Arial" w:hint="default"/>
                  </w:rPr>
                  <w:t>(a) </w:t>
                </w:r>
                <w:r>
                  <w:rPr>
                    <w:rFonts w:ascii="Arial" w:hAnsi="Arial" w:cs="Arial" w:eastAsia="Arial" w:hint="default"/>
                    <w:spacing w:val="23"/>
                  </w:rPr>
                  <w:t> </w:t>
                </w:r>
                <w:r>
                  <w:rPr/>
                  <w:t>金融资产（续）</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4055pt;width:155.9pt;height:13pt;mso-position-horizontal-relative:page;mso-position-vertical-relative:page;z-index:-85259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4058pt;width:199.95pt;height:41.5pt;mso-position-horizontal-relative:page;mso-position-vertical-relative:page;z-index:-852568"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406pt;width:178.4pt;height:13pt;mso-position-horizontal-relative:page;mso-position-vertical-relative:page;z-index:-85254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r>
      <w:rPr/>
      <w:pict>
        <v:shape style="position:absolute;margin-left:76.940002pt;margin-top:154.024048pt;width:99.9pt;height:13.55pt;mso-position-horizontal-relative:page;mso-position-vertical-relative:page;z-index:-852520" type="#_x0000_t202" filled="false" stroked="false">
          <v:textbox inset="0,0,0,0">
            <w:txbxContent>
              <w:p>
                <w:pPr>
                  <w:pStyle w:val="BodyText"/>
                  <w:spacing w:line="255" w:lineRule="exact"/>
                  <w:ind w:right="0"/>
                  <w:jc w:val="left"/>
                </w:pPr>
                <w:r>
                  <w:rPr>
                    <w:rFonts w:ascii="Arial" w:hAnsi="Arial" w:cs="Arial" w:eastAsia="Arial" w:hint="default"/>
                  </w:rPr>
                  <w:t>9</w:t>
                </w:r>
                <w:r>
                  <w:rPr/>
                  <w:t>、</w:t>
                </w:r>
                <w:r>
                  <w:rPr>
                    <w:spacing w:val="-38"/>
                  </w:rPr>
                  <w:t> </w:t>
                </w:r>
                <w:r>
                  <w:rPr/>
                  <w:t>金融工具（续）</w:t>
                </w:r>
              </w:p>
            </w:txbxContent>
          </v:textbox>
          <w10:wrap type="none"/>
        </v:shape>
      </w:pict>
    </w:r>
    <w:r>
      <w:rPr/>
      <w:pict>
        <v:shape style="position:absolute;margin-left:76.940002pt;margin-top:178.044052pt;width:99.85pt;height:13.55pt;mso-position-horizontal-relative:page;mso-position-vertical-relative:page;z-index:-852496" type="#_x0000_t202" filled="false" stroked="false">
          <v:textbox inset="0,0,0,0">
            <w:txbxContent>
              <w:p>
                <w:pPr>
                  <w:pStyle w:val="BodyText"/>
                  <w:spacing w:line="255" w:lineRule="exact"/>
                  <w:ind w:right="0"/>
                  <w:jc w:val="left"/>
                </w:pPr>
                <w:r>
                  <w:rPr>
                    <w:rFonts w:ascii="Arial" w:hAnsi="Arial" w:cs="Arial" w:eastAsia="Arial" w:hint="default"/>
                  </w:rPr>
                  <w:t>(a) </w:t>
                </w:r>
                <w:r>
                  <w:rPr>
                    <w:rFonts w:ascii="Arial" w:hAnsi="Arial" w:cs="Arial" w:eastAsia="Arial" w:hint="default"/>
                    <w:spacing w:val="23"/>
                  </w:rPr>
                  <w:t> </w:t>
                </w:r>
                <w:r>
                  <w:rPr/>
                  <w:t>金融资产（续）</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820pt;margin-top:39.959991pt;width:477.55pt;height:.1pt;mso-position-horizontal-relative:page;mso-position-vertical-relative:page;z-index:-853264" coordorigin="1496,799" coordsize="9551,2">
          <v:shape style="position:absolute;left:1496;top:799;width:9551;height:2" coordorigin="1496,799" coordsize="9551,0" path="m1496,799l11047,799e" filled="false" stroked="true" strokeweight=".48pt" strokecolor="#000000">
            <v:path arrowok="t"/>
          </v:shape>
          <w10:wrap type="none"/>
        </v:group>
      </w:pict>
    </w:r>
    <w:r>
      <w:rPr/>
      <w:pict>
        <v:shape style="position:absolute;margin-left:75.320pt;margin-top:27.325617pt;width:197.6pt;height:11.45pt;mso-position-horizontal-relative:page;mso-position-vertical-relative:page;z-index:-853240"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中国联合网络通信股份有限公司</w:t>
                </w:r>
                <w:r>
                  <w:rPr>
                    <w:rFonts w:ascii="宋体" w:hAnsi="宋体" w:cs="宋体" w:eastAsia="宋体" w:hint="default"/>
                    <w:spacing w:val="-46"/>
                    <w:sz w:val="18"/>
                    <w:szCs w:val="18"/>
                  </w:rPr>
                  <w:t> </w:t>
                </w:r>
                <w:r>
                  <w:rPr>
                    <w:rFonts w:ascii="Arial" w:hAnsi="Arial" w:cs="Arial" w:eastAsia="Arial" w:hint="default"/>
                    <w:sz w:val="18"/>
                    <w:szCs w:val="18"/>
                  </w:rPr>
                  <w:t>2012</w:t>
                </w:r>
                <w:r>
                  <w:rPr>
                    <w:rFonts w:ascii="Arial" w:hAnsi="Arial" w:cs="Arial" w:eastAsia="Arial" w:hint="default"/>
                    <w:spacing w:val="-7"/>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4055pt;width:155.9pt;height:13pt;mso-position-horizontal-relative:page;mso-position-vertical-relative:page;z-index:-85247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4058pt;width:199.95pt;height:41.5pt;mso-position-horizontal-relative:page;mso-position-vertical-relative:page;z-index:-852448"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406pt;width:178.4pt;height:13pt;mso-position-horizontal-relative:page;mso-position-vertical-relative:page;z-index:-85242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r>
      <w:rPr/>
      <w:pict>
        <v:shape style="position:absolute;margin-left:76.940002pt;margin-top:154.024048pt;width:99.9pt;height:13.55pt;mso-position-horizontal-relative:page;mso-position-vertical-relative:page;z-index:-852400" type="#_x0000_t202" filled="false" stroked="false">
          <v:textbox inset="0,0,0,0">
            <w:txbxContent>
              <w:p>
                <w:pPr>
                  <w:pStyle w:val="BodyText"/>
                  <w:spacing w:line="255" w:lineRule="exact"/>
                  <w:ind w:right="0"/>
                  <w:jc w:val="left"/>
                </w:pPr>
                <w:r>
                  <w:rPr>
                    <w:rFonts w:ascii="Arial" w:hAnsi="Arial" w:cs="Arial" w:eastAsia="Arial" w:hint="default"/>
                  </w:rPr>
                  <w:t>9</w:t>
                </w:r>
                <w:r>
                  <w:rPr/>
                  <w:t>、</w:t>
                </w:r>
                <w:r>
                  <w:rPr>
                    <w:spacing w:val="-38"/>
                  </w:rPr>
                  <w:t> </w:t>
                </w:r>
                <w:r>
                  <w:rPr/>
                  <w:t>金融工具（续）</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4055pt;width:155.9pt;height:13pt;mso-position-horizontal-relative:page;mso-position-vertical-relative:page;z-index:-85237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4058pt;width:199.95pt;height:41.5pt;mso-position-horizontal-relative:page;mso-position-vertical-relative:page;z-index:-85235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406pt;width:178.4pt;height:13pt;mso-position-horizontal-relative:page;mso-position-vertical-relative:page;z-index:-85232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4055pt;width:155.9pt;height:13pt;mso-position-horizontal-relative:page;mso-position-vertical-relative:page;z-index:-85230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4058pt;width:199.95pt;height:41.5pt;mso-position-horizontal-relative:page;mso-position-vertical-relative:page;z-index:-852280"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406pt;width:178.4pt;height:13pt;mso-position-horizontal-relative:page;mso-position-vertical-relative:page;z-index:-852256"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4055pt;width:155.9pt;height:13pt;mso-position-horizontal-relative:page;mso-position-vertical-relative:page;z-index:-85223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4058pt;width:199.95pt;height:41.5pt;mso-position-horizontal-relative:page;mso-position-vertical-relative:page;z-index:-852208"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406pt;width:178.4pt;height:13pt;mso-position-horizontal-relative:page;mso-position-vertical-relative:page;z-index:-85218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4055pt;width:155.9pt;height:13pt;mso-position-horizontal-relative:page;mso-position-vertical-relative:page;z-index:-85216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4058pt;width:199.95pt;height:41.5pt;mso-position-horizontal-relative:page;mso-position-vertical-relative:page;z-index:-852136"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406pt;width:178.4pt;height:13pt;mso-position-horizontal-relative:page;mso-position-vertical-relative:page;z-index:-85211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4055pt;width:155.9pt;height:13pt;mso-position-horizontal-relative:page;mso-position-vertical-relative:page;z-index:-85208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4058pt;width:199.95pt;height:41.5pt;mso-position-horizontal-relative:page;mso-position-vertical-relative:page;z-index:-852064"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406pt;width:178.4pt;height:13pt;mso-position-horizontal-relative:page;mso-position-vertical-relative:page;z-index:-85204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4055pt;width:155.9pt;height:13pt;mso-position-horizontal-relative:page;mso-position-vertical-relative:page;z-index:-85201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4058pt;width:199.95pt;height:41.5pt;mso-position-horizontal-relative:page;mso-position-vertical-relative:page;z-index:-85199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406pt;width:178.4pt;height:13pt;mso-position-horizontal-relative:page;mso-position-vertical-relative:page;z-index:-85196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4055pt;width:155.9pt;height:13pt;mso-position-horizontal-relative:page;mso-position-vertical-relative:page;z-index:-85194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4058pt;width:199.95pt;height:41.5pt;mso-position-horizontal-relative:page;mso-position-vertical-relative:page;z-index:-851920"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406pt;width:178.4pt;height:13pt;mso-position-horizontal-relative:page;mso-position-vertical-relative:page;z-index:-851896"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4055pt;width:155.9pt;height:13pt;mso-position-horizontal-relative:page;mso-position-vertical-relative:page;z-index:-85187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4058pt;width:199.95pt;height:41.5pt;mso-position-horizontal-relative:page;mso-position-vertical-relative:page;z-index:-851848"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406pt;width:178.4pt;height:13pt;mso-position-horizontal-relative:page;mso-position-vertical-relative:page;z-index:-85182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4055pt;width:155.9pt;height:13pt;mso-position-horizontal-relative:page;mso-position-vertical-relative:page;z-index:-85180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4058pt;width:199.95pt;height:41.5pt;mso-position-horizontal-relative:page;mso-position-vertical-relative:page;z-index:-851776"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406pt;width:178.4pt;height:13pt;mso-position-horizontal-relative:page;mso-position-vertical-relative:page;z-index:-85175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4055pt;width:155.9pt;height:13pt;mso-position-horizontal-relative:page;mso-position-vertical-relative:page;z-index:-85172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4058pt;width:199.95pt;height:41.5pt;mso-position-horizontal-relative:page;mso-position-vertical-relative:page;z-index:-851704"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406pt;width:178.4pt;height:13pt;mso-position-horizontal-relative:page;mso-position-vertical-relative:page;z-index:-85168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4055pt;width:155.9pt;height:13pt;mso-position-horizontal-relative:page;mso-position-vertical-relative:page;z-index:-85165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4058pt;width:199.95pt;height:41.5pt;mso-position-horizontal-relative:page;mso-position-vertical-relative:page;z-index:-85163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406pt;width:178.4pt;height:13pt;mso-position-horizontal-relative:page;mso-position-vertical-relative:page;z-index:-85160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4055pt;width:155.9pt;height:13pt;mso-position-horizontal-relative:page;mso-position-vertical-relative:page;z-index:-85158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4058pt;width:199.95pt;height:41.5pt;mso-position-horizontal-relative:page;mso-position-vertical-relative:page;z-index:-851560"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406pt;width:178.4pt;height:13pt;mso-position-horizontal-relative:page;mso-position-vertical-relative:page;z-index:-851536"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4055pt;width:155.9pt;height:13pt;mso-position-horizontal-relative:page;mso-position-vertical-relative:page;z-index:-85151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4058pt;width:199.95pt;height:41.5pt;mso-position-horizontal-relative:page;mso-position-vertical-relative:page;z-index:-851488"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406pt;width:178.4pt;height:13pt;mso-position-horizontal-relative:page;mso-position-vertical-relative:page;z-index:-85146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r>
      <w:rPr/>
      <w:pict>
        <v:shape style="position:absolute;margin-left:76.940002pt;margin-top:154.024048pt;width:157.15pt;height:13.55pt;mso-position-horizontal-relative:page;mso-position-vertical-relative:page;z-index:-851440" type="#_x0000_t202" filled="false" stroked="false">
          <v:textbox inset="0,0,0,0">
            <w:txbxContent>
              <w:p>
                <w:pPr>
                  <w:pStyle w:val="BodyText"/>
                  <w:spacing w:line="255" w:lineRule="exact"/>
                  <w:ind w:right="0"/>
                  <w:jc w:val="left"/>
                </w:pPr>
                <w:r>
                  <w:rPr>
                    <w:rFonts w:ascii="Arial" w:hAnsi="Arial" w:cs="Arial" w:eastAsia="Arial" w:hint="default"/>
                  </w:rPr>
                  <w:t>32</w:t>
                </w:r>
                <w:r>
                  <w:rPr/>
                  <w:t>、重要会计估计和判断（续）</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4055pt;width:155.9pt;height:13pt;mso-position-horizontal-relative:page;mso-position-vertical-relative:page;z-index:-85141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4058pt;width:199.95pt;height:41.5pt;mso-position-horizontal-relative:page;mso-position-vertical-relative:page;z-index:-85139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406pt;width:178.4pt;height:13pt;mso-position-horizontal-relative:page;mso-position-vertical-relative:page;z-index:-85136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r>
      <w:rPr/>
      <w:pict>
        <v:shape style="position:absolute;margin-left:76.940002pt;margin-top:155.464050pt;width:157.15pt;height:13.55pt;mso-position-horizontal-relative:page;mso-position-vertical-relative:page;z-index:-851344" type="#_x0000_t202" filled="false" stroked="false">
          <v:textbox inset="0,0,0,0">
            <w:txbxContent>
              <w:p>
                <w:pPr>
                  <w:pStyle w:val="BodyText"/>
                  <w:spacing w:line="255" w:lineRule="exact"/>
                  <w:ind w:right="0"/>
                  <w:jc w:val="left"/>
                </w:pPr>
                <w:r>
                  <w:rPr>
                    <w:rFonts w:ascii="Arial" w:hAnsi="Arial" w:cs="Arial" w:eastAsia="Arial" w:hint="default"/>
                  </w:rPr>
                  <w:t>32</w:t>
                </w:r>
                <w:r>
                  <w:rPr/>
                  <w:t>、重要会计估计和判断（续）</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4055pt;width:155.9pt;height:13pt;mso-position-horizontal-relative:page;mso-position-vertical-relative:page;z-index:-85132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4058pt;width:199.95pt;height:41.5pt;mso-position-horizontal-relative:page;mso-position-vertical-relative:page;z-index:-851296"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406pt;width:178.4pt;height:13pt;mso-position-horizontal-relative:page;mso-position-vertical-relative:page;z-index:-85127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4055pt;width:155.9pt;height:13pt;mso-position-horizontal-relative:page;mso-position-vertical-relative:page;z-index:-85124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4058pt;width:199.95pt;height:41.5pt;mso-position-horizontal-relative:page;mso-position-vertical-relative:page;z-index:-851224"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406pt;width:178.4pt;height:13pt;mso-position-horizontal-relative:page;mso-position-vertical-relative:page;z-index:-85120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r>
      <w:rPr/>
      <w:pict>
        <v:shape style="position:absolute;margin-left:76.940002pt;margin-top:155.464050pt;width:146.15pt;height:13.55pt;mso-position-horizontal-relative:page;mso-position-vertical-relative:page;z-index:-851176" type="#_x0000_t202" filled="false" stroked="false">
          <v:textbox inset="0,0,0,0">
            <w:txbxContent>
              <w:p>
                <w:pPr>
                  <w:pStyle w:val="BodyText"/>
                  <w:spacing w:line="255" w:lineRule="exact"/>
                  <w:ind w:right="0"/>
                  <w:jc w:val="left"/>
                </w:pPr>
                <w:r>
                  <w:rPr>
                    <w:rFonts w:ascii="Arial" w:hAnsi="Arial" w:cs="Arial" w:eastAsia="Arial" w:hint="default"/>
                  </w:rPr>
                  <w:t>33</w:t>
                </w:r>
                <w:r>
                  <w:rPr/>
                  <w:t>、金融工具及其风险（续）</w:t>
                </w:r>
              </w:p>
            </w:txbxContent>
          </v:textbox>
          <w10:wrap type="none"/>
        </v:shape>
      </w:pict>
    </w:r>
    <w:r>
      <w:rPr/>
      <w:pict>
        <v:shape style="position:absolute;margin-left:76.940002pt;margin-top:182.424057pt;width:123.45pt;height:13.55pt;mso-position-horizontal-relative:page;mso-position-vertical-relative:page;z-index:-851152" type="#_x0000_t202" filled="false" stroked="false">
          <v:textbox inset="0,0,0,0">
            <w:txbxContent>
              <w:p>
                <w:pPr>
                  <w:pStyle w:val="BodyText"/>
                  <w:spacing w:line="255" w:lineRule="exact"/>
                  <w:ind w:right="0"/>
                  <w:jc w:val="left"/>
                </w:pPr>
                <w:r>
                  <w:rPr>
                    <w:rFonts w:ascii="Arial" w:hAnsi="Arial" w:cs="Arial" w:eastAsia="Arial" w:hint="default"/>
                  </w:rPr>
                  <w:t>(a) </w:t>
                </w:r>
                <w:r>
                  <w:rPr>
                    <w:rFonts w:ascii="Arial" w:hAnsi="Arial" w:cs="Arial" w:eastAsia="Arial" w:hint="default"/>
                    <w:spacing w:val="55"/>
                  </w:rPr>
                  <w:t> </w:t>
                </w:r>
                <w:r>
                  <w:rPr/>
                  <w:t>金融风险因素（续）</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4055pt;width:155.9pt;height:13pt;mso-position-horizontal-relative:page;mso-position-vertical-relative:page;z-index:-85112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4058pt;width:199.95pt;height:41.5pt;mso-position-horizontal-relative:page;mso-position-vertical-relative:page;z-index:-851104"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406pt;width:178.4pt;height:13pt;mso-position-horizontal-relative:page;mso-position-vertical-relative:page;z-index:-85108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r>
      <w:rPr/>
      <w:pict>
        <v:shape style="position:absolute;margin-left:76.940002pt;margin-top:155.464050pt;width:146.2pt;height:35.9pt;mso-position-horizontal-relative:page;mso-position-vertical-relative:page;z-index:-851056" type="#_x0000_t202" filled="false" stroked="false">
          <v:textbox inset="0,0,0,0">
            <w:txbxContent>
              <w:p>
                <w:pPr>
                  <w:pStyle w:val="BodyText"/>
                  <w:spacing w:line="255" w:lineRule="exact"/>
                  <w:ind w:right="0"/>
                  <w:jc w:val="left"/>
                </w:pPr>
                <w:r>
                  <w:rPr>
                    <w:rFonts w:ascii="Arial" w:hAnsi="Arial" w:cs="Arial" w:eastAsia="Arial" w:hint="default"/>
                  </w:rPr>
                  <w:t>33</w:t>
                </w:r>
                <w:r>
                  <w:rPr/>
                  <w:t>、金融工具及其风险（续）</w:t>
                </w:r>
              </w:p>
              <w:p>
                <w:pPr>
                  <w:pStyle w:val="BodyText"/>
                  <w:spacing w:line="240" w:lineRule="auto" w:before="143"/>
                  <w:ind w:right="0"/>
                  <w:jc w:val="left"/>
                </w:pPr>
                <w:r>
                  <w:rPr>
                    <w:rFonts w:ascii="Arial" w:hAnsi="Arial" w:cs="Arial" w:eastAsia="Arial" w:hint="default"/>
                  </w:rPr>
                  <w:t>(a)  </w:t>
                </w:r>
                <w:r>
                  <w:rPr>
                    <w:rFonts w:ascii="Arial" w:hAnsi="Arial" w:cs="Arial" w:eastAsia="Arial" w:hint="default"/>
                    <w:spacing w:val="12"/>
                  </w:rPr>
                  <w:t> </w:t>
                </w:r>
                <w:r>
                  <w:rPr/>
                  <w:t>金融风险因素（续）</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4055pt;width:155.9pt;height:13pt;mso-position-horizontal-relative:page;mso-position-vertical-relative:page;z-index:-85103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4058pt;width:199.95pt;height:41.5pt;mso-position-horizontal-relative:page;mso-position-vertical-relative:page;z-index:-851008"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406pt;width:178.4pt;height:13pt;mso-position-horizontal-relative:page;mso-position-vertical-relative:page;z-index:-85098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r>
      <w:rPr/>
      <w:pict>
        <v:shape style="position:absolute;margin-left:76.940002pt;margin-top:155.464050pt;width:146.2pt;height:13.55pt;mso-position-horizontal-relative:page;mso-position-vertical-relative:page;z-index:-850960" type="#_x0000_t202" filled="false" stroked="false">
          <v:textbox inset="0,0,0,0">
            <w:txbxContent>
              <w:p>
                <w:pPr>
                  <w:pStyle w:val="BodyText"/>
                  <w:spacing w:line="255" w:lineRule="exact"/>
                  <w:ind w:right="0"/>
                  <w:jc w:val="left"/>
                </w:pPr>
                <w:r>
                  <w:rPr>
                    <w:rFonts w:ascii="Arial" w:hAnsi="Arial" w:cs="Arial" w:eastAsia="Arial" w:hint="default"/>
                  </w:rPr>
                  <w:t>33</w:t>
                </w:r>
                <w:r>
                  <w:rPr/>
                  <w:t>、金融工具及其风险（续）</w:t>
                </w:r>
              </w:p>
            </w:txbxContent>
          </v:textbox>
          <w10:wrap type="none"/>
        </v:shape>
      </w:pict>
    </w:r>
    <w:r>
      <w:rPr/>
      <w:pict>
        <v:shape style="position:absolute;margin-left:76.940002pt;margin-top:182.424057pt;width:124.4pt;height:13.55pt;mso-position-horizontal-relative:page;mso-position-vertical-relative:page;z-index:-850936" type="#_x0000_t202" filled="false" stroked="false">
          <v:textbox inset="0,0,0,0">
            <w:txbxContent>
              <w:p>
                <w:pPr>
                  <w:pStyle w:val="BodyText"/>
                  <w:spacing w:line="255" w:lineRule="exact"/>
                  <w:ind w:right="0"/>
                  <w:jc w:val="left"/>
                </w:pPr>
                <w:r>
                  <w:rPr>
                    <w:rFonts w:ascii="Arial" w:hAnsi="Arial" w:cs="Arial" w:eastAsia="Arial" w:hint="default"/>
                  </w:rPr>
                  <w:t>(a)  </w:t>
                </w:r>
                <w:r>
                  <w:rPr>
                    <w:rFonts w:ascii="Arial" w:hAnsi="Arial" w:cs="Arial" w:eastAsia="Arial" w:hint="default"/>
                    <w:spacing w:val="12"/>
                  </w:rPr>
                  <w:t> </w:t>
                </w:r>
                <w:r>
                  <w:rPr/>
                  <w:t>金融风险因素（续）</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4055pt;width:155.9pt;height:13pt;mso-position-horizontal-relative:page;mso-position-vertical-relative:page;z-index:-85091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4058pt;width:199.95pt;height:41.5pt;mso-position-horizontal-relative:page;mso-position-vertical-relative:page;z-index:-850888"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406pt;width:178.4pt;height:13pt;mso-position-horizontal-relative:page;mso-position-vertical-relative:page;z-index:-85086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r>
      <w:rPr/>
      <w:pict>
        <v:shape style="position:absolute;margin-left:76.940002pt;margin-top:155.464050pt;width:146.2pt;height:13.55pt;mso-position-horizontal-relative:page;mso-position-vertical-relative:page;z-index:-850840" type="#_x0000_t202" filled="false" stroked="false">
          <v:textbox inset="0,0,0,0">
            <w:txbxContent>
              <w:p>
                <w:pPr>
                  <w:pStyle w:val="BodyText"/>
                  <w:spacing w:line="255" w:lineRule="exact"/>
                  <w:ind w:right="0"/>
                  <w:jc w:val="left"/>
                </w:pPr>
                <w:r>
                  <w:rPr>
                    <w:rFonts w:ascii="Arial" w:hAnsi="Arial" w:cs="Arial" w:eastAsia="Arial" w:hint="default"/>
                  </w:rPr>
                  <w:t>33</w:t>
                </w:r>
                <w:r>
                  <w:rPr/>
                  <w:t>、金融工具及其风险（续）</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4055pt;width:155.9pt;height:13pt;mso-position-horizontal-relative:page;mso-position-vertical-relative:page;z-index:-85081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4058pt;width:199.95pt;height:41.5pt;mso-position-horizontal-relative:page;mso-position-vertical-relative:page;z-index:-85079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6.940002pt;margin-top:129.72406pt;width:178.4pt;height:13pt;mso-position-horizontal-relative:page;mso-position-vertical-relative:page;z-index:-85076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二</w:t>
                  <w:tab/>
                </w:r>
                <w:r>
                  <w:rPr>
                    <w:rFonts w:ascii="黑体" w:hAnsi="黑体" w:cs="黑体" w:eastAsia="黑体" w:hint="default"/>
                  </w:rPr>
                  <w:t>重要会计政策和会计估计（续）</w:t>
                </w:r>
              </w:p>
            </w:txbxContent>
          </v:textbox>
          <w10:wrap type="none"/>
        </v:shape>
      </w:pict>
    </w:r>
    <w:r>
      <w:rPr/>
      <w:pict>
        <v:shape style="position:absolute;margin-left:76.940002pt;margin-top:155.464050pt;width:146.2pt;height:13.55pt;mso-position-horizontal-relative:page;mso-position-vertical-relative:page;z-index:-850744" type="#_x0000_t202" filled="false" stroked="false">
          <v:textbox inset="0,0,0,0">
            <w:txbxContent>
              <w:p>
                <w:pPr>
                  <w:pStyle w:val="BodyText"/>
                  <w:spacing w:line="255" w:lineRule="exact"/>
                  <w:ind w:right="0"/>
                  <w:jc w:val="left"/>
                </w:pPr>
                <w:r>
                  <w:rPr>
                    <w:rFonts w:ascii="Arial" w:hAnsi="Arial" w:cs="Arial" w:eastAsia="Arial" w:hint="default"/>
                  </w:rPr>
                  <w:t>33</w:t>
                </w:r>
                <w:r>
                  <w:rPr/>
                  <w:t>、金融工具及其风险（续）</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40002pt;margin-top:47.344055pt;width:155.9pt;height:13pt;mso-position-horizontal-relative:page;mso-position-vertical-relative:page;z-index:-85072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6.940002pt;margin-top:74.284058pt;width:199.95pt;height:41.5pt;mso-position-horizontal-relative:page;mso-position-vertical-relative:page;z-index:-850696"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7.660004pt;margin-top:129.72406pt;width:44.15pt;height:13pt;mso-position-horizontal-relative:page;mso-position-vertical-relative:page;z-index:-85067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三</w:t>
                </w:r>
                <w:r>
                  <w:rPr>
                    <w:rFonts w:ascii="黑体" w:hAnsi="黑体" w:cs="黑体" w:eastAsia="黑体" w:hint="default"/>
                    <w:spacing w:val="71"/>
                  </w:rPr>
                  <w:t> </w:t>
                </w:r>
                <w:r>
                  <w:rPr>
                    <w:rFonts w:ascii="黑体" w:hAnsi="黑体" w:cs="黑体" w:eastAsia="黑体" w:hint="default"/>
                  </w:rPr>
                  <w:t>税项</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41.104053pt;width:155.9pt;height:13pt;mso-position-horizontal-relative:page;mso-position-vertical-relative:page;z-index:-85064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68.044052pt;width:199.95pt;height:41.5pt;mso-position-horizontal-relative:page;mso-position-vertical-relative:page;z-index:-85062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23.484055pt;width:84.4pt;height:13pt;mso-position-horizontal-relative:page;mso-position-vertical-relative:page;z-index:-850600" type="#_x0000_t202" filled="false" stroked="false">
          <v:textbox inset="0,0,0,0">
            <w:txbxContent>
              <w:p>
                <w:pPr>
                  <w:pStyle w:val="BodyText"/>
                  <w:tabs>
                    <w:tab w:pos="568" w:val="left" w:leader="none"/>
                  </w:tabs>
                  <w:spacing w:line="240" w:lineRule="exact"/>
                  <w:ind w:right="0"/>
                  <w:jc w:val="left"/>
                  <w:rPr>
                    <w:rFonts w:ascii="黑体" w:hAnsi="黑体" w:cs="黑体" w:eastAsia="黑体" w:hint="default"/>
                  </w:rPr>
                </w:pPr>
                <w:r>
                  <w:rPr>
                    <w:rFonts w:ascii="黑体" w:hAnsi="黑体" w:cs="黑体" w:eastAsia="黑体" w:hint="default"/>
                    <w:w w:val="95"/>
                  </w:rPr>
                  <w:t>三</w:t>
                  <w:tab/>
                </w:r>
                <w:r>
                  <w:rPr>
                    <w:rFonts w:ascii="黑体" w:hAnsi="黑体" w:cs="黑体" w:eastAsia="黑体" w:hint="default"/>
                  </w:rPr>
                  <w:t>税项（续）</w:t>
                </w:r>
              </w:p>
            </w:txbxContent>
          </v:textbox>
          <w10:wrap type="none"/>
        </v:shape>
      </w:pict>
    </w:r>
    <w:r>
      <w:rPr/>
      <w:pict>
        <v:shape style="position:absolute;margin-left:68.540001pt;margin-top:148.924057pt;width:19.1pt;height:13.55pt;mso-position-horizontal-relative:page;mso-position-vertical-relative:page;z-index:-850576" type="#_x0000_t202" filled="false" stroked="false">
          <v:textbox inset="0,0,0,0">
            <w:txbxContent>
              <w:p>
                <w:pPr>
                  <w:pStyle w:val="BodyText"/>
                  <w:spacing w:line="255" w:lineRule="exact"/>
                  <w:ind w:right="0"/>
                  <w:jc w:val="left"/>
                </w:pPr>
                <w:r>
                  <w:rPr>
                    <w:rFonts w:ascii="Arial" w:hAnsi="Arial" w:cs="Arial" w:eastAsia="Arial" w:hint="default"/>
                  </w:rPr>
                  <w:t>3</w:t>
                </w:r>
                <w:r>
                  <w:rPr/>
                  <w:t>、</w:t>
                </w:r>
              </w:p>
            </w:txbxContent>
          </v:textbox>
          <w10:wrap type="none"/>
        </v:shape>
      </w:pict>
    </w:r>
    <w:r>
      <w:rPr/>
      <w:pict>
        <v:shape style="position:absolute;margin-left:97.82pt;margin-top:148.924057pt;width:89.95pt;height:13pt;mso-position-horizontal-relative:page;mso-position-vertical-relative:page;z-index:-850552" type="#_x0000_t202" filled="false" stroked="false">
          <v:textbox inset="0,0,0,0">
            <w:txbxContent>
              <w:p>
                <w:pPr>
                  <w:pStyle w:val="BodyText"/>
                  <w:spacing w:line="240" w:lineRule="exact"/>
                  <w:ind w:right="0"/>
                  <w:jc w:val="left"/>
                </w:pPr>
                <w:r>
                  <w:rPr/>
                  <w:t>企业所得税（续）</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41.104053pt;width:155.9pt;height:13pt;mso-position-horizontal-relative:page;mso-position-vertical-relative:page;z-index:-85052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68.044052pt;width:199.95pt;height:41.5pt;mso-position-horizontal-relative:page;mso-position-vertical-relative:page;z-index:-85050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23.484055pt;width:84.4pt;height:13pt;mso-position-horizontal-relative:page;mso-position-vertical-relative:page;z-index:-850480" type="#_x0000_t202" filled="false" stroked="false">
          <v:textbox inset="0,0,0,0">
            <w:txbxContent>
              <w:p>
                <w:pPr>
                  <w:pStyle w:val="BodyText"/>
                  <w:tabs>
                    <w:tab w:pos="568" w:val="left" w:leader="none"/>
                  </w:tabs>
                  <w:spacing w:line="240" w:lineRule="exact"/>
                  <w:ind w:right="0"/>
                  <w:jc w:val="left"/>
                  <w:rPr>
                    <w:rFonts w:ascii="黑体" w:hAnsi="黑体" w:cs="黑体" w:eastAsia="黑体" w:hint="default"/>
                  </w:rPr>
                </w:pPr>
                <w:r>
                  <w:rPr>
                    <w:rFonts w:ascii="黑体" w:hAnsi="黑体" w:cs="黑体" w:eastAsia="黑体" w:hint="default"/>
                    <w:w w:val="95"/>
                  </w:rPr>
                  <w:t>三</w:t>
                  <w:tab/>
                </w:r>
                <w:r>
                  <w:rPr>
                    <w:rFonts w:ascii="黑体" w:hAnsi="黑体" w:cs="黑体" w:eastAsia="黑体" w:hint="default"/>
                  </w:rPr>
                  <w:t>税项（续）</w:t>
                </w:r>
              </w:p>
            </w:txbxContent>
          </v:textbox>
          <w10:wrap type="none"/>
        </v:shape>
      </w:pict>
    </w:r>
    <w:r>
      <w:rPr/>
      <w:pict>
        <v:shape style="position:absolute;margin-left:68.540001pt;margin-top:150.364059pt;width:117.9pt;height:13.55pt;mso-position-horizontal-relative:page;mso-position-vertical-relative:page;z-index:-850456" type="#_x0000_t202" filled="false" stroked="false">
          <v:textbox inset="0,0,0,0">
            <w:txbxContent>
              <w:p>
                <w:pPr>
                  <w:pStyle w:val="BodyText"/>
                  <w:tabs>
                    <w:tab w:pos="579" w:val="left" w:leader="none"/>
                  </w:tabs>
                  <w:spacing w:line="255" w:lineRule="exact"/>
                  <w:ind w:right="0"/>
                  <w:jc w:val="left"/>
                </w:pPr>
                <w:r>
                  <w:rPr>
                    <w:rFonts w:ascii="Arial" w:hAnsi="Arial" w:cs="Arial" w:eastAsia="Arial" w:hint="default"/>
                    <w:w w:val="95"/>
                  </w:rPr>
                  <w:t>3</w:t>
                </w:r>
                <w:r>
                  <w:rPr>
                    <w:w w:val="95"/>
                  </w:rPr>
                  <w:t>、</w:t>
                  <w:tab/>
                </w:r>
                <w:r>
                  <w:rPr/>
                  <w:t>企业所得税（续）</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379999pt;margin-top:58.444065pt;width:155.9pt;height:13pt;mso-position-horizontal-relative:page;mso-position-vertical-relative:page;z-index:-85043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27.379999pt;margin-top:85.384064pt;width:200pt;height:41.5pt;mso-position-horizontal-relative:page;mso-position-vertical-relative:page;z-index:-850408"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379999pt;margin-top:58.444065pt;width:155.9pt;height:13pt;mso-position-horizontal-relative:page;mso-position-vertical-relative:page;z-index:-85036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27.379999pt;margin-top:85.384064pt;width:199.95pt;height:41.5pt;mso-position-horizontal-relative:page;mso-position-vertical-relative:page;z-index:-850336"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27.379999pt;margin-top:140.844070pt;width:176.8pt;height:13pt;mso-position-horizontal-relative:page;mso-position-vertical-relative:page;z-index:-85031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四</w:t>
                </w:r>
                <w:r>
                  <w:rPr>
                    <w:rFonts w:ascii="黑体" w:hAnsi="黑体" w:cs="黑体" w:eastAsia="黑体" w:hint="default"/>
                    <w:spacing w:val="82"/>
                  </w:rPr>
                  <w:t> </w:t>
                </w:r>
                <w:r>
                  <w:rPr>
                    <w:rFonts w:ascii="黑体" w:hAnsi="黑体" w:cs="黑体" w:eastAsia="黑体" w:hint="default"/>
                  </w:rPr>
                  <w:t>企业合并及合并财务报表（续）</w:t>
                </w:r>
              </w:p>
            </w:txbxContent>
          </v:textbox>
          <w10:wrap type="none"/>
        </v:shape>
      </w:pict>
    </w:r>
    <w:r>
      <w:rPr/>
      <w:pict>
        <v:shape style="position:absolute;margin-left:28.76pt;margin-top:167.72406pt;width:131.450pt;height:13.55pt;mso-position-horizontal-relative:page;mso-position-vertical-relative:page;z-index:-850288" type="#_x0000_t202" filled="false" stroked="false">
          <v:textbox inset="0,0,0,0">
            <w:txbxContent>
              <w:p>
                <w:pPr>
                  <w:pStyle w:val="BodyText"/>
                  <w:spacing w:line="255" w:lineRule="exact"/>
                  <w:ind w:right="0"/>
                  <w:jc w:val="left"/>
                </w:pPr>
                <w:r>
                  <w:rPr>
                    <w:rFonts w:ascii="Arial" w:hAnsi="Arial" w:cs="Arial" w:eastAsia="Arial" w:hint="default"/>
                  </w:rPr>
                  <w:t>1</w:t>
                </w:r>
                <w:r>
                  <w:rPr/>
                  <w:t>、</w:t>
                </w:r>
                <w:r>
                  <w:rPr>
                    <w:spacing w:val="-67"/>
                  </w:rPr>
                  <w:t> </w:t>
                </w:r>
                <w:r>
                  <w:rPr/>
                  <w:t>重要子公司情况（续）</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300003pt;margin-top:58.444054pt;width:155.9pt;height:13pt;mso-position-horizontal-relative:page;mso-position-vertical-relative:page;z-index:-85026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300003pt;margin-top:85.384056pt;width:199.95pt;height:41.5pt;mso-position-horizontal-relative:page;mso-position-vertical-relative:page;z-index:-850240"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70.400002pt;margin-top:139.684052pt;width:174.7pt;height:13pt;mso-position-horizontal-relative:page;mso-position-vertical-relative:page;z-index:-85021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四</w:t>
                </w:r>
                <w:r>
                  <w:rPr>
                    <w:rFonts w:ascii="黑体" w:hAnsi="黑体" w:cs="黑体" w:eastAsia="黑体" w:hint="default"/>
                    <w:spacing w:val="39"/>
                  </w:rPr>
                  <w:t> </w:t>
                </w:r>
                <w:r>
                  <w:rPr>
                    <w:rFonts w:ascii="黑体" w:hAnsi="黑体" w:cs="黑体" w:eastAsia="黑体" w:hint="default"/>
                  </w:rPr>
                  <w:t>企业合并及合并财务报表（续）</w:t>
                </w:r>
              </w:p>
            </w:txbxContent>
          </v:textbox>
          <w10:wrap type="none"/>
        </v:shape>
      </w:pict>
    </w:r>
    <w:r>
      <w:rPr/>
      <w:pict>
        <v:shape style="position:absolute;margin-left:69.680pt;margin-top:164.284058pt;width:131.450pt;height:13.55pt;mso-position-horizontal-relative:page;mso-position-vertical-relative:page;z-index:-850192" type="#_x0000_t202" filled="false" stroked="false">
          <v:textbox inset="0,0,0,0">
            <w:txbxContent>
              <w:p>
                <w:pPr>
                  <w:pStyle w:val="BodyText"/>
                  <w:spacing w:line="255" w:lineRule="exact"/>
                  <w:ind w:right="0"/>
                  <w:jc w:val="left"/>
                </w:pPr>
                <w:r>
                  <w:rPr>
                    <w:rFonts w:ascii="Arial" w:hAnsi="Arial" w:cs="Arial" w:eastAsia="Arial" w:hint="default"/>
                  </w:rPr>
                  <w:t>1</w:t>
                </w:r>
                <w:r>
                  <w:rPr/>
                  <w:t>、</w:t>
                </w:r>
                <w:r>
                  <w:rPr>
                    <w:spacing w:val="-67"/>
                  </w:rPr>
                  <w:t> </w:t>
                </w:r>
                <w:r>
                  <w:rPr/>
                  <w:t>重要子公司情况（续）</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300003pt;margin-top:58.444054pt;width:155.9pt;height:13pt;mso-position-horizontal-relative:page;mso-position-vertical-relative:page;z-index:-85014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300003pt;margin-top:85.384056pt;width:199.95pt;height:41.5pt;mso-position-horizontal-relative:page;mso-position-vertical-relative:page;z-index:-850120"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300003pt;margin-top:139.684052pt;width:176.8pt;height:13pt;mso-position-horizontal-relative:page;mso-position-vertical-relative:page;z-index:-85009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四</w:t>
                </w:r>
                <w:r>
                  <w:rPr>
                    <w:rFonts w:ascii="黑体" w:hAnsi="黑体" w:cs="黑体" w:eastAsia="黑体" w:hint="default"/>
                    <w:spacing w:val="82"/>
                  </w:rPr>
                  <w:t> </w:t>
                </w:r>
                <w:r>
                  <w:rPr>
                    <w:rFonts w:ascii="黑体" w:hAnsi="黑体" w:cs="黑体" w:eastAsia="黑体" w:hint="default"/>
                  </w:rPr>
                  <w:t>企业合并及合并财务报表（续）</w:t>
                </w:r>
              </w:p>
            </w:txbxContent>
          </v:textbox>
          <w10:wrap type="none"/>
        </v:shape>
      </w:pict>
    </w:r>
    <w:r>
      <w:rPr/>
      <w:pict>
        <v:shape style="position:absolute;margin-left:69.680pt;margin-top:166.564056pt;width:131.450pt;height:13.55pt;mso-position-horizontal-relative:page;mso-position-vertical-relative:page;z-index:-850072" type="#_x0000_t202" filled="false" stroked="false">
          <v:textbox inset="0,0,0,0">
            <w:txbxContent>
              <w:p>
                <w:pPr>
                  <w:pStyle w:val="BodyText"/>
                  <w:spacing w:line="255" w:lineRule="exact"/>
                  <w:ind w:right="0"/>
                  <w:jc w:val="left"/>
                </w:pPr>
                <w:r>
                  <w:rPr>
                    <w:rFonts w:ascii="Arial" w:hAnsi="Arial" w:cs="Arial" w:eastAsia="Arial" w:hint="default"/>
                  </w:rPr>
                  <w:t>1</w:t>
                </w:r>
                <w:r>
                  <w:rPr/>
                  <w:t>、</w:t>
                </w:r>
                <w:r>
                  <w:rPr>
                    <w:spacing w:val="-67"/>
                  </w:rPr>
                  <w:t> </w:t>
                </w:r>
                <w:r>
                  <w:rPr/>
                  <w:t>重要子公司情况（续）</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300003pt;margin-top:58.444054pt;width:155.9pt;height:13pt;mso-position-horizontal-relative:page;mso-position-vertical-relative:page;z-index:-85004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300003pt;margin-top:85.384056pt;width:199.95pt;height:41.5pt;mso-position-horizontal-relative:page;mso-position-vertical-relative:page;z-index:-850024"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300003pt;margin-top:139.684052pt;width:176.8pt;height:13pt;mso-position-horizontal-relative:page;mso-position-vertical-relative:page;z-index:-85000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四</w:t>
                </w:r>
                <w:r>
                  <w:rPr>
                    <w:rFonts w:ascii="黑体" w:hAnsi="黑体" w:cs="黑体" w:eastAsia="黑体" w:hint="default"/>
                    <w:spacing w:val="82"/>
                  </w:rPr>
                  <w:t> </w:t>
                </w:r>
                <w:r>
                  <w:rPr>
                    <w:rFonts w:ascii="黑体" w:hAnsi="黑体" w:cs="黑体" w:eastAsia="黑体" w:hint="default"/>
                  </w:rPr>
                  <w:t>企业合并及合并财务报表（续）</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300003pt;margin-top:58.444054pt;width:155.9pt;height:13pt;mso-position-horizontal-relative:page;mso-position-vertical-relative:page;z-index:-84997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300003pt;margin-top:85.384056pt;width:199.95pt;height:41.5pt;mso-position-horizontal-relative:page;mso-position-vertical-relative:page;z-index:-84995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300003pt;margin-top:139.684052pt;width:176.8pt;height:13pt;mso-position-horizontal-relative:page;mso-position-vertical-relative:page;z-index:-84992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四</w:t>
                </w:r>
                <w:r>
                  <w:rPr>
                    <w:rFonts w:ascii="黑体" w:hAnsi="黑体" w:cs="黑体" w:eastAsia="黑体" w:hint="default"/>
                    <w:spacing w:val="82"/>
                  </w:rPr>
                  <w:t> </w:t>
                </w:r>
                <w:r>
                  <w:rPr>
                    <w:rFonts w:ascii="黑体" w:hAnsi="黑体" w:cs="黑体" w:eastAsia="黑体" w:hint="default"/>
                  </w:rPr>
                  <w:t>企业合并及合并财务报表（续）</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300003pt;margin-top:58.444054pt;width:155.9pt;height:13pt;mso-position-horizontal-relative:page;mso-position-vertical-relative:page;z-index:-84990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300003pt;margin-top:85.384056pt;width:199.95pt;height:41.5pt;mso-position-horizontal-relative:page;mso-position-vertical-relative:page;z-index:-849880"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4054pt;width:155.9pt;height:13pt;mso-position-horizontal-relative:page;mso-position-vertical-relative:page;z-index:-84983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4056pt;width:199.95pt;height:41.5pt;mso-position-horizontal-relative:page;mso-position-vertical-relative:page;z-index:-849808"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4051pt;width:164.75pt;height:13pt;mso-position-horizontal-relative:page;mso-position-vertical-relative:page;z-index:-84978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60"/>
                  </w:rPr>
                  <w:t> </w:t>
                </w:r>
                <w:r>
                  <w:rPr>
                    <w:rFonts w:ascii="黑体" w:hAnsi="黑体" w:cs="黑体" w:eastAsia="黑体" w:hint="default"/>
                  </w:rPr>
                  <w:t>合并财务报表项目附注（续）</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4054pt;width:155.9pt;height:13pt;mso-position-horizontal-relative:page;mso-position-vertical-relative:page;z-index:-84973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4056pt;width:199.95pt;height:41.5pt;mso-position-horizontal-relative:page;mso-position-vertical-relative:page;z-index:-84971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4051pt;width:164.75pt;height:13pt;mso-position-horizontal-relative:page;mso-position-vertical-relative:page;z-index:-84968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60"/>
                  </w:rPr>
                  <w:t> </w:t>
                </w:r>
                <w:r>
                  <w:rPr>
                    <w:rFonts w:ascii="黑体" w:hAnsi="黑体" w:cs="黑体" w:eastAsia="黑体" w:hint="default"/>
                  </w:rPr>
                  <w:t>合并财务报表项目附注（续）</w:t>
                </w:r>
              </w:p>
            </w:txbxContent>
          </v:textbox>
          <w10:wrap type="none"/>
        </v:shape>
      </w:pict>
    </w:r>
    <w:r>
      <w:rPr/>
      <w:pict>
        <v:shape style="position:absolute;margin-left:68.120003pt;margin-top:167.704056pt;width:99.25pt;height:13.55pt;mso-position-horizontal-relative:page;mso-position-vertical-relative:page;z-index:-849664" type="#_x0000_t202" filled="false" stroked="false">
          <v:textbox inset="0,0,0,0">
            <w:txbxContent>
              <w:p>
                <w:pPr>
                  <w:pStyle w:val="BodyText"/>
                  <w:spacing w:line="255" w:lineRule="exact"/>
                  <w:ind w:right="0"/>
                  <w:jc w:val="left"/>
                </w:pPr>
                <w:r>
                  <w:rPr>
                    <w:rFonts w:ascii="Arial" w:hAnsi="Arial" w:cs="Arial" w:eastAsia="Arial" w:hint="default"/>
                  </w:rPr>
                  <w:t>3</w:t>
                </w:r>
                <w:r>
                  <w:rPr/>
                  <w:t>、</w:t>
                </w:r>
                <w:r>
                  <w:rPr>
                    <w:spacing w:val="-51"/>
                  </w:rPr>
                  <w:t> </w:t>
                </w:r>
                <w:r>
                  <w:rPr/>
                  <w:t>应收账款（续）</w:t>
                </w:r>
              </w:p>
            </w:txbxContent>
          </v:textbox>
          <w10:wrap type="none"/>
        </v:shape>
      </w:pict>
    </w:r>
    <w:r>
      <w:rPr/>
      <w:pict>
        <v:shape style="position:absolute;margin-left:66.739998pt;margin-top:194.664063pt;width:364.6pt;height:13.55pt;mso-position-horizontal-relative:page;mso-position-vertical-relative:page;z-index:-849640" type="#_x0000_t202" filled="false" stroked="false">
          <v:textbox inset="0,0,0,0">
            <w:txbxContent>
              <w:p>
                <w:pPr>
                  <w:pStyle w:val="BodyText"/>
                  <w:spacing w:line="255" w:lineRule="exact"/>
                  <w:ind w:right="0"/>
                  <w:jc w:val="left"/>
                </w:pPr>
                <w:r>
                  <w:rPr>
                    <w:rFonts w:ascii="Arial" w:hAnsi="Arial" w:cs="Arial" w:eastAsia="Arial" w:hint="default"/>
                  </w:rPr>
                  <w:t>(d) </w:t>
                </w:r>
                <w:r>
                  <w:rPr>
                    <w:rFonts w:ascii="Arial" w:hAnsi="Arial" w:cs="Arial" w:eastAsia="Arial" w:hint="default"/>
                    <w:spacing w:val="29"/>
                  </w:rPr>
                  <w:t> </w:t>
                </w:r>
                <w:r>
                  <w:rPr/>
                  <w:t>按组合计提坏账准备的应收账款中，采用账龄分析法的组合分析如下：</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4054pt;width:155.9pt;height:13pt;mso-position-horizontal-relative:page;mso-position-vertical-relative:page;z-index:-84961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4056pt;width:199.95pt;height:41.5pt;mso-position-horizontal-relative:page;mso-position-vertical-relative:page;z-index:-84959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4051pt;width:164.75pt;height:13pt;mso-position-horizontal-relative:page;mso-position-vertical-relative:page;z-index:-84956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60"/>
                  </w:rPr>
                  <w:t> </w:t>
                </w:r>
                <w:r>
                  <w:rPr>
                    <w:rFonts w:ascii="黑体" w:hAnsi="黑体" w:cs="黑体" w:eastAsia="黑体" w:hint="default"/>
                  </w:rPr>
                  <w:t>合并财务报表项目附注（续）</w:t>
                </w:r>
              </w:p>
            </w:txbxContent>
          </v:textbox>
          <w10:wrap type="none"/>
        </v:shape>
      </w:pict>
    </w:r>
    <w:r>
      <w:rPr/>
      <w:pict>
        <v:shape style="position:absolute;margin-left:68.120003pt;margin-top:167.704056pt;width:99.85pt;height:13.55pt;mso-position-horizontal-relative:page;mso-position-vertical-relative:page;z-index:-849544" type="#_x0000_t202" filled="false" stroked="false">
          <v:textbox inset="0,0,0,0">
            <w:txbxContent>
              <w:p>
                <w:pPr>
                  <w:pStyle w:val="BodyText"/>
                  <w:spacing w:line="255" w:lineRule="exact"/>
                  <w:ind w:right="0"/>
                  <w:jc w:val="left"/>
                </w:pPr>
                <w:r>
                  <w:rPr>
                    <w:rFonts w:ascii="Arial" w:hAnsi="Arial" w:cs="Arial" w:eastAsia="Arial" w:hint="default"/>
                  </w:rPr>
                  <w:t>3</w:t>
                </w:r>
                <w:r>
                  <w:rPr/>
                  <w:t>、</w:t>
                </w:r>
                <w:r>
                  <w:rPr>
                    <w:spacing w:val="-39"/>
                  </w:rPr>
                  <w:t> </w:t>
                </w:r>
                <w:r>
                  <w:rPr/>
                  <w:t>应收账款（续）</w:t>
                </w:r>
              </w:p>
            </w:txbxContent>
          </v:textbox>
          <w10:wrap type="none"/>
        </v:shape>
      </w:pict>
    </w:r>
    <w:r>
      <w:rPr/>
      <w:pict>
        <v:shape style="position:absolute;margin-left:66.739998pt;margin-top:192.024048pt;width:188.6pt;height:13.55pt;mso-position-horizontal-relative:page;mso-position-vertical-relative:page;z-index:-849520" type="#_x0000_t202" filled="false" stroked="false">
          <v:textbox inset="0,0,0,0">
            <w:txbxContent>
              <w:p>
                <w:pPr>
                  <w:pStyle w:val="BodyText"/>
                  <w:spacing w:line="255" w:lineRule="exact"/>
                  <w:ind w:right="0"/>
                  <w:jc w:val="left"/>
                </w:pPr>
                <w:r>
                  <w:rPr>
                    <w:rFonts w:ascii="Arial" w:hAnsi="Arial" w:cs="Arial" w:eastAsia="Arial" w:hint="default"/>
                  </w:rPr>
                  <w:t>(h) </w:t>
                </w:r>
                <w:r>
                  <w:rPr>
                    <w:rFonts w:ascii="Arial" w:hAnsi="Arial" w:cs="Arial" w:eastAsia="Arial" w:hint="default"/>
                    <w:spacing w:val="35"/>
                  </w:rPr>
                  <w:t> </w:t>
                </w:r>
                <w:r>
                  <w:rPr/>
                  <w:t>应收关联方的应收账款分析如下：</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4054pt;width:155.9pt;height:13pt;mso-position-horizontal-relative:page;mso-position-vertical-relative:page;z-index:-84949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4056pt;width:199.95pt;height:41.5pt;mso-position-horizontal-relative:page;mso-position-vertical-relative:page;z-index:-84947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4051pt;width:164.75pt;height:13pt;mso-position-horizontal-relative:page;mso-position-vertical-relative:page;z-index:-84944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60"/>
                  </w:rPr>
                  <w:t> </w:t>
                </w:r>
                <w:r>
                  <w:rPr>
                    <w:rFonts w:ascii="黑体" w:hAnsi="黑体" w:cs="黑体" w:eastAsia="黑体" w:hint="default"/>
                  </w:rPr>
                  <w:t>合并财务报表项目附注（续）</w:t>
                </w:r>
              </w:p>
            </w:txbxContent>
          </v:textbox>
          <w10:wrap type="none"/>
        </v:shape>
      </w:pict>
    </w:r>
    <w:r>
      <w:rPr/>
      <w:pict>
        <v:shape style="position:absolute;margin-left:69.5pt;margin-top:167.704056pt;width:108.85pt;height:13.55pt;mso-position-horizontal-relative:page;mso-position-vertical-relative:page;z-index:-849424" type="#_x0000_t202" filled="false" stroked="false">
          <v:textbox inset="0,0,0,0">
            <w:txbxContent>
              <w:p>
                <w:pPr>
                  <w:pStyle w:val="BodyText"/>
                  <w:spacing w:line="255" w:lineRule="exact"/>
                  <w:ind w:right="0"/>
                  <w:jc w:val="left"/>
                </w:pPr>
                <w:r>
                  <w:rPr>
                    <w:rFonts w:ascii="Arial" w:hAnsi="Arial" w:cs="Arial" w:eastAsia="Arial" w:hint="default"/>
                  </w:rPr>
                  <w:t>4</w:t>
                </w:r>
                <w:r>
                  <w:rPr/>
                  <w:t>、</w:t>
                </w:r>
                <w:r>
                  <w:rPr>
                    <w:spacing w:val="-78"/>
                  </w:rPr>
                  <w:t> </w:t>
                </w:r>
                <w:r>
                  <w:rPr/>
                  <w:t>其他应收款（续）</w:t>
                </w:r>
              </w:p>
            </w:txbxContent>
          </v:textbox>
          <w10:wrap type="none"/>
        </v:shape>
      </w:pict>
    </w:r>
    <w:r>
      <w:rPr/>
      <w:pict>
        <v:shape style="position:absolute;margin-left:67.699997pt;margin-top:194.664063pt;width:165.65pt;height:13.55pt;mso-position-horizontal-relative:page;mso-position-vertical-relative:page;z-index:-849400" type="#_x0000_t202" filled="false" stroked="false">
          <v:textbox inset="0,0,0,0">
            <w:txbxContent>
              <w:p>
                <w:pPr>
                  <w:pStyle w:val="BodyText"/>
                  <w:spacing w:line="255" w:lineRule="exact"/>
                  <w:ind w:right="0"/>
                  <w:jc w:val="left"/>
                </w:pPr>
                <w:r>
                  <w:rPr>
                    <w:rFonts w:ascii="Arial" w:hAnsi="Arial" w:cs="Arial" w:eastAsia="Arial" w:hint="default"/>
                  </w:rPr>
                  <w:t>(b) </w:t>
                </w:r>
                <w:r>
                  <w:rPr>
                    <w:rFonts w:ascii="Arial" w:hAnsi="Arial" w:cs="Arial" w:eastAsia="Arial" w:hint="default"/>
                    <w:spacing w:val="17"/>
                  </w:rPr>
                  <w:t> </w:t>
                </w:r>
                <w:r>
                  <w:rPr/>
                  <w:t>其他应收款按类别分析如下：</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4054pt;width:155.9pt;height:13pt;mso-position-horizontal-relative:page;mso-position-vertical-relative:page;z-index:-84937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4056pt;width:199.95pt;height:41.5pt;mso-position-horizontal-relative:page;mso-position-vertical-relative:page;z-index:-84935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4051pt;width:164.75pt;height:13pt;mso-position-horizontal-relative:page;mso-position-vertical-relative:page;z-index:-84932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60"/>
                  </w:rPr>
                  <w:t> </w:t>
                </w:r>
                <w:r>
                  <w:rPr>
                    <w:rFonts w:ascii="黑体" w:hAnsi="黑体" w:cs="黑体" w:eastAsia="黑体" w:hint="default"/>
                  </w:rPr>
                  <w:t>合并财务报表项目附注（续）</w:t>
                </w:r>
              </w:p>
            </w:txbxContent>
          </v:textbox>
          <w10:wrap type="none"/>
        </v:shape>
      </w:pict>
    </w:r>
    <w:r>
      <w:rPr/>
      <w:pict>
        <v:shape style="position:absolute;margin-left:68.120003pt;margin-top:167.704056pt;width:109.8pt;height:13.55pt;mso-position-horizontal-relative:page;mso-position-vertical-relative:page;z-index:-849304" type="#_x0000_t202" filled="false" stroked="false">
          <v:textbox inset="0,0,0,0">
            <w:txbxContent>
              <w:p>
                <w:pPr>
                  <w:pStyle w:val="BodyText"/>
                  <w:spacing w:line="255" w:lineRule="exact"/>
                  <w:ind w:right="0"/>
                  <w:jc w:val="left"/>
                </w:pPr>
                <w:r>
                  <w:rPr>
                    <w:rFonts w:ascii="Arial" w:hAnsi="Arial" w:cs="Arial" w:eastAsia="Arial" w:hint="default"/>
                  </w:rPr>
                  <w:t>4</w:t>
                </w:r>
                <w:r>
                  <w:rPr/>
                  <w:t>、</w:t>
                </w:r>
                <w:r>
                  <w:rPr>
                    <w:spacing w:val="-59"/>
                  </w:rPr>
                  <w:t> </w:t>
                </w:r>
                <w:r>
                  <w:rPr/>
                  <w:t>其他应收款（续）</w:t>
                </w:r>
              </w:p>
            </w:txbxContent>
          </v:textbox>
          <w10:wrap type="none"/>
        </v:shape>
      </w:pict>
    </w:r>
    <w:r>
      <w:rPr/>
      <w:pict>
        <v:shape style="position:absolute;margin-left:67.400002pt;margin-top:194.664063pt;width:321.5pt;height:13.55pt;mso-position-horizontal-relative:page;mso-position-vertical-relative:page;z-index:-849280" type="#_x0000_t202" filled="false" stroked="false">
          <v:textbox inset="0,0,0,0">
            <w:txbxContent>
              <w:p>
                <w:pPr>
                  <w:pStyle w:val="BodyText"/>
                  <w:spacing w:line="255" w:lineRule="exact"/>
                  <w:ind w:right="0"/>
                  <w:jc w:val="left"/>
                </w:pPr>
                <w:r>
                  <w:rPr>
                    <w:rFonts w:ascii="Arial" w:hAnsi="Arial" w:cs="Arial" w:eastAsia="Arial" w:hint="default"/>
                  </w:rPr>
                  <w:t>(g)  </w:t>
                </w:r>
                <w:r>
                  <w:rPr>
                    <w:rFonts w:ascii="Arial" w:hAnsi="Arial" w:cs="Arial" w:eastAsia="Arial" w:hint="default"/>
                    <w:spacing w:val="4"/>
                  </w:rPr>
                  <w:t> </w:t>
                </w:r>
                <w:r>
                  <w:rPr/>
                  <w:t>于</w:t>
                </w:r>
                <w:r>
                  <w:rPr>
                    <w:spacing w:val="-57"/>
                  </w:rPr>
                  <w:t> </w:t>
                </w:r>
                <w:r>
                  <w:rPr>
                    <w:rFonts w:ascii="Arial" w:hAnsi="Arial" w:cs="Arial" w:eastAsia="Arial" w:hint="default"/>
                  </w:rPr>
                  <w:t>2012</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日，余额前五名的其他应收款分析如下：</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4054pt;width:155.9pt;height:13pt;mso-position-horizontal-relative:page;mso-position-vertical-relative:page;z-index:-84925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4056pt;width:199.95pt;height:41.5pt;mso-position-horizontal-relative:page;mso-position-vertical-relative:page;z-index:-84923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4051pt;width:164.75pt;height:13pt;mso-position-horizontal-relative:page;mso-position-vertical-relative:page;z-index:-84920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60"/>
                  </w:rPr>
                  <w:t> </w:t>
                </w:r>
                <w:r>
                  <w:rPr>
                    <w:rFonts w:ascii="黑体" w:hAnsi="黑体" w:cs="黑体" w:eastAsia="黑体" w:hint="default"/>
                  </w:rPr>
                  <w:t>合并财务报表项目附注（续）</w:t>
                </w:r>
              </w:p>
            </w:txbxContent>
          </v:textbox>
          <w10:wrap type="none"/>
        </v:shape>
      </w:pict>
    </w:r>
    <w:r>
      <w:rPr/>
      <w:pict>
        <v:shape style="position:absolute;margin-left:68.839996pt;margin-top:167.704056pt;width:99.15pt;height:13.55pt;mso-position-horizontal-relative:page;mso-position-vertical-relative:page;z-index:-849184" type="#_x0000_t202" filled="false" stroked="false">
          <v:textbox inset="0,0,0,0">
            <w:txbxContent>
              <w:p>
                <w:pPr>
                  <w:pStyle w:val="BodyText"/>
                  <w:spacing w:line="255" w:lineRule="exact"/>
                  <w:ind w:right="0"/>
                  <w:jc w:val="left"/>
                </w:pPr>
                <w:r>
                  <w:rPr>
                    <w:rFonts w:ascii="Arial" w:hAnsi="Arial" w:cs="Arial" w:eastAsia="Arial" w:hint="default"/>
                  </w:rPr>
                  <w:t>5</w:t>
                </w:r>
                <w:r>
                  <w:rPr/>
                  <w:t>、</w:t>
                </w:r>
                <w:r>
                  <w:rPr>
                    <w:spacing w:val="-53"/>
                  </w:rPr>
                  <w:t> </w:t>
                </w:r>
                <w:r>
                  <w:rPr/>
                  <w:t>预付款项（续）</w:t>
                </w:r>
              </w:p>
            </w:txbxContent>
          </v:textbox>
          <w10:wrap type="none"/>
        </v:shape>
      </w:pict>
    </w:r>
    <w:r>
      <w:rPr/>
      <w:pict>
        <v:shape style="position:absolute;margin-left:68.120003pt;margin-top:194.664063pt;width:294.55pt;height:13.55pt;mso-position-horizontal-relative:page;mso-position-vertical-relative:page;z-index:-849160" type="#_x0000_t202" filled="false" stroked="false">
          <v:textbox inset="0,0,0,0">
            <w:txbxContent>
              <w:p>
                <w:pPr>
                  <w:pStyle w:val="BodyText"/>
                  <w:spacing w:line="255" w:lineRule="exact"/>
                  <w:ind w:right="0"/>
                  <w:jc w:val="left"/>
                </w:pPr>
                <w:r>
                  <w:rPr>
                    <w:rFonts w:ascii="Arial" w:hAnsi="Arial" w:cs="Arial" w:eastAsia="Arial" w:hint="default"/>
                  </w:rPr>
                  <w:t>(b) </w:t>
                </w:r>
                <w:r>
                  <w:rPr>
                    <w:rFonts w:ascii="Arial" w:hAnsi="Arial" w:cs="Arial" w:eastAsia="Arial" w:hint="default"/>
                    <w:spacing w:val="23"/>
                  </w:rPr>
                  <w:t> </w:t>
                </w:r>
                <w:r>
                  <w:rPr>
                    <w:rFonts w:ascii="Arial" w:hAnsi="Arial" w:cs="Arial" w:eastAsia="Arial" w:hint="default"/>
                  </w:rPr>
                  <w:t>2012</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日，余额前五名的预付款项分析如下：</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4054pt;width:155.9pt;height:13pt;mso-position-horizontal-relative:page;mso-position-vertical-relative:page;z-index:-84913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4056pt;width:199.95pt;height:41.5pt;mso-position-horizontal-relative:page;mso-position-vertical-relative:page;z-index:-84911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4051pt;width:164.75pt;height:13pt;mso-position-horizontal-relative:page;mso-position-vertical-relative:page;z-index:-84908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60"/>
                  </w:rPr>
                  <w:t> </w:t>
                </w:r>
                <w:r>
                  <w:rPr>
                    <w:rFonts w:ascii="黑体" w:hAnsi="黑体" w:cs="黑体" w:eastAsia="黑体" w:hint="default"/>
                  </w:rPr>
                  <w:t>合并财务报表项目附注（续）</w:t>
                </w:r>
              </w:p>
            </w:txbxContent>
          </v:textbox>
          <w10:wrap type="none"/>
        </v:shape>
      </w:pict>
    </w:r>
    <w:r>
      <w:rPr/>
      <w:pict>
        <v:shape style="position:absolute;margin-left:70.820pt;margin-top:167.704056pt;width:41.1pt;height:13.55pt;mso-position-horizontal-relative:page;mso-position-vertical-relative:page;z-index:-849064" type="#_x0000_t202" filled="false" stroked="false">
          <v:textbox inset="0,0,0,0">
            <w:txbxContent>
              <w:p>
                <w:pPr>
                  <w:pStyle w:val="BodyText"/>
                  <w:spacing w:line="255" w:lineRule="exact"/>
                  <w:ind w:right="0"/>
                  <w:jc w:val="left"/>
                </w:pPr>
                <w:r>
                  <w:rPr>
                    <w:rFonts w:ascii="Arial" w:hAnsi="Arial" w:cs="Arial" w:eastAsia="Arial" w:hint="default"/>
                  </w:rPr>
                  <w:t>6</w:t>
                </w:r>
                <w:r>
                  <w:rPr/>
                  <w:t>、存货</w:t>
                </w:r>
              </w:p>
            </w:txbxContent>
          </v:textbox>
          <w10:wrap type="none"/>
        </v:shape>
      </w:pict>
    </w:r>
    <w:r>
      <w:rPr/>
      <w:pict>
        <v:shape style="position:absolute;margin-left:68.120003pt;margin-top:194.664063pt;width:98.35pt;height:13.55pt;mso-position-horizontal-relative:page;mso-position-vertical-relative:page;z-index:-849040" type="#_x0000_t202" filled="false" stroked="false">
          <v:textbox inset="0,0,0,0">
            <w:txbxContent>
              <w:p>
                <w:pPr>
                  <w:pStyle w:val="BodyText"/>
                  <w:spacing w:line="255" w:lineRule="exact"/>
                  <w:ind w:right="0"/>
                  <w:jc w:val="left"/>
                </w:pPr>
                <w:r>
                  <w:rPr>
                    <w:rFonts w:ascii="Arial" w:hAnsi="Arial" w:cs="Arial" w:eastAsia="Arial" w:hint="default"/>
                  </w:rPr>
                  <w:t>(a)</w:t>
                </w:r>
                <w:r>
                  <w:rPr>
                    <w:rFonts w:ascii="Arial" w:hAnsi="Arial" w:cs="Arial" w:eastAsia="Arial" w:hint="default"/>
                    <w:spacing w:val="54"/>
                  </w:rPr>
                  <w:t> </w:t>
                </w:r>
                <w:r>
                  <w:rPr/>
                  <w:t>存货分类如下：</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4054pt;width:155.9pt;height:13pt;mso-position-horizontal-relative:page;mso-position-vertical-relative:page;z-index:-84901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4056pt;width:199.95pt;height:41.5pt;mso-position-horizontal-relative:page;mso-position-vertical-relative:page;z-index:-84899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4051pt;width:164.75pt;height:13pt;mso-position-horizontal-relative:page;mso-position-vertical-relative:page;z-index:-84896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60"/>
                  </w:rPr>
                  <w:t> </w:t>
                </w:r>
                <w:r>
                  <w:rPr>
                    <w:rFonts w:ascii="黑体" w:hAnsi="黑体" w:cs="黑体" w:eastAsia="黑体" w:hint="default"/>
                  </w:rPr>
                  <w:t>合并财务报表项目附注（续）</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4054pt;width:155.9pt;height:13pt;mso-position-horizontal-relative:page;mso-position-vertical-relative:page;z-index:-84894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4056pt;width:199.95pt;height:41.5pt;mso-position-horizontal-relative:page;mso-position-vertical-relative:page;z-index:-848920"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4051pt;width:164.75pt;height:13pt;mso-position-horizontal-relative:page;mso-position-vertical-relative:page;z-index:-84889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60"/>
                  </w:rPr>
                  <w:t> </w:t>
                </w:r>
                <w:r>
                  <w:rPr>
                    <w:rFonts w:ascii="黑体" w:hAnsi="黑体" w:cs="黑体" w:eastAsia="黑体" w:hint="default"/>
                  </w:rPr>
                  <w:t>合并财务报表项目附注（续）</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379999pt;margin-top:58.444065pt;width:155.9pt;height:13pt;mso-position-horizontal-relative:page;mso-position-vertical-relative:page;z-index:-84887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27.379999pt;margin-top:85.384064pt;width:199.95pt;height:41.5pt;mso-position-horizontal-relative:page;mso-position-vertical-relative:page;z-index:-848848"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27.379999pt;margin-top:140.844070pt;width:167.45pt;height:13pt;mso-position-horizontal-relative:page;mso-position-vertical-relative:page;z-index:-84882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4054pt;width:155.9pt;height:13pt;mso-position-horizontal-relative:page;mso-position-vertical-relative:page;z-index:-84877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4056pt;width:199.95pt;height:41.5pt;mso-position-horizontal-relative:page;mso-position-vertical-relative:page;z-index:-848752"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4051pt;width:163.1pt;height:13pt;mso-position-horizontal-relative:page;mso-position-vertical-relative:page;z-index:-84872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28"/>
                  </w:rPr>
                  <w:t> </w:t>
                </w:r>
                <w:r>
                  <w:rPr>
                    <w:rFonts w:ascii="黑体" w:hAnsi="黑体" w:cs="黑体" w:eastAsia="黑体" w:hint="default"/>
                  </w:rPr>
                  <w:t>合并财务报表项目附注（续）</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444054pt;width:155.9pt;height:13pt;mso-position-horizontal-relative:page;mso-position-vertical-relative:page;z-index:-84868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384056pt;width:199.95pt;height:41.5pt;mso-position-horizontal-relative:page;mso-position-vertical-relative:page;z-index:-848656" type="#_x0000_t202" filled="false" stroked="false">
          <v:textbox inset="0,0,0,0">
            <w:txbxContent>
              <w:p>
                <w:pPr>
                  <w:pStyle w:val="BodyText"/>
                  <w:spacing w:line="239"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8"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824051pt;width:163.1pt;height:13pt;mso-position-horizontal-relative:page;mso-position-vertical-relative:page;z-index:-84863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28"/>
                  </w:rPr>
                  <w:t> </w:t>
                </w:r>
                <w:r>
                  <w:rPr>
                    <w:rFonts w:ascii="黑体" w:hAnsi="黑体" w:cs="黑体" w:eastAsia="黑体" w:hint="default"/>
                  </w:rPr>
                  <w:t>合并财务报表项目附注（续）</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858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8560"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67.45pt;height:13pt;mso-position-horizontal-relative:page;mso-position-vertical-relative:page;z-index:-848536"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851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8488"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67.45pt;height:13pt;mso-position-horizontal-relative:page;mso-position-vertical-relative:page;z-index:-84846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844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841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67.45pt;height:13pt;mso-position-horizontal-relative:page;mso-position-vertical-relative:page;z-index:-84839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836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834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67.45pt;height:13pt;mso-position-horizontal-relative:page;mso-position-vertical-relative:page;z-index:-84832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829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8272"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67.45pt;height:13pt;mso-position-horizontal-relative:page;mso-position-vertical-relative:page;z-index:-84824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822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8200"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67.45pt;height:13pt;mso-position-horizontal-relative:page;mso-position-vertical-relative:page;z-index:-848176"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815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8128"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67.45pt;height:13pt;mso-position-horizontal-relative:page;mso-position-vertical-relative:page;z-index:-84810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808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805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67.45pt;height:13pt;mso-position-horizontal-relative:page;mso-position-vertical-relative:page;z-index:-84803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800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798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67.45pt;height:13pt;mso-position-horizontal-relative:page;mso-position-vertical-relative:page;z-index:-84796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793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7912"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67.45pt;height:13pt;mso-position-horizontal-relative:page;mso-position-vertical-relative:page;z-index:-84788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6.324051pt;width:102.2pt;height:13.55pt;mso-position-horizontal-relative:page;mso-position-vertical-relative:page;z-index:-847864" type="#_x0000_t202" filled="false" stroked="false">
          <v:textbox inset="0,0,0,0">
            <w:txbxContent>
              <w:p>
                <w:pPr>
                  <w:pStyle w:val="BodyText"/>
                  <w:spacing w:line="255" w:lineRule="exact"/>
                  <w:ind w:right="0"/>
                  <w:jc w:val="left"/>
                </w:pPr>
                <w:r>
                  <w:rPr>
                    <w:rFonts w:ascii="Arial" w:hAnsi="Arial" w:cs="Arial" w:eastAsia="Arial" w:hint="default"/>
                  </w:rPr>
                  <w:t>27</w:t>
                </w:r>
                <w:r>
                  <w:rPr/>
                  <w:t>、长期借款（续）</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784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781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67.45pt;height:13pt;mso-position-horizontal-relative:page;mso-position-vertical-relative:page;z-index:-84779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6.324051pt;width:102.15pt;height:13.55pt;mso-position-horizontal-relative:page;mso-position-vertical-relative:page;z-index:-847768" type="#_x0000_t202" filled="false" stroked="false">
          <v:textbox inset="0,0,0,0">
            <w:txbxContent>
              <w:p>
                <w:pPr>
                  <w:pStyle w:val="BodyText"/>
                  <w:spacing w:line="255" w:lineRule="exact"/>
                  <w:ind w:right="0"/>
                  <w:jc w:val="left"/>
                </w:pPr>
                <w:r>
                  <w:rPr>
                    <w:rFonts w:ascii="Arial" w:hAnsi="Arial" w:cs="Arial" w:eastAsia="Arial" w:hint="default"/>
                  </w:rPr>
                  <w:t>28</w:t>
                </w:r>
                <w:r>
                  <w:rPr/>
                  <w:t>、应付债券（续）</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774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7720"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67.45pt;height:13pt;mso-position-horizontal-relative:page;mso-position-vertical-relative:page;z-index:-847696"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6.324051pt;width:102.15pt;height:13.55pt;mso-position-horizontal-relative:page;mso-position-vertical-relative:page;z-index:-847672" type="#_x0000_t202" filled="false" stroked="false">
          <v:textbox inset="0,0,0,0">
            <w:txbxContent>
              <w:p>
                <w:pPr>
                  <w:pStyle w:val="BodyText"/>
                  <w:spacing w:line="255" w:lineRule="exact"/>
                  <w:ind w:right="0"/>
                  <w:jc w:val="left"/>
                </w:pPr>
                <w:r>
                  <w:rPr>
                    <w:rFonts w:ascii="Arial" w:hAnsi="Arial" w:cs="Arial" w:eastAsia="Arial" w:hint="default"/>
                  </w:rPr>
                  <w:t>28</w:t>
                </w:r>
                <w:r>
                  <w:rPr/>
                  <w:t>、应付债券（续）</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764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762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67.45pt;height:13pt;mso-position-horizontal-relative:page;mso-position-vertical-relative:page;z-index:-84760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6.324051pt;width:102.15pt;height:13.55pt;mso-position-horizontal-relative:page;mso-position-vertical-relative:page;z-index:-847576" type="#_x0000_t202" filled="false" stroked="false">
          <v:textbox inset="0,0,0,0">
            <w:txbxContent>
              <w:p>
                <w:pPr>
                  <w:pStyle w:val="BodyText"/>
                  <w:spacing w:line="255" w:lineRule="exact"/>
                  <w:ind w:right="0"/>
                  <w:jc w:val="left"/>
                </w:pPr>
                <w:r>
                  <w:rPr>
                    <w:rFonts w:ascii="Arial" w:hAnsi="Arial" w:cs="Arial" w:eastAsia="Arial" w:hint="default"/>
                  </w:rPr>
                  <w:t>28</w:t>
                </w:r>
                <w:r>
                  <w:rPr/>
                  <w:t>、应付债券（续）</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755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7528"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67.45pt;height:13pt;mso-position-horizontal-relative:page;mso-position-vertical-relative:page;z-index:-84750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748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745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67.45pt;height:13pt;mso-position-horizontal-relative:page;mso-position-vertical-relative:page;z-index:-84743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740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738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67.45pt;height:13pt;mso-position-horizontal-relative:page;mso-position-vertical-relative:page;z-index:-84736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6.324051pt;width:102.15pt;height:13.55pt;mso-position-horizontal-relative:page;mso-position-vertical-relative:page;z-index:-847336" type="#_x0000_t202" filled="false" stroked="false">
          <v:textbox inset="0,0,0,0">
            <w:txbxContent>
              <w:p>
                <w:pPr>
                  <w:pStyle w:val="BodyText"/>
                  <w:spacing w:line="255" w:lineRule="exact"/>
                  <w:ind w:right="0"/>
                  <w:jc w:val="left"/>
                </w:pPr>
                <w:r>
                  <w:rPr>
                    <w:rFonts w:ascii="Arial" w:hAnsi="Arial" w:cs="Arial" w:eastAsia="Arial" w:hint="default"/>
                  </w:rPr>
                  <w:t>32</w:t>
                </w:r>
                <w:r>
                  <w:rPr/>
                  <w:t>、资本公积（续）</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731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7288"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67.45pt;height:13pt;mso-position-horizontal-relative:page;mso-position-vertical-relative:page;z-index:-84726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724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721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67.45pt;height:13pt;mso-position-horizontal-relative:page;mso-position-vertical-relative:page;z-index:-84719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716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714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67.45pt;height:13pt;mso-position-horizontal-relative:page;mso-position-vertical-relative:page;z-index:-84712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709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7072"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67.45pt;height:13pt;mso-position-horizontal-relative:page;mso-position-vertical-relative:page;z-index:-84704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6.324051pt;width:157.15pt;height:13.55pt;mso-position-horizontal-relative:page;mso-position-vertical-relative:page;z-index:-847024" type="#_x0000_t202" filled="false" stroked="false">
          <v:textbox inset="0,0,0,0">
            <w:txbxContent>
              <w:p>
                <w:pPr>
                  <w:pStyle w:val="BodyText"/>
                  <w:spacing w:line="255" w:lineRule="exact"/>
                  <w:ind w:right="0"/>
                  <w:jc w:val="left"/>
                </w:pPr>
                <w:r>
                  <w:rPr>
                    <w:rFonts w:ascii="Arial" w:hAnsi="Arial" w:cs="Arial" w:eastAsia="Arial" w:hint="default"/>
                  </w:rPr>
                  <w:t>36</w:t>
                </w:r>
                <w:r>
                  <w:rPr/>
                  <w:t>、营业收入和营业成本（续）</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700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697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67.45pt;height:13pt;mso-position-horizontal-relative:page;mso-position-vertical-relative:page;z-index:-84695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692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690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67.45pt;height:13pt;mso-position-horizontal-relative:page;mso-position-vertical-relative:page;z-index:-84688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685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6832"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67.45pt;height:13pt;mso-position-horizontal-relative:page;mso-position-vertical-relative:page;z-index:-84680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678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6760"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67.45pt;height:13pt;mso-position-horizontal-relative:page;mso-position-vertical-relative:page;z-index:-846736"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671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6688"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67.45pt;height:13pt;mso-position-horizontal-relative:page;mso-position-vertical-relative:page;z-index:-84666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6.324051pt;width:91.15pt;height:13.55pt;mso-position-horizontal-relative:page;mso-position-vertical-relative:page;z-index:-846640" type="#_x0000_t202" filled="false" stroked="false">
          <v:textbox inset="0,0,0,0">
            <w:txbxContent>
              <w:p>
                <w:pPr>
                  <w:pStyle w:val="BodyText"/>
                  <w:spacing w:line="255" w:lineRule="exact"/>
                  <w:ind w:right="0"/>
                  <w:jc w:val="left"/>
                </w:pPr>
                <w:r>
                  <w:rPr>
                    <w:rFonts w:ascii="Arial" w:hAnsi="Arial" w:cs="Arial" w:eastAsia="Arial" w:hint="default"/>
                  </w:rPr>
                  <w:t>45</w:t>
                </w:r>
                <w:r>
                  <w:rPr/>
                  <w:t>、所得税（续）</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661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6592"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67.45pt;height:13pt;mso-position-horizontal-relative:page;mso-position-vertical-relative:page;z-index:-84656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6.324051pt;width:91.15pt;height:13.55pt;mso-position-horizontal-relative:page;mso-position-vertical-relative:page;z-index:-846544" type="#_x0000_t202" filled="false" stroked="false">
          <v:textbox inset="0,0,0,0">
            <w:txbxContent>
              <w:p>
                <w:pPr>
                  <w:pStyle w:val="BodyText"/>
                  <w:spacing w:line="255" w:lineRule="exact"/>
                  <w:ind w:right="0"/>
                  <w:jc w:val="left"/>
                </w:pPr>
                <w:r>
                  <w:rPr>
                    <w:rFonts w:ascii="Arial" w:hAnsi="Arial" w:cs="Arial" w:eastAsia="Arial" w:hint="default"/>
                  </w:rPr>
                  <w:t>45</w:t>
                </w:r>
                <w:r>
                  <w:rPr/>
                  <w:t>、所得税（续）</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652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649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67.45pt;height:13pt;mso-position-horizontal-relative:page;mso-position-vertical-relative:page;z-index:-84647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r>
      <w:rPr/>
      <w:pict>
        <v:shape style="position:absolute;margin-left:68.120003pt;margin-top:166.324051pt;width:91.15pt;height:13.55pt;mso-position-horizontal-relative:page;mso-position-vertical-relative:page;z-index:-846448" type="#_x0000_t202" filled="false" stroked="false">
          <v:textbox inset="0,0,0,0">
            <w:txbxContent>
              <w:p>
                <w:pPr>
                  <w:pStyle w:val="BodyText"/>
                  <w:spacing w:line="255" w:lineRule="exact"/>
                  <w:ind w:right="0"/>
                  <w:jc w:val="left"/>
                </w:pPr>
                <w:r>
                  <w:rPr>
                    <w:rFonts w:ascii="Arial" w:hAnsi="Arial" w:cs="Arial" w:eastAsia="Arial" w:hint="default"/>
                  </w:rPr>
                  <w:t>45</w:t>
                </w:r>
                <w:r>
                  <w:rPr/>
                  <w:t>、所得税（续）</w:t>
                </w:r>
              </w:p>
            </w:txbxContent>
          </v:textbox>
          <w10:wrap type="none"/>
        </v:shape>
      </w:pict>
    </w:r>
    <w:r>
      <w:rPr/>
      <w:pict>
        <v:shape style="position:absolute;margin-left:68.120003pt;margin-top:193.284058pt;width:353pt;height:13.55pt;mso-position-horizontal-relative:page;mso-position-vertical-relative:page;z-index:-846424" type="#_x0000_t202" filled="false" stroked="false">
          <v:textbox inset="0,0,0,0">
            <w:txbxContent>
              <w:p>
                <w:pPr>
                  <w:pStyle w:val="BodyText"/>
                  <w:spacing w:line="255" w:lineRule="exact"/>
                  <w:ind w:right="0"/>
                  <w:jc w:val="left"/>
                </w:pPr>
                <w:r>
                  <w:rPr>
                    <w:rFonts w:ascii="Arial" w:hAnsi="Arial" w:cs="Arial" w:eastAsia="Arial" w:hint="default"/>
                  </w:rPr>
                  <w:t>(c) </w:t>
                </w:r>
                <w:r>
                  <w:rPr>
                    <w:rFonts w:ascii="Arial" w:hAnsi="Arial" w:cs="Arial" w:eastAsia="Arial" w:hint="default"/>
                    <w:spacing w:val="30"/>
                  </w:rPr>
                  <w:t> </w:t>
                </w:r>
                <w:r>
                  <w:rPr/>
                  <w:t>递延所得税资产及负债包括以下暂时性差异对所得税的影响（续）：</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640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637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67.45pt;height:13pt;mso-position-horizontal-relative:page;mso-position-vertical-relative:page;z-index:-84635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632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630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67.45pt;height:13pt;mso-position-horizontal-relative:page;mso-position-vertical-relative:page;z-index:-84628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625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6232"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67.45pt;height:13pt;mso-position-horizontal-relative:page;mso-position-vertical-relative:page;z-index:-846208"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618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6160"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67.45pt;height:13pt;mso-position-horizontal-relative:page;mso-position-vertical-relative:page;z-index:-846136"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611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6088"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67.45pt;height:13pt;mso-position-horizontal-relative:page;mso-position-vertical-relative:page;z-index:-846064"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604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6016"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67.45pt;height:13pt;mso-position-horizontal-relative:page;mso-position-vertical-relative:page;z-index:-845992"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596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594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67.45pt;height:13pt;mso-position-horizontal-relative:page;mso-position-vertical-relative:page;z-index:-84592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五</w:t>
                  <w:tab/>
                </w:r>
                <w:r>
                  <w:rPr>
                    <w:rFonts w:ascii="黑体" w:hAnsi="黑体" w:cs="黑体" w:eastAsia="黑体" w:hint="default"/>
                  </w:rPr>
                  <w:t>合并财务报表项目附注（续）</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589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5872"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20003pt;margin-top:58.204056pt;width:155.9pt;height:13pt;mso-position-horizontal-relative:page;mso-position-vertical-relative:page;z-index:-84584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20003pt;margin-top:85.144058pt;width:199.95pt;height:41.5pt;mso-position-horizontal-relative:page;mso-position-vertical-relative:page;z-index:-845824" type="#_x0000_t202" filled="false" stroked="false">
          <v:textbox inset="0,0,0,0">
            <w:txbxContent>
              <w:p>
                <w:pPr>
                  <w:pStyle w:val="BodyText"/>
                  <w:spacing w:line="238"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2012</w:t>
                </w:r>
                <w:r>
                  <w:rPr>
                    <w:rFonts w:ascii="Arial" w:hAnsi="Arial" w:cs="Arial" w:eastAsia="Arial" w:hint="default"/>
                    <w:spacing w:val="-8"/>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20003pt;margin-top:140.584061pt;width:156.450pt;height:13pt;mso-position-horizontal-relative:page;mso-position-vertical-relative:page;z-index:-845800" type="#_x0000_t202" filled="false" stroked="false">
          <v:textbox inset="0,0,0,0">
            <w:txbxContent>
              <w:p>
                <w:pPr>
                  <w:pStyle w:val="BodyText"/>
                  <w:tabs>
                    <w:tab w:pos="469" w:val="left" w:leader="none"/>
                  </w:tabs>
                  <w:spacing w:line="240" w:lineRule="exact"/>
                  <w:ind w:right="0"/>
                  <w:jc w:val="left"/>
                  <w:rPr>
                    <w:rFonts w:ascii="黑体" w:hAnsi="黑体" w:cs="黑体" w:eastAsia="黑体" w:hint="default"/>
                  </w:rPr>
                </w:pPr>
                <w:r>
                  <w:rPr>
                    <w:rFonts w:ascii="黑体" w:hAnsi="黑体" w:cs="黑体" w:eastAsia="黑体" w:hint="default"/>
                    <w:w w:val="95"/>
                  </w:rPr>
                  <w:t>七</w:t>
                  <w:tab/>
                </w:r>
                <w:r>
                  <w:rPr>
                    <w:rFonts w:ascii="黑体" w:hAnsi="黑体" w:cs="黑体" w:eastAsia="黑体" w:hint="default"/>
                  </w:rPr>
                  <w:t>关联方关系及其交易（续）</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lowerRoman"/>
      <w:lvlText w:val="(%1)"/>
      <w:lvlJc w:val="left"/>
      <w:pPr>
        <w:ind w:left="596" w:hanging="478"/>
        <w:jc w:val="left"/>
      </w:pPr>
      <w:rPr>
        <w:rFonts w:hint="default" w:ascii="Arial" w:hAnsi="Arial" w:eastAsia="Arial"/>
        <w:w w:val="99"/>
        <w:sz w:val="22"/>
        <w:szCs w:val="22"/>
      </w:rPr>
    </w:lvl>
    <w:lvl w:ilvl="1">
      <w:start w:val="1"/>
      <w:numFmt w:val="bullet"/>
      <w:lvlText w:val="•"/>
      <w:lvlJc w:val="left"/>
      <w:pPr>
        <w:ind w:left="1494" w:hanging="478"/>
      </w:pPr>
      <w:rPr>
        <w:rFonts w:hint="default"/>
      </w:rPr>
    </w:lvl>
    <w:lvl w:ilvl="2">
      <w:start w:val="1"/>
      <w:numFmt w:val="bullet"/>
      <w:lvlText w:val="•"/>
      <w:lvlJc w:val="left"/>
      <w:pPr>
        <w:ind w:left="2389" w:hanging="478"/>
      </w:pPr>
      <w:rPr>
        <w:rFonts w:hint="default"/>
      </w:rPr>
    </w:lvl>
    <w:lvl w:ilvl="3">
      <w:start w:val="1"/>
      <w:numFmt w:val="bullet"/>
      <w:lvlText w:val="•"/>
      <w:lvlJc w:val="left"/>
      <w:pPr>
        <w:ind w:left="3284" w:hanging="478"/>
      </w:pPr>
      <w:rPr>
        <w:rFonts w:hint="default"/>
      </w:rPr>
    </w:lvl>
    <w:lvl w:ilvl="4">
      <w:start w:val="1"/>
      <w:numFmt w:val="bullet"/>
      <w:lvlText w:val="•"/>
      <w:lvlJc w:val="left"/>
      <w:pPr>
        <w:ind w:left="4179" w:hanging="478"/>
      </w:pPr>
      <w:rPr>
        <w:rFonts w:hint="default"/>
      </w:rPr>
    </w:lvl>
    <w:lvl w:ilvl="5">
      <w:start w:val="1"/>
      <w:numFmt w:val="bullet"/>
      <w:lvlText w:val="•"/>
      <w:lvlJc w:val="left"/>
      <w:pPr>
        <w:ind w:left="5074" w:hanging="478"/>
      </w:pPr>
      <w:rPr>
        <w:rFonts w:hint="default"/>
      </w:rPr>
    </w:lvl>
    <w:lvl w:ilvl="6">
      <w:start w:val="1"/>
      <w:numFmt w:val="bullet"/>
      <w:lvlText w:val="•"/>
      <w:lvlJc w:val="left"/>
      <w:pPr>
        <w:ind w:left="5969" w:hanging="478"/>
      </w:pPr>
      <w:rPr>
        <w:rFonts w:hint="default"/>
      </w:rPr>
    </w:lvl>
    <w:lvl w:ilvl="7">
      <w:start w:val="1"/>
      <w:numFmt w:val="bullet"/>
      <w:lvlText w:val="•"/>
      <w:lvlJc w:val="left"/>
      <w:pPr>
        <w:ind w:left="6864" w:hanging="478"/>
      </w:pPr>
      <w:rPr>
        <w:rFonts w:hint="default"/>
      </w:rPr>
    </w:lvl>
    <w:lvl w:ilvl="8">
      <w:start w:val="1"/>
      <w:numFmt w:val="bullet"/>
      <w:lvlText w:val="•"/>
      <w:lvlJc w:val="left"/>
      <w:pPr>
        <w:ind w:left="7759" w:hanging="478"/>
      </w:pPr>
      <w:rPr>
        <w:rFonts w:hint="default"/>
      </w:rPr>
    </w:lvl>
  </w:abstractNum>
  <w:abstractNum w:abstractNumId="0">
    <w:multiLevelType w:val="hybridMultilevel"/>
    <w:lvl w:ilvl="0">
      <w:start w:val="2"/>
      <w:numFmt w:val="lowerRoman"/>
      <w:lvlText w:val="(%1)"/>
      <w:lvlJc w:val="left"/>
      <w:pPr>
        <w:ind w:left="955" w:hanging="417"/>
        <w:jc w:val="right"/>
      </w:pPr>
      <w:rPr>
        <w:rFonts w:hint="default" w:ascii="Arial" w:hAnsi="Arial" w:eastAsia="Arial"/>
        <w:w w:val="99"/>
        <w:sz w:val="22"/>
        <w:szCs w:val="22"/>
      </w:rPr>
    </w:lvl>
    <w:lvl w:ilvl="1">
      <w:start w:val="1"/>
      <w:numFmt w:val="bullet"/>
      <w:lvlText w:val="•"/>
      <w:lvlJc w:val="left"/>
      <w:pPr>
        <w:ind w:left="1818" w:hanging="417"/>
      </w:pPr>
      <w:rPr>
        <w:rFonts w:hint="default"/>
      </w:rPr>
    </w:lvl>
    <w:lvl w:ilvl="2">
      <w:start w:val="1"/>
      <w:numFmt w:val="bullet"/>
      <w:lvlText w:val="•"/>
      <w:lvlJc w:val="left"/>
      <w:pPr>
        <w:ind w:left="2677" w:hanging="417"/>
      </w:pPr>
      <w:rPr>
        <w:rFonts w:hint="default"/>
      </w:rPr>
    </w:lvl>
    <w:lvl w:ilvl="3">
      <w:start w:val="1"/>
      <w:numFmt w:val="bullet"/>
      <w:lvlText w:val="•"/>
      <w:lvlJc w:val="left"/>
      <w:pPr>
        <w:ind w:left="3536" w:hanging="417"/>
      </w:pPr>
      <w:rPr>
        <w:rFonts w:hint="default"/>
      </w:rPr>
    </w:lvl>
    <w:lvl w:ilvl="4">
      <w:start w:val="1"/>
      <w:numFmt w:val="bullet"/>
      <w:lvlText w:val="•"/>
      <w:lvlJc w:val="left"/>
      <w:pPr>
        <w:ind w:left="4395" w:hanging="417"/>
      </w:pPr>
      <w:rPr>
        <w:rFonts w:hint="default"/>
      </w:rPr>
    </w:lvl>
    <w:lvl w:ilvl="5">
      <w:start w:val="1"/>
      <w:numFmt w:val="bullet"/>
      <w:lvlText w:val="•"/>
      <w:lvlJc w:val="left"/>
      <w:pPr>
        <w:ind w:left="5254" w:hanging="417"/>
      </w:pPr>
      <w:rPr>
        <w:rFonts w:hint="default"/>
      </w:rPr>
    </w:lvl>
    <w:lvl w:ilvl="6">
      <w:start w:val="1"/>
      <w:numFmt w:val="bullet"/>
      <w:lvlText w:val="•"/>
      <w:lvlJc w:val="left"/>
      <w:pPr>
        <w:ind w:left="6113" w:hanging="417"/>
      </w:pPr>
      <w:rPr>
        <w:rFonts w:hint="default"/>
      </w:rPr>
    </w:lvl>
    <w:lvl w:ilvl="7">
      <w:start w:val="1"/>
      <w:numFmt w:val="bullet"/>
      <w:lvlText w:val="•"/>
      <w:lvlJc w:val="left"/>
      <w:pPr>
        <w:ind w:left="6972" w:hanging="417"/>
      </w:pPr>
      <w:rPr>
        <w:rFonts w:hint="default"/>
      </w:rPr>
    </w:lvl>
    <w:lvl w:ilvl="8">
      <w:start w:val="1"/>
      <w:numFmt w:val="bullet"/>
      <w:lvlText w:val="•"/>
      <w:lvlJc w:val="left"/>
      <w:pPr>
        <w:ind w:left="7831" w:hanging="417"/>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146"/>
    </w:pPr>
    <w:rPr>
      <w:rFonts w:ascii="宋体" w:hAnsi="宋体" w:eastAsia="宋体"/>
      <w:b/>
      <w:bCs/>
      <w:sz w:val="21"/>
      <w:szCs w:val="21"/>
    </w:rPr>
  </w:style>
  <w:style w:styleId="TOC2" w:type="paragraph">
    <w:name w:val="TOC 2"/>
    <w:basedOn w:val="Normal"/>
    <w:uiPriority w:val="1"/>
    <w:qFormat/>
    <w:pPr>
      <w:ind w:left="146"/>
    </w:pPr>
    <w:rPr>
      <w:rFonts w:ascii="宋体" w:hAnsi="宋体" w:eastAsia="宋体"/>
      <w:b/>
      <w:bCs/>
      <w:i/>
    </w:rPr>
  </w:style>
  <w:style w:styleId="BodyText" w:type="paragraph">
    <w:name w:val="Body Text"/>
    <w:basedOn w:val="Normal"/>
    <w:uiPriority w:val="1"/>
    <w:qFormat/>
    <w:pPr>
      <w:ind w:left="20"/>
    </w:pPr>
    <w:rPr>
      <w:rFonts w:ascii="宋体" w:hAnsi="宋体" w:eastAsia="宋体"/>
      <w:sz w:val="22"/>
      <w:szCs w:val="22"/>
    </w:rPr>
  </w:style>
  <w:style w:styleId="Heading1" w:type="paragraph">
    <w:name w:val="Heading 1"/>
    <w:basedOn w:val="Normal"/>
    <w:uiPriority w:val="1"/>
    <w:qFormat/>
    <w:pPr>
      <w:spacing w:before="13"/>
      <w:outlineLvl w:val="1"/>
    </w:pPr>
    <w:rPr>
      <w:rFonts w:ascii="宋体" w:hAnsi="宋体" w:eastAsia="宋体"/>
      <w:b/>
      <w:bCs/>
      <w:sz w:val="28"/>
      <w:szCs w:val="28"/>
    </w:rPr>
  </w:style>
  <w:style w:styleId="Heading2" w:type="paragraph">
    <w:name w:val="Heading 2"/>
    <w:basedOn w:val="Normal"/>
    <w:uiPriority w:val="1"/>
    <w:qFormat/>
    <w:pPr>
      <w:ind w:left="453"/>
      <w:outlineLvl w:val="2"/>
    </w:pPr>
    <w:rPr>
      <w:rFonts w:ascii="黑体" w:hAnsi="黑体" w:eastAsia="黑体"/>
      <w:sz w:val="28"/>
      <w:szCs w:val="28"/>
    </w:rPr>
  </w:style>
  <w:style w:styleId="Heading3" w:type="paragraph">
    <w:name w:val="Heading 3"/>
    <w:basedOn w:val="Normal"/>
    <w:uiPriority w:val="1"/>
    <w:qFormat/>
    <w:pPr>
      <w:spacing w:before="31"/>
      <w:ind w:left="146"/>
      <w:outlineLvl w:val="3"/>
    </w:pPr>
    <w:rPr>
      <w:rFonts w:ascii="宋体" w:hAnsi="宋体" w:eastAsia="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hyperlink" Target="mailto:zhangjian@chinaunicom-a.com" TargetMode="External"/><Relationship Id="rId10" Type="http://schemas.openxmlformats.org/officeDocument/2006/relationships/hyperlink" Target="mailto:yangjy@chinaunicom-a.com" TargetMode="External"/><Relationship Id="rId11" Type="http://schemas.openxmlformats.org/officeDocument/2006/relationships/hyperlink" Target="http://www.chinaunicom-a.com/" TargetMode="External"/><Relationship Id="rId12" Type="http://schemas.openxmlformats.org/officeDocument/2006/relationships/hyperlink" Target="mailto:ir@chinaunicom-a.com" TargetMode="External"/><Relationship Id="rId13" Type="http://schemas.openxmlformats.org/officeDocument/2006/relationships/hyperlink" Target="http://www.sse.com.cn/"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jpeg"/><Relationship Id="rId18" Type="http://schemas.openxmlformats.org/officeDocument/2006/relationships/header" Target="header3.xml"/><Relationship Id="rId19" Type="http://schemas.openxmlformats.org/officeDocument/2006/relationships/footer" Target="footer2.xml"/><Relationship Id="rId20" Type="http://schemas.openxmlformats.org/officeDocument/2006/relationships/header" Target="header4.xml"/><Relationship Id="rId21" Type="http://schemas.openxmlformats.org/officeDocument/2006/relationships/footer" Target="footer3.xml"/><Relationship Id="rId22" Type="http://schemas.openxmlformats.org/officeDocument/2006/relationships/image" Target="media/image6.jpeg"/><Relationship Id="rId23" Type="http://schemas.openxmlformats.org/officeDocument/2006/relationships/hyperlink" Target="http://www.pwccn.com/" TargetMode="External"/><Relationship Id="rId24" Type="http://schemas.openxmlformats.org/officeDocument/2006/relationships/header" Target="header5.xml"/><Relationship Id="rId25" Type="http://schemas.openxmlformats.org/officeDocument/2006/relationships/footer" Target="footer4.xml"/><Relationship Id="rId26" Type="http://schemas.openxmlformats.org/officeDocument/2006/relationships/header" Target="header6.xml"/><Relationship Id="rId27" Type="http://schemas.openxmlformats.org/officeDocument/2006/relationships/footer" Target="footer5.xml"/><Relationship Id="rId28" Type="http://schemas.openxmlformats.org/officeDocument/2006/relationships/header" Target="header7.xml"/><Relationship Id="rId29" Type="http://schemas.openxmlformats.org/officeDocument/2006/relationships/footer" Target="footer6.xml"/><Relationship Id="rId30" Type="http://schemas.openxmlformats.org/officeDocument/2006/relationships/header" Target="header8.xml"/><Relationship Id="rId31" Type="http://schemas.openxmlformats.org/officeDocument/2006/relationships/footer" Target="footer7.xml"/><Relationship Id="rId32" Type="http://schemas.openxmlformats.org/officeDocument/2006/relationships/header" Target="header9.xml"/><Relationship Id="rId33" Type="http://schemas.openxmlformats.org/officeDocument/2006/relationships/footer" Target="footer8.xml"/><Relationship Id="rId34" Type="http://schemas.openxmlformats.org/officeDocument/2006/relationships/header" Target="header10.xml"/><Relationship Id="rId35" Type="http://schemas.openxmlformats.org/officeDocument/2006/relationships/footer" Target="footer9.xml"/><Relationship Id="rId36" Type="http://schemas.openxmlformats.org/officeDocument/2006/relationships/header" Target="header11.xml"/><Relationship Id="rId37" Type="http://schemas.openxmlformats.org/officeDocument/2006/relationships/footer" Target="footer10.xml"/><Relationship Id="rId38" Type="http://schemas.openxmlformats.org/officeDocument/2006/relationships/header" Target="header12.xml"/><Relationship Id="rId39" Type="http://schemas.openxmlformats.org/officeDocument/2006/relationships/footer" Target="footer11.xml"/><Relationship Id="rId40" Type="http://schemas.openxmlformats.org/officeDocument/2006/relationships/header" Target="header13.xml"/><Relationship Id="rId41" Type="http://schemas.openxmlformats.org/officeDocument/2006/relationships/header" Target="header14.xml"/><Relationship Id="rId42" Type="http://schemas.openxmlformats.org/officeDocument/2006/relationships/header" Target="header15.xml"/><Relationship Id="rId43" Type="http://schemas.openxmlformats.org/officeDocument/2006/relationships/header" Target="header16.xml"/><Relationship Id="rId44" Type="http://schemas.openxmlformats.org/officeDocument/2006/relationships/header" Target="header17.xml"/><Relationship Id="rId45" Type="http://schemas.openxmlformats.org/officeDocument/2006/relationships/header" Target="header18.xml"/><Relationship Id="rId46" Type="http://schemas.openxmlformats.org/officeDocument/2006/relationships/header" Target="header19.xml"/><Relationship Id="rId47" Type="http://schemas.openxmlformats.org/officeDocument/2006/relationships/header" Target="header20.xml"/><Relationship Id="rId48" Type="http://schemas.openxmlformats.org/officeDocument/2006/relationships/header" Target="header21.xml"/><Relationship Id="rId49" Type="http://schemas.openxmlformats.org/officeDocument/2006/relationships/header" Target="header22.xml"/><Relationship Id="rId50" Type="http://schemas.openxmlformats.org/officeDocument/2006/relationships/header" Target="header23.xml"/><Relationship Id="rId51" Type="http://schemas.openxmlformats.org/officeDocument/2006/relationships/header" Target="header24.xml"/><Relationship Id="rId52" Type="http://schemas.openxmlformats.org/officeDocument/2006/relationships/header" Target="header25.xml"/><Relationship Id="rId53" Type="http://schemas.openxmlformats.org/officeDocument/2006/relationships/header" Target="header26.xml"/><Relationship Id="rId54" Type="http://schemas.openxmlformats.org/officeDocument/2006/relationships/header" Target="header27.xml"/><Relationship Id="rId55" Type="http://schemas.openxmlformats.org/officeDocument/2006/relationships/header" Target="header28.xml"/><Relationship Id="rId56" Type="http://schemas.openxmlformats.org/officeDocument/2006/relationships/header" Target="header29.xml"/><Relationship Id="rId57" Type="http://schemas.openxmlformats.org/officeDocument/2006/relationships/header" Target="header30.xml"/><Relationship Id="rId58" Type="http://schemas.openxmlformats.org/officeDocument/2006/relationships/header" Target="header31.xml"/><Relationship Id="rId59" Type="http://schemas.openxmlformats.org/officeDocument/2006/relationships/header" Target="header32.xml"/><Relationship Id="rId60" Type="http://schemas.openxmlformats.org/officeDocument/2006/relationships/header" Target="header33.xml"/><Relationship Id="rId61" Type="http://schemas.openxmlformats.org/officeDocument/2006/relationships/header" Target="header34.xml"/><Relationship Id="rId62" Type="http://schemas.openxmlformats.org/officeDocument/2006/relationships/header" Target="header35.xml"/><Relationship Id="rId63" Type="http://schemas.openxmlformats.org/officeDocument/2006/relationships/header" Target="header36.xml"/><Relationship Id="rId64" Type="http://schemas.openxmlformats.org/officeDocument/2006/relationships/header" Target="header37.xml"/><Relationship Id="rId65" Type="http://schemas.openxmlformats.org/officeDocument/2006/relationships/header" Target="header38.xml"/><Relationship Id="rId66" Type="http://schemas.openxmlformats.org/officeDocument/2006/relationships/header" Target="header39.xml"/><Relationship Id="rId67" Type="http://schemas.openxmlformats.org/officeDocument/2006/relationships/header" Target="header40.xml"/><Relationship Id="rId68" Type="http://schemas.openxmlformats.org/officeDocument/2006/relationships/header" Target="header41.xml"/><Relationship Id="rId69" Type="http://schemas.openxmlformats.org/officeDocument/2006/relationships/header" Target="header42.xml"/><Relationship Id="rId70" Type="http://schemas.openxmlformats.org/officeDocument/2006/relationships/header" Target="header43.xml"/><Relationship Id="rId71" Type="http://schemas.openxmlformats.org/officeDocument/2006/relationships/header" Target="header44.xml"/><Relationship Id="rId72" Type="http://schemas.openxmlformats.org/officeDocument/2006/relationships/footer" Target="footer12.xml"/><Relationship Id="rId73" Type="http://schemas.openxmlformats.org/officeDocument/2006/relationships/header" Target="header45.xml"/><Relationship Id="rId74" Type="http://schemas.openxmlformats.org/officeDocument/2006/relationships/header" Target="header46.xml"/><Relationship Id="rId75" Type="http://schemas.openxmlformats.org/officeDocument/2006/relationships/footer" Target="footer13.xml"/><Relationship Id="rId76" Type="http://schemas.openxmlformats.org/officeDocument/2006/relationships/header" Target="header47.xml"/><Relationship Id="rId77" Type="http://schemas.openxmlformats.org/officeDocument/2006/relationships/header" Target="header48.xml"/><Relationship Id="rId78" Type="http://schemas.openxmlformats.org/officeDocument/2006/relationships/header" Target="header49.xml"/><Relationship Id="rId79" Type="http://schemas.openxmlformats.org/officeDocument/2006/relationships/header" Target="header50.xml"/><Relationship Id="rId80" Type="http://schemas.openxmlformats.org/officeDocument/2006/relationships/footer" Target="footer14.xml"/><Relationship Id="rId81" Type="http://schemas.openxmlformats.org/officeDocument/2006/relationships/header" Target="header51.xml"/><Relationship Id="rId82" Type="http://schemas.openxmlformats.org/officeDocument/2006/relationships/footer" Target="footer15.xml"/><Relationship Id="rId83" Type="http://schemas.openxmlformats.org/officeDocument/2006/relationships/header" Target="header52.xml"/><Relationship Id="rId84" Type="http://schemas.openxmlformats.org/officeDocument/2006/relationships/header" Target="header53.xml"/><Relationship Id="rId85" Type="http://schemas.openxmlformats.org/officeDocument/2006/relationships/header" Target="header54.xml"/><Relationship Id="rId86" Type="http://schemas.openxmlformats.org/officeDocument/2006/relationships/header" Target="header55.xml"/><Relationship Id="rId87" Type="http://schemas.openxmlformats.org/officeDocument/2006/relationships/header" Target="header56.xml"/><Relationship Id="rId88" Type="http://schemas.openxmlformats.org/officeDocument/2006/relationships/header" Target="header57.xml"/><Relationship Id="rId89" Type="http://schemas.openxmlformats.org/officeDocument/2006/relationships/header" Target="header58.xml"/><Relationship Id="rId90" Type="http://schemas.openxmlformats.org/officeDocument/2006/relationships/header" Target="header59.xml"/><Relationship Id="rId91" Type="http://schemas.openxmlformats.org/officeDocument/2006/relationships/header" Target="header60.xml"/><Relationship Id="rId92" Type="http://schemas.openxmlformats.org/officeDocument/2006/relationships/footer" Target="footer16.xml"/><Relationship Id="rId93" Type="http://schemas.openxmlformats.org/officeDocument/2006/relationships/header" Target="header61.xml"/><Relationship Id="rId94" Type="http://schemas.openxmlformats.org/officeDocument/2006/relationships/footer" Target="footer17.xml"/><Relationship Id="rId95" Type="http://schemas.openxmlformats.org/officeDocument/2006/relationships/header" Target="header62.xml"/><Relationship Id="rId96" Type="http://schemas.openxmlformats.org/officeDocument/2006/relationships/header" Target="header63.xml"/><Relationship Id="rId97" Type="http://schemas.openxmlformats.org/officeDocument/2006/relationships/footer" Target="footer18.xml"/><Relationship Id="rId98" Type="http://schemas.openxmlformats.org/officeDocument/2006/relationships/footer" Target="footer19.xml"/><Relationship Id="rId99" Type="http://schemas.openxmlformats.org/officeDocument/2006/relationships/header" Target="header64.xml"/><Relationship Id="rId100" Type="http://schemas.openxmlformats.org/officeDocument/2006/relationships/header" Target="header65.xml"/><Relationship Id="rId101" Type="http://schemas.openxmlformats.org/officeDocument/2006/relationships/header" Target="header66.xml"/><Relationship Id="rId102" Type="http://schemas.openxmlformats.org/officeDocument/2006/relationships/header" Target="header67.xml"/><Relationship Id="rId103" Type="http://schemas.openxmlformats.org/officeDocument/2006/relationships/header" Target="header68.xml"/><Relationship Id="rId104" Type="http://schemas.openxmlformats.org/officeDocument/2006/relationships/header" Target="header69.xml"/><Relationship Id="rId105" Type="http://schemas.openxmlformats.org/officeDocument/2006/relationships/header" Target="header70.xml"/><Relationship Id="rId106" Type="http://schemas.openxmlformats.org/officeDocument/2006/relationships/header" Target="header71.xml"/><Relationship Id="rId107" Type="http://schemas.openxmlformats.org/officeDocument/2006/relationships/header" Target="header72.xml"/><Relationship Id="rId108" Type="http://schemas.openxmlformats.org/officeDocument/2006/relationships/header" Target="header73.xml"/><Relationship Id="rId109" Type="http://schemas.openxmlformats.org/officeDocument/2006/relationships/header" Target="header74.xml"/><Relationship Id="rId110" Type="http://schemas.openxmlformats.org/officeDocument/2006/relationships/header" Target="header75.xml"/><Relationship Id="rId111" Type="http://schemas.openxmlformats.org/officeDocument/2006/relationships/header" Target="header76.xml"/><Relationship Id="rId112" Type="http://schemas.openxmlformats.org/officeDocument/2006/relationships/header" Target="header77.xml"/><Relationship Id="rId113" Type="http://schemas.openxmlformats.org/officeDocument/2006/relationships/header" Target="header78.xml"/><Relationship Id="rId114" Type="http://schemas.openxmlformats.org/officeDocument/2006/relationships/header" Target="header79.xml"/><Relationship Id="rId115" Type="http://schemas.openxmlformats.org/officeDocument/2006/relationships/header" Target="header80.xml"/><Relationship Id="rId116" Type="http://schemas.openxmlformats.org/officeDocument/2006/relationships/header" Target="header81.xml"/><Relationship Id="rId117" Type="http://schemas.openxmlformats.org/officeDocument/2006/relationships/header" Target="header82.xml"/><Relationship Id="rId118" Type="http://schemas.openxmlformats.org/officeDocument/2006/relationships/header" Target="header83.xml"/><Relationship Id="rId119" Type="http://schemas.openxmlformats.org/officeDocument/2006/relationships/header" Target="header84.xml"/><Relationship Id="rId120" Type="http://schemas.openxmlformats.org/officeDocument/2006/relationships/header" Target="header85.xml"/><Relationship Id="rId121" Type="http://schemas.openxmlformats.org/officeDocument/2006/relationships/header" Target="header86.xml"/><Relationship Id="rId122" Type="http://schemas.openxmlformats.org/officeDocument/2006/relationships/header" Target="header87.xml"/><Relationship Id="rId123" Type="http://schemas.openxmlformats.org/officeDocument/2006/relationships/header" Target="header88.xml"/><Relationship Id="rId124" Type="http://schemas.openxmlformats.org/officeDocument/2006/relationships/header" Target="header89.xml"/><Relationship Id="rId125" Type="http://schemas.openxmlformats.org/officeDocument/2006/relationships/header" Target="header90.xml"/><Relationship Id="rId126" Type="http://schemas.openxmlformats.org/officeDocument/2006/relationships/header" Target="header91.xml"/><Relationship Id="rId127" Type="http://schemas.openxmlformats.org/officeDocument/2006/relationships/header" Target="header92.xml"/><Relationship Id="rId128" Type="http://schemas.openxmlformats.org/officeDocument/2006/relationships/header" Target="header93.xml"/><Relationship Id="rId129" Type="http://schemas.openxmlformats.org/officeDocument/2006/relationships/header" Target="header94.xml"/><Relationship Id="rId130" Type="http://schemas.openxmlformats.org/officeDocument/2006/relationships/header" Target="header95.xml"/><Relationship Id="rId131" Type="http://schemas.openxmlformats.org/officeDocument/2006/relationships/header" Target="header96.xml"/><Relationship Id="rId132" Type="http://schemas.openxmlformats.org/officeDocument/2006/relationships/header" Target="header97.xml"/><Relationship Id="rId133" Type="http://schemas.openxmlformats.org/officeDocument/2006/relationships/header" Target="header98.xml"/><Relationship Id="rId134" Type="http://schemas.openxmlformats.org/officeDocument/2006/relationships/header" Target="header99.xml"/><Relationship Id="rId135" Type="http://schemas.openxmlformats.org/officeDocument/2006/relationships/header" Target="header100.xml"/><Relationship Id="rId136" Type="http://schemas.openxmlformats.org/officeDocument/2006/relationships/header" Target="header101.xml"/><Relationship Id="rId137" Type="http://schemas.openxmlformats.org/officeDocument/2006/relationships/header" Target="header102.xml"/><Relationship Id="rId138" Type="http://schemas.openxmlformats.org/officeDocument/2006/relationships/header" Target="header103.xml"/><Relationship Id="rId139" Type="http://schemas.openxmlformats.org/officeDocument/2006/relationships/header" Target="header104.xml"/><Relationship Id="rId140" Type="http://schemas.openxmlformats.org/officeDocument/2006/relationships/header" Target="header105.xml"/><Relationship Id="rId141" Type="http://schemas.openxmlformats.org/officeDocument/2006/relationships/header" Target="header106.xml"/><Relationship Id="rId142" Type="http://schemas.openxmlformats.org/officeDocument/2006/relationships/header" Target="header107.xml"/><Relationship Id="rId143" Type="http://schemas.openxmlformats.org/officeDocument/2006/relationships/header" Target="header108.xml"/><Relationship Id="rId144" Type="http://schemas.openxmlformats.org/officeDocument/2006/relationships/header" Target="header109.xml"/><Relationship Id="rId145" Type="http://schemas.openxmlformats.org/officeDocument/2006/relationships/header" Target="header110.xml"/><Relationship Id="rId146" Type="http://schemas.openxmlformats.org/officeDocument/2006/relationships/header" Target="header111.xml"/><Relationship Id="rId147" Type="http://schemas.openxmlformats.org/officeDocument/2006/relationships/header" Target="header112.xml"/><Relationship Id="rId148" Type="http://schemas.openxmlformats.org/officeDocument/2006/relationships/header" Target="header113.xml"/><Relationship Id="rId149" Type="http://schemas.openxmlformats.org/officeDocument/2006/relationships/header" Target="header114.xml"/><Relationship Id="rId1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贾云峰</dc:creator>
  <dc:title>中国联合通信股份有限公司</dc:title>
  <dcterms:created xsi:type="dcterms:W3CDTF">2020-05-04T02:25:59Z</dcterms:created>
  <dcterms:modified xsi:type="dcterms:W3CDTF">2020-05-04T02:25:59Z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2013-03-21T00:00:00Z</vt:filetime>
  </property>
  <property fmtid="{D5CDD505-2E9C-101B-9397-08002B2CF9AE}" pid="3" name="Creator">
    <vt:lpwstr>Microsoft® Office Word 2007</vt:lpwstr>
  </property>
  <property fmtid="{D5CDD505-2E9C-101B-9397-08002B2CF9AE}" pid="4" name="LastSaved">
    <vt:filetime>2020-05-03T00:00:00Z</vt:filetime>
  </property>
</Properties>
</file>